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1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20-F</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15" w:lineRule="exact"/>
        <w:rPr>
          <w:sz w:val="24"/>
          <w:szCs w:val="24"/>
          <w:color w:val="auto"/>
        </w:rPr>
      </w:pPr>
    </w:p>
    <w:p>
      <w:pPr>
        <w:ind w:left="5580" w:right="1660" w:hanging="5576"/>
        <w:spacing w:after="0" w:line="494" w:lineRule="auto"/>
        <w:tabs>
          <w:tab w:leader="none" w:pos="312"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REGISTRATION STATEMENT PURSUANT TO SECTION 12(b) OR (g) OF THE SECURITIES EXCHANGE ACT OF 1934 OR</w:t>
      </w:r>
    </w:p>
    <w:p>
      <w:pPr>
        <w:spacing w:after="0" w:line="28" w:lineRule="exact"/>
        <w:rPr>
          <w:sz w:val="24"/>
          <w:szCs w:val="24"/>
          <w:color w:val="auto"/>
        </w:rPr>
      </w:pPr>
    </w:p>
    <w:p>
      <w:pPr>
        <w:ind w:left="320" w:right="2640" w:hanging="316"/>
        <w:spacing w:after="0" w:line="293" w:lineRule="auto"/>
        <w:tabs>
          <w:tab w:leader="none" w:pos="3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2016</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21" w:lineRule="exact"/>
        <w:rPr>
          <w:sz w:val="24"/>
          <w:szCs w:val="24"/>
          <w:color w:val="auto"/>
        </w:rPr>
      </w:pPr>
    </w:p>
    <w:p>
      <w:pPr>
        <w:ind w:left="320" w:right="2280" w:hanging="316"/>
        <w:spacing w:after="0" w:line="293" w:lineRule="auto"/>
        <w:tabs>
          <w:tab w:leader="none" w:pos="320" w:val="left"/>
        </w:tabs>
        <w:numPr>
          <w:ilvl w:val="0"/>
          <w:numId w:val="3"/>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________________ to ________________</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21" w:lineRule="exact"/>
        <w:rPr>
          <w:sz w:val="24"/>
          <w:szCs w:val="24"/>
          <w:color w:val="auto"/>
        </w:rPr>
      </w:pPr>
    </w:p>
    <w:p>
      <w:pPr>
        <w:ind w:left="320" w:right="1860" w:hanging="316"/>
        <w:spacing w:after="0" w:line="293" w:lineRule="auto"/>
        <w:tabs>
          <w:tab w:leader="none" w:pos="320" w:val="left"/>
        </w:tabs>
        <w:numPr>
          <w:ilvl w:val="0"/>
          <w:numId w:val="4"/>
        </w:numPr>
        <w:rPr>
          <w:rFonts w:ascii="MS PGothic" w:cs="MS PGothic" w:eastAsia="MS PGothic" w:hAnsi="MS PGothic"/>
          <w:sz w:val="17"/>
          <w:szCs w:val="17"/>
          <w:color w:val="auto"/>
        </w:rPr>
      </w:pPr>
      <w:r>
        <w:rPr>
          <w:rFonts w:ascii="Arial" w:cs="Arial" w:eastAsia="Arial" w:hAnsi="Arial"/>
          <w:sz w:val="17"/>
          <w:szCs w:val="17"/>
          <w:b w:val="1"/>
          <w:bCs w:val="1"/>
          <w:color w:val="auto"/>
        </w:rPr>
        <w:t>SHELL COMPANY REPORT PURSUANT TO SECTION 13 OR 15(d) OF THE SECURITIES EXCHANGE ACT OF 1934 Date of event requiring this shell company report</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001-37891</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AC IMMUNE SA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Switzerland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(Jurisdiction of incorporation)</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Building B</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1015 Lausanne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Switzerland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(Address of principal executive offices)</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Andrea Pfeifer</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 +41 21 345 91 21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EPFL INNOVATION PARK</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Building B</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1015 Lausanne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Switzerland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(Name, Telephone, E-mail and/or Facsimile number and Address of Company Contact Person)</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Copies to:</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Richard D. Truesdell, Jr.</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Derek J. Dostal</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Davis Polk &amp; Wardwell LLP</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450 Lexington Avenue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NY 10017</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450-4000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or to be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6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color w:val="auto"/>
                <w:w w:val="91"/>
              </w:rPr>
              <w:t>Title of each class</w:t>
            </w:r>
          </w:p>
        </w:tc>
        <w:tc>
          <w:tcPr>
            <w:tcW w:w="556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color w:val="auto"/>
                <w:w w:val="90"/>
              </w:rPr>
              <w:t>Name of each exchange on which registered</w:t>
            </w:r>
          </w:p>
        </w:tc>
      </w:tr>
      <w:tr>
        <w:trPr>
          <w:trHeight w:val="214"/>
        </w:trPr>
        <w:tc>
          <w:tcPr>
            <w:tcW w:w="5860" w:type="dxa"/>
            <w:vAlign w:val="bottom"/>
          </w:tcPr>
          <w:p>
            <w:pPr>
              <w:jc w:val="center"/>
              <w:ind w:right="53"/>
              <w:spacing w:after="0"/>
              <w:rPr>
                <w:sz w:val="20"/>
                <w:szCs w:val="20"/>
                <w:color w:val="auto"/>
              </w:rPr>
            </w:pPr>
            <w:r>
              <w:rPr>
                <w:rFonts w:ascii="Arial" w:cs="Arial" w:eastAsia="Arial" w:hAnsi="Arial"/>
                <w:sz w:val="17"/>
                <w:szCs w:val="17"/>
                <w:color w:val="auto"/>
                <w:w w:val="91"/>
              </w:rPr>
              <w:t>Common Shares, nominal value CHF 0.02 per share</w:t>
            </w:r>
          </w:p>
        </w:tc>
        <w:tc>
          <w:tcPr>
            <w:tcW w:w="5560" w:type="dxa"/>
            <w:vAlign w:val="bottom"/>
          </w:tcPr>
          <w:p>
            <w:pPr>
              <w:jc w:val="center"/>
              <w:ind w:right="53"/>
              <w:spacing w:after="0"/>
              <w:rPr>
                <w:sz w:val="20"/>
                <w:szCs w:val="20"/>
                <w:color w:val="auto"/>
              </w:rPr>
            </w:pPr>
            <w:r>
              <w:rPr>
                <w:rFonts w:ascii="Arial" w:cs="Arial" w:eastAsia="Arial" w:hAnsi="Arial"/>
                <w:sz w:val="17"/>
                <w:szCs w:val="17"/>
                <w:color w:val="auto"/>
                <w:w w:val="97"/>
              </w:rPr>
              <w:t>The NASDAQ Global Market</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or to be registered pursuant to Section 12(g) of the Act:</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for which there is a reporting obligation pursuant to Section 15(d) of the Act:</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51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5"/>
          <w:szCs w:val="15"/>
          <w:color w:val="auto"/>
        </w:rPr>
        <w:t>Indicate the number of outstanding shares of each of the issuer’s classes of capital stock or common stock as of the close of the period covered by the annual report.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Common shares: 56,773,392</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188" w:lineRule="exact"/>
        <w:rPr>
          <w:sz w:val="20"/>
          <w:szCs w:val="20"/>
          <w:color w:val="auto"/>
        </w:rPr>
      </w:pPr>
    </w:p>
    <w:p>
      <w:pPr>
        <w:ind w:left="5460" w:hanging="196"/>
        <w:spacing w:after="0" w:line="196" w:lineRule="exact"/>
        <w:tabs>
          <w:tab w:leader="none" w:pos="5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5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this report is an annual or transition report, indicate by check mark if the registrant is not required to file reports pursuant to Section 13 or 15(d) of the Securities Exchange Act of 1934.</w:t>
      </w:r>
    </w:p>
    <w:p>
      <w:pPr>
        <w:spacing w:after="0" w:line="126" w:lineRule="exact"/>
        <w:rPr>
          <w:sz w:val="20"/>
          <w:szCs w:val="20"/>
          <w:color w:val="auto"/>
        </w:rPr>
      </w:pPr>
    </w:p>
    <w:p>
      <w:pPr>
        <w:ind w:left="5460" w:hanging="196"/>
        <w:spacing w:after="0" w:line="196" w:lineRule="exact"/>
        <w:tabs>
          <w:tab w:leader="none" w:pos="54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5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0" w:lineRule="exact"/>
        <w:rPr>
          <w:sz w:val="20"/>
          <w:szCs w:val="20"/>
          <w:color w:val="auto"/>
        </w:rPr>
      </w:pPr>
    </w:p>
    <w:p>
      <w:pPr>
        <w:ind w:left="5460" w:hanging="196"/>
        <w:spacing w:after="0" w:line="196" w:lineRule="exact"/>
        <w:tabs>
          <w:tab w:leader="none" w:pos="546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5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0" w:lineRule="exact"/>
        <w:rPr>
          <w:sz w:val="20"/>
          <w:szCs w:val="20"/>
          <w:color w:val="auto"/>
        </w:rPr>
      </w:pPr>
    </w:p>
    <w:p>
      <w:pPr>
        <w:ind w:left="5460" w:hanging="196"/>
        <w:spacing w:after="0" w:line="196" w:lineRule="exact"/>
        <w:tabs>
          <w:tab w:leader="none" w:pos="54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5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26" w:lineRule="exact"/>
        <w:rPr>
          <w:sz w:val="20"/>
          <w:szCs w:val="20"/>
          <w:color w:val="auto"/>
        </w:rPr>
      </w:pPr>
    </w:p>
    <w:p>
      <w:pPr>
        <w:ind w:left="1080"/>
        <w:spacing w:after="0" w:line="196" w:lineRule="exact"/>
        <w:tabs>
          <w:tab w:leader="none" w:pos="5080" w:val="left"/>
          <w:tab w:leader="none" w:pos="8700" w:val="left"/>
        </w:tabs>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ectPr>
          <w:pgSz w:w="11900" w:h="16838" w:orient="portrait"/>
          <w:cols w:equalWidth="0" w:num="1">
            <w:col w:w="11400"/>
          </w:cols>
          <w:pgMar w:left="240" w:top="569" w:right="259" w:bottom="1440" w:gutter="0" w:footer="0" w:header="0"/>
        </w:sectPr>
      </w:pPr>
    </w:p>
    <w:p>
      <w:pPr>
        <w:spacing w:after="0" w:line="188" w:lineRule="exact"/>
        <w:rPr>
          <w:sz w:val="20"/>
          <w:szCs w:val="20"/>
          <w:color w:val="auto"/>
        </w:rPr>
      </w:pPr>
    </w:p>
    <w:p>
      <w:pPr>
        <w:jc w:val="center"/>
        <w:ind w:left="640"/>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880" w:hanging="49"/>
        <w:spacing w:after="0" w:line="223" w:lineRule="exact"/>
        <w:rPr>
          <w:sz w:val="20"/>
          <w:szCs w:val="20"/>
          <w:color w:val="auto"/>
        </w:rPr>
      </w:pPr>
      <w:r>
        <w:rPr>
          <w:rFonts w:ascii="Arial" w:cs="Arial" w:eastAsia="Arial" w:hAnsi="Arial"/>
          <w:sz w:val="15"/>
          <w:szCs w:val="15"/>
          <w:color w:val="auto"/>
        </w:rPr>
        <w:t xml:space="preserve">International Financial Reporting Standards as issued by the International Accounting Standards Board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560"/>
        <w:spacing w:after="0" w:line="173" w:lineRule="exact"/>
        <w:rPr>
          <w:sz w:val="20"/>
          <w:szCs w:val="20"/>
          <w:color w:val="auto"/>
        </w:rPr>
      </w:pPr>
      <w:r>
        <w:rPr>
          <w:rFonts w:ascii="Arial" w:cs="Arial" w:eastAsia="Arial" w:hAnsi="Arial"/>
          <w:sz w:val="15"/>
          <w:szCs w:val="15"/>
          <w:color w:val="auto"/>
        </w:rPr>
        <w:t xml:space="preserve">Other </w:t>
      </w:r>
      <w:r>
        <w:rPr>
          <w:rFonts w:ascii="MS PGothic" w:cs="MS PGothic" w:eastAsia="MS PGothic" w:hAnsi="MS PGothic"/>
          <w:sz w:val="15"/>
          <w:szCs w:val="15"/>
          <w:color w:val="auto"/>
        </w:rPr>
        <w:t>☐</w:t>
      </w:r>
    </w:p>
    <w:p>
      <w:pPr>
        <w:spacing w:after="0" w:line="484" w:lineRule="exact"/>
        <w:rPr>
          <w:sz w:val="20"/>
          <w:szCs w:val="20"/>
          <w:color w:val="auto"/>
        </w:rPr>
      </w:pPr>
    </w:p>
    <w:p>
      <w:pPr>
        <w:sectPr>
          <w:pgSz w:w="11900" w:h="16838" w:orient="portrait"/>
          <w:cols w:equalWidth="0" w:num="3">
            <w:col w:w="3260" w:space="720"/>
            <w:col w:w="4540" w:space="720"/>
            <w:col w:w="2160"/>
          </w:cols>
          <w:pgMar w:left="240" w:top="569" w:right="259" w:bottom="1440" w:gutter="0" w:footer="0" w:header="0"/>
          <w:type w:val="continuous"/>
        </w:sectPr>
      </w:pPr>
    </w:p>
    <w:p>
      <w:pPr>
        <w:spacing w:after="0"/>
        <w:rPr>
          <w:sz w:val="20"/>
          <w:szCs w:val="20"/>
          <w:color w:val="auto"/>
        </w:rPr>
      </w:pPr>
      <w:r>
        <w:rPr>
          <w:rFonts w:ascii="Arial" w:cs="Arial" w:eastAsia="Arial" w:hAnsi="Arial"/>
          <w:sz w:val="15"/>
          <w:szCs w:val="15"/>
          <w:color w:val="auto"/>
        </w:rPr>
        <w:t>If “Other” has been checked in response to the previous question indicate by check mark which financial statement item the registrant has elected to follow.</w:t>
      </w:r>
    </w:p>
    <w:p>
      <w:pPr>
        <w:spacing w:after="0" w:line="211" w:lineRule="exact"/>
        <w:rPr>
          <w:sz w:val="20"/>
          <w:szCs w:val="20"/>
          <w:color w:val="auto"/>
        </w:rPr>
      </w:pPr>
    </w:p>
    <w:p>
      <w:pPr>
        <w:ind w:left="5160" w:hanging="201"/>
        <w:spacing w:after="0" w:line="196" w:lineRule="exact"/>
        <w:tabs>
          <w:tab w:leader="none" w:pos="51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 xml:space="preserve">Item 17 </w:t>
      </w:r>
      <w:r>
        <w:rPr>
          <w:rFonts w:ascii="MS PGothic" w:cs="MS PGothic" w:eastAsia="MS PGothic" w:hAnsi="MS PGothic"/>
          <w:sz w:val="17"/>
          <w:szCs w:val="17"/>
          <w:color w:val="auto"/>
        </w:rPr>
        <w:t>☐</w:t>
      </w:r>
      <w:r>
        <w:rPr>
          <w:rFonts w:ascii="Arial" w:cs="Arial" w:eastAsia="Arial" w:hAnsi="Arial"/>
          <w:sz w:val="17"/>
          <w:szCs w:val="17"/>
          <w:color w:val="auto"/>
        </w:rPr>
        <w:t xml:space="preserve"> Item 18</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188" w:lineRule="exact"/>
        <w:rPr>
          <w:sz w:val="20"/>
          <w:szCs w:val="20"/>
          <w:color w:val="auto"/>
        </w:rPr>
      </w:pPr>
    </w:p>
    <w:p>
      <w:pPr>
        <w:ind w:left="5460" w:hanging="196"/>
        <w:spacing w:after="0" w:line="196" w:lineRule="exact"/>
        <w:tabs>
          <w:tab w:leader="none" w:pos="54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532130</wp:posOffset>
            </wp:positionV>
            <wp:extent cx="7251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6220" w:type="dxa"/>
            <w:vAlign w:val="bottom"/>
            <w:gridSpan w:val="2"/>
          </w:tcPr>
          <w:p>
            <w:pPr>
              <w:jc w:val="center"/>
              <w:ind w:right="4500"/>
              <w:spacing w:after="0"/>
              <w:rPr>
                <w:sz w:val="20"/>
                <w:szCs w:val="20"/>
                <w:color w:val="auto"/>
              </w:rPr>
            </w:pPr>
            <w:r>
              <w:rPr>
                <w:rFonts w:ascii="Arial" w:cs="Arial" w:eastAsia="Arial" w:hAnsi="Arial"/>
                <w:sz w:val="17"/>
                <w:szCs w:val="17"/>
                <w:b w:val="1"/>
                <w:bCs w:val="1"/>
                <w:color w:val="auto"/>
              </w:rPr>
              <w:t>AC IMMUNE SA</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rPr>
              <w:t>TABLE OF CONTENTS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360" w:type="dxa"/>
            <w:vAlign w:val="bottom"/>
            <w:gridSpan w:val="2"/>
            <w:vMerge w:val="restart"/>
          </w:tcPr>
          <w:p>
            <w:pPr>
              <w:spacing w:after="0"/>
              <w:rPr>
                <w:sz w:val="20"/>
                <w:szCs w:val="20"/>
                <w:color w:val="auto"/>
              </w:rPr>
            </w:pPr>
            <w:r>
              <w:rPr>
                <w:rFonts w:ascii="Arial" w:cs="Arial" w:eastAsia="Arial" w:hAnsi="Arial"/>
                <w:sz w:val="17"/>
                <w:szCs w:val="17"/>
                <w:color w:val="auto"/>
                <w:w w:val="85"/>
              </w:rPr>
              <w:t>Page</w:t>
            </w: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4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060" w:type="dxa"/>
            <w:vAlign w:val="bottom"/>
            <w:gridSpan w:val="4"/>
            <w:shd w:val="clear" w:color="auto" w:fill="D5EAEA"/>
          </w:tcPr>
          <w:p>
            <w:pPr>
              <w:spacing w:after="0"/>
              <w:rPr>
                <w:sz w:val="20"/>
                <w:szCs w:val="20"/>
                <w:color w:val="auto"/>
              </w:rPr>
            </w:pPr>
            <w:r>
              <w:rPr>
                <w:rFonts w:ascii="Arial" w:cs="Arial" w:eastAsia="Arial" w:hAnsi="Arial"/>
                <w:sz w:val="17"/>
                <w:szCs w:val="17"/>
                <w:color w:val="auto"/>
              </w:rPr>
              <w:t>FORWARD-LOOKING STATEMENTS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spacing w:after="0"/>
              <w:rPr>
                <w:sz w:val="20"/>
                <w:szCs w:val="20"/>
                <w:color w:val="auto"/>
              </w:rPr>
            </w:pPr>
            <w:r>
              <w:rPr>
                <w:rFonts w:ascii="Arial" w:cs="Arial" w:eastAsia="Arial" w:hAnsi="Arial"/>
                <w:sz w:val="17"/>
                <w:szCs w:val="17"/>
                <w:color w:val="auto"/>
              </w:rPr>
              <w:t>PART I</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spacing w:after="0"/>
              <w:rPr>
                <w:sz w:val="20"/>
                <w:szCs w:val="20"/>
                <w:color w:val="auto"/>
              </w:rPr>
            </w:pPr>
            <w:r>
              <w:rPr>
                <w:rFonts w:ascii="Arial" w:cs="Arial" w:eastAsia="Arial" w:hAnsi="Arial"/>
                <w:sz w:val="17"/>
                <w:szCs w:val="17"/>
                <w:color w:val="auto"/>
              </w:rPr>
              <w:t>ITEM 1. IDENTITY OF DIRECTORS, SENIOR MANAGEMENT AND ADVISERS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ind w:left="200"/>
              <w:spacing w:after="0"/>
              <w:rPr>
                <w:sz w:val="20"/>
                <w:szCs w:val="20"/>
                <w:color w:val="auto"/>
              </w:rPr>
            </w:pPr>
            <w:r>
              <w:rPr>
                <w:rFonts w:ascii="Arial" w:cs="Arial" w:eastAsia="Arial" w:hAnsi="Arial"/>
                <w:sz w:val="17"/>
                <w:szCs w:val="17"/>
                <w:color w:val="auto"/>
              </w:rPr>
              <w:t>A.  Directors and senior management</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B.</w:t>
            </w:r>
          </w:p>
        </w:tc>
        <w:tc>
          <w:tcPr>
            <w:tcW w:w="10640" w:type="dxa"/>
            <w:vAlign w:val="bottom"/>
            <w:gridSpan w:val="3"/>
            <w:shd w:val="clear" w:color="auto" w:fill="D5EAEA"/>
          </w:tcPr>
          <w:p>
            <w:pPr>
              <w:ind w:left="60"/>
              <w:spacing w:after="0"/>
              <w:rPr>
                <w:sz w:val="20"/>
                <w:szCs w:val="20"/>
                <w:color w:val="auto"/>
              </w:rPr>
            </w:pPr>
            <w:r>
              <w:rPr>
                <w:rFonts w:ascii="Arial" w:cs="Arial" w:eastAsia="Arial" w:hAnsi="Arial"/>
                <w:sz w:val="17"/>
                <w:szCs w:val="17"/>
                <w:color w:val="auto"/>
              </w:rPr>
              <w:t>Advisers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C.</w:t>
            </w:r>
          </w:p>
        </w:tc>
        <w:tc>
          <w:tcPr>
            <w:tcW w:w="10640" w:type="dxa"/>
            <w:vAlign w:val="bottom"/>
            <w:gridSpan w:val="3"/>
          </w:tcPr>
          <w:p>
            <w:pPr>
              <w:ind w:left="60"/>
              <w:spacing w:after="0"/>
              <w:rPr>
                <w:sz w:val="20"/>
                <w:szCs w:val="20"/>
                <w:color w:val="auto"/>
              </w:rPr>
            </w:pPr>
            <w:r>
              <w:rPr>
                <w:rFonts w:ascii="Arial" w:cs="Arial" w:eastAsia="Arial" w:hAnsi="Arial"/>
                <w:sz w:val="17"/>
                <w:szCs w:val="17"/>
                <w:color w:val="auto"/>
              </w:rPr>
              <w:t>Auditors</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spacing w:after="0"/>
              <w:rPr>
                <w:sz w:val="20"/>
                <w:szCs w:val="20"/>
                <w:color w:val="auto"/>
              </w:rPr>
            </w:pPr>
            <w:r>
              <w:rPr>
                <w:rFonts w:ascii="Arial" w:cs="Arial" w:eastAsia="Arial" w:hAnsi="Arial"/>
                <w:sz w:val="17"/>
                <w:szCs w:val="17"/>
                <w:color w:val="auto"/>
              </w:rPr>
              <w:t>ITEM 2. OFFER STATISTICS AND EXPECTED TIMETABLE</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A.</w:t>
            </w:r>
          </w:p>
        </w:tc>
        <w:tc>
          <w:tcPr>
            <w:tcW w:w="10640" w:type="dxa"/>
            <w:vAlign w:val="bottom"/>
            <w:gridSpan w:val="3"/>
          </w:tcPr>
          <w:p>
            <w:pPr>
              <w:ind w:left="80"/>
              <w:spacing w:after="0"/>
              <w:rPr>
                <w:sz w:val="20"/>
                <w:szCs w:val="20"/>
                <w:color w:val="auto"/>
              </w:rPr>
            </w:pPr>
            <w:r>
              <w:rPr>
                <w:rFonts w:ascii="Arial" w:cs="Arial" w:eastAsia="Arial" w:hAnsi="Arial"/>
                <w:sz w:val="17"/>
                <w:szCs w:val="17"/>
                <w:color w:val="auto"/>
              </w:rPr>
              <w:t>Offer statistics</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ind w:left="200"/>
              <w:spacing w:after="0"/>
              <w:rPr>
                <w:sz w:val="20"/>
                <w:szCs w:val="20"/>
                <w:color w:val="auto"/>
              </w:rPr>
            </w:pPr>
            <w:r>
              <w:rPr>
                <w:rFonts w:ascii="Arial" w:cs="Arial" w:eastAsia="Arial" w:hAnsi="Arial"/>
                <w:sz w:val="17"/>
                <w:szCs w:val="17"/>
                <w:color w:val="auto"/>
              </w:rPr>
              <w:t>B.  Method and expected timetable</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spacing w:after="0"/>
              <w:rPr>
                <w:sz w:val="20"/>
                <w:szCs w:val="20"/>
                <w:color w:val="auto"/>
              </w:rPr>
            </w:pPr>
            <w:r>
              <w:rPr>
                <w:rFonts w:ascii="Arial" w:cs="Arial" w:eastAsia="Arial" w:hAnsi="Arial"/>
                <w:sz w:val="17"/>
                <w:szCs w:val="17"/>
                <w:color w:val="auto"/>
              </w:rPr>
              <w:t>ITEM 3. KEY INFORMATION</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A.</w:t>
            </w:r>
          </w:p>
        </w:tc>
        <w:tc>
          <w:tcPr>
            <w:tcW w:w="10640" w:type="dxa"/>
            <w:vAlign w:val="bottom"/>
            <w:gridSpan w:val="3"/>
            <w:shd w:val="clear" w:color="auto" w:fill="D5EAEA"/>
          </w:tcPr>
          <w:p>
            <w:pPr>
              <w:ind w:left="80"/>
              <w:spacing w:after="0"/>
              <w:rPr>
                <w:sz w:val="20"/>
                <w:szCs w:val="20"/>
                <w:color w:val="auto"/>
              </w:rPr>
            </w:pPr>
            <w:r>
              <w:rPr>
                <w:rFonts w:ascii="Arial" w:cs="Arial" w:eastAsia="Arial" w:hAnsi="Arial"/>
                <w:sz w:val="17"/>
                <w:szCs w:val="17"/>
                <w:color w:val="auto"/>
              </w:rPr>
              <w:t>Selected Financial Data</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B.</w:t>
            </w:r>
          </w:p>
        </w:tc>
        <w:tc>
          <w:tcPr>
            <w:tcW w:w="10640" w:type="dxa"/>
            <w:vAlign w:val="bottom"/>
            <w:gridSpan w:val="3"/>
          </w:tcPr>
          <w:p>
            <w:pPr>
              <w:ind w:left="60"/>
              <w:spacing w:after="0"/>
              <w:rPr>
                <w:sz w:val="20"/>
                <w:szCs w:val="20"/>
                <w:color w:val="auto"/>
              </w:rPr>
            </w:pPr>
            <w:r>
              <w:rPr>
                <w:rFonts w:ascii="Arial" w:cs="Arial" w:eastAsia="Arial" w:hAnsi="Arial"/>
                <w:sz w:val="17"/>
                <w:szCs w:val="17"/>
                <w:color w:val="auto"/>
              </w:rPr>
              <w:t>Capitalization and indebtedness</w:t>
            </w: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ind w:left="200"/>
              <w:spacing w:after="0"/>
              <w:rPr>
                <w:sz w:val="20"/>
                <w:szCs w:val="20"/>
                <w:color w:val="auto"/>
              </w:rPr>
            </w:pPr>
            <w:r>
              <w:rPr>
                <w:rFonts w:ascii="Arial" w:cs="Arial" w:eastAsia="Arial" w:hAnsi="Arial"/>
                <w:sz w:val="17"/>
                <w:szCs w:val="17"/>
                <w:color w:val="auto"/>
              </w:rPr>
              <w:t>C.  Reasons for the offer and use of proceeds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D.</w:t>
            </w:r>
          </w:p>
        </w:tc>
        <w:tc>
          <w:tcPr>
            <w:tcW w:w="10640" w:type="dxa"/>
            <w:vAlign w:val="bottom"/>
            <w:gridSpan w:val="3"/>
          </w:tcPr>
          <w:p>
            <w:pPr>
              <w:ind w:left="80"/>
              <w:spacing w:after="0"/>
              <w:rPr>
                <w:sz w:val="20"/>
                <w:szCs w:val="20"/>
                <w:color w:val="auto"/>
              </w:rPr>
            </w:pPr>
            <w:r>
              <w:rPr>
                <w:rFonts w:ascii="Arial" w:cs="Arial" w:eastAsia="Arial" w:hAnsi="Arial"/>
                <w:sz w:val="17"/>
                <w:szCs w:val="17"/>
                <w:color w:val="auto"/>
              </w:rPr>
              <w:t>Risk factors</w:t>
            </w: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spacing w:after="0"/>
              <w:rPr>
                <w:sz w:val="20"/>
                <w:szCs w:val="20"/>
                <w:color w:val="auto"/>
              </w:rPr>
            </w:pPr>
            <w:r>
              <w:rPr>
                <w:rFonts w:ascii="Arial" w:cs="Arial" w:eastAsia="Arial" w:hAnsi="Arial"/>
                <w:sz w:val="17"/>
                <w:szCs w:val="17"/>
                <w:color w:val="auto"/>
              </w:rPr>
              <w:t>ITEM 4. INFORMATION ON THE COMPANY</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ind w:left="200"/>
              <w:spacing w:after="0"/>
              <w:rPr>
                <w:sz w:val="20"/>
                <w:szCs w:val="20"/>
                <w:color w:val="auto"/>
              </w:rPr>
            </w:pPr>
            <w:r>
              <w:rPr>
                <w:rFonts w:ascii="Arial" w:cs="Arial" w:eastAsia="Arial" w:hAnsi="Arial"/>
                <w:sz w:val="17"/>
                <w:szCs w:val="17"/>
                <w:color w:val="auto"/>
              </w:rPr>
              <w:t>A.  History and development of the Company</w:t>
            </w:r>
          </w:p>
        </w:tc>
        <w:tc>
          <w:tcPr>
            <w:tcW w:w="34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B.</w:t>
            </w:r>
          </w:p>
        </w:tc>
        <w:tc>
          <w:tcPr>
            <w:tcW w:w="10640" w:type="dxa"/>
            <w:vAlign w:val="bottom"/>
            <w:gridSpan w:val="3"/>
            <w:shd w:val="clear" w:color="auto" w:fill="D5EAEA"/>
          </w:tcPr>
          <w:p>
            <w:pPr>
              <w:ind w:left="60"/>
              <w:spacing w:after="0"/>
              <w:rPr>
                <w:sz w:val="20"/>
                <w:szCs w:val="20"/>
                <w:color w:val="auto"/>
              </w:rPr>
            </w:pPr>
            <w:r>
              <w:rPr>
                <w:rFonts w:ascii="Arial" w:cs="Arial" w:eastAsia="Arial" w:hAnsi="Arial"/>
                <w:sz w:val="17"/>
                <w:szCs w:val="17"/>
                <w:color w:val="auto"/>
              </w:rPr>
              <w:t>Business overview</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C.</w:t>
            </w:r>
          </w:p>
        </w:tc>
        <w:tc>
          <w:tcPr>
            <w:tcW w:w="10640" w:type="dxa"/>
            <w:vAlign w:val="bottom"/>
            <w:gridSpan w:val="3"/>
          </w:tcPr>
          <w:p>
            <w:pPr>
              <w:ind w:left="60"/>
              <w:spacing w:after="0"/>
              <w:rPr>
                <w:sz w:val="20"/>
                <w:szCs w:val="20"/>
                <w:color w:val="auto"/>
              </w:rPr>
            </w:pPr>
            <w:r>
              <w:rPr>
                <w:rFonts w:ascii="Arial" w:cs="Arial" w:eastAsia="Arial" w:hAnsi="Arial"/>
                <w:sz w:val="17"/>
                <w:szCs w:val="17"/>
                <w:color w:val="auto"/>
              </w:rPr>
              <w:t>Organizational structure</w:t>
            </w:r>
          </w:p>
        </w:tc>
        <w:tc>
          <w:tcPr>
            <w:tcW w:w="340" w:type="dxa"/>
            <w:vAlign w:val="bottom"/>
          </w:tcPr>
          <w:p>
            <w:pPr>
              <w:jc w:val="right"/>
              <w:spacing w:after="0"/>
              <w:rPr>
                <w:sz w:val="20"/>
                <w:szCs w:val="20"/>
                <w:color w:val="auto"/>
              </w:rPr>
            </w:pPr>
            <w:r>
              <w:rPr>
                <w:rFonts w:ascii="Arial" w:cs="Arial" w:eastAsia="Arial" w:hAnsi="Arial"/>
                <w:sz w:val="17"/>
                <w:szCs w:val="17"/>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ind w:left="200"/>
              <w:spacing w:after="0"/>
              <w:rPr>
                <w:sz w:val="20"/>
                <w:szCs w:val="20"/>
                <w:color w:val="auto"/>
              </w:rPr>
            </w:pPr>
            <w:r>
              <w:rPr>
                <w:rFonts w:ascii="Arial" w:cs="Arial" w:eastAsia="Arial" w:hAnsi="Arial"/>
                <w:sz w:val="17"/>
                <w:szCs w:val="17"/>
                <w:color w:val="auto"/>
              </w:rPr>
              <w:t>D.  Property, plant and equipment</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spacing w:after="0"/>
              <w:rPr>
                <w:sz w:val="20"/>
                <w:szCs w:val="20"/>
                <w:color w:val="auto"/>
              </w:rPr>
            </w:pPr>
            <w:r>
              <w:rPr>
                <w:rFonts w:ascii="Arial" w:cs="Arial" w:eastAsia="Arial" w:hAnsi="Arial"/>
                <w:sz w:val="17"/>
                <w:szCs w:val="17"/>
                <w:color w:val="auto"/>
              </w:rPr>
              <w:t>ITEM 4A. UNRESOLVED STAFF COMMENTS</w:t>
            </w:r>
          </w:p>
        </w:tc>
        <w:tc>
          <w:tcPr>
            <w:tcW w:w="340" w:type="dxa"/>
            <w:vAlign w:val="bottom"/>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spacing w:after="0"/>
              <w:rPr>
                <w:sz w:val="20"/>
                <w:szCs w:val="20"/>
                <w:color w:val="auto"/>
              </w:rPr>
            </w:pPr>
            <w:r>
              <w:rPr>
                <w:rFonts w:ascii="Arial" w:cs="Arial" w:eastAsia="Arial" w:hAnsi="Arial"/>
                <w:sz w:val="17"/>
                <w:szCs w:val="17"/>
                <w:color w:val="auto"/>
              </w:rPr>
              <w:t>ITEM 5. OPERATING AND FINANCIAL REVIEW AND PROSPECTS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A.</w:t>
            </w:r>
          </w:p>
        </w:tc>
        <w:tc>
          <w:tcPr>
            <w:tcW w:w="10640" w:type="dxa"/>
            <w:vAlign w:val="bottom"/>
            <w:gridSpan w:val="3"/>
          </w:tcPr>
          <w:p>
            <w:pPr>
              <w:ind w:left="80"/>
              <w:spacing w:after="0"/>
              <w:rPr>
                <w:sz w:val="20"/>
                <w:szCs w:val="20"/>
                <w:color w:val="auto"/>
              </w:rPr>
            </w:pPr>
            <w:r>
              <w:rPr>
                <w:rFonts w:ascii="Arial" w:cs="Arial" w:eastAsia="Arial" w:hAnsi="Arial"/>
                <w:sz w:val="17"/>
                <w:szCs w:val="17"/>
                <w:color w:val="auto"/>
              </w:rPr>
              <w:t>Operating results</w:t>
            </w:r>
          </w:p>
        </w:tc>
        <w:tc>
          <w:tcPr>
            <w:tcW w:w="340" w:type="dxa"/>
            <w:vAlign w:val="bottom"/>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ind w:left="200"/>
              <w:spacing w:after="0"/>
              <w:rPr>
                <w:sz w:val="20"/>
                <w:szCs w:val="20"/>
                <w:color w:val="auto"/>
              </w:rPr>
            </w:pPr>
            <w:r>
              <w:rPr>
                <w:rFonts w:ascii="Arial" w:cs="Arial" w:eastAsia="Arial" w:hAnsi="Arial"/>
                <w:sz w:val="17"/>
                <w:szCs w:val="17"/>
                <w:color w:val="auto"/>
              </w:rPr>
              <w:t>B.  Liquidity and capital resources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ind w:left="200"/>
              <w:spacing w:after="0"/>
              <w:rPr>
                <w:sz w:val="20"/>
                <w:szCs w:val="20"/>
                <w:color w:val="auto"/>
              </w:rPr>
            </w:pPr>
            <w:r>
              <w:rPr>
                <w:rFonts w:ascii="Arial" w:cs="Arial" w:eastAsia="Arial" w:hAnsi="Arial"/>
                <w:sz w:val="17"/>
                <w:szCs w:val="17"/>
                <w:color w:val="auto"/>
              </w:rPr>
              <w:t>C.  Research and development, patents and licenses, etc.</w:t>
            </w:r>
          </w:p>
        </w:tc>
        <w:tc>
          <w:tcPr>
            <w:tcW w:w="340" w:type="dxa"/>
            <w:vAlign w:val="bottom"/>
          </w:tcPr>
          <w:p>
            <w:pPr>
              <w:jc w:val="right"/>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D.</w:t>
            </w:r>
          </w:p>
        </w:tc>
        <w:tc>
          <w:tcPr>
            <w:tcW w:w="10640" w:type="dxa"/>
            <w:vAlign w:val="bottom"/>
            <w:gridSpan w:val="3"/>
            <w:shd w:val="clear" w:color="auto" w:fill="D5EAEA"/>
          </w:tcPr>
          <w:p>
            <w:pPr>
              <w:ind w:left="80"/>
              <w:spacing w:after="0"/>
              <w:rPr>
                <w:sz w:val="20"/>
                <w:szCs w:val="20"/>
                <w:color w:val="auto"/>
              </w:rPr>
            </w:pPr>
            <w:r>
              <w:rPr>
                <w:rFonts w:ascii="Arial" w:cs="Arial" w:eastAsia="Arial" w:hAnsi="Arial"/>
                <w:sz w:val="17"/>
                <w:szCs w:val="17"/>
                <w:color w:val="auto"/>
              </w:rPr>
              <w:t>Trend information</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E.</w:t>
            </w:r>
          </w:p>
        </w:tc>
        <w:tc>
          <w:tcPr>
            <w:tcW w:w="10640" w:type="dxa"/>
            <w:vAlign w:val="bottom"/>
            <w:gridSpan w:val="3"/>
          </w:tcPr>
          <w:p>
            <w:pPr>
              <w:ind w:left="60"/>
              <w:spacing w:after="0"/>
              <w:rPr>
                <w:sz w:val="20"/>
                <w:szCs w:val="20"/>
                <w:color w:val="auto"/>
              </w:rPr>
            </w:pPr>
            <w:r>
              <w:rPr>
                <w:rFonts w:ascii="Arial" w:cs="Arial" w:eastAsia="Arial" w:hAnsi="Arial"/>
                <w:sz w:val="17"/>
                <w:szCs w:val="17"/>
                <w:color w:val="auto"/>
              </w:rPr>
              <w:t>Off-balance sheet arrangements</w:t>
            </w:r>
          </w:p>
        </w:tc>
        <w:tc>
          <w:tcPr>
            <w:tcW w:w="340" w:type="dxa"/>
            <w:vAlign w:val="bottom"/>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ind w:left="200"/>
              <w:spacing w:after="0"/>
              <w:rPr>
                <w:sz w:val="20"/>
                <w:szCs w:val="20"/>
                <w:color w:val="auto"/>
              </w:rPr>
            </w:pPr>
            <w:r>
              <w:rPr>
                <w:rFonts w:ascii="Arial" w:cs="Arial" w:eastAsia="Arial" w:hAnsi="Arial"/>
                <w:sz w:val="17"/>
                <w:szCs w:val="17"/>
                <w:color w:val="auto"/>
              </w:rPr>
              <w:t>F.  Tabular disclosure of contractual obligations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G.</w:t>
            </w:r>
          </w:p>
        </w:tc>
        <w:tc>
          <w:tcPr>
            <w:tcW w:w="10640" w:type="dxa"/>
            <w:vAlign w:val="bottom"/>
            <w:gridSpan w:val="3"/>
          </w:tcPr>
          <w:p>
            <w:pPr>
              <w:ind w:left="80"/>
              <w:spacing w:after="0"/>
              <w:rPr>
                <w:sz w:val="20"/>
                <w:szCs w:val="20"/>
                <w:color w:val="auto"/>
              </w:rPr>
            </w:pPr>
            <w:r>
              <w:rPr>
                <w:rFonts w:ascii="Arial" w:cs="Arial" w:eastAsia="Arial" w:hAnsi="Arial"/>
                <w:sz w:val="17"/>
                <w:szCs w:val="17"/>
                <w:color w:val="auto"/>
              </w:rPr>
              <w:t>Safe harbor</w:t>
            </w:r>
          </w:p>
        </w:tc>
        <w:tc>
          <w:tcPr>
            <w:tcW w:w="340" w:type="dxa"/>
            <w:vAlign w:val="bottom"/>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spacing w:after="0"/>
              <w:rPr>
                <w:sz w:val="20"/>
                <w:szCs w:val="20"/>
                <w:color w:val="auto"/>
              </w:rPr>
            </w:pPr>
            <w:r>
              <w:rPr>
                <w:rFonts w:ascii="Arial" w:cs="Arial" w:eastAsia="Arial" w:hAnsi="Arial"/>
                <w:sz w:val="17"/>
                <w:szCs w:val="17"/>
                <w:color w:val="auto"/>
              </w:rPr>
              <w:t>ITEM 6. DIRECTORS, SENIOR MANAGEMENT AND EMPLOYEES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ind w:left="200"/>
              <w:spacing w:after="0"/>
              <w:rPr>
                <w:sz w:val="20"/>
                <w:szCs w:val="20"/>
                <w:color w:val="auto"/>
              </w:rPr>
            </w:pPr>
            <w:r>
              <w:rPr>
                <w:rFonts w:ascii="Arial" w:cs="Arial" w:eastAsia="Arial" w:hAnsi="Arial"/>
                <w:sz w:val="17"/>
                <w:szCs w:val="17"/>
                <w:color w:val="auto"/>
              </w:rPr>
              <w:t>A.  Directors and senior management</w:t>
            </w:r>
          </w:p>
        </w:tc>
        <w:tc>
          <w:tcPr>
            <w:tcW w:w="340" w:type="dxa"/>
            <w:vAlign w:val="bottom"/>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B.</w:t>
            </w:r>
          </w:p>
        </w:tc>
        <w:tc>
          <w:tcPr>
            <w:tcW w:w="10640" w:type="dxa"/>
            <w:vAlign w:val="bottom"/>
            <w:gridSpan w:val="3"/>
            <w:shd w:val="clear" w:color="auto" w:fill="D5EAEA"/>
          </w:tcPr>
          <w:p>
            <w:pPr>
              <w:ind w:left="60"/>
              <w:spacing w:after="0"/>
              <w:rPr>
                <w:sz w:val="20"/>
                <w:szCs w:val="20"/>
                <w:color w:val="auto"/>
              </w:rPr>
            </w:pPr>
            <w:r>
              <w:rPr>
                <w:rFonts w:ascii="Arial" w:cs="Arial" w:eastAsia="Arial" w:hAnsi="Arial"/>
                <w:sz w:val="17"/>
                <w:szCs w:val="17"/>
                <w:color w:val="auto"/>
              </w:rPr>
              <w:t>Compensation</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C.</w:t>
            </w:r>
          </w:p>
        </w:tc>
        <w:tc>
          <w:tcPr>
            <w:tcW w:w="10640" w:type="dxa"/>
            <w:vAlign w:val="bottom"/>
            <w:gridSpan w:val="3"/>
          </w:tcPr>
          <w:p>
            <w:pPr>
              <w:ind w:left="60"/>
              <w:spacing w:after="0"/>
              <w:rPr>
                <w:sz w:val="20"/>
                <w:szCs w:val="20"/>
                <w:color w:val="auto"/>
              </w:rPr>
            </w:pPr>
            <w:r>
              <w:rPr>
                <w:rFonts w:ascii="Arial" w:cs="Arial" w:eastAsia="Arial" w:hAnsi="Arial"/>
                <w:sz w:val="17"/>
                <w:szCs w:val="17"/>
                <w:color w:val="auto"/>
              </w:rPr>
              <w:t>Board practices</w:t>
            </w:r>
          </w:p>
        </w:tc>
        <w:tc>
          <w:tcPr>
            <w:tcW w:w="340" w:type="dxa"/>
            <w:vAlign w:val="bottom"/>
          </w:tcPr>
          <w:p>
            <w:pPr>
              <w:jc w:val="right"/>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D.</w:t>
            </w:r>
          </w:p>
        </w:tc>
        <w:tc>
          <w:tcPr>
            <w:tcW w:w="10640" w:type="dxa"/>
            <w:vAlign w:val="bottom"/>
            <w:gridSpan w:val="3"/>
            <w:shd w:val="clear" w:color="auto" w:fill="D5EAEA"/>
          </w:tcPr>
          <w:p>
            <w:pPr>
              <w:ind w:left="80"/>
              <w:spacing w:after="0"/>
              <w:rPr>
                <w:sz w:val="20"/>
                <w:szCs w:val="20"/>
                <w:color w:val="auto"/>
              </w:rPr>
            </w:pPr>
            <w:r>
              <w:rPr>
                <w:rFonts w:ascii="Arial" w:cs="Arial" w:eastAsia="Arial" w:hAnsi="Arial"/>
                <w:sz w:val="17"/>
                <w:szCs w:val="17"/>
                <w:color w:val="auto"/>
              </w:rPr>
              <w:t>Employees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E.</w:t>
            </w:r>
          </w:p>
        </w:tc>
        <w:tc>
          <w:tcPr>
            <w:tcW w:w="10640" w:type="dxa"/>
            <w:vAlign w:val="bottom"/>
            <w:gridSpan w:val="3"/>
          </w:tcPr>
          <w:p>
            <w:pPr>
              <w:ind w:left="60"/>
              <w:spacing w:after="0"/>
              <w:rPr>
                <w:sz w:val="20"/>
                <w:szCs w:val="20"/>
                <w:color w:val="auto"/>
              </w:rPr>
            </w:pPr>
            <w:r>
              <w:rPr>
                <w:rFonts w:ascii="Arial" w:cs="Arial" w:eastAsia="Arial" w:hAnsi="Arial"/>
                <w:sz w:val="17"/>
                <w:szCs w:val="17"/>
                <w:color w:val="auto"/>
              </w:rPr>
              <w:t>Share ownership</w:t>
            </w:r>
          </w:p>
        </w:tc>
        <w:tc>
          <w:tcPr>
            <w:tcW w:w="340" w:type="dxa"/>
            <w:vAlign w:val="bottom"/>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spacing w:after="0"/>
              <w:rPr>
                <w:sz w:val="20"/>
                <w:szCs w:val="20"/>
                <w:color w:val="auto"/>
              </w:rPr>
            </w:pPr>
            <w:r>
              <w:rPr>
                <w:rFonts w:ascii="Arial" w:cs="Arial" w:eastAsia="Arial" w:hAnsi="Arial"/>
                <w:sz w:val="17"/>
                <w:szCs w:val="17"/>
                <w:color w:val="auto"/>
              </w:rPr>
              <w:t>ITEM 7. MAJOR SHAREHOLDERS AND RELATED PARTY TRANSACTIONS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A.</w:t>
            </w:r>
          </w:p>
        </w:tc>
        <w:tc>
          <w:tcPr>
            <w:tcW w:w="10640" w:type="dxa"/>
            <w:vAlign w:val="bottom"/>
            <w:gridSpan w:val="3"/>
          </w:tcPr>
          <w:p>
            <w:pPr>
              <w:ind w:left="80"/>
              <w:spacing w:after="0"/>
              <w:rPr>
                <w:sz w:val="20"/>
                <w:szCs w:val="20"/>
                <w:color w:val="auto"/>
              </w:rPr>
            </w:pPr>
            <w:r>
              <w:rPr>
                <w:rFonts w:ascii="Arial" w:cs="Arial" w:eastAsia="Arial" w:hAnsi="Arial"/>
                <w:sz w:val="17"/>
                <w:szCs w:val="17"/>
                <w:color w:val="auto"/>
              </w:rPr>
              <w:t>Major shareholders</w:t>
            </w:r>
          </w:p>
        </w:tc>
        <w:tc>
          <w:tcPr>
            <w:tcW w:w="340" w:type="dxa"/>
            <w:vAlign w:val="bottom"/>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B.</w:t>
            </w:r>
          </w:p>
        </w:tc>
        <w:tc>
          <w:tcPr>
            <w:tcW w:w="10640" w:type="dxa"/>
            <w:vAlign w:val="bottom"/>
            <w:gridSpan w:val="3"/>
            <w:shd w:val="clear" w:color="auto" w:fill="D5EAEA"/>
          </w:tcPr>
          <w:p>
            <w:pPr>
              <w:ind w:left="60"/>
              <w:spacing w:after="0"/>
              <w:rPr>
                <w:sz w:val="20"/>
                <w:szCs w:val="20"/>
                <w:color w:val="auto"/>
              </w:rPr>
            </w:pPr>
            <w:r>
              <w:rPr>
                <w:rFonts w:ascii="Arial" w:cs="Arial" w:eastAsia="Arial" w:hAnsi="Arial"/>
                <w:sz w:val="17"/>
                <w:szCs w:val="17"/>
                <w:color w:val="auto"/>
              </w:rPr>
              <w:t>Related party transactions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ind w:left="200"/>
              <w:spacing w:after="0"/>
              <w:rPr>
                <w:sz w:val="20"/>
                <w:szCs w:val="20"/>
                <w:color w:val="auto"/>
              </w:rPr>
            </w:pPr>
            <w:r>
              <w:rPr>
                <w:rFonts w:ascii="Arial" w:cs="Arial" w:eastAsia="Arial" w:hAnsi="Arial"/>
                <w:sz w:val="17"/>
                <w:szCs w:val="17"/>
                <w:color w:val="auto"/>
              </w:rPr>
              <w:t>C.  Interests of Experts and Counsel</w:t>
            </w:r>
          </w:p>
        </w:tc>
        <w:tc>
          <w:tcPr>
            <w:tcW w:w="340" w:type="dxa"/>
            <w:vAlign w:val="bottom"/>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spacing w:after="0"/>
              <w:rPr>
                <w:sz w:val="20"/>
                <w:szCs w:val="20"/>
                <w:color w:val="auto"/>
              </w:rPr>
            </w:pPr>
            <w:r>
              <w:rPr>
                <w:rFonts w:ascii="Arial" w:cs="Arial" w:eastAsia="Arial" w:hAnsi="Arial"/>
                <w:sz w:val="17"/>
                <w:szCs w:val="17"/>
                <w:color w:val="auto"/>
              </w:rPr>
              <w:t>ITEM 8. FINANCIAL INFORMATION</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ind w:left="200"/>
              <w:spacing w:after="0"/>
              <w:rPr>
                <w:sz w:val="20"/>
                <w:szCs w:val="20"/>
                <w:color w:val="auto"/>
              </w:rPr>
            </w:pPr>
            <w:r>
              <w:rPr>
                <w:rFonts w:ascii="Arial" w:cs="Arial" w:eastAsia="Arial" w:hAnsi="Arial"/>
                <w:sz w:val="17"/>
                <w:szCs w:val="17"/>
                <w:color w:val="auto"/>
              </w:rPr>
              <w:t>A.  Consolidated statements and other financial information</w:t>
            </w:r>
          </w:p>
        </w:tc>
        <w:tc>
          <w:tcPr>
            <w:tcW w:w="340" w:type="dxa"/>
            <w:vAlign w:val="bottom"/>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B.</w:t>
            </w:r>
          </w:p>
        </w:tc>
        <w:tc>
          <w:tcPr>
            <w:tcW w:w="10640" w:type="dxa"/>
            <w:vAlign w:val="bottom"/>
            <w:gridSpan w:val="3"/>
            <w:shd w:val="clear" w:color="auto" w:fill="D5EAEA"/>
          </w:tcPr>
          <w:p>
            <w:pPr>
              <w:ind w:left="60"/>
              <w:spacing w:after="0"/>
              <w:rPr>
                <w:sz w:val="20"/>
                <w:szCs w:val="20"/>
                <w:color w:val="auto"/>
              </w:rPr>
            </w:pPr>
            <w:r>
              <w:rPr>
                <w:rFonts w:ascii="Arial" w:cs="Arial" w:eastAsia="Arial" w:hAnsi="Arial"/>
                <w:sz w:val="17"/>
                <w:szCs w:val="17"/>
                <w:color w:val="auto"/>
              </w:rPr>
              <w:t>Significant changes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spacing w:after="0"/>
              <w:rPr>
                <w:sz w:val="20"/>
                <w:szCs w:val="20"/>
                <w:color w:val="auto"/>
              </w:rPr>
            </w:pPr>
            <w:r>
              <w:rPr>
                <w:rFonts w:ascii="Arial" w:cs="Arial" w:eastAsia="Arial" w:hAnsi="Arial"/>
                <w:sz w:val="17"/>
                <w:szCs w:val="17"/>
                <w:color w:val="auto"/>
              </w:rPr>
              <w:t>ITEM 9. THE OFFER AND LISTING</w:t>
            </w:r>
          </w:p>
        </w:tc>
        <w:tc>
          <w:tcPr>
            <w:tcW w:w="340" w:type="dxa"/>
            <w:vAlign w:val="bottom"/>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ind w:left="200"/>
              <w:spacing w:after="0"/>
              <w:rPr>
                <w:sz w:val="20"/>
                <w:szCs w:val="20"/>
                <w:color w:val="auto"/>
              </w:rPr>
            </w:pPr>
            <w:r>
              <w:rPr>
                <w:rFonts w:ascii="Arial" w:cs="Arial" w:eastAsia="Arial" w:hAnsi="Arial"/>
                <w:sz w:val="17"/>
                <w:szCs w:val="17"/>
                <w:color w:val="auto"/>
              </w:rPr>
              <w:t>A.  Offering and listing details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B.</w:t>
            </w:r>
          </w:p>
        </w:tc>
        <w:tc>
          <w:tcPr>
            <w:tcW w:w="10640" w:type="dxa"/>
            <w:vAlign w:val="bottom"/>
            <w:gridSpan w:val="3"/>
          </w:tcPr>
          <w:p>
            <w:pPr>
              <w:ind w:left="60"/>
              <w:spacing w:after="0"/>
              <w:rPr>
                <w:sz w:val="20"/>
                <w:szCs w:val="20"/>
                <w:color w:val="auto"/>
              </w:rPr>
            </w:pPr>
            <w:r>
              <w:rPr>
                <w:rFonts w:ascii="Arial" w:cs="Arial" w:eastAsia="Arial" w:hAnsi="Arial"/>
                <w:sz w:val="17"/>
                <w:szCs w:val="17"/>
                <w:color w:val="auto"/>
              </w:rPr>
              <w:t>Plan of distribution</w:t>
            </w:r>
          </w:p>
        </w:tc>
        <w:tc>
          <w:tcPr>
            <w:tcW w:w="340" w:type="dxa"/>
            <w:vAlign w:val="bottom"/>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C.</w:t>
            </w:r>
          </w:p>
        </w:tc>
        <w:tc>
          <w:tcPr>
            <w:tcW w:w="10640" w:type="dxa"/>
            <w:vAlign w:val="bottom"/>
            <w:gridSpan w:val="3"/>
            <w:shd w:val="clear" w:color="auto" w:fill="D5EAEA"/>
          </w:tcPr>
          <w:p>
            <w:pPr>
              <w:ind w:left="60"/>
              <w:spacing w:after="0"/>
              <w:rPr>
                <w:sz w:val="20"/>
                <w:szCs w:val="20"/>
                <w:color w:val="auto"/>
              </w:rPr>
            </w:pPr>
            <w:r>
              <w:rPr>
                <w:rFonts w:ascii="Arial" w:cs="Arial" w:eastAsia="Arial" w:hAnsi="Arial"/>
                <w:sz w:val="17"/>
                <w:szCs w:val="17"/>
                <w:color w:val="auto"/>
              </w:rPr>
              <w:t>Markets</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D.</w:t>
            </w:r>
          </w:p>
        </w:tc>
        <w:tc>
          <w:tcPr>
            <w:tcW w:w="10640" w:type="dxa"/>
            <w:vAlign w:val="bottom"/>
            <w:gridSpan w:val="3"/>
          </w:tcPr>
          <w:p>
            <w:pPr>
              <w:ind w:left="80"/>
              <w:spacing w:after="0"/>
              <w:rPr>
                <w:sz w:val="20"/>
                <w:szCs w:val="20"/>
                <w:color w:val="auto"/>
              </w:rPr>
            </w:pPr>
            <w:r>
              <w:rPr>
                <w:rFonts w:ascii="Arial" w:cs="Arial" w:eastAsia="Arial" w:hAnsi="Arial"/>
                <w:sz w:val="17"/>
                <w:szCs w:val="17"/>
                <w:color w:val="auto"/>
              </w:rPr>
              <w:t>Selling shareholders</w:t>
            </w:r>
          </w:p>
        </w:tc>
        <w:tc>
          <w:tcPr>
            <w:tcW w:w="340" w:type="dxa"/>
            <w:vAlign w:val="bottom"/>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shd w:val="clear" w:color="auto" w:fill="D5EAEA"/>
          </w:tcPr>
          <w:p>
            <w:pPr>
              <w:ind w:left="200"/>
              <w:spacing w:after="0"/>
              <w:rPr>
                <w:sz w:val="20"/>
                <w:szCs w:val="20"/>
                <w:color w:val="auto"/>
              </w:rPr>
            </w:pPr>
            <w:r>
              <w:rPr>
                <w:rFonts w:ascii="Arial" w:cs="Arial" w:eastAsia="Arial" w:hAnsi="Arial"/>
                <w:sz w:val="17"/>
                <w:szCs w:val="17"/>
                <w:color w:val="auto"/>
              </w:rPr>
              <w:t>E.</w:t>
            </w:r>
          </w:p>
        </w:tc>
        <w:tc>
          <w:tcPr>
            <w:tcW w:w="10640" w:type="dxa"/>
            <w:vAlign w:val="bottom"/>
            <w:gridSpan w:val="3"/>
            <w:shd w:val="clear" w:color="auto" w:fill="D5EAEA"/>
          </w:tcPr>
          <w:p>
            <w:pPr>
              <w:ind w:left="60"/>
              <w:spacing w:after="0"/>
              <w:rPr>
                <w:sz w:val="20"/>
                <w:szCs w:val="20"/>
                <w:color w:val="auto"/>
              </w:rPr>
            </w:pPr>
            <w:r>
              <w:rPr>
                <w:rFonts w:ascii="Arial" w:cs="Arial" w:eastAsia="Arial" w:hAnsi="Arial"/>
                <w:sz w:val="17"/>
                <w:szCs w:val="17"/>
                <w:color w:val="auto"/>
              </w:rPr>
              <w:t>Dilution</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tcPr>
          <w:p>
            <w:pPr>
              <w:ind w:left="200"/>
              <w:spacing w:after="0"/>
              <w:rPr>
                <w:sz w:val="20"/>
                <w:szCs w:val="20"/>
                <w:color w:val="auto"/>
              </w:rPr>
            </w:pPr>
            <w:r>
              <w:rPr>
                <w:rFonts w:ascii="Arial" w:cs="Arial" w:eastAsia="Arial" w:hAnsi="Arial"/>
                <w:sz w:val="17"/>
                <w:szCs w:val="17"/>
                <w:color w:val="auto"/>
              </w:rPr>
              <w:t>F.  Expenses of the issue</w:t>
            </w:r>
          </w:p>
        </w:tc>
        <w:tc>
          <w:tcPr>
            <w:tcW w:w="340" w:type="dxa"/>
            <w:vAlign w:val="bottom"/>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spacing w:after="0"/>
              <w:rPr>
                <w:sz w:val="20"/>
                <w:szCs w:val="20"/>
                <w:color w:val="auto"/>
              </w:rPr>
            </w:pPr>
            <w:r>
              <w:rPr>
                <w:rFonts w:ascii="Arial" w:cs="Arial" w:eastAsia="Arial" w:hAnsi="Arial"/>
                <w:sz w:val="17"/>
                <w:szCs w:val="17"/>
                <w:color w:val="auto"/>
              </w:rPr>
              <w:t>ITEM 10. ADDITIONAL INFORMATION</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A.</w:t>
            </w:r>
          </w:p>
        </w:tc>
        <w:tc>
          <w:tcPr>
            <w:tcW w:w="10640" w:type="dxa"/>
            <w:vAlign w:val="bottom"/>
            <w:gridSpan w:val="3"/>
          </w:tcPr>
          <w:p>
            <w:pPr>
              <w:ind w:left="80"/>
              <w:spacing w:after="0"/>
              <w:rPr>
                <w:sz w:val="20"/>
                <w:szCs w:val="20"/>
                <w:color w:val="auto"/>
              </w:rPr>
            </w:pPr>
            <w:r>
              <w:rPr>
                <w:rFonts w:ascii="Arial" w:cs="Arial" w:eastAsia="Arial" w:hAnsi="Arial"/>
                <w:sz w:val="17"/>
                <w:szCs w:val="17"/>
                <w:color w:val="auto"/>
              </w:rPr>
              <w:t>Share capital</w:t>
            </w:r>
          </w:p>
        </w:tc>
        <w:tc>
          <w:tcPr>
            <w:tcW w:w="340" w:type="dxa"/>
            <w:vAlign w:val="bottom"/>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60" w:type="dxa"/>
            <w:vAlign w:val="bottom"/>
            <w:gridSpan w:val="4"/>
            <w:shd w:val="clear" w:color="auto" w:fill="D5EAEA"/>
          </w:tcPr>
          <w:p>
            <w:pPr>
              <w:ind w:left="200"/>
              <w:spacing w:after="0"/>
              <w:rPr>
                <w:sz w:val="20"/>
                <w:szCs w:val="20"/>
                <w:color w:val="auto"/>
              </w:rPr>
            </w:pPr>
            <w:r>
              <w:rPr>
                <w:rFonts w:ascii="Arial" w:cs="Arial" w:eastAsia="Arial" w:hAnsi="Arial"/>
                <w:sz w:val="17"/>
                <w:szCs w:val="17"/>
                <w:color w:val="auto"/>
              </w:rPr>
              <w:t>B.  Memorandum and articles of association</w:t>
            </w:r>
          </w:p>
        </w:tc>
        <w:tc>
          <w:tcPr>
            <w:tcW w:w="3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 w:type="dxa"/>
            <w:vAlign w:val="bottom"/>
          </w:tcPr>
          <w:p>
            <w:pPr>
              <w:ind w:left="200"/>
              <w:spacing w:after="0"/>
              <w:rPr>
                <w:sz w:val="20"/>
                <w:szCs w:val="20"/>
                <w:color w:val="auto"/>
              </w:rPr>
            </w:pPr>
            <w:r>
              <w:rPr>
                <w:rFonts w:ascii="Arial" w:cs="Arial" w:eastAsia="Arial" w:hAnsi="Arial"/>
                <w:sz w:val="17"/>
                <w:szCs w:val="17"/>
                <w:color w:val="auto"/>
              </w:rPr>
              <w:t>C.</w:t>
            </w:r>
          </w:p>
        </w:tc>
        <w:tc>
          <w:tcPr>
            <w:tcW w:w="10640" w:type="dxa"/>
            <w:vAlign w:val="bottom"/>
            <w:gridSpan w:val="3"/>
          </w:tcPr>
          <w:p>
            <w:pPr>
              <w:ind w:left="60"/>
              <w:spacing w:after="0"/>
              <w:rPr>
                <w:sz w:val="20"/>
                <w:szCs w:val="20"/>
                <w:color w:val="auto"/>
              </w:rPr>
            </w:pPr>
            <w:r>
              <w:rPr>
                <w:rFonts w:ascii="Arial" w:cs="Arial" w:eastAsia="Arial" w:hAnsi="Arial"/>
                <w:sz w:val="17"/>
                <w:szCs w:val="17"/>
                <w:color w:val="auto"/>
              </w:rPr>
              <w:t>Material contracts</w:t>
            </w:r>
          </w:p>
        </w:tc>
        <w:tc>
          <w:tcPr>
            <w:tcW w:w="340" w:type="dxa"/>
            <w:vAlign w:val="bottom"/>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7"/>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0" w:type="dxa"/>
            <w:vAlign w:val="bottom"/>
            <w:shd w:val="clear" w:color="auto" w:fill="D5EAEA"/>
          </w:tcPr>
          <w:p>
            <w:pPr>
              <w:ind w:left="220"/>
              <w:spacing w:after="0"/>
              <w:rPr>
                <w:sz w:val="20"/>
                <w:szCs w:val="20"/>
                <w:color w:val="auto"/>
              </w:rPr>
            </w:pPr>
            <w:r>
              <w:rPr>
                <w:rFonts w:ascii="Arial" w:cs="Arial" w:eastAsia="Arial" w:hAnsi="Arial"/>
                <w:sz w:val="17"/>
                <w:szCs w:val="17"/>
                <w:color w:val="auto"/>
              </w:rPr>
              <w:t>D.</w:t>
            </w:r>
          </w:p>
        </w:tc>
        <w:tc>
          <w:tcPr>
            <w:tcW w:w="9320" w:type="dxa"/>
            <w:vAlign w:val="bottom"/>
            <w:shd w:val="clear" w:color="auto" w:fill="D5EAEA"/>
          </w:tcPr>
          <w:p>
            <w:pPr>
              <w:ind w:left="100"/>
              <w:spacing w:after="0"/>
              <w:rPr>
                <w:sz w:val="20"/>
                <w:szCs w:val="20"/>
                <w:color w:val="auto"/>
              </w:rPr>
            </w:pPr>
            <w:r>
              <w:rPr>
                <w:rFonts w:ascii="Arial" w:cs="Arial" w:eastAsia="Arial" w:hAnsi="Arial"/>
                <w:sz w:val="17"/>
                <w:szCs w:val="17"/>
                <w:color w:val="auto"/>
              </w:rPr>
              <w:t>Exchange controls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124</w:t>
            </w:r>
          </w:p>
        </w:tc>
      </w:tr>
      <w:tr>
        <w:trPr>
          <w:trHeight w:val="208"/>
        </w:trPr>
        <w:tc>
          <w:tcPr>
            <w:tcW w:w="420" w:type="dxa"/>
            <w:vAlign w:val="bottom"/>
          </w:tcPr>
          <w:p>
            <w:pPr>
              <w:ind w:left="220"/>
              <w:spacing w:after="0"/>
              <w:rPr>
                <w:sz w:val="20"/>
                <w:szCs w:val="20"/>
                <w:color w:val="auto"/>
              </w:rPr>
            </w:pPr>
            <w:r>
              <w:rPr>
                <w:rFonts w:ascii="Arial" w:cs="Arial" w:eastAsia="Arial" w:hAnsi="Arial"/>
                <w:sz w:val="17"/>
                <w:szCs w:val="17"/>
                <w:color w:val="auto"/>
              </w:rPr>
              <w:t>E.</w:t>
            </w:r>
          </w:p>
        </w:tc>
        <w:tc>
          <w:tcPr>
            <w:tcW w:w="9320" w:type="dxa"/>
            <w:vAlign w:val="bottom"/>
          </w:tcPr>
          <w:p>
            <w:pPr>
              <w:ind w:left="80"/>
              <w:spacing w:after="0"/>
              <w:rPr>
                <w:sz w:val="20"/>
                <w:szCs w:val="20"/>
                <w:color w:val="auto"/>
              </w:rPr>
            </w:pPr>
            <w:r>
              <w:rPr>
                <w:rFonts w:ascii="Arial" w:cs="Arial" w:eastAsia="Arial" w:hAnsi="Arial"/>
                <w:sz w:val="17"/>
                <w:szCs w:val="17"/>
                <w:color w:val="auto"/>
              </w:rPr>
              <w:t>Taxation</w:t>
            </w:r>
          </w:p>
        </w:tc>
        <w:tc>
          <w:tcPr>
            <w:tcW w:w="168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8"/>
        </w:trPr>
        <w:tc>
          <w:tcPr>
            <w:tcW w:w="9740" w:type="dxa"/>
            <w:vAlign w:val="bottom"/>
            <w:gridSpan w:val="2"/>
            <w:shd w:val="clear" w:color="auto" w:fill="D5EAEA"/>
          </w:tcPr>
          <w:p>
            <w:pPr>
              <w:ind w:left="220"/>
              <w:spacing w:after="0"/>
              <w:rPr>
                <w:sz w:val="20"/>
                <w:szCs w:val="20"/>
                <w:color w:val="auto"/>
              </w:rPr>
            </w:pPr>
            <w:r>
              <w:rPr>
                <w:rFonts w:ascii="Arial" w:cs="Arial" w:eastAsia="Arial" w:hAnsi="Arial"/>
                <w:sz w:val="17"/>
                <w:szCs w:val="17"/>
                <w:color w:val="auto"/>
              </w:rPr>
              <w:t>F.  Dividends and paying agents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129</w:t>
            </w:r>
          </w:p>
        </w:tc>
      </w:tr>
      <w:tr>
        <w:trPr>
          <w:trHeight w:val="208"/>
        </w:trPr>
        <w:tc>
          <w:tcPr>
            <w:tcW w:w="420" w:type="dxa"/>
            <w:vAlign w:val="bottom"/>
          </w:tcPr>
          <w:p>
            <w:pPr>
              <w:ind w:left="220"/>
              <w:spacing w:after="0"/>
              <w:rPr>
                <w:sz w:val="20"/>
                <w:szCs w:val="20"/>
                <w:color w:val="auto"/>
              </w:rPr>
            </w:pPr>
            <w:r>
              <w:rPr>
                <w:rFonts w:ascii="Arial" w:cs="Arial" w:eastAsia="Arial" w:hAnsi="Arial"/>
                <w:sz w:val="17"/>
                <w:szCs w:val="17"/>
                <w:color w:val="auto"/>
                <w:w w:val="99"/>
              </w:rPr>
              <w:t>G.</w:t>
            </w:r>
          </w:p>
        </w:tc>
        <w:tc>
          <w:tcPr>
            <w:tcW w:w="9320" w:type="dxa"/>
            <w:vAlign w:val="bottom"/>
          </w:tcPr>
          <w:p>
            <w:pPr>
              <w:ind w:left="100"/>
              <w:spacing w:after="0"/>
              <w:rPr>
                <w:sz w:val="20"/>
                <w:szCs w:val="20"/>
                <w:color w:val="auto"/>
              </w:rPr>
            </w:pPr>
            <w:r>
              <w:rPr>
                <w:rFonts w:ascii="Arial" w:cs="Arial" w:eastAsia="Arial" w:hAnsi="Arial"/>
                <w:sz w:val="17"/>
                <w:szCs w:val="17"/>
                <w:color w:val="auto"/>
              </w:rPr>
              <w:t>Statement by experts</w:t>
            </w:r>
          </w:p>
        </w:tc>
        <w:tc>
          <w:tcPr>
            <w:tcW w:w="168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08"/>
        </w:trPr>
        <w:tc>
          <w:tcPr>
            <w:tcW w:w="420" w:type="dxa"/>
            <w:vAlign w:val="bottom"/>
            <w:shd w:val="clear" w:color="auto" w:fill="D5EAEA"/>
          </w:tcPr>
          <w:p>
            <w:pPr>
              <w:ind w:left="220"/>
              <w:spacing w:after="0"/>
              <w:rPr>
                <w:sz w:val="20"/>
                <w:szCs w:val="20"/>
                <w:color w:val="auto"/>
              </w:rPr>
            </w:pPr>
            <w:r>
              <w:rPr>
                <w:rFonts w:ascii="Arial" w:cs="Arial" w:eastAsia="Arial" w:hAnsi="Arial"/>
                <w:sz w:val="17"/>
                <w:szCs w:val="17"/>
                <w:color w:val="auto"/>
              </w:rPr>
              <w:t>H.</w:t>
            </w:r>
          </w:p>
        </w:tc>
        <w:tc>
          <w:tcPr>
            <w:tcW w:w="9320" w:type="dxa"/>
            <w:vAlign w:val="bottom"/>
            <w:shd w:val="clear" w:color="auto" w:fill="D5EAEA"/>
          </w:tcPr>
          <w:p>
            <w:pPr>
              <w:ind w:left="100"/>
              <w:spacing w:after="0"/>
              <w:rPr>
                <w:sz w:val="20"/>
                <w:szCs w:val="20"/>
                <w:color w:val="auto"/>
              </w:rPr>
            </w:pPr>
            <w:r>
              <w:rPr>
                <w:rFonts w:ascii="Arial" w:cs="Arial" w:eastAsia="Arial" w:hAnsi="Arial"/>
                <w:sz w:val="17"/>
                <w:szCs w:val="17"/>
                <w:color w:val="auto"/>
              </w:rPr>
              <w:t>Documents on display</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130</w:t>
            </w:r>
          </w:p>
        </w:tc>
      </w:tr>
      <w:tr>
        <w:trPr>
          <w:trHeight w:val="208"/>
        </w:trPr>
        <w:tc>
          <w:tcPr>
            <w:tcW w:w="420" w:type="dxa"/>
            <w:vAlign w:val="bottom"/>
          </w:tcPr>
          <w:p>
            <w:pPr>
              <w:ind w:left="220"/>
              <w:spacing w:after="0"/>
              <w:rPr>
                <w:sz w:val="20"/>
                <w:szCs w:val="20"/>
                <w:color w:val="auto"/>
              </w:rPr>
            </w:pPr>
            <w:r>
              <w:rPr>
                <w:rFonts w:ascii="Arial" w:cs="Arial" w:eastAsia="Arial" w:hAnsi="Arial"/>
                <w:sz w:val="17"/>
                <w:szCs w:val="17"/>
                <w:color w:val="auto"/>
              </w:rPr>
              <w:t>I.</w:t>
            </w:r>
          </w:p>
        </w:tc>
        <w:tc>
          <w:tcPr>
            <w:tcW w:w="9320" w:type="dxa"/>
            <w:vAlign w:val="bottom"/>
          </w:tcPr>
          <w:p>
            <w:pPr>
              <w:ind w:left="20"/>
              <w:spacing w:after="0"/>
              <w:rPr>
                <w:sz w:val="20"/>
                <w:szCs w:val="20"/>
                <w:color w:val="auto"/>
              </w:rPr>
            </w:pPr>
            <w:r>
              <w:rPr>
                <w:rFonts w:ascii="Arial" w:cs="Arial" w:eastAsia="Arial" w:hAnsi="Arial"/>
                <w:sz w:val="17"/>
                <w:szCs w:val="17"/>
                <w:color w:val="auto"/>
              </w:rPr>
              <w:t>Subsidiary information</w:t>
            </w:r>
          </w:p>
        </w:tc>
        <w:tc>
          <w:tcPr>
            <w:tcW w:w="168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ITEM 11. QUANTITATIVE AND QUALITATIVE DISCLOSURES ABOUT MARKET RISK</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130</w:t>
            </w:r>
          </w:p>
        </w:tc>
      </w:tr>
      <w:tr>
        <w:trPr>
          <w:trHeight w:val="208"/>
        </w:trPr>
        <w:tc>
          <w:tcPr>
            <w:tcW w:w="9740" w:type="dxa"/>
            <w:vAlign w:val="bottom"/>
            <w:gridSpan w:val="2"/>
          </w:tcPr>
          <w:p>
            <w:pPr>
              <w:spacing w:after="0"/>
              <w:rPr>
                <w:sz w:val="20"/>
                <w:szCs w:val="20"/>
                <w:color w:val="auto"/>
              </w:rPr>
            </w:pPr>
            <w:r>
              <w:rPr>
                <w:rFonts w:ascii="Arial" w:cs="Arial" w:eastAsia="Arial" w:hAnsi="Arial"/>
                <w:sz w:val="17"/>
                <w:szCs w:val="17"/>
                <w:color w:val="auto"/>
              </w:rPr>
              <w:t>ITEM 12. DESCRIPTION OF SECURITIES OTHER THAN EQUITY SECURITIES</w:t>
            </w:r>
          </w:p>
        </w:tc>
        <w:tc>
          <w:tcPr>
            <w:tcW w:w="168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420" w:type="dxa"/>
            <w:vAlign w:val="bottom"/>
            <w:shd w:val="clear" w:color="auto" w:fill="D5EAEA"/>
          </w:tcPr>
          <w:p>
            <w:pPr>
              <w:ind w:left="220"/>
              <w:spacing w:after="0"/>
              <w:rPr>
                <w:sz w:val="20"/>
                <w:szCs w:val="20"/>
                <w:color w:val="auto"/>
              </w:rPr>
            </w:pPr>
            <w:r>
              <w:rPr>
                <w:rFonts w:ascii="Arial" w:cs="Arial" w:eastAsia="Arial" w:hAnsi="Arial"/>
                <w:sz w:val="17"/>
                <w:szCs w:val="17"/>
                <w:color w:val="auto"/>
              </w:rPr>
              <w:t>A.</w:t>
            </w:r>
          </w:p>
        </w:tc>
        <w:tc>
          <w:tcPr>
            <w:tcW w:w="9320" w:type="dxa"/>
            <w:vAlign w:val="bottom"/>
            <w:shd w:val="clear" w:color="auto" w:fill="D5EAEA"/>
          </w:tcPr>
          <w:p>
            <w:pPr>
              <w:ind w:left="100"/>
              <w:spacing w:after="0"/>
              <w:rPr>
                <w:sz w:val="20"/>
                <w:szCs w:val="20"/>
                <w:color w:val="auto"/>
              </w:rPr>
            </w:pPr>
            <w:r>
              <w:rPr>
                <w:rFonts w:ascii="Arial" w:cs="Arial" w:eastAsia="Arial" w:hAnsi="Arial"/>
                <w:sz w:val="17"/>
                <w:szCs w:val="17"/>
                <w:color w:val="auto"/>
              </w:rPr>
              <w:t>Debt securities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420" w:type="dxa"/>
            <w:vAlign w:val="bottom"/>
          </w:tcPr>
          <w:p>
            <w:pPr>
              <w:ind w:left="220"/>
              <w:spacing w:after="0"/>
              <w:rPr>
                <w:sz w:val="20"/>
                <w:szCs w:val="20"/>
                <w:color w:val="auto"/>
              </w:rPr>
            </w:pPr>
            <w:r>
              <w:rPr>
                <w:rFonts w:ascii="Arial" w:cs="Arial" w:eastAsia="Arial" w:hAnsi="Arial"/>
                <w:sz w:val="17"/>
                <w:szCs w:val="17"/>
                <w:color w:val="auto"/>
              </w:rPr>
              <w:t>B.</w:t>
            </w:r>
          </w:p>
        </w:tc>
        <w:tc>
          <w:tcPr>
            <w:tcW w:w="9320" w:type="dxa"/>
            <w:vAlign w:val="bottom"/>
          </w:tcPr>
          <w:p>
            <w:pPr>
              <w:ind w:left="80"/>
              <w:spacing w:after="0"/>
              <w:rPr>
                <w:sz w:val="20"/>
                <w:szCs w:val="20"/>
                <w:color w:val="auto"/>
              </w:rPr>
            </w:pPr>
            <w:r>
              <w:rPr>
                <w:rFonts w:ascii="Arial" w:cs="Arial" w:eastAsia="Arial" w:hAnsi="Arial"/>
                <w:sz w:val="17"/>
                <w:szCs w:val="17"/>
                <w:color w:val="auto"/>
              </w:rPr>
              <w:t>Warrants and rights</w:t>
            </w:r>
          </w:p>
        </w:tc>
        <w:tc>
          <w:tcPr>
            <w:tcW w:w="168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420" w:type="dxa"/>
            <w:vAlign w:val="bottom"/>
            <w:shd w:val="clear" w:color="auto" w:fill="D5EAEA"/>
          </w:tcPr>
          <w:p>
            <w:pPr>
              <w:ind w:left="220"/>
              <w:spacing w:after="0"/>
              <w:rPr>
                <w:sz w:val="20"/>
                <w:szCs w:val="20"/>
                <w:color w:val="auto"/>
              </w:rPr>
            </w:pPr>
            <w:r>
              <w:rPr>
                <w:rFonts w:ascii="Arial" w:cs="Arial" w:eastAsia="Arial" w:hAnsi="Arial"/>
                <w:sz w:val="17"/>
                <w:szCs w:val="17"/>
                <w:color w:val="auto"/>
              </w:rPr>
              <w:t>C.</w:t>
            </w:r>
          </w:p>
        </w:tc>
        <w:tc>
          <w:tcPr>
            <w:tcW w:w="9320" w:type="dxa"/>
            <w:vAlign w:val="bottom"/>
            <w:shd w:val="clear" w:color="auto" w:fill="D5EAEA"/>
          </w:tcPr>
          <w:p>
            <w:pPr>
              <w:ind w:left="80"/>
              <w:spacing w:after="0"/>
              <w:rPr>
                <w:sz w:val="20"/>
                <w:szCs w:val="20"/>
                <w:color w:val="auto"/>
              </w:rPr>
            </w:pPr>
            <w:r>
              <w:rPr>
                <w:rFonts w:ascii="Arial" w:cs="Arial" w:eastAsia="Arial" w:hAnsi="Arial"/>
                <w:sz w:val="17"/>
                <w:szCs w:val="17"/>
                <w:color w:val="auto"/>
              </w:rPr>
              <w:t>Other securities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9740" w:type="dxa"/>
            <w:vAlign w:val="bottom"/>
            <w:gridSpan w:val="2"/>
          </w:tcPr>
          <w:p>
            <w:pPr>
              <w:ind w:left="220"/>
              <w:spacing w:after="0"/>
              <w:rPr>
                <w:sz w:val="20"/>
                <w:szCs w:val="20"/>
                <w:color w:val="auto"/>
              </w:rPr>
            </w:pPr>
            <w:r>
              <w:rPr>
                <w:rFonts w:ascii="Arial" w:cs="Arial" w:eastAsia="Arial" w:hAnsi="Arial"/>
                <w:sz w:val="17"/>
                <w:szCs w:val="17"/>
                <w:color w:val="auto"/>
              </w:rPr>
              <w:t>D.  American Depositary Shares</w:t>
            </w:r>
          </w:p>
        </w:tc>
        <w:tc>
          <w:tcPr>
            <w:tcW w:w="168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PART II</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9740" w:type="dxa"/>
            <w:vAlign w:val="bottom"/>
            <w:gridSpan w:val="2"/>
          </w:tcPr>
          <w:p>
            <w:pPr>
              <w:spacing w:after="0"/>
              <w:rPr>
                <w:sz w:val="20"/>
                <w:szCs w:val="20"/>
                <w:color w:val="auto"/>
              </w:rPr>
            </w:pPr>
            <w:r>
              <w:rPr>
                <w:rFonts w:ascii="Arial" w:cs="Arial" w:eastAsia="Arial" w:hAnsi="Arial"/>
                <w:sz w:val="17"/>
                <w:szCs w:val="17"/>
                <w:color w:val="auto"/>
              </w:rPr>
              <w:t>ITEM 13. DEFAULTS, DIVIDEND ARREARAGES AND DELINQUENCIES</w:t>
            </w:r>
          </w:p>
        </w:tc>
        <w:tc>
          <w:tcPr>
            <w:tcW w:w="168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420" w:type="dxa"/>
            <w:vAlign w:val="bottom"/>
            <w:shd w:val="clear" w:color="auto" w:fill="D5EAEA"/>
          </w:tcPr>
          <w:p>
            <w:pPr>
              <w:ind w:left="220"/>
              <w:spacing w:after="0"/>
              <w:rPr>
                <w:sz w:val="20"/>
                <w:szCs w:val="20"/>
                <w:color w:val="auto"/>
              </w:rPr>
            </w:pPr>
            <w:r>
              <w:rPr>
                <w:rFonts w:ascii="Arial" w:cs="Arial" w:eastAsia="Arial" w:hAnsi="Arial"/>
                <w:sz w:val="17"/>
                <w:szCs w:val="17"/>
                <w:color w:val="auto"/>
              </w:rPr>
              <w:t>A.</w:t>
            </w:r>
          </w:p>
        </w:tc>
        <w:tc>
          <w:tcPr>
            <w:tcW w:w="9320" w:type="dxa"/>
            <w:vAlign w:val="bottom"/>
            <w:shd w:val="clear" w:color="auto" w:fill="D5EAEA"/>
          </w:tcPr>
          <w:p>
            <w:pPr>
              <w:ind w:left="100"/>
              <w:spacing w:after="0"/>
              <w:rPr>
                <w:sz w:val="20"/>
                <w:szCs w:val="20"/>
                <w:color w:val="auto"/>
              </w:rPr>
            </w:pPr>
            <w:r>
              <w:rPr>
                <w:rFonts w:ascii="Arial" w:cs="Arial" w:eastAsia="Arial" w:hAnsi="Arial"/>
                <w:sz w:val="17"/>
                <w:szCs w:val="17"/>
                <w:color w:val="auto"/>
              </w:rPr>
              <w:t>Defaults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420" w:type="dxa"/>
            <w:vAlign w:val="bottom"/>
          </w:tcPr>
          <w:p>
            <w:pPr>
              <w:ind w:left="220"/>
              <w:spacing w:after="0"/>
              <w:rPr>
                <w:sz w:val="20"/>
                <w:szCs w:val="20"/>
                <w:color w:val="auto"/>
              </w:rPr>
            </w:pPr>
            <w:r>
              <w:rPr>
                <w:rFonts w:ascii="Arial" w:cs="Arial" w:eastAsia="Arial" w:hAnsi="Arial"/>
                <w:sz w:val="17"/>
                <w:szCs w:val="17"/>
                <w:color w:val="auto"/>
              </w:rPr>
              <w:t>B.</w:t>
            </w:r>
          </w:p>
        </w:tc>
        <w:tc>
          <w:tcPr>
            <w:tcW w:w="9320" w:type="dxa"/>
            <w:vAlign w:val="bottom"/>
          </w:tcPr>
          <w:p>
            <w:pPr>
              <w:ind w:left="80"/>
              <w:spacing w:after="0"/>
              <w:rPr>
                <w:sz w:val="20"/>
                <w:szCs w:val="20"/>
                <w:color w:val="auto"/>
              </w:rPr>
            </w:pPr>
            <w:r>
              <w:rPr>
                <w:rFonts w:ascii="Arial" w:cs="Arial" w:eastAsia="Arial" w:hAnsi="Arial"/>
                <w:sz w:val="17"/>
                <w:szCs w:val="17"/>
                <w:color w:val="auto"/>
              </w:rPr>
              <w:t>Arrears and delinquencies</w:t>
            </w:r>
          </w:p>
        </w:tc>
        <w:tc>
          <w:tcPr>
            <w:tcW w:w="168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ITEM 14. MATERIAL MODIFICATIONS TO THE RIGHTS OF SECURITY HOLDERS AND USE OF PROCEEDS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132</w:t>
            </w:r>
          </w:p>
        </w:tc>
      </w:tr>
      <w:tr>
        <w:trPr>
          <w:trHeight w:val="208"/>
        </w:trPr>
        <w:tc>
          <w:tcPr>
            <w:tcW w:w="9740" w:type="dxa"/>
            <w:vAlign w:val="bottom"/>
            <w:gridSpan w:val="2"/>
          </w:tcPr>
          <w:p>
            <w:pPr>
              <w:spacing w:after="0"/>
              <w:rPr>
                <w:sz w:val="20"/>
                <w:szCs w:val="20"/>
                <w:color w:val="auto"/>
              </w:rPr>
            </w:pPr>
            <w:r>
              <w:rPr>
                <w:rFonts w:ascii="Arial" w:cs="Arial" w:eastAsia="Arial" w:hAnsi="Arial"/>
                <w:sz w:val="17"/>
                <w:szCs w:val="17"/>
                <w:color w:val="auto"/>
              </w:rPr>
              <w:t>ITEM 15. CONTROLS AND PROCEDURES</w:t>
            </w:r>
          </w:p>
        </w:tc>
        <w:tc>
          <w:tcPr>
            <w:tcW w:w="168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08"/>
        </w:trPr>
        <w:tc>
          <w:tcPr>
            <w:tcW w:w="9740" w:type="dxa"/>
            <w:vAlign w:val="bottom"/>
            <w:gridSpan w:val="2"/>
            <w:shd w:val="clear" w:color="auto" w:fill="D5EAEA"/>
          </w:tcPr>
          <w:p>
            <w:pPr>
              <w:ind w:left="220"/>
              <w:spacing w:after="0"/>
              <w:rPr>
                <w:sz w:val="20"/>
                <w:szCs w:val="20"/>
                <w:color w:val="auto"/>
              </w:rPr>
            </w:pPr>
            <w:r>
              <w:rPr>
                <w:rFonts w:ascii="Arial" w:cs="Arial" w:eastAsia="Arial" w:hAnsi="Arial"/>
                <w:sz w:val="17"/>
                <w:szCs w:val="17"/>
                <w:color w:val="auto"/>
              </w:rPr>
              <w:t>A.  Disclosure Controls and Procedures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132</w:t>
            </w:r>
          </w:p>
        </w:tc>
      </w:tr>
      <w:tr>
        <w:trPr>
          <w:trHeight w:val="208"/>
        </w:trPr>
        <w:tc>
          <w:tcPr>
            <w:tcW w:w="9740" w:type="dxa"/>
            <w:vAlign w:val="bottom"/>
            <w:gridSpan w:val="2"/>
          </w:tcPr>
          <w:p>
            <w:pPr>
              <w:ind w:left="220"/>
              <w:spacing w:after="0"/>
              <w:rPr>
                <w:sz w:val="20"/>
                <w:szCs w:val="20"/>
                <w:color w:val="auto"/>
              </w:rPr>
            </w:pPr>
            <w:r>
              <w:rPr>
                <w:rFonts w:ascii="Arial" w:cs="Arial" w:eastAsia="Arial" w:hAnsi="Arial"/>
                <w:sz w:val="17"/>
                <w:szCs w:val="17"/>
                <w:color w:val="auto"/>
              </w:rPr>
              <w:t>B.  Management’s Annual Report on Internal Control over Financial Reporting</w:t>
            </w:r>
          </w:p>
        </w:tc>
        <w:tc>
          <w:tcPr>
            <w:tcW w:w="168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08"/>
        </w:trPr>
        <w:tc>
          <w:tcPr>
            <w:tcW w:w="9740" w:type="dxa"/>
            <w:vAlign w:val="bottom"/>
            <w:gridSpan w:val="2"/>
            <w:shd w:val="clear" w:color="auto" w:fill="D5EAEA"/>
          </w:tcPr>
          <w:p>
            <w:pPr>
              <w:ind w:left="220"/>
              <w:spacing w:after="0"/>
              <w:rPr>
                <w:sz w:val="20"/>
                <w:szCs w:val="20"/>
                <w:color w:val="auto"/>
              </w:rPr>
            </w:pPr>
            <w:r>
              <w:rPr>
                <w:rFonts w:ascii="Arial" w:cs="Arial" w:eastAsia="Arial" w:hAnsi="Arial"/>
                <w:sz w:val="17"/>
                <w:szCs w:val="17"/>
                <w:color w:val="auto"/>
              </w:rPr>
              <w:t>C.  Attestation Report of the Registered Public Accounting Firm</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132</w:t>
            </w:r>
          </w:p>
        </w:tc>
      </w:tr>
      <w:tr>
        <w:trPr>
          <w:trHeight w:val="208"/>
        </w:trPr>
        <w:tc>
          <w:tcPr>
            <w:tcW w:w="9740" w:type="dxa"/>
            <w:vAlign w:val="bottom"/>
            <w:gridSpan w:val="2"/>
          </w:tcPr>
          <w:p>
            <w:pPr>
              <w:ind w:left="220"/>
              <w:spacing w:after="0"/>
              <w:rPr>
                <w:sz w:val="20"/>
                <w:szCs w:val="20"/>
                <w:color w:val="auto"/>
              </w:rPr>
            </w:pPr>
            <w:r>
              <w:rPr>
                <w:rFonts w:ascii="Arial" w:cs="Arial" w:eastAsia="Arial" w:hAnsi="Arial"/>
                <w:sz w:val="17"/>
                <w:szCs w:val="17"/>
                <w:color w:val="auto"/>
              </w:rPr>
              <w:t>D.  Changes in Internal Control over Financial Reporting</w:t>
            </w:r>
          </w:p>
        </w:tc>
        <w:tc>
          <w:tcPr>
            <w:tcW w:w="168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ITEM 16. [RESERVED]</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133</w:t>
            </w:r>
          </w:p>
        </w:tc>
      </w:tr>
      <w:tr>
        <w:trPr>
          <w:trHeight w:val="208"/>
        </w:trPr>
        <w:tc>
          <w:tcPr>
            <w:tcW w:w="9740" w:type="dxa"/>
            <w:vAlign w:val="bottom"/>
            <w:gridSpan w:val="2"/>
          </w:tcPr>
          <w:p>
            <w:pPr>
              <w:spacing w:after="0"/>
              <w:rPr>
                <w:sz w:val="20"/>
                <w:szCs w:val="20"/>
                <w:color w:val="auto"/>
              </w:rPr>
            </w:pPr>
            <w:r>
              <w:rPr>
                <w:rFonts w:ascii="Arial" w:cs="Arial" w:eastAsia="Arial" w:hAnsi="Arial"/>
                <w:sz w:val="17"/>
                <w:szCs w:val="17"/>
                <w:color w:val="auto"/>
              </w:rPr>
              <w:t>ITEM 16A. Audit committee financial expert</w:t>
            </w:r>
          </w:p>
        </w:tc>
        <w:tc>
          <w:tcPr>
            <w:tcW w:w="168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ITEM 16B. Code of ethics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133</w:t>
            </w:r>
          </w:p>
        </w:tc>
      </w:tr>
      <w:tr>
        <w:trPr>
          <w:trHeight w:val="208"/>
        </w:trPr>
        <w:tc>
          <w:tcPr>
            <w:tcW w:w="9740" w:type="dxa"/>
            <w:vAlign w:val="bottom"/>
            <w:gridSpan w:val="2"/>
          </w:tcPr>
          <w:p>
            <w:pPr>
              <w:spacing w:after="0"/>
              <w:rPr>
                <w:sz w:val="20"/>
                <w:szCs w:val="20"/>
                <w:color w:val="auto"/>
              </w:rPr>
            </w:pPr>
            <w:r>
              <w:rPr>
                <w:rFonts w:ascii="Arial" w:cs="Arial" w:eastAsia="Arial" w:hAnsi="Arial"/>
                <w:sz w:val="17"/>
                <w:szCs w:val="17"/>
                <w:color w:val="auto"/>
              </w:rPr>
              <w:t>ITEM 16C. Principal accountant fees and services (in CHF and thousands)</w:t>
            </w:r>
          </w:p>
        </w:tc>
        <w:tc>
          <w:tcPr>
            <w:tcW w:w="168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ITEM 16D. Exemptions from the listing standards for audit committees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133</w:t>
            </w:r>
          </w:p>
        </w:tc>
      </w:tr>
      <w:tr>
        <w:trPr>
          <w:trHeight w:val="208"/>
        </w:trPr>
        <w:tc>
          <w:tcPr>
            <w:tcW w:w="9740" w:type="dxa"/>
            <w:vAlign w:val="bottom"/>
            <w:gridSpan w:val="2"/>
          </w:tcPr>
          <w:p>
            <w:pPr>
              <w:spacing w:after="0"/>
              <w:rPr>
                <w:sz w:val="20"/>
                <w:szCs w:val="20"/>
                <w:color w:val="auto"/>
              </w:rPr>
            </w:pPr>
            <w:r>
              <w:rPr>
                <w:rFonts w:ascii="Arial" w:cs="Arial" w:eastAsia="Arial" w:hAnsi="Arial"/>
                <w:sz w:val="17"/>
                <w:szCs w:val="17"/>
                <w:color w:val="auto"/>
              </w:rPr>
              <w:t>ITEM 16E. Purchases of equity securities by the issuer and affiliated purchasers</w:t>
            </w:r>
          </w:p>
        </w:tc>
        <w:tc>
          <w:tcPr>
            <w:tcW w:w="168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ITEM 16F. Change in registrant’s certifying accountant</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133</w:t>
            </w:r>
          </w:p>
        </w:tc>
      </w:tr>
      <w:tr>
        <w:trPr>
          <w:trHeight w:val="208"/>
        </w:trPr>
        <w:tc>
          <w:tcPr>
            <w:tcW w:w="9740" w:type="dxa"/>
            <w:vAlign w:val="bottom"/>
            <w:gridSpan w:val="2"/>
          </w:tcPr>
          <w:p>
            <w:pPr>
              <w:spacing w:after="0"/>
              <w:rPr>
                <w:sz w:val="20"/>
                <w:szCs w:val="20"/>
                <w:color w:val="auto"/>
              </w:rPr>
            </w:pPr>
            <w:r>
              <w:rPr>
                <w:rFonts w:ascii="Arial" w:cs="Arial" w:eastAsia="Arial" w:hAnsi="Arial"/>
                <w:sz w:val="17"/>
                <w:szCs w:val="17"/>
                <w:color w:val="auto"/>
              </w:rPr>
              <w:t>ITEM 16G. Corporate governance</w:t>
            </w:r>
          </w:p>
        </w:tc>
        <w:tc>
          <w:tcPr>
            <w:tcW w:w="168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ITEM 16H. Mine safety disclosure</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134</w:t>
            </w:r>
          </w:p>
        </w:tc>
      </w:tr>
      <w:tr>
        <w:trPr>
          <w:trHeight w:val="208"/>
        </w:trPr>
        <w:tc>
          <w:tcPr>
            <w:tcW w:w="9740" w:type="dxa"/>
            <w:vAlign w:val="bottom"/>
            <w:gridSpan w:val="2"/>
          </w:tcPr>
          <w:p>
            <w:pPr>
              <w:spacing w:after="0"/>
              <w:rPr>
                <w:sz w:val="20"/>
                <w:szCs w:val="20"/>
                <w:color w:val="auto"/>
              </w:rPr>
            </w:pPr>
            <w:r>
              <w:rPr>
                <w:rFonts w:ascii="Arial" w:cs="Arial" w:eastAsia="Arial" w:hAnsi="Arial"/>
                <w:sz w:val="17"/>
                <w:szCs w:val="17"/>
                <w:color w:val="auto"/>
              </w:rPr>
              <w:t>PART III</w:t>
            </w:r>
          </w:p>
        </w:tc>
        <w:tc>
          <w:tcPr>
            <w:tcW w:w="168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ITEM 17. Financial statements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134</w:t>
            </w:r>
          </w:p>
        </w:tc>
      </w:tr>
      <w:tr>
        <w:trPr>
          <w:trHeight w:val="208"/>
        </w:trPr>
        <w:tc>
          <w:tcPr>
            <w:tcW w:w="9740" w:type="dxa"/>
            <w:vAlign w:val="bottom"/>
            <w:gridSpan w:val="2"/>
          </w:tcPr>
          <w:p>
            <w:pPr>
              <w:spacing w:after="0"/>
              <w:rPr>
                <w:sz w:val="20"/>
                <w:szCs w:val="20"/>
                <w:color w:val="auto"/>
              </w:rPr>
            </w:pPr>
            <w:r>
              <w:rPr>
                <w:rFonts w:ascii="Arial" w:cs="Arial" w:eastAsia="Arial" w:hAnsi="Arial"/>
                <w:sz w:val="17"/>
                <w:szCs w:val="17"/>
                <w:color w:val="auto"/>
              </w:rPr>
              <w:t>ITEM 18. Financial statements</w:t>
            </w:r>
          </w:p>
        </w:tc>
        <w:tc>
          <w:tcPr>
            <w:tcW w:w="168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08"/>
        </w:trPr>
        <w:tc>
          <w:tcPr>
            <w:tcW w:w="97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ITEM 19. Exhibits</w:t>
            </w:r>
          </w:p>
        </w:tc>
        <w:tc>
          <w:tcPr>
            <w:tcW w:w="16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135</w:t>
            </w:r>
          </w:p>
        </w:tc>
      </w:tr>
    </w:tbl>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7"/>
          <w:szCs w:val="17"/>
          <w:b w:val="1"/>
          <w:bCs w:val="1"/>
          <w:color w:val="auto"/>
        </w:rPr>
        <w:t>PRESENTATION OF FINANCIAL AND OTHER INFORMATION</w:t>
      </w:r>
    </w:p>
    <w:p>
      <w:pPr>
        <w:spacing w:after="0" w:line="227" w:lineRule="exact"/>
        <w:rPr>
          <w:sz w:val="20"/>
          <w:szCs w:val="20"/>
          <w:color w:val="auto"/>
        </w:rPr>
      </w:pPr>
    </w:p>
    <w:p>
      <w:pPr>
        <w:ind w:right="20" w:firstLine="312"/>
        <w:spacing w:after="0" w:line="279" w:lineRule="auto"/>
        <w:rPr>
          <w:sz w:val="20"/>
          <w:szCs w:val="20"/>
          <w:color w:val="auto"/>
        </w:rPr>
      </w:pPr>
      <w:r>
        <w:rPr>
          <w:rFonts w:ascii="Arial" w:cs="Arial" w:eastAsia="Arial" w:hAnsi="Arial"/>
          <w:sz w:val="16"/>
          <w:szCs w:val="16"/>
          <w:color w:val="auto"/>
        </w:rPr>
        <w:t>Unless otherwise indicated or the context otherwise requires, all references in this annual report on Form 20-F (the “Annual Report”) to “AC Immune” or the “Company,” “we,” “our,” “ours,” “us” or similar terms refer to AC Immune SA. The Company owns various trademark registrations and applications, and unregistered trademarks, including Morphomer™, SupraAntigen™ and its corporate logo. All other trademarks, trade names and service marks of other companies appearing in this Annual Report are the property of their respective owners. Solely for convenience, the trademarks and trade names in this Annual Report may be referred to without the © and ™ symbols, but such references should not be construed as any indicator that their respective owners will not assert, to the fullest extent under applicable law, their rights thereto. The Company does not intend to use or display other companies’ trademarks and trade names to imply a relationship with, or endorsement or sponsorship of the Company by, any other companies.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Statements</w:t>
      </w:r>
    </w:p>
    <w:p>
      <w:pPr>
        <w:spacing w:after="0" w:line="227" w:lineRule="exact"/>
        <w:rPr>
          <w:sz w:val="20"/>
          <w:szCs w:val="20"/>
          <w:color w:val="auto"/>
        </w:rPr>
      </w:pPr>
    </w:p>
    <w:p>
      <w:pPr>
        <w:ind w:firstLine="312"/>
        <w:spacing w:after="0" w:line="277" w:lineRule="auto"/>
        <w:rPr>
          <w:sz w:val="20"/>
          <w:szCs w:val="20"/>
          <w:color w:val="auto"/>
        </w:rPr>
      </w:pPr>
      <w:r>
        <w:rPr>
          <w:rFonts w:ascii="Arial" w:cs="Arial" w:eastAsia="Arial" w:hAnsi="Arial"/>
          <w:sz w:val="16"/>
          <w:szCs w:val="16"/>
          <w:color w:val="auto"/>
        </w:rPr>
        <w:t>Our financial statements are presented in Swiss Francs and in accordance with International Financial Reporting Standards, or IFRS, as issued by the International Accounting Standards Board, or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1.0160 to CHF 1.00, the official exchange rate quoted as of December 31, 2016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Annual Report. Accordingly, any numerical discrepancies in any table between totals and sums of the amounts listed are due to rounding.</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FORWARD-LOOKING STATEMENTS</w:t>
      </w:r>
    </w:p>
    <w:p>
      <w:pPr>
        <w:spacing w:after="0" w:line="227"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81"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“Item 3. Key Information – D. Risk Factors” in this Annual Report. These risks and uncertainties include factors relating to:</w:t>
      </w:r>
    </w:p>
    <w:p>
      <w:pPr>
        <w:spacing w:after="0" w:line="178" w:lineRule="exact"/>
        <w:rPr>
          <w:sz w:val="20"/>
          <w:szCs w:val="20"/>
          <w:color w:val="auto"/>
        </w:rPr>
      </w:pPr>
    </w:p>
    <w:p>
      <w:pPr>
        <w:ind w:left="620" w:right="820" w:hanging="304"/>
        <w:spacing w:after="0" w:line="286"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success of our and our collaboration partners’ clinical studies, and our and their ability to obtain regulatory approval and to commercialize crenezumab, our anti-tau antibody candidate, ACI-24 for Alzheimer’s disease, or AD and ACI-35;</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Morphomer proprietary technology platform and its success in building additional product candidates for our pipeline;</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identification of serious adverse, undesirable or unacceptable side effects related to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494665</wp:posOffset>
            </wp:positionV>
            <wp:extent cx="7251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5" w:name="page6"/>
    <w:bookmarkEnd w:id="5"/>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maintain our current strategic relationships with our collaboration partners;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to protect our, and not infringe on third parties’, intellectual property rights throughout the world;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raise capital when needed in order to continue our product development programs or commercialization efforts;</w:t>
      </w:r>
    </w:p>
    <w:p>
      <w:pPr>
        <w:spacing w:after="0" w:line="220" w:lineRule="exact"/>
        <w:rPr>
          <w:rFonts w:ascii="Arial" w:cs="Arial" w:eastAsia="Arial" w:hAnsi="Arial"/>
          <w:sz w:val="17"/>
          <w:szCs w:val="17"/>
          <w:color w:val="auto"/>
        </w:rPr>
      </w:pPr>
    </w:p>
    <w:p>
      <w:pPr>
        <w:ind w:left="620" w:right="20" w:hanging="304"/>
        <w:spacing w:after="0" w:line="286"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Food and Drug Administration’s and applicable foreign regulatory authorities’ acceptance of data from studies we conduct outside the United States in the future;</w:t>
      </w:r>
    </w:p>
    <w:p>
      <w:pPr>
        <w:spacing w:after="0" w:line="158" w:lineRule="exact"/>
        <w:rPr>
          <w:rFonts w:ascii="Arial" w:cs="Arial" w:eastAsia="Arial" w:hAnsi="Arial"/>
          <w:sz w:val="17"/>
          <w:szCs w:val="17"/>
          <w:color w:val="auto"/>
        </w:rPr>
      </w:pPr>
    </w:p>
    <w:p>
      <w:pPr>
        <w:ind w:left="620" w:right="240" w:hanging="304"/>
        <w:spacing w:after="0" w:line="286"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Exchange Act’s domestic reporting regime and cause us to incur significant legal, accounting and other expenses;</w:t>
      </w:r>
    </w:p>
    <w:p>
      <w:pPr>
        <w:spacing w:after="0" w:line="158" w:lineRule="exact"/>
        <w:rPr>
          <w:rFonts w:ascii="Arial" w:cs="Arial" w:eastAsia="Arial" w:hAnsi="Arial"/>
          <w:sz w:val="17"/>
          <w:szCs w:val="17"/>
          <w:color w:val="auto"/>
        </w:rPr>
      </w:pPr>
    </w:p>
    <w:p>
      <w:pPr>
        <w:ind w:left="620" w:right="280" w:hanging="304"/>
        <w:spacing w:after="0" w:line="286"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incorporation in Switzerland, the laws of which govern our corporate affairs and may differ from those applicable to companies incorporated in the United States; and</w:t>
      </w:r>
    </w:p>
    <w:p>
      <w:pPr>
        <w:spacing w:after="0" w:line="158" w:lineRule="exact"/>
        <w:rPr>
          <w:rFonts w:ascii="Arial" w:cs="Arial" w:eastAsia="Arial" w:hAnsi="Arial"/>
          <w:sz w:val="17"/>
          <w:szCs w:val="17"/>
          <w:color w:val="auto"/>
        </w:rPr>
      </w:pPr>
    </w:p>
    <w:p>
      <w:pPr>
        <w:ind w:left="620" w:right="120" w:hanging="304"/>
        <w:spacing w:after="0" w:line="356"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failure to maintain an effective system of internal control over financial reporting, given the material weakness identified in connection with the audit of our financial statements as of and for the year ended December 31, 2014. This material weakness continued to exist as of December 31, 2016; and</w:t>
      </w:r>
    </w:p>
    <w:p>
      <w:pPr>
        <w:spacing w:after="0" w:line="112" w:lineRule="exact"/>
        <w:rPr>
          <w:rFonts w:ascii="Arial" w:cs="Arial" w:eastAsia="Arial" w:hAnsi="Arial"/>
          <w:sz w:val="15"/>
          <w:szCs w:val="15"/>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other risk factors discussed under “Item 3. Key Information – D. Risk Factors.”</w:t>
      </w:r>
    </w:p>
    <w:p>
      <w:pPr>
        <w:spacing w:after="0" w:line="221" w:lineRule="exact"/>
        <w:rPr>
          <w:sz w:val="20"/>
          <w:szCs w:val="20"/>
          <w:color w:val="auto"/>
        </w:rPr>
      </w:pPr>
    </w:p>
    <w:p>
      <w:pPr>
        <w:ind w:right="40" w:firstLine="312"/>
        <w:spacing w:after="0" w:line="278" w:lineRule="auto"/>
        <w:rPr>
          <w:sz w:val="20"/>
          <w:szCs w:val="20"/>
          <w:color w:val="auto"/>
        </w:rPr>
      </w:pPr>
      <w:r>
        <w:rPr>
          <w:rFonts w:ascii="Arial" w:cs="Arial" w:eastAsia="Arial" w:hAnsi="Arial"/>
          <w:sz w:val="16"/>
          <w:szCs w:val="16"/>
          <w:color w:val="auto"/>
        </w:rPr>
        <w:t>These forward-looking statements speak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ENFORCEMENT OF JUDGMENTS</w:t>
      </w:r>
    </w:p>
    <w:p>
      <w:pPr>
        <w:spacing w:after="0" w:line="227" w:lineRule="exact"/>
        <w:rPr>
          <w:sz w:val="20"/>
          <w:szCs w:val="20"/>
          <w:color w:val="auto"/>
        </w:rPr>
      </w:pPr>
    </w:p>
    <w:p>
      <w:pPr>
        <w:ind w:firstLine="312"/>
        <w:spacing w:after="0" w:line="295" w:lineRule="auto"/>
        <w:rPr>
          <w:sz w:val="20"/>
          <w:szCs w:val="20"/>
          <w:color w:val="auto"/>
        </w:rPr>
      </w:pPr>
      <w:r>
        <w:rPr>
          <w:rFonts w:ascii="Arial" w:cs="Arial" w:eastAsia="Arial" w:hAnsi="Arial"/>
          <w:sz w:val="15"/>
          <w:szCs w:val="15"/>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61" w:lineRule="exact"/>
        <w:rPr>
          <w:sz w:val="20"/>
          <w:szCs w:val="20"/>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non-Swiss court had jurisdiction pursuant to the Swiss Federal Act on Private International Law;</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judgment of such non-Swiss court has become final and non-appealable;</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judgment does not contravene Swiss public policy;</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court procedures and the service of documents leading to the judgment were in accordance with the due process of law; and</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6" w:name="page7"/>
    <w:bookmarkEnd w:id="6"/>
    <w:p>
      <w:pPr>
        <w:ind w:left="620" w:right="460" w:hanging="304"/>
        <w:spacing w:after="0" w:line="286"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IDENTITY OF DIRECTORS, SENIOR MANAGEMENT AND ADVISERS</w:t>
      </w:r>
    </w:p>
    <w:p>
      <w:pPr>
        <w:spacing w:after="0" w:line="221" w:lineRule="exact"/>
        <w:rPr>
          <w:sz w:val="20"/>
          <w:szCs w:val="20"/>
          <w:color w:val="auto"/>
        </w:rPr>
      </w:pPr>
    </w:p>
    <w:p>
      <w:pPr>
        <w:ind w:left="320" w:right="8600" w:hanging="316"/>
        <w:spacing w:after="0" w:line="511" w:lineRule="auto"/>
        <w:tabs>
          <w:tab w:leader="none" w:pos="3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and senior management </w:t>
      </w:r>
      <w:r>
        <w:rPr>
          <w:rFonts w:ascii="Arial" w:cs="Arial" w:eastAsia="Arial" w:hAnsi="Arial"/>
          <w:sz w:val="17"/>
          <w:szCs w:val="17"/>
          <w:color w:val="auto"/>
        </w:rPr>
        <w:t>Not applicable.</w:t>
      </w:r>
    </w:p>
    <w:p>
      <w:pPr>
        <w:ind w:left="320" w:hanging="316"/>
        <w:spacing w:after="0"/>
        <w:tabs>
          <w:tab w:leader="none" w:pos="3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Advisers</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Not applicable.</w:t>
      </w:r>
    </w:p>
    <w:p>
      <w:pPr>
        <w:spacing w:after="0" w:line="214" w:lineRule="exact"/>
        <w:rPr>
          <w:rFonts w:ascii="Arial" w:cs="Arial" w:eastAsia="Arial" w:hAnsi="Arial"/>
          <w:sz w:val="17"/>
          <w:szCs w:val="17"/>
          <w:b w:val="1"/>
          <w:bCs w:val="1"/>
          <w:color w:val="auto"/>
        </w:rPr>
      </w:pPr>
    </w:p>
    <w:p>
      <w:pPr>
        <w:ind w:left="320" w:hanging="316"/>
        <w:spacing w:after="0"/>
        <w:tabs>
          <w:tab w:leader="none" w:pos="3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Auditors</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OFFER STATISTICS AND EXPECTED TIMETABLE</w:t>
      </w:r>
    </w:p>
    <w:p>
      <w:pPr>
        <w:spacing w:after="0" w:line="221" w:lineRule="exact"/>
        <w:rPr>
          <w:sz w:val="20"/>
          <w:szCs w:val="20"/>
          <w:color w:val="auto"/>
        </w:rPr>
      </w:pPr>
    </w:p>
    <w:p>
      <w:pPr>
        <w:jc w:val="both"/>
        <w:ind w:left="320" w:right="10020" w:hanging="316"/>
        <w:spacing w:after="0" w:line="579" w:lineRule="auto"/>
        <w:tabs>
          <w:tab w:leader="none" w:pos="32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Offer statistics </w:t>
      </w:r>
      <w:r>
        <w:rPr>
          <w:rFonts w:ascii="Arial" w:cs="Arial" w:eastAsia="Arial" w:hAnsi="Arial"/>
          <w:sz w:val="15"/>
          <w:szCs w:val="15"/>
          <w:color w:val="auto"/>
        </w:rPr>
        <w:t>Not applicable.</w:t>
      </w:r>
    </w:p>
    <w:p>
      <w:pPr>
        <w:ind w:left="320" w:right="8780" w:hanging="316"/>
        <w:spacing w:after="0" w:line="511" w:lineRule="auto"/>
        <w:tabs>
          <w:tab w:leader="none" w:pos="3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Method and expected timetable </w:t>
      </w:r>
      <w:r>
        <w:rPr>
          <w:rFonts w:ascii="Arial" w:cs="Arial" w:eastAsia="Arial" w:hAnsi="Arial"/>
          <w:sz w:val="17"/>
          <w:szCs w:val="17"/>
          <w:color w:val="auto"/>
        </w:rPr>
        <w:t>Not applicable.</w:t>
      </w:r>
    </w:p>
    <w:p>
      <w:pPr>
        <w:spacing w:after="0"/>
        <w:rPr>
          <w:sz w:val="20"/>
          <w:szCs w:val="20"/>
          <w:color w:val="auto"/>
        </w:rPr>
      </w:pPr>
      <w:r>
        <w:rPr>
          <w:rFonts w:ascii="Arial" w:cs="Arial" w:eastAsia="Arial" w:hAnsi="Arial"/>
          <w:sz w:val="17"/>
          <w:szCs w:val="17"/>
          <w:b w:val="1"/>
          <w:bCs w:val="1"/>
          <w:color w:val="auto"/>
        </w:rPr>
        <w:t>ITEM 3. KEY INFORMATION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5"/>
          <w:szCs w:val="15"/>
          <w:b w:val="1"/>
          <w:bCs w:val="1"/>
          <w:color w:val="auto"/>
        </w:rPr>
        <w:t>Selected Financial Data</w:t>
      </w:r>
    </w:p>
    <w:p>
      <w:pPr>
        <w:spacing w:after="0" w:line="227" w:lineRule="exact"/>
        <w:rPr>
          <w:sz w:val="20"/>
          <w:szCs w:val="20"/>
          <w:color w:val="auto"/>
        </w:rPr>
      </w:pPr>
    </w:p>
    <w:p>
      <w:pPr>
        <w:ind w:right="120" w:firstLine="312"/>
        <w:spacing w:after="0" w:line="265" w:lineRule="auto"/>
        <w:rPr>
          <w:sz w:val="20"/>
          <w:szCs w:val="20"/>
          <w:color w:val="auto"/>
        </w:rPr>
      </w:pPr>
      <w:r>
        <w:rPr>
          <w:rFonts w:ascii="Arial" w:cs="Arial" w:eastAsia="Arial" w:hAnsi="Arial"/>
          <w:sz w:val="17"/>
          <w:szCs w:val="17"/>
          <w:color w:val="auto"/>
        </w:rPr>
        <w:t>The following tables summarize our financial data as of the dates and for the periods indicated. The financial data for the years ended December 31, 2016, 2015, and 2014 has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Annual Report.</w:t>
      </w:r>
    </w:p>
    <w:p>
      <w:pPr>
        <w:spacing w:after="0" w:line="177" w:lineRule="exact"/>
        <w:rPr>
          <w:sz w:val="20"/>
          <w:szCs w:val="20"/>
          <w:color w:val="auto"/>
        </w:rPr>
      </w:pPr>
    </w:p>
    <w:p>
      <w:pPr>
        <w:ind w:right="280" w:firstLine="312"/>
        <w:spacing w:after="0" w:line="319" w:lineRule="auto"/>
        <w:rPr>
          <w:sz w:val="20"/>
          <w:szCs w:val="20"/>
          <w:color w:val="auto"/>
        </w:rPr>
      </w:pPr>
      <w:r>
        <w:rPr>
          <w:rFonts w:ascii="Arial" w:cs="Arial" w:eastAsia="Arial" w:hAnsi="Arial"/>
          <w:sz w:val="16"/>
          <w:szCs w:val="16"/>
          <w:color w:val="auto"/>
        </w:rPr>
        <w:t>Our historical results are not necessarily indicative of the results that may be expected in the future. The following summary financial data should be read in conjunction with “Item 5. Operating and Financial Review and Prospects” and our financial statements included elsewhere in this Annual Report.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maintain our books and records and our audited financial statements in Swiss Francs (CHF).</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480" w:type="dxa"/>
            <w:vAlign w:val="bottom"/>
            <w:vMerge w:val="restart"/>
          </w:tcPr>
          <w:p>
            <w:pPr>
              <w:ind w:left="2340"/>
              <w:spacing w:after="0"/>
              <w:rPr>
                <w:sz w:val="20"/>
                <w:szCs w:val="20"/>
                <w:color w:val="auto"/>
              </w:rPr>
            </w:pPr>
            <w:r>
              <w:rPr>
                <w:rFonts w:ascii="Arial" w:cs="Arial" w:eastAsia="Arial" w:hAnsi="Arial"/>
                <w:sz w:val="14"/>
                <w:szCs w:val="14"/>
                <w:b w:val="1"/>
                <w:bCs w:val="1"/>
                <w:color w:val="auto"/>
                <w:w w:val="95"/>
              </w:rPr>
              <w:t>(in CHF ‘000 except for share and per share data)</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89"/>
              </w:rPr>
              <w:t>For the Years Ended 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vMerge w:val="continue"/>
          </w:tcPr>
          <w:p>
            <w:pPr>
              <w:spacing w:after="0"/>
              <w:rPr>
                <w:sz w:val="12"/>
                <w:szCs w:val="12"/>
                <w:color w:val="auto"/>
              </w:rPr>
            </w:pPr>
          </w:p>
        </w:tc>
        <w:tc>
          <w:tcPr>
            <w:tcW w:w="2280" w:type="dxa"/>
            <w:vAlign w:val="bottom"/>
            <w:gridSpan w:val="2"/>
          </w:tcPr>
          <w:p>
            <w:pPr>
              <w:spacing w:after="0"/>
              <w:rPr>
                <w:sz w:val="12"/>
                <w:szCs w:val="12"/>
                <w:color w:val="auto"/>
              </w:rPr>
            </w:pPr>
          </w:p>
        </w:tc>
        <w:tc>
          <w:tcPr>
            <w:tcW w:w="1160" w:type="dxa"/>
            <w:vAlign w:val="bottom"/>
          </w:tcPr>
          <w:p>
            <w:pPr>
              <w:jc w:val="right"/>
              <w:ind w:right="362"/>
              <w:spacing w:after="0" w:line="14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14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7"/>
                <w:szCs w:val="17"/>
                <w:b w:val="1"/>
                <w:bCs w:val="1"/>
                <w:color w:val="auto"/>
              </w:rPr>
              <w:t>Income Statement Data:</w:t>
            </w:r>
          </w:p>
        </w:tc>
        <w:tc>
          <w:tcPr>
            <w:tcW w:w="21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380" w:type="dxa"/>
            <w:vAlign w:val="bottom"/>
            <w:tcBorders>
              <w:top w:val="single" w:sz="8" w:color="auto"/>
            </w:tcBorders>
            <w:shd w:val="clear" w:color="auto" w:fill="D5EAEA"/>
          </w:tcPr>
          <w:p>
            <w:pPr>
              <w:spacing w:after="0"/>
              <w:rPr>
                <w:sz w:val="17"/>
                <w:szCs w:val="17"/>
                <w:color w:val="auto"/>
              </w:rPr>
            </w:pPr>
          </w:p>
        </w:tc>
        <w:tc>
          <w:tcPr>
            <w:tcW w:w="740" w:type="dxa"/>
            <w:vAlign w:val="bottom"/>
            <w:tcBorders>
              <w:top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Revenue</w:t>
            </w:r>
          </w:p>
        </w:tc>
        <w:tc>
          <w:tcPr>
            <w:tcW w:w="3440" w:type="dxa"/>
            <w:vAlign w:val="bottom"/>
            <w:gridSpan w:val="3"/>
          </w:tcPr>
          <w:p>
            <w:pPr>
              <w:jc w:val="right"/>
              <w:ind w:right="42"/>
              <w:spacing w:after="0"/>
              <w:rPr>
                <w:sz w:val="20"/>
                <w:szCs w:val="20"/>
                <w:color w:val="auto"/>
              </w:rPr>
            </w:pPr>
            <w:r>
              <w:rPr>
                <w:rFonts w:ascii="Arial" w:cs="Arial" w:eastAsia="Arial" w:hAnsi="Arial"/>
                <w:sz w:val="17"/>
                <w:szCs w:val="17"/>
                <w:color w:val="auto"/>
              </w:rPr>
              <w:t>23,214</w:t>
            </w: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39,090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30,269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7"/>
                <w:szCs w:val="17"/>
                <w:color w:val="auto"/>
              </w:rPr>
              <w:t>Research and development expenses</w:t>
            </w:r>
          </w:p>
        </w:tc>
        <w:tc>
          <w:tcPr>
            <w:tcW w:w="344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(25,774)</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(17,049)</w:t>
            </w: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7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(16,116)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3440" w:type="dxa"/>
            <w:vAlign w:val="bottom"/>
            <w:gridSpan w:val="3"/>
          </w:tcPr>
          <w:p>
            <w:pPr>
              <w:jc w:val="right"/>
              <w:spacing w:after="0"/>
              <w:rPr>
                <w:sz w:val="20"/>
                <w:szCs w:val="20"/>
                <w:color w:val="auto"/>
              </w:rPr>
            </w:pPr>
            <w:r>
              <w:rPr>
                <w:rFonts w:ascii="Arial" w:cs="Arial" w:eastAsia="Arial" w:hAnsi="Arial"/>
                <w:sz w:val="17"/>
                <w:szCs w:val="17"/>
                <w:color w:val="auto"/>
              </w:rPr>
              <w:t>(7,896)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Operating income/(loss)</w:t>
            </w:r>
          </w:p>
        </w:tc>
        <w:tc>
          <w:tcPr>
            <w:tcW w:w="216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(10,456)</w:t>
            </w: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ind w:right="15"/>
              <w:spacing w:after="0"/>
              <w:rPr>
                <w:sz w:val="20"/>
                <w:szCs w:val="20"/>
                <w:color w:val="auto"/>
              </w:rPr>
            </w:pPr>
            <w:r>
              <w:rPr>
                <w:rFonts w:ascii="Arial" w:cs="Arial" w:eastAsia="Arial" w:hAnsi="Arial"/>
                <w:sz w:val="17"/>
                <w:szCs w:val="17"/>
                <w:color w:val="auto"/>
              </w:rPr>
              <w:t>18,624</w:t>
            </w:r>
          </w:p>
        </w:tc>
        <w:tc>
          <w:tcPr>
            <w:tcW w:w="100" w:type="dxa"/>
            <w:vAlign w:val="bottom"/>
            <w:tcBorders>
              <w:top w:val="single" w:sz="8" w:color="D5EAEA"/>
            </w:tcBorders>
            <w:shd w:val="clear" w:color="auto" w:fill="D5EAEA"/>
          </w:tcPr>
          <w:p>
            <w:pPr>
              <w:spacing w:after="0"/>
              <w:rPr>
                <w:sz w:val="17"/>
                <w:szCs w:val="17"/>
                <w:color w:val="auto"/>
              </w:rPr>
            </w:pPr>
          </w:p>
        </w:tc>
        <w:tc>
          <w:tcPr>
            <w:tcW w:w="380" w:type="dxa"/>
            <w:vAlign w:val="bottom"/>
            <w:tcBorders>
              <w:top w:val="single" w:sz="8" w:color="auto"/>
            </w:tcBorders>
            <w:shd w:val="clear" w:color="auto" w:fill="D5EAEA"/>
          </w:tcPr>
          <w:p>
            <w:pPr>
              <w:spacing w:after="0"/>
              <w:rPr>
                <w:sz w:val="17"/>
                <w:szCs w:val="17"/>
                <w:color w:val="auto"/>
              </w:rPr>
            </w:pPr>
          </w:p>
        </w:tc>
        <w:tc>
          <w:tcPr>
            <w:tcW w:w="740" w:type="dxa"/>
            <w:vAlign w:val="bottom"/>
            <w:tcBorders>
              <w:top w:val="single" w:sz="8" w:color="auto"/>
            </w:tcBorders>
            <w:shd w:val="clear" w:color="auto" w:fill="D5EAEA"/>
          </w:tcPr>
          <w:p>
            <w:pPr>
              <w:jc w:val="right"/>
              <w:ind w:right="15"/>
              <w:spacing w:after="0"/>
              <w:rPr>
                <w:sz w:val="20"/>
                <w:szCs w:val="20"/>
                <w:color w:val="auto"/>
              </w:rPr>
            </w:pPr>
            <w:r>
              <w:rPr>
                <w:rFonts w:ascii="Arial" w:cs="Arial" w:eastAsia="Arial" w:hAnsi="Arial"/>
                <w:sz w:val="17"/>
                <w:szCs w:val="17"/>
                <w:color w:val="auto"/>
              </w:rPr>
              <w:t>10,717</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Finance result—net</w:t>
            </w:r>
          </w:p>
        </w:tc>
        <w:tc>
          <w:tcPr>
            <w:tcW w:w="3440" w:type="dxa"/>
            <w:vAlign w:val="bottom"/>
            <w:gridSpan w:val="3"/>
          </w:tcPr>
          <w:p>
            <w:pPr>
              <w:jc w:val="right"/>
              <w:ind w:right="42"/>
              <w:spacing w:after="0"/>
              <w:rPr>
                <w:sz w:val="20"/>
                <w:szCs w:val="20"/>
                <w:color w:val="auto"/>
              </w:rPr>
            </w:pPr>
            <w:r>
              <w:rPr>
                <w:rFonts w:ascii="Arial" w:cs="Arial" w:eastAsia="Arial" w:hAnsi="Arial"/>
                <w:sz w:val="17"/>
                <w:szCs w:val="17"/>
                <w:color w:val="auto"/>
              </w:rPr>
              <w:t>3,360</w:t>
            </w:r>
          </w:p>
        </w:tc>
        <w:tc>
          <w:tcPr>
            <w:tcW w:w="12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1,646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480" w:type="dxa"/>
            <w:vAlign w:val="bottom"/>
            <w:tcBorders>
              <w:top w:val="single" w:sz="8" w:color="D5EAEA"/>
            </w:tcBorders>
            <w:shd w:val="clear" w:color="auto" w:fill="D5EAEA"/>
          </w:tcPr>
          <w:p>
            <w:pPr>
              <w:spacing w:after="0"/>
              <w:rPr>
                <w:sz w:val="16"/>
                <w:szCs w:val="16"/>
                <w:color w:val="auto"/>
              </w:rPr>
            </w:pPr>
          </w:p>
        </w:tc>
        <w:tc>
          <w:tcPr>
            <w:tcW w:w="2160" w:type="dxa"/>
            <w:vAlign w:val="bottom"/>
            <w:tcBorders>
              <w:top w:val="single" w:sz="8" w:color="D5EAEA"/>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4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380" w:type="dxa"/>
            <w:vAlign w:val="bottom"/>
            <w:tcBorders>
              <w:top w:val="single" w:sz="8" w:color="auto"/>
            </w:tcBorders>
            <w:shd w:val="clear" w:color="auto" w:fill="D5EAEA"/>
          </w:tcPr>
          <w:p>
            <w:pPr>
              <w:spacing w:after="0"/>
              <w:rPr>
                <w:sz w:val="16"/>
                <w:szCs w:val="16"/>
                <w:color w:val="auto"/>
              </w:rPr>
            </w:pPr>
          </w:p>
        </w:tc>
        <w:tc>
          <w:tcPr>
            <w:tcW w:w="740" w:type="dxa"/>
            <w:vAlign w:val="bottom"/>
            <w:tcBorders>
              <w:top w:val="single" w:sz="8" w:color="auto"/>
            </w:tcBorders>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Net income/(loss) before tax</w:t>
            </w:r>
          </w:p>
        </w:tc>
        <w:tc>
          <w:tcPr>
            <w:tcW w:w="3440" w:type="dxa"/>
            <w:vAlign w:val="bottom"/>
            <w:gridSpan w:val="3"/>
          </w:tcPr>
          <w:p>
            <w:pPr>
              <w:jc w:val="right"/>
              <w:spacing w:after="0"/>
              <w:rPr>
                <w:sz w:val="20"/>
                <w:szCs w:val="20"/>
                <w:color w:val="auto"/>
              </w:rPr>
            </w:pPr>
            <w:r>
              <w:rPr>
                <w:rFonts w:ascii="Arial" w:cs="Arial" w:eastAsia="Arial" w:hAnsi="Arial"/>
                <w:sz w:val="17"/>
                <w:szCs w:val="17"/>
                <w:color w:val="auto"/>
              </w:rPr>
              <w:t>(7,096)</w:t>
            </w: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20,270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10,744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80" w:type="dxa"/>
            <w:vAlign w:val="bottom"/>
            <w:shd w:val="clear" w:color="auto" w:fill="D5EAEA"/>
          </w:tcPr>
          <w:p>
            <w:pPr>
              <w:spacing w:after="0"/>
              <w:rPr>
                <w:sz w:val="20"/>
                <w:szCs w:val="20"/>
                <w:color w:val="auto"/>
              </w:rPr>
            </w:pPr>
            <w:r>
              <w:rPr>
                <w:rFonts w:ascii="Arial" w:cs="Arial" w:eastAsia="Arial" w:hAnsi="Arial"/>
                <w:sz w:val="17"/>
                <w:szCs w:val="17"/>
                <w:color w:val="auto"/>
              </w:rPr>
              <w:t>Income taxes</w:t>
            </w:r>
          </w:p>
        </w:tc>
        <w:tc>
          <w:tcPr>
            <w:tcW w:w="21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42"/>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740" w:type="dxa"/>
            <w:vAlign w:val="bottom"/>
            <w:tcBorders>
              <w:bottom w:val="single" w:sz="8" w:color="auto"/>
            </w:tcBorders>
            <w:shd w:val="clear" w:color="auto" w:fill="D5EAEA"/>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Net income/(loss) for the period</w:t>
            </w:r>
          </w:p>
        </w:tc>
        <w:tc>
          <w:tcPr>
            <w:tcW w:w="3440" w:type="dxa"/>
            <w:vAlign w:val="bottom"/>
            <w:gridSpan w:val="3"/>
          </w:tcPr>
          <w:p>
            <w:pPr>
              <w:jc w:val="right"/>
              <w:spacing w:after="0"/>
              <w:rPr>
                <w:sz w:val="20"/>
                <w:szCs w:val="20"/>
                <w:color w:val="auto"/>
              </w:rPr>
            </w:pPr>
            <w:r>
              <w:rPr>
                <w:rFonts w:ascii="Arial" w:cs="Arial" w:eastAsia="Arial" w:hAnsi="Arial"/>
                <w:sz w:val="17"/>
                <w:szCs w:val="17"/>
                <w:color w:val="auto"/>
              </w:rPr>
              <w:t>(7,096)</w:t>
            </w: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20,270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10,744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160" w:type="dxa"/>
            <w:vAlign w:val="bottom"/>
            <w:vMerge w:val="restart"/>
          </w:tcPr>
          <w:p>
            <w:pPr>
              <w:jc w:val="right"/>
              <w:ind w:right="1793"/>
              <w:spacing w:after="0"/>
              <w:rPr>
                <w:sz w:val="20"/>
                <w:szCs w:val="20"/>
                <w:color w:val="auto"/>
              </w:rPr>
            </w:pPr>
            <w:r>
              <w:rPr>
                <w:rFonts w:ascii="Arial" w:cs="Arial" w:eastAsia="Arial" w:hAnsi="Arial"/>
                <w:sz w:val="17"/>
                <w:szCs w:val="17"/>
                <w:color w:val="auto"/>
              </w:rPr>
              <w:t>3</w:t>
            </w: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9"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760" w:type="dxa"/>
            <w:vAlign w:val="bottom"/>
            <w:gridSpan w:val="2"/>
            <w:vMerge w:val="restart"/>
          </w:tcPr>
          <w:p>
            <w:pPr>
              <w:ind w:left="2340"/>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3640" w:type="dxa"/>
            <w:vAlign w:val="bottom"/>
            <w:tcBorders>
              <w:bottom w:val="single" w:sz="8" w:color="auto"/>
            </w:tcBorders>
            <w:gridSpan w:val="5"/>
          </w:tcPr>
          <w:p>
            <w:pPr>
              <w:jc w:val="right"/>
              <w:ind w:right="697"/>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gridSpan w:val="2"/>
            <w:vMerge w:val="continue"/>
          </w:tcPr>
          <w:p>
            <w:pPr>
              <w:spacing w:after="0"/>
              <w:rPr>
                <w:sz w:val="12"/>
                <w:szCs w:val="12"/>
                <w:color w:val="auto"/>
              </w:rPr>
            </w:pPr>
          </w:p>
        </w:tc>
        <w:tc>
          <w:tcPr>
            <w:tcW w:w="1160" w:type="dxa"/>
            <w:vAlign w:val="bottom"/>
          </w:tcPr>
          <w:p>
            <w:pPr>
              <w:jc w:val="right"/>
              <w:ind w:right="359"/>
              <w:spacing w:after="0" w:line="14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14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120" w:type="dxa"/>
            <w:vAlign w:val="bottom"/>
          </w:tcPr>
          <w:p>
            <w:pPr>
              <w:jc w:val="right"/>
              <w:ind w:right="337"/>
              <w:spacing w:after="0" w:line="149"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6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Earnings per share in CHF (basic)(1)(2)</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(0.14)</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7"/>
              <w:spacing w:after="0"/>
              <w:rPr>
                <w:sz w:val="20"/>
                <w:szCs w:val="20"/>
                <w:color w:val="auto"/>
              </w:rPr>
            </w:pPr>
            <w:r>
              <w:rPr>
                <w:rFonts w:ascii="Arial" w:cs="Arial" w:eastAsia="Arial" w:hAnsi="Arial"/>
                <w:sz w:val="17"/>
                <w:szCs w:val="17"/>
                <w:color w:val="auto"/>
              </w:rPr>
              <w:t>0.47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7"/>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Earnings per share in CHF (fully diluted)(2)</w:t>
            </w:r>
          </w:p>
        </w:tc>
        <w:tc>
          <w:tcPr>
            <w:tcW w:w="1160" w:type="dxa"/>
            <w:vAlign w:val="bottom"/>
          </w:tcPr>
          <w:p>
            <w:pPr>
              <w:jc w:val="right"/>
              <w:spacing w:after="0"/>
              <w:rPr>
                <w:sz w:val="20"/>
                <w:szCs w:val="20"/>
                <w:color w:val="auto"/>
              </w:rPr>
            </w:pPr>
            <w:r>
              <w:rPr>
                <w:rFonts w:ascii="Arial" w:cs="Arial" w:eastAsia="Arial" w:hAnsi="Arial"/>
                <w:sz w:val="17"/>
                <w:szCs w:val="17"/>
                <w:color w:val="auto"/>
              </w:rPr>
              <w:t>(0.14)</w:t>
            </w:r>
          </w:p>
        </w:tc>
        <w:tc>
          <w:tcPr>
            <w:tcW w:w="12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0.44</w:t>
            </w:r>
          </w:p>
        </w:tc>
        <w:tc>
          <w:tcPr>
            <w:tcW w:w="100" w:type="dxa"/>
            <w:vAlign w:val="bottom"/>
          </w:tcPr>
          <w:p>
            <w:pPr>
              <w:spacing w:after="0"/>
              <w:rPr>
                <w:sz w:val="18"/>
                <w:szCs w:val="18"/>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Weighted-average number of shares used to compute earnings per share basic</w:t>
            </w:r>
          </w:p>
        </w:tc>
        <w:tc>
          <w:tcPr>
            <w:tcW w:w="1160" w:type="dxa"/>
            <w:vAlign w:val="bottom"/>
            <w:shd w:val="clear" w:color="auto" w:fill="D5EAEA"/>
          </w:tcPr>
          <w:p>
            <w:pPr>
              <w:jc w:val="right"/>
              <w:ind w:right="39"/>
              <w:spacing w:after="0"/>
              <w:rPr>
                <w:sz w:val="20"/>
                <w:szCs w:val="20"/>
                <w:color w:val="auto"/>
              </w:rPr>
            </w:pPr>
            <w:r>
              <w:rPr>
                <w:rFonts w:ascii="Arial" w:cs="Arial" w:eastAsia="Arial" w:hAnsi="Arial"/>
                <w:sz w:val="17"/>
                <w:szCs w:val="17"/>
                <w:color w:val="auto"/>
              </w:rPr>
              <w:t>50,096,859</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7"/>
              <w:spacing w:after="0"/>
              <w:rPr>
                <w:sz w:val="20"/>
                <w:szCs w:val="20"/>
                <w:color w:val="auto"/>
              </w:rPr>
            </w:pPr>
            <w:r>
              <w:rPr>
                <w:rFonts w:ascii="Arial" w:cs="Arial" w:eastAsia="Arial" w:hAnsi="Arial"/>
                <w:sz w:val="17"/>
                <w:szCs w:val="17"/>
                <w:color w:val="auto"/>
              </w:rPr>
              <w:t>43,412,250</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7"/>
              <w:spacing w:after="0"/>
              <w:rPr>
                <w:sz w:val="20"/>
                <w:szCs w:val="20"/>
                <w:color w:val="auto"/>
              </w:rPr>
            </w:pPr>
            <w:r>
              <w:rPr>
                <w:rFonts w:ascii="Arial" w:cs="Arial" w:eastAsia="Arial" w:hAnsi="Arial"/>
                <w:sz w:val="17"/>
                <w:szCs w:val="17"/>
                <w:color w:val="auto"/>
              </w:rPr>
              <w:t>42,684,750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Weighted-average number of shares used to compute earnings per share fully diluted</w:t>
            </w: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50,096,859</w:t>
            </w:r>
          </w:p>
        </w:tc>
        <w:tc>
          <w:tcPr>
            <w:tcW w:w="1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46,043,198</w:t>
            </w:r>
          </w:p>
        </w:tc>
        <w:tc>
          <w:tcPr>
            <w:tcW w:w="10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45,552,500</w:t>
            </w:r>
          </w:p>
        </w:tc>
        <w:tc>
          <w:tcPr>
            <w:tcW w:w="0" w:type="dxa"/>
            <w:vAlign w:val="bottom"/>
          </w:tcPr>
          <w:p>
            <w:pPr>
              <w:spacing w:after="0"/>
              <w:rPr>
                <w:sz w:val="1"/>
                <w:szCs w:val="1"/>
                <w:color w:val="auto"/>
              </w:rPr>
            </w:pPr>
          </w:p>
        </w:tc>
      </w:tr>
      <w:tr>
        <w:trPr>
          <w:trHeight w:val="220"/>
        </w:trPr>
        <w:tc>
          <w:tcPr>
            <w:tcW w:w="7660" w:type="dxa"/>
            <w:vAlign w:val="bottom"/>
            <w:gridSpan w:val="2"/>
          </w:tcPr>
          <w:p>
            <w:pPr>
              <w:spacing w:after="0"/>
              <w:rPr>
                <w:sz w:val="20"/>
                <w:szCs w:val="20"/>
                <w:color w:val="auto"/>
              </w:rPr>
            </w:pPr>
            <w:r>
              <w:rPr>
                <w:rFonts w:ascii="Arial" w:cs="Arial" w:eastAsia="Arial" w:hAnsi="Arial"/>
                <w:sz w:val="17"/>
                <w:szCs w:val="17"/>
                <w:color w:val="auto"/>
              </w:rPr>
              <w:t>_______________</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2890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0520" cy="8255"/>
                    </a:xfrm>
                    <a:prstGeom prst="rect">
                      <a:avLst/>
                    </a:prstGeom>
                    <a:noFill/>
                  </pic:spPr>
                </pic:pic>
              </a:graphicData>
            </a:graphic>
          </wp:anchor>
        </w:drawing>
      </w:r>
    </w:p>
    <w:p>
      <w:pPr>
        <w:ind w:left="320" w:right="240" w:hanging="316"/>
        <w:spacing w:after="0" w:line="270"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the periods prior to the closing of our initial public offering on September 23, 2016, earnings per share includes preferred shares outstanding. These preferred shares were converted on a one-for-one basis upon closing of our initial public offering on September 23, 2016. Amounts for fiscal years 2015 and 2014 have also been adjusted for the 250-for-1 stock split effective October 23, 2015.</w:t>
      </w:r>
    </w:p>
    <w:p>
      <w:pPr>
        <w:spacing w:after="0" w:line="172" w:lineRule="exact"/>
        <w:rPr>
          <w:rFonts w:ascii="Arial" w:cs="Arial" w:eastAsia="Arial" w:hAnsi="Arial"/>
          <w:sz w:val="17"/>
          <w:szCs w:val="17"/>
          <w:color w:val="auto"/>
        </w:rPr>
      </w:pPr>
    </w:p>
    <w:p>
      <w:pPr>
        <w:ind w:left="320" w:hanging="316"/>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Earnings per share calculations do not give effect to the Series E Private Placement Extension or the CS AG Share Issuance.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2"/>
              </w:rPr>
              <w:t>As of December 31,</w:t>
            </w:r>
          </w:p>
        </w:tc>
        <w:tc>
          <w:tcPr>
            <w:tcW w:w="960" w:type="dxa"/>
            <w:vAlign w:val="bottom"/>
            <w:tcBorders>
              <w:bottom w:val="single" w:sz="8" w:color="auto"/>
            </w:tcBorders>
          </w:tcPr>
          <w:p>
            <w:pPr>
              <w:spacing w:after="0"/>
              <w:rPr>
                <w:sz w:val="14"/>
                <w:szCs w:val="14"/>
                <w:color w:val="auto"/>
              </w:rPr>
            </w:pPr>
          </w:p>
        </w:tc>
      </w:tr>
      <w:tr>
        <w:trPr>
          <w:trHeight w:val="149"/>
        </w:trPr>
        <w:tc>
          <w:tcPr>
            <w:tcW w:w="7780" w:type="dxa"/>
            <w:vAlign w:val="bottom"/>
          </w:tcPr>
          <w:p>
            <w:pPr>
              <w:spacing w:after="0"/>
              <w:rPr>
                <w:sz w:val="12"/>
                <w:szCs w:val="12"/>
                <w:color w:val="auto"/>
              </w:rPr>
            </w:pPr>
          </w:p>
        </w:tc>
        <w:tc>
          <w:tcPr>
            <w:tcW w:w="1180" w:type="dxa"/>
            <w:vAlign w:val="bottom"/>
            <w:tcBorders>
              <w:bottom w:val="single" w:sz="8" w:color="auto"/>
            </w:tcBorders>
          </w:tcPr>
          <w:p>
            <w:pPr>
              <w:jc w:val="right"/>
              <w:ind w:right="376"/>
              <w:spacing w:after="0" w:line="149" w:lineRule="exact"/>
              <w:rPr>
                <w:sz w:val="20"/>
                <w:szCs w:val="20"/>
                <w:color w:val="auto"/>
              </w:rPr>
            </w:pPr>
            <w:r>
              <w:rPr>
                <w:rFonts w:ascii="Arial" w:cs="Arial" w:eastAsia="Arial" w:hAnsi="Arial"/>
                <w:sz w:val="14"/>
                <w:szCs w:val="14"/>
                <w:b w:val="1"/>
                <w:bCs w:val="1"/>
                <w:color w:val="auto"/>
              </w:rPr>
              <w:t>2016</w:t>
            </w:r>
          </w:p>
        </w:tc>
        <w:tc>
          <w:tcPr>
            <w:tcW w:w="1500" w:type="dxa"/>
            <w:vAlign w:val="bottom"/>
            <w:tcBorders>
              <w:bottom w:val="single" w:sz="8" w:color="auto"/>
            </w:tcBorders>
          </w:tcPr>
          <w:p>
            <w:pPr>
              <w:jc w:val="right"/>
              <w:ind w:right="619"/>
              <w:spacing w:after="0" w:line="149"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jc w:val="right"/>
              <w:ind w:right="336"/>
              <w:spacing w:after="0" w:line="149" w:lineRule="exact"/>
              <w:rPr>
                <w:sz w:val="20"/>
                <w:szCs w:val="20"/>
                <w:color w:val="auto"/>
              </w:rPr>
            </w:pPr>
            <w:r>
              <w:rPr>
                <w:rFonts w:ascii="Arial" w:cs="Arial" w:eastAsia="Arial" w:hAnsi="Arial"/>
                <w:sz w:val="14"/>
                <w:szCs w:val="14"/>
                <w:b w:val="1"/>
                <w:bCs w:val="1"/>
                <w:color w:val="auto"/>
              </w:rPr>
              <w:t>2014</w:t>
            </w:r>
          </w:p>
        </w:tc>
      </w:tr>
      <w:tr>
        <w:trPr>
          <w:trHeight w:val="136"/>
        </w:trPr>
        <w:tc>
          <w:tcPr>
            <w:tcW w:w="7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tcPr>
          <w:p>
            <w:pPr>
              <w:jc w:val="right"/>
              <w:ind w:right="359"/>
              <w:spacing w:after="0" w:line="136" w:lineRule="exact"/>
              <w:rPr>
                <w:sz w:val="20"/>
                <w:szCs w:val="20"/>
                <w:color w:val="auto"/>
              </w:rPr>
            </w:pPr>
            <w:r>
              <w:rPr>
                <w:rFonts w:ascii="Arial" w:cs="Arial" w:eastAsia="Arial" w:hAnsi="Arial"/>
                <w:sz w:val="14"/>
                <w:szCs w:val="14"/>
                <w:b w:val="1"/>
                <w:bCs w:val="1"/>
                <w:color w:val="auto"/>
              </w:rPr>
              <w:t>(in CHF ‘000)</w:t>
            </w:r>
          </w:p>
        </w:tc>
        <w:tc>
          <w:tcPr>
            <w:tcW w:w="960" w:type="dxa"/>
            <w:vAlign w:val="bottom"/>
          </w:tcPr>
          <w:p>
            <w:pPr>
              <w:spacing w:after="0"/>
              <w:rPr>
                <w:sz w:val="11"/>
                <w:szCs w:val="11"/>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Cash and cash equivalents</w:t>
            </w:r>
          </w:p>
        </w:tc>
        <w:tc>
          <w:tcPr>
            <w:tcW w:w="1180" w:type="dxa"/>
            <w:vAlign w:val="bottom"/>
            <w:shd w:val="clear" w:color="auto" w:fill="D5EAEA"/>
          </w:tcPr>
          <w:p>
            <w:pPr>
              <w:jc w:val="right"/>
              <w:ind w:right="56"/>
              <w:spacing w:after="0"/>
              <w:rPr>
                <w:sz w:val="20"/>
                <w:szCs w:val="20"/>
                <w:color w:val="auto"/>
              </w:rPr>
            </w:pPr>
            <w:r>
              <w:rPr>
                <w:rFonts w:ascii="Arial" w:cs="Arial" w:eastAsia="Arial" w:hAnsi="Arial"/>
                <w:sz w:val="17"/>
                <w:szCs w:val="17"/>
                <w:color w:val="auto"/>
              </w:rPr>
              <w:t>152,210</w:t>
            </w:r>
          </w:p>
        </w:tc>
        <w:tc>
          <w:tcPr>
            <w:tcW w:w="1500" w:type="dxa"/>
            <w:vAlign w:val="bottom"/>
            <w:shd w:val="clear" w:color="auto" w:fill="D5EAEA"/>
          </w:tcPr>
          <w:p>
            <w:pPr>
              <w:jc w:val="right"/>
              <w:ind w:right="279"/>
              <w:spacing w:after="0"/>
              <w:rPr>
                <w:sz w:val="20"/>
                <w:szCs w:val="20"/>
                <w:color w:val="auto"/>
              </w:rPr>
            </w:pPr>
            <w:r>
              <w:rPr>
                <w:rFonts w:ascii="Arial" w:cs="Arial" w:eastAsia="Arial" w:hAnsi="Arial"/>
                <w:sz w:val="17"/>
                <w:szCs w:val="17"/>
                <w:color w:val="auto"/>
              </w:rPr>
              <w:t>76,522</w:t>
            </w:r>
          </w:p>
        </w:tc>
        <w:tc>
          <w:tcPr>
            <w:tcW w:w="960" w:type="dxa"/>
            <w:vAlign w:val="bottom"/>
            <w:shd w:val="clear" w:color="auto" w:fill="D5EAEA"/>
          </w:tcPr>
          <w:p>
            <w:pPr>
              <w:jc w:val="right"/>
              <w:ind w:right="16"/>
              <w:spacing w:after="0"/>
              <w:rPr>
                <w:sz w:val="20"/>
                <w:szCs w:val="20"/>
                <w:color w:val="auto"/>
              </w:rPr>
            </w:pPr>
            <w:r>
              <w:rPr>
                <w:rFonts w:ascii="Arial" w:cs="Arial" w:eastAsia="Arial" w:hAnsi="Arial"/>
                <w:sz w:val="17"/>
                <w:szCs w:val="17"/>
                <w:color w:val="auto"/>
              </w:rPr>
              <w:t>3,306</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Total assets</w:t>
            </w:r>
          </w:p>
        </w:tc>
        <w:tc>
          <w:tcPr>
            <w:tcW w:w="1180" w:type="dxa"/>
            <w:vAlign w:val="bottom"/>
          </w:tcPr>
          <w:p>
            <w:pPr>
              <w:jc w:val="right"/>
              <w:ind w:right="56"/>
              <w:spacing w:after="0"/>
              <w:rPr>
                <w:sz w:val="20"/>
                <w:szCs w:val="20"/>
                <w:color w:val="auto"/>
              </w:rPr>
            </w:pPr>
            <w:r>
              <w:rPr>
                <w:rFonts w:ascii="Arial" w:cs="Arial" w:eastAsia="Arial" w:hAnsi="Arial"/>
                <w:sz w:val="17"/>
                <w:szCs w:val="17"/>
                <w:color w:val="auto"/>
              </w:rPr>
              <w:t>156,100</w:t>
            </w:r>
          </w:p>
        </w:tc>
        <w:tc>
          <w:tcPr>
            <w:tcW w:w="1500" w:type="dxa"/>
            <w:vAlign w:val="bottom"/>
          </w:tcPr>
          <w:p>
            <w:pPr>
              <w:jc w:val="right"/>
              <w:ind w:right="279"/>
              <w:spacing w:after="0"/>
              <w:rPr>
                <w:sz w:val="20"/>
                <w:szCs w:val="20"/>
                <w:color w:val="auto"/>
              </w:rPr>
            </w:pPr>
            <w:r>
              <w:rPr>
                <w:rFonts w:ascii="Arial" w:cs="Arial" w:eastAsia="Arial" w:hAnsi="Arial"/>
                <w:sz w:val="17"/>
                <w:szCs w:val="17"/>
                <w:color w:val="auto"/>
              </w:rPr>
              <w:t>79,931</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30,296</w:t>
            </w: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Accumulated deficit</w:t>
            </w:r>
          </w:p>
        </w:tc>
        <w:tc>
          <w:tcPr>
            <w:tcW w:w="11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(46,921)</w:t>
            </w:r>
          </w:p>
        </w:tc>
        <w:tc>
          <w:tcPr>
            <w:tcW w:w="1500" w:type="dxa"/>
            <w:vAlign w:val="bottom"/>
            <w:shd w:val="clear" w:color="auto" w:fill="D5EAEA"/>
          </w:tcPr>
          <w:p>
            <w:pPr>
              <w:jc w:val="right"/>
              <w:ind w:right="219"/>
              <w:spacing w:after="0"/>
              <w:rPr>
                <w:sz w:val="20"/>
                <w:szCs w:val="20"/>
                <w:color w:val="auto"/>
              </w:rPr>
            </w:pPr>
            <w:r>
              <w:rPr>
                <w:rFonts w:ascii="Arial" w:cs="Arial" w:eastAsia="Arial" w:hAnsi="Arial"/>
                <w:sz w:val="17"/>
                <w:szCs w:val="17"/>
                <w:color w:val="auto"/>
              </w:rPr>
              <w:t>(40,381)</w:t>
            </w:r>
          </w:p>
        </w:tc>
        <w:tc>
          <w:tcPr>
            <w:tcW w:w="9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(60,455)</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Total equity</w:t>
            </w:r>
          </w:p>
        </w:tc>
        <w:tc>
          <w:tcPr>
            <w:tcW w:w="1180" w:type="dxa"/>
            <w:vAlign w:val="bottom"/>
          </w:tcPr>
          <w:p>
            <w:pPr>
              <w:jc w:val="right"/>
              <w:ind w:right="56"/>
              <w:spacing w:after="0"/>
              <w:rPr>
                <w:sz w:val="20"/>
                <w:szCs w:val="20"/>
                <w:color w:val="auto"/>
              </w:rPr>
            </w:pPr>
            <w:r>
              <w:rPr>
                <w:rFonts w:ascii="Arial" w:cs="Arial" w:eastAsia="Arial" w:hAnsi="Arial"/>
                <w:sz w:val="17"/>
                <w:szCs w:val="17"/>
                <w:color w:val="auto"/>
              </w:rPr>
              <w:t>142,380</w:t>
            </w:r>
          </w:p>
        </w:tc>
        <w:tc>
          <w:tcPr>
            <w:tcW w:w="1500" w:type="dxa"/>
            <w:vAlign w:val="bottom"/>
          </w:tcPr>
          <w:p>
            <w:pPr>
              <w:jc w:val="right"/>
              <w:ind w:right="279"/>
              <w:spacing w:after="0"/>
              <w:rPr>
                <w:sz w:val="20"/>
                <w:szCs w:val="20"/>
                <w:color w:val="auto"/>
              </w:rPr>
            </w:pPr>
            <w:r>
              <w:rPr>
                <w:rFonts w:ascii="Arial" w:cs="Arial" w:eastAsia="Arial" w:hAnsi="Arial"/>
                <w:sz w:val="17"/>
                <w:szCs w:val="17"/>
                <w:color w:val="auto"/>
              </w:rPr>
              <w:t>71,043</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23,467</w:t>
            </w: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Total equity and liabilities</w:t>
            </w:r>
          </w:p>
        </w:tc>
        <w:tc>
          <w:tcPr>
            <w:tcW w:w="1180" w:type="dxa"/>
            <w:vAlign w:val="bottom"/>
            <w:shd w:val="clear" w:color="auto" w:fill="D5EAEA"/>
          </w:tcPr>
          <w:p>
            <w:pPr>
              <w:jc w:val="right"/>
              <w:ind w:right="56"/>
              <w:spacing w:after="0"/>
              <w:rPr>
                <w:sz w:val="20"/>
                <w:szCs w:val="20"/>
                <w:color w:val="auto"/>
              </w:rPr>
            </w:pPr>
            <w:r>
              <w:rPr>
                <w:rFonts w:ascii="Arial" w:cs="Arial" w:eastAsia="Arial" w:hAnsi="Arial"/>
                <w:sz w:val="17"/>
                <w:szCs w:val="17"/>
                <w:color w:val="auto"/>
              </w:rPr>
              <w:t>156,100</w:t>
            </w:r>
          </w:p>
        </w:tc>
        <w:tc>
          <w:tcPr>
            <w:tcW w:w="1500" w:type="dxa"/>
            <w:vAlign w:val="bottom"/>
            <w:shd w:val="clear" w:color="auto" w:fill="D5EAEA"/>
          </w:tcPr>
          <w:p>
            <w:pPr>
              <w:jc w:val="right"/>
              <w:ind w:right="279"/>
              <w:spacing w:after="0"/>
              <w:rPr>
                <w:sz w:val="20"/>
                <w:szCs w:val="20"/>
                <w:color w:val="auto"/>
              </w:rPr>
            </w:pPr>
            <w:r>
              <w:rPr>
                <w:rFonts w:ascii="Arial" w:cs="Arial" w:eastAsia="Arial" w:hAnsi="Arial"/>
                <w:sz w:val="17"/>
                <w:szCs w:val="17"/>
                <w:color w:val="auto"/>
              </w:rPr>
              <w:t>79,931</w:t>
            </w:r>
          </w:p>
        </w:tc>
        <w:tc>
          <w:tcPr>
            <w:tcW w:w="960" w:type="dxa"/>
            <w:vAlign w:val="bottom"/>
            <w:shd w:val="clear" w:color="auto" w:fill="D5EAEA"/>
          </w:tcPr>
          <w:p>
            <w:pPr>
              <w:jc w:val="right"/>
              <w:ind w:right="16"/>
              <w:spacing w:after="0"/>
              <w:rPr>
                <w:sz w:val="20"/>
                <w:szCs w:val="20"/>
                <w:color w:val="auto"/>
              </w:rPr>
            </w:pPr>
            <w:r>
              <w:rPr>
                <w:rFonts w:ascii="Arial" w:cs="Arial" w:eastAsia="Arial" w:hAnsi="Arial"/>
                <w:sz w:val="17"/>
                <w:szCs w:val="17"/>
                <w:color w:val="auto"/>
              </w:rPr>
              <w:t>30,296</w:t>
            </w:r>
          </w:p>
        </w:tc>
      </w:tr>
      <w:tr>
        <w:trPr>
          <w:trHeight w:val="220"/>
        </w:trPr>
        <w:tc>
          <w:tcPr>
            <w:tcW w:w="7780" w:type="dxa"/>
            <w:vAlign w:val="bottom"/>
          </w:tcPr>
          <w:p>
            <w:pPr>
              <w:spacing w:after="0"/>
              <w:rPr>
                <w:sz w:val="20"/>
                <w:szCs w:val="20"/>
                <w:color w:val="auto"/>
              </w:rPr>
            </w:pPr>
            <w:r>
              <w:rPr>
                <w:rFonts w:ascii="Arial" w:cs="Arial" w:eastAsia="Arial" w:hAnsi="Arial"/>
                <w:sz w:val="17"/>
                <w:szCs w:val="17"/>
                <w:color w:val="auto"/>
              </w:rPr>
              <w:t>Share capital</w:t>
            </w:r>
          </w:p>
        </w:tc>
        <w:tc>
          <w:tcPr>
            <w:tcW w:w="1180" w:type="dxa"/>
            <w:vAlign w:val="bottom"/>
          </w:tcPr>
          <w:p>
            <w:pPr>
              <w:jc w:val="right"/>
              <w:ind w:right="56"/>
              <w:spacing w:after="0"/>
              <w:rPr>
                <w:sz w:val="20"/>
                <w:szCs w:val="20"/>
                <w:color w:val="auto"/>
              </w:rPr>
            </w:pPr>
            <w:r>
              <w:rPr>
                <w:rFonts w:ascii="Arial" w:cs="Arial" w:eastAsia="Arial" w:hAnsi="Arial"/>
                <w:sz w:val="17"/>
                <w:szCs w:val="17"/>
                <w:color w:val="auto"/>
              </w:rPr>
              <w:t>1,135</w:t>
            </w:r>
          </w:p>
        </w:tc>
        <w:tc>
          <w:tcPr>
            <w:tcW w:w="1500" w:type="dxa"/>
            <w:vAlign w:val="bottom"/>
          </w:tcPr>
          <w:p>
            <w:pPr>
              <w:jc w:val="right"/>
              <w:ind w:right="279"/>
              <w:spacing w:after="0"/>
              <w:rPr>
                <w:sz w:val="20"/>
                <w:szCs w:val="20"/>
                <w:color w:val="auto"/>
              </w:rPr>
            </w:pPr>
            <w:r>
              <w:rPr>
                <w:rFonts w:ascii="Arial" w:cs="Arial" w:eastAsia="Arial" w:hAnsi="Arial"/>
                <w:sz w:val="17"/>
                <w:szCs w:val="17"/>
                <w:color w:val="auto"/>
              </w:rPr>
              <w:t>928</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854</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Rate Information</w:t>
      </w:r>
    </w:p>
    <w:p>
      <w:pPr>
        <w:spacing w:after="0" w:line="227"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March 10, 2017, the exchange rate as reported by the U.S. Federal Reserve Bank was CHF 1.0104 to $1.00. In this Annual Report, translations from CHF to U.S. dollars were made at the rate of CHF 1.0160 to $1.00, the official exchange rate quoted as of December 31, 2016 by the U.S. Federal Reserve Bank.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8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(CHF per U.S. dollar)</w:t>
            </w:r>
          </w:p>
        </w:tc>
        <w:tc>
          <w:tcPr>
            <w:tcW w:w="174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Period-end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Average for Period</w:t>
            </w: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rPr>
              <w:t>Low</w:t>
            </w: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36"/>
        </w:trPr>
        <w:tc>
          <w:tcPr>
            <w:tcW w:w="478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Years Ended December 31:</w:t>
            </w:r>
          </w:p>
        </w:tc>
        <w:tc>
          <w:tcPr>
            <w:tcW w:w="174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7"/>
                <w:szCs w:val="17"/>
                <w:color w:val="auto"/>
              </w:rPr>
              <w:t>2012</w:t>
            </w:r>
          </w:p>
        </w:tc>
        <w:tc>
          <w:tcPr>
            <w:tcW w:w="2900" w:type="dxa"/>
            <w:vAlign w:val="bottom"/>
            <w:gridSpan w:val="2"/>
          </w:tcPr>
          <w:p>
            <w:pPr>
              <w:jc w:val="right"/>
              <w:ind w:right="51"/>
              <w:spacing w:after="0"/>
              <w:rPr>
                <w:sz w:val="20"/>
                <w:szCs w:val="20"/>
                <w:color w:val="auto"/>
              </w:rPr>
            </w:pPr>
            <w:r>
              <w:rPr>
                <w:rFonts w:ascii="Arial" w:cs="Arial" w:eastAsia="Arial" w:hAnsi="Arial"/>
                <w:sz w:val="17"/>
                <w:szCs w:val="17"/>
                <w:color w:val="auto"/>
              </w:rPr>
              <w:t>0.9155</w:t>
            </w:r>
          </w:p>
        </w:tc>
        <w:tc>
          <w:tcPr>
            <w:tcW w:w="1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0.9337</w:t>
            </w:r>
          </w:p>
        </w:tc>
        <w:tc>
          <w:tcPr>
            <w:tcW w:w="10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0.8949</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0.9957</w:t>
            </w:r>
          </w:p>
        </w:tc>
        <w:tc>
          <w:tcPr>
            <w:tcW w:w="0" w:type="dxa"/>
            <w:vAlign w:val="bottom"/>
          </w:tcPr>
          <w:p>
            <w:pPr>
              <w:spacing w:after="0"/>
              <w:rPr>
                <w:sz w:val="1"/>
                <w:szCs w:val="1"/>
                <w:color w:val="auto"/>
              </w:rPr>
            </w:pPr>
          </w:p>
        </w:tc>
      </w:tr>
      <w:tr>
        <w:trPr>
          <w:trHeight w:val="208"/>
        </w:trPr>
        <w:tc>
          <w:tcPr>
            <w:tcW w:w="4780" w:type="dxa"/>
            <w:vAlign w:val="bottom"/>
            <w:shd w:val="clear" w:color="auto" w:fill="D5EAEA"/>
          </w:tcPr>
          <w:p>
            <w:pPr>
              <w:spacing w:after="0"/>
              <w:rPr>
                <w:sz w:val="20"/>
                <w:szCs w:val="20"/>
                <w:color w:val="auto"/>
              </w:rPr>
            </w:pPr>
            <w:r>
              <w:rPr>
                <w:rFonts w:ascii="Arial" w:cs="Arial" w:eastAsia="Arial" w:hAnsi="Arial"/>
                <w:sz w:val="17"/>
                <w:szCs w:val="17"/>
                <w:color w:val="auto"/>
              </w:rPr>
              <w:t>2013</w:t>
            </w:r>
          </w:p>
        </w:tc>
        <w:tc>
          <w:tcPr>
            <w:tcW w:w="2900" w:type="dxa"/>
            <w:vAlign w:val="bottom"/>
            <w:gridSpan w:val="2"/>
            <w:shd w:val="clear" w:color="auto" w:fill="D5EAEA"/>
          </w:tcPr>
          <w:p>
            <w:pPr>
              <w:jc w:val="right"/>
              <w:ind w:right="51"/>
              <w:spacing w:after="0"/>
              <w:rPr>
                <w:sz w:val="20"/>
                <w:szCs w:val="20"/>
                <w:color w:val="auto"/>
              </w:rPr>
            </w:pPr>
            <w:r>
              <w:rPr>
                <w:rFonts w:ascii="Arial" w:cs="Arial" w:eastAsia="Arial" w:hAnsi="Arial"/>
                <w:sz w:val="17"/>
                <w:szCs w:val="17"/>
                <w:color w:val="auto"/>
              </w:rPr>
              <w:t>0.8904</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5"/>
              <w:spacing w:after="0"/>
              <w:rPr>
                <w:sz w:val="20"/>
                <w:szCs w:val="20"/>
                <w:color w:val="auto"/>
              </w:rPr>
            </w:pPr>
            <w:r>
              <w:rPr>
                <w:rFonts w:ascii="Arial" w:cs="Arial" w:eastAsia="Arial" w:hAnsi="Arial"/>
                <w:sz w:val="17"/>
                <w:szCs w:val="17"/>
                <w:color w:val="auto"/>
              </w:rPr>
              <w:t>0.9269</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0.8856</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0.9814</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7"/>
                <w:szCs w:val="17"/>
                <w:color w:val="auto"/>
              </w:rPr>
              <w:t>2014</w:t>
            </w:r>
          </w:p>
        </w:tc>
        <w:tc>
          <w:tcPr>
            <w:tcW w:w="2900" w:type="dxa"/>
            <w:vAlign w:val="bottom"/>
            <w:gridSpan w:val="2"/>
          </w:tcPr>
          <w:p>
            <w:pPr>
              <w:jc w:val="right"/>
              <w:ind w:right="51"/>
              <w:spacing w:after="0"/>
              <w:rPr>
                <w:sz w:val="20"/>
                <w:szCs w:val="20"/>
                <w:color w:val="auto"/>
              </w:rPr>
            </w:pPr>
            <w:r>
              <w:rPr>
                <w:rFonts w:ascii="Arial" w:cs="Arial" w:eastAsia="Arial" w:hAnsi="Arial"/>
                <w:sz w:val="17"/>
                <w:szCs w:val="17"/>
                <w:color w:val="auto"/>
              </w:rPr>
              <w:t>0.9934</w:t>
            </w:r>
          </w:p>
        </w:tc>
        <w:tc>
          <w:tcPr>
            <w:tcW w:w="1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0.9147</w:t>
            </w:r>
          </w:p>
        </w:tc>
        <w:tc>
          <w:tcPr>
            <w:tcW w:w="10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0.8712</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0.9934</w:t>
            </w:r>
          </w:p>
        </w:tc>
        <w:tc>
          <w:tcPr>
            <w:tcW w:w="0" w:type="dxa"/>
            <w:vAlign w:val="bottom"/>
          </w:tcPr>
          <w:p>
            <w:pPr>
              <w:spacing w:after="0"/>
              <w:rPr>
                <w:sz w:val="1"/>
                <w:szCs w:val="1"/>
                <w:color w:val="auto"/>
              </w:rPr>
            </w:pPr>
          </w:p>
        </w:tc>
      </w:tr>
      <w:tr>
        <w:trPr>
          <w:trHeight w:val="208"/>
        </w:trPr>
        <w:tc>
          <w:tcPr>
            <w:tcW w:w="4780" w:type="dxa"/>
            <w:vAlign w:val="bottom"/>
            <w:shd w:val="clear" w:color="auto" w:fill="D5EAEA"/>
          </w:tcPr>
          <w:p>
            <w:pPr>
              <w:spacing w:after="0"/>
              <w:rPr>
                <w:sz w:val="20"/>
                <w:szCs w:val="20"/>
                <w:color w:val="auto"/>
              </w:rPr>
            </w:pPr>
            <w:r>
              <w:rPr>
                <w:rFonts w:ascii="Arial" w:cs="Arial" w:eastAsia="Arial" w:hAnsi="Arial"/>
                <w:sz w:val="17"/>
                <w:szCs w:val="17"/>
                <w:color w:val="auto"/>
              </w:rPr>
              <w:t>2015</w:t>
            </w:r>
          </w:p>
        </w:tc>
        <w:tc>
          <w:tcPr>
            <w:tcW w:w="2900" w:type="dxa"/>
            <w:vAlign w:val="bottom"/>
            <w:gridSpan w:val="2"/>
            <w:shd w:val="clear" w:color="auto" w:fill="D5EAEA"/>
          </w:tcPr>
          <w:p>
            <w:pPr>
              <w:jc w:val="right"/>
              <w:ind w:right="51"/>
              <w:spacing w:after="0"/>
              <w:rPr>
                <w:sz w:val="20"/>
                <w:szCs w:val="20"/>
                <w:color w:val="auto"/>
              </w:rPr>
            </w:pPr>
            <w:r>
              <w:rPr>
                <w:rFonts w:ascii="Arial" w:cs="Arial" w:eastAsia="Arial" w:hAnsi="Arial"/>
                <w:sz w:val="17"/>
                <w:szCs w:val="17"/>
                <w:color w:val="auto"/>
              </w:rPr>
              <w:t>1.0017</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5"/>
              <w:spacing w:after="0"/>
              <w:rPr>
                <w:sz w:val="20"/>
                <w:szCs w:val="20"/>
                <w:color w:val="auto"/>
              </w:rPr>
            </w:pPr>
            <w:r>
              <w:rPr>
                <w:rFonts w:ascii="Arial" w:cs="Arial" w:eastAsia="Arial" w:hAnsi="Arial"/>
                <w:sz w:val="17"/>
                <w:szCs w:val="17"/>
                <w:color w:val="auto"/>
              </w:rPr>
              <w:t>0.9628</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0.8488</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1.0305</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7"/>
                <w:szCs w:val="17"/>
                <w:color w:val="auto"/>
              </w:rPr>
              <w:t>2016</w:t>
            </w:r>
          </w:p>
        </w:tc>
        <w:tc>
          <w:tcPr>
            <w:tcW w:w="2900" w:type="dxa"/>
            <w:vAlign w:val="bottom"/>
            <w:gridSpan w:val="2"/>
          </w:tcPr>
          <w:p>
            <w:pPr>
              <w:jc w:val="right"/>
              <w:ind w:right="51"/>
              <w:spacing w:after="0"/>
              <w:rPr>
                <w:sz w:val="20"/>
                <w:szCs w:val="20"/>
                <w:color w:val="auto"/>
              </w:rPr>
            </w:pPr>
            <w:r>
              <w:rPr>
                <w:rFonts w:ascii="Arial" w:cs="Arial" w:eastAsia="Arial" w:hAnsi="Arial"/>
                <w:sz w:val="17"/>
                <w:szCs w:val="17"/>
                <w:color w:val="auto"/>
              </w:rPr>
              <w:t>1.0160</w:t>
            </w:r>
          </w:p>
        </w:tc>
        <w:tc>
          <w:tcPr>
            <w:tcW w:w="1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0.9848</w:t>
            </w:r>
          </w:p>
        </w:tc>
        <w:tc>
          <w:tcPr>
            <w:tcW w:w="10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0.9536</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1.0334</w:t>
            </w:r>
          </w:p>
        </w:tc>
        <w:tc>
          <w:tcPr>
            <w:tcW w:w="0" w:type="dxa"/>
            <w:vAlign w:val="bottom"/>
          </w:tcPr>
          <w:p>
            <w:pPr>
              <w:spacing w:after="0"/>
              <w:rPr>
                <w:sz w:val="1"/>
                <w:szCs w:val="1"/>
                <w:color w:val="auto"/>
              </w:rPr>
            </w:pPr>
          </w:p>
        </w:tc>
      </w:tr>
      <w:tr>
        <w:trPr>
          <w:trHeight w:val="208"/>
        </w:trPr>
        <w:tc>
          <w:tcPr>
            <w:tcW w:w="478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Months Ended:</w:t>
            </w:r>
          </w:p>
        </w:tc>
        <w:tc>
          <w:tcPr>
            <w:tcW w:w="174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7"/>
                <w:szCs w:val="17"/>
                <w:color w:val="auto"/>
              </w:rPr>
              <w:t>September 30, 2016</w:t>
            </w:r>
          </w:p>
        </w:tc>
        <w:tc>
          <w:tcPr>
            <w:tcW w:w="2900" w:type="dxa"/>
            <w:vAlign w:val="bottom"/>
            <w:gridSpan w:val="2"/>
          </w:tcPr>
          <w:p>
            <w:pPr>
              <w:jc w:val="right"/>
              <w:ind w:right="51"/>
              <w:spacing w:after="0"/>
              <w:rPr>
                <w:sz w:val="20"/>
                <w:szCs w:val="20"/>
                <w:color w:val="auto"/>
              </w:rPr>
            </w:pPr>
            <w:r>
              <w:rPr>
                <w:rFonts w:ascii="Arial" w:cs="Arial" w:eastAsia="Arial" w:hAnsi="Arial"/>
                <w:sz w:val="17"/>
                <w:szCs w:val="17"/>
                <w:color w:val="auto"/>
              </w:rPr>
              <w:t>0.9694</w:t>
            </w:r>
          </w:p>
        </w:tc>
        <w:tc>
          <w:tcPr>
            <w:tcW w:w="1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0.9732</w:t>
            </w:r>
          </w:p>
        </w:tc>
        <w:tc>
          <w:tcPr>
            <w:tcW w:w="10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0.9655</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0.9804</w:t>
            </w:r>
          </w:p>
        </w:tc>
        <w:tc>
          <w:tcPr>
            <w:tcW w:w="0" w:type="dxa"/>
            <w:vAlign w:val="bottom"/>
          </w:tcPr>
          <w:p>
            <w:pPr>
              <w:spacing w:after="0"/>
              <w:rPr>
                <w:sz w:val="1"/>
                <w:szCs w:val="1"/>
                <w:color w:val="auto"/>
              </w:rPr>
            </w:pPr>
          </w:p>
        </w:tc>
      </w:tr>
      <w:tr>
        <w:trPr>
          <w:trHeight w:val="208"/>
        </w:trPr>
        <w:tc>
          <w:tcPr>
            <w:tcW w:w="4780" w:type="dxa"/>
            <w:vAlign w:val="bottom"/>
            <w:shd w:val="clear" w:color="auto" w:fill="D5EAEA"/>
          </w:tcPr>
          <w:p>
            <w:pPr>
              <w:spacing w:after="0"/>
              <w:rPr>
                <w:sz w:val="20"/>
                <w:szCs w:val="20"/>
                <w:color w:val="auto"/>
              </w:rPr>
            </w:pPr>
            <w:r>
              <w:rPr>
                <w:rFonts w:ascii="Arial" w:cs="Arial" w:eastAsia="Arial" w:hAnsi="Arial"/>
                <w:sz w:val="17"/>
                <w:szCs w:val="17"/>
                <w:color w:val="auto"/>
              </w:rPr>
              <w:t>October 31, 2016</w:t>
            </w:r>
          </w:p>
        </w:tc>
        <w:tc>
          <w:tcPr>
            <w:tcW w:w="2900" w:type="dxa"/>
            <w:vAlign w:val="bottom"/>
            <w:gridSpan w:val="2"/>
            <w:shd w:val="clear" w:color="auto" w:fill="D5EAEA"/>
          </w:tcPr>
          <w:p>
            <w:pPr>
              <w:jc w:val="right"/>
              <w:ind w:right="51"/>
              <w:spacing w:after="0"/>
              <w:rPr>
                <w:sz w:val="20"/>
                <w:szCs w:val="20"/>
                <w:color w:val="auto"/>
              </w:rPr>
            </w:pPr>
            <w:r>
              <w:rPr>
                <w:rFonts w:ascii="Arial" w:cs="Arial" w:eastAsia="Arial" w:hAnsi="Arial"/>
                <w:sz w:val="17"/>
                <w:szCs w:val="17"/>
                <w:color w:val="auto"/>
              </w:rPr>
              <w:t>0.9890</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5"/>
              <w:spacing w:after="0"/>
              <w:rPr>
                <w:sz w:val="20"/>
                <w:szCs w:val="20"/>
                <w:color w:val="auto"/>
              </w:rPr>
            </w:pPr>
            <w:r>
              <w:rPr>
                <w:rFonts w:ascii="Arial" w:cs="Arial" w:eastAsia="Arial" w:hAnsi="Arial"/>
                <w:sz w:val="17"/>
                <w:szCs w:val="17"/>
                <w:color w:val="auto"/>
              </w:rPr>
              <w:t>0.9876</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0.9740</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0.9951</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7"/>
                <w:szCs w:val="17"/>
                <w:color w:val="auto"/>
              </w:rPr>
              <w:t>November 30, 2016</w:t>
            </w:r>
          </w:p>
        </w:tc>
        <w:tc>
          <w:tcPr>
            <w:tcW w:w="2900" w:type="dxa"/>
            <w:vAlign w:val="bottom"/>
            <w:gridSpan w:val="2"/>
          </w:tcPr>
          <w:p>
            <w:pPr>
              <w:jc w:val="right"/>
              <w:ind w:right="51"/>
              <w:spacing w:after="0"/>
              <w:rPr>
                <w:sz w:val="20"/>
                <w:szCs w:val="20"/>
                <w:color w:val="auto"/>
              </w:rPr>
            </w:pPr>
            <w:r>
              <w:rPr>
                <w:rFonts w:ascii="Arial" w:cs="Arial" w:eastAsia="Arial" w:hAnsi="Arial"/>
                <w:sz w:val="17"/>
                <w:szCs w:val="17"/>
                <w:color w:val="auto"/>
              </w:rPr>
              <w:t>1.0187</w:t>
            </w:r>
          </w:p>
        </w:tc>
        <w:tc>
          <w:tcPr>
            <w:tcW w:w="1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0.9963</w:t>
            </w:r>
          </w:p>
        </w:tc>
        <w:tc>
          <w:tcPr>
            <w:tcW w:w="10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0.9682</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1.0187</w:t>
            </w:r>
          </w:p>
        </w:tc>
        <w:tc>
          <w:tcPr>
            <w:tcW w:w="0" w:type="dxa"/>
            <w:vAlign w:val="bottom"/>
          </w:tcPr>
          <w:p>
            <w:pPr>
              <w:spacing w:after="0"/>
              <w:rPr>
                <w:sz w:val="1"/>
                <w:szCs w:val="1"/>
                <w:color w:val="auto"/>
              </w:rPr>
            </w:pPr>
          </w:p>
        </w:tc>
      </w:tr>
      <w:tr>
        <w:trPr>
          <w:trHeight w:val="208"/>
        </w:trPr>
        <w:tc>
          <w:tcPr>
            <w:tcW w:w="4780" w:type="dxa"/>
            <w:vAlign w:val="bottom"/>
            <w:shd w:val="clear" w:color="auto" w:fill="D5EAEA"/>
          </w:tcPr>
          <w:p>
            <w:pPr>
              <w:spacing w:after="0"/>
              <w:rPr>
                <w:sz w:val="20"/>
                <w:szCs w:val="20"/>
                <w:color w:val="auto"/>
              </w:rPr>
            </w:pPr>
            <w:r>
              <w:rPr>
                <w:rFonts w:ascii="Arial" w:cs="Arial" w:eastAsia="Arial" w:hAnsi="Arial"/>
                <w:sz w:val="17"/>
                <w:szCs w:val="17"/>
                <w:color w:val="auto"/>
              </w:rPr>
              <w:t>December 31, 2016</w:t>
            </w:r>
          </w:p>
        </w:tc>
        <w:tc>
          <w:tcPr>
            <w:tcW w:w="2900" w:type="dxa"/>
            <w:vAlign w:val="bottom"/>
            <w:gridSpan w:val="2"/>
            <w:shd w:val="clear" w:color="auto" w:fill="D5EAEA"/>
          </w:tcPr>
          <w:p>
            <w:pPr>
              <w:jc w:val="right"/>
              <w:ind w:right="51"/>
              <w:spacing w:after="0"/>
              <w:rPr>
                <w:sz w:val="20"/>
                <w:szCs w:val="20"/>
                <w:color w:val="auto"/>
              </w:rPr>
            </w:pPr>
            <w:r>
              <w:rPr>
                <w:rFonts w:ascii="Arial" w:cs="Arial" w:eastAsia="Arial" w:hAnsi="Arial"/>
                <w:sz w:val="17"/>
                <w:szCs w:val="17"/>
                <w:color w:val="auto"/>
              </w:rPr>
              <w:t>1.0160</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5"/>
              <w:spacing w:after="0"/>
              <w:rPr>
                <w:sz w:val="20"/>
                <w:szCs w:val="20"/>
                <w:color w:val="auto"/>
              </w:rPr>
            </w:pPr>
            <w:r>
              <w:rPr>
                <w:rFonts w:ascii="Arial" w:cs="Arial" w:eastAsia="Arial" w:hAnsi="Arial"/>
                <w:sz w:val="17"/>
                <w:szCs w:val="17"/>
                <w:color w:val="auto"/>
              </w:rPr>
              <w:t>1.0194</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1.0065</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1.0334</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7"/>
                <w:szCs w:val="17"/>
                <w:color w:val="auto"/>
              </w:rPr>
              <w:t>January 31, 2017</w:t>
            </w:r>
          </w:p>
        </w:tc>
        <w:tc>
          <w:tcPr>
            <w:tcW w:w="2900" w:type="dxa"/>
            <w:vAlign w:val="bottom"/>
            <w:gridSpan w:val="2"/>
          </w:tcPr>
          <w:p>
            <w:pPr>
              <w:jc w:val="right"/>
              <w:ind w:right="51"/>
              <w:spacing w:after="0"/>
              <w:rPr>
                <w:sz w:val="20"/>
                <w:szCs w:val="20"/>
                <w:color w:val="auto"/>
              </w:rPr>
            </w:pPr>
            <w:r>
              <w:rPr>
                <w:rFonts w:ascii="Arial" w:cs="Arial" w:eastAsia="Arial" w:hAnsi="Arial"/>
                <w:sz w:val="17"/>
                <w:szCs w:val="17"/>
                <w:color w:val="auto"/>
              </w:rPr>
              <w:t>0.9888</w:t>
            </w:r>
          </w:p>
        </w:tc>
        <w:tc>
          <w:tcPr>
            <w:tcW w:w="1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1.0075</w:t>
            </w:r>
          </w:p>
        </w:tc>
        <w:tc>
          <w:tcPr>
            <w:tcW w:w="10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0.9888</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1.0266</w:t>
            </w:r>
          </w:p>
        </w:tc>
        <w:tc>
          <w:tcPr>
            <w:tcW w:w="0" w:type="dxa"/>
            <w:vAlign w:val="bottom"/>
          </w:tcPr>
          <w:p>
            <w:pPr>
              <w:spacing w:after="0"/>
              <w:rPr>
                <w:sz w:val="1"/>
                <w:szCs w:val="1"/>
                <w:color w:val="auto"/>
              </w:rPr>
            </w:pPr>
          </w:p>
        </w:tc>
      </w:tr>
      <w:tr>
        <w:trPr>
          <w:trHeight w:val="208"/>
        </w:trPr>
        <w:tc>
          <w:tcPr>
            <w:tcW w:w="4780" w:type="dxa"/>
            <w:vAlign w:val="bottom"/>
            <w:shd w:val="clear" w:color="auto" w:fill="D5EAEA"/>
          </w:tcPr>
          <w:p>
            <w:pPr>
              <w:spacing w:after="0"/>
              <w:rPr>
                <w:sz w:val="20"/>
                <w:szCs w:val="20"/>
                <w:color w:val="auto"/>
              </w:rPr>
            </w:pPr>
            <w:r>
              <w:rPr>
                <w:rFonts w:ascii="Arial" w:cs="Arial" w:eastAsia="Arial" w:hAnsi="Arial"/>
                <w:sz w:val="17"/>
                <w:szCs w:val="17"/>
                <w:color w:val="auto"/>
              </w:rPr>
              <w:t>February 28, 2017</w:t>
            </w:r>
          </w:p>
        </w:tc>
        <w:tc>
          <w:tcPr>
            <w:tcW w:w="2900" w:type="dxa"/>
            <w:vAlign w:val="bottom"/>
            <w:gridSpan w:val="2"/>
            <w:shd w:val="clear" w:color="auto" w:fill="D5EAEA"/>
          </w:tcPr>
          <w:p>
            <w:pPr>
              <w:jc w:val="right"/>
              <w:ind w:right="51"/>
              <w:spacing w:after="0"/>
              <w:rPr>
                <w:sz w:val="20"/>
                <w:szCs w:val="20"/>
                <w:color w:val="auto"/>
              </w:rPr>
            </w:pPr>
            <w:r>
              <w:rPr>
                <w:rFonts w:ascii="Arial" w:cs="Arial" w:eastAsia="Arial" w:hAnsi="Arial"/>
                <w:sz w:val="17"/>
                <w:szCs w:val="17"/>
                <w:color w:val="auto"/>
              </w:rPr>
              <w:t>1.0022</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5"/>
              <w:spacing w:after="0"/>
              <w:rPr>
                <w:sz w:val="20"/>
                <w:szCs w:val="20"/>
                <w:color w:val="auto"/>
              </w:rPr>
            </w:pPr>
            <w:r>
              <w:rPr>
                <w:rFonts w:ascii="Arial" w:cs="Arial" w:eastAsia="Arial" w:hAnsi="Arial"/>
                <w:sz w:val="17"/>
                <w:szCs w:val="17"/>
                <w:color w:val="auto"/>
              </w:rPr>
              <w:t>1.0010</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0.9894</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5"/>
              <w:spacing w:after="0"/>
              <w:rPr>
                <w:sz w:val="20"/>
                <w:szCs w:val="20"/>
                <w:color w:val="auto"/>
              </w:rPr>
            </w:pPr>
            <w:r>
              <w:rPr>
                <w:rFonts w:ascii="Arial" w:cs="Arial" w:eastAsia="Arial" w:hAnsi="Arial"/>
                <w:sz w:val="17"/>
                <w:szCs w:val="17"/>
                <w:color w:val="auto"/>
              </w:rPr>
              <w:t>1.0083</w:t>
            </w:r>
          </w:p>
        </w:tc>
        <w:tc>
          <w:tcPr>
            <w:tcW w:w="0" w:type="dxa"/>
            <w:vAlign w:val="bottom"/>
          </w:tcPr>
          <w:p>
            <w:pPr>
              <w:spacing w:after="0"/>
              <w:rPr>
                <w:sz w:val="1"/>
                <w:szCs w:val="1"/>
                <w:color w:val="auto"/>
              </w:rPr>
            </w:pPr>
          </w:p>
        </w:tc>
      </w:tr>
      <w:tr>
        <w:trPr>
          <w:trHeight w:val="220"/>
        </w:trPr>
        <w:tc>
          <w:tcPr>
            <w:tcW w:w="4780" w:type="dxa"/>
            <w:vAlign w:val="bottom"/>
          </w:tcPr>
          <w:p>
            <w:pPr>
              <w:spacing w:after="0"/>
              <w:rPr>
                <w:sz w:val="20"/>
                <w:szCs w:val="20"/>
                <w:color w:val="auto"/>
              </w:rPr>
            </w:pPr>
            <w:r>
              <w:rPr>
                <w:rFonts w:ascii="Arial" w:cs="Arial" w:eastAsia="Arial" w:hAnsi="Arial"/>
                <w:sz w:val="17"/>
                <w:szCs w:val="17"/>
                <w:color w:val="auto"/>
              </w:rPr>
              <w:t>March 2017 (through March 10, 2017)</w:t>
            </w:r>
          </w:p>
        </w:tc>
        <w:tc>
          <w:tcPr>
            <w:tcW w:w="2900" w:type="dxa"/>
            <w:vAlign w:val="bottom"/>
            <w:gridSpan w:val="2"/>
          </w:tcPr>
          <w:p>
            <w:pPr>
              <w:jc w:val="right"/>
              <w:ind w:right="51"/>
              <w:spacing w:after="0"/>
              <w:rPr>
                <w:sz w:val="20"/>
                <w:szCs w:val="20"/>
                <w:color w:val="auto"/>
              </w:rPr>
            </w:pPr>
            <w:r>
              <w:rPr>
                <w:rFonts w:ascii="Arial" w:cs="Arial" w:eastAsia="Arial" w:hAnsi="Arial"/>
                <w:sz w:val="17"/>
                <w:szCs w:val="17"/>
                <w:color w:val="auto"/>
              </w:rPr>
              <w:t>1.0104</w:t>
            </w:r>
          </w:p>
        </w:tc>
        <w:tc>
          <w:tcPr>
            <w:tcW w:w="1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1.0117</w:t>
            </w:r>
          </w:p>
        </w:tc>
        <w:tc>
          <w:tcPr>
            <w:tcW w:w="1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1.0072</w:t>
            </w:r>
          </w:p>
        </w:tc>
        <w:tc>
          <w:tcPr>
            <w:tcW w:w="10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1.0146</w:t>
            </w:r>
          </w:p>
        </w:tc>
        <w:tc>
          <w:tcPr>
            <w:tcW w:w="0" w:type="dxa"/>
            <w:vAlign w:val="bottom"/>
          </w:tcPr>
          <w:p>
            <w:pPr>
              <w:spacing w:after="0"/>
              <w:rPr>
                <w:sz w:val="1"/>
                <w:szCs w:val="1"/>
                <w:color w:val="auto"/>
              </w:rPr>
            </w:pPr>
          </w:p>
        </w:tc>
      </w:tr>
      <w:tr>
        <w:trPr>
          <w:trHeight w:val="716"/>
        </w:trPr>
        <w:tc>
          <w:tcPr>
            <w:tcW w:w="47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rPr>
              <w:t>4</w:t>
            </w: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2" w:right="239" w:bottom="1440" w:gutter="0" w:footer="0" w:header="0"/>
        </w:sectPr>
      </w:pPr>
    </w:p>
    <w:bookmarkStart w:id="8" w:name="page9"/>
    <w:bookmarkEnd w:id="8"/>
    <w:p>
      <w:pPr>
        <w:ind w:left="320" w:right="8700" w:hanging="316"/>
        <w:spacing w:after="0" w:line="511" w:lineRule="auto"/>
        <w:tabs>
          <w:tab w:leader="none" w:pos="3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Capitalization and indebtedness </w:t>
      </w:r>
      <w:r>
        <w:rPr>
          <w:rFonts w:ascii="Arial" w:cs="Arial" w:eastAsia="Arial" w:hAnsi="Arial"/>
          <w:sz w:val="17"/>
          <w:szCs w:val="17"/>
          <w:color w:val="auto"/>
        </w:rPr>
        <w:t>Not applicable.</w:t>
      </w:r>
    </w:p>
    <w:p>
      <w:pPr>
        <w:ind w:left="320" w:right="8020" w:hanging="316"/>
        <w:spacing w:after="0" w:line="511" w:lineRule="auto"/>
        <w:tabs>
          <w:tab w:leader="none" w:pos="3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Reasons for the offer and use of proceeds </w:t>
      </w:r>
      <w:r>
        <w:rPr>
          <w:rFonts w:ascii="Arial" w:cs="Arial" w:eastAsia="Arial" w:hAnsi="Arial"/>
          <w:sz w:val="17"/>
          <w:szCs w:val="17"/>
          <w:color w:val="auto"/>
        </w:rPr>
        <w:t>Not applicable.</w:t>
      </w:r>
    </w:p>
    <w:p>
      <w:pPr>
        <w:ind w:left="320" w:hanging="316"/>
        <w:spacing w:after="0"/>
        <w:tabs>
          <w:tab w:leader="none" w:pos="3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Risk factors</w:t>
      </w:r>
    </w:p>
    <w:p>
      <w:pPr>
        <w:spacing w:after="0" w:line="227" w:lineRule="exact"/>
        <w:rPr>
          <w:sz w:val="20"/>
          <w:szCs w:val="20"/>
          <w:color w:val="auto"/>
        </w:rPr>
      </w:pPr>
    </w:p>
    <w:p>
      <w:pPr>
        <w:ind w:right="20" w:firstLine="312"/>
        <w:spacing w:after="0" w:line="263"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Annual 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Reports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7" w:lineRule="exact"/>
        <w:rPr>
          <w:sz w:val="20"/>
          <w:szCs w:val="20"/>
          <w:color w:val="auto"/>
        </w:rPr>
      </w:pPr>
    </w:p>
    <w:p>
      <w:pPr>
        <w:ind w:left="160" w:right="300"/>
        <w:spacing w:after="0" w:line="287" w:lineRule="auto"/>
        <w:rPr>
          <w:sz w:val="20"/>
          <w:szCs w:val="20"/>
          <w:color w:val="auto"/>
        </w:rPr>
      </w:pPr>
      <w:r>
        <w:rPr>
          <w:rFonts w:ascii="Arial" w:cs="Arial" w:eastAsia="Arial" w:hAnsi="Arial"/>
          <w:sz w:val="16"/>
          <w:szCs w:val="16"/>
          <w:b w:val="1"/>
          <w:bCs w:val="1"/>
          <w:i w:val="1"/>
          <w:iCs w:val="1"/>
          <w:color w:val="auto"/>
        </w:rPr>
        <w:t>We depend heavily on the success of crenezumab, and, to a lesser extent, our anti-tau antibody candidate, ACI-24 for AD and ACI-35, all of which are in clinical development. If our clinical studies are unsuccessful, we or our collaboration partner do not obtain regulatory approval or we are unable to commercialize crenezumab, our anti-tau antibody candidate, ACI-24 for AD and ACI-35, or we experience significant delays in doing so, our business, financial condition and results of operations will be materially adversely affected.</w:t>
      </w:r>
    </w:p>
    <w:p>
      <w:pPr>
        <w:spacing w:after="0" w:line="160" w:lineRule="exact"/>
        <w:rPr>
          <w:sz w:val="20"/>
          <w:szCs w:val="20"/>
          <w:color w:val="auto"/>
        </w:rPr>
      </w:pPr>
    </w:p>
    <w:p>
      <w:pPr>
        <w:ind w:right="40" w:firstLine="312"/>
        <w:spacing w:after="0" w:line="283"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our anti-tau antibody candidate, ACI-24 for AD and ACI-35,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164" w:lineRule="exact"/>
        <w:rPr>
          <w:sz w:val="20"/>
          <w:szCs w:val="20"/>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completing clinical studies that demonstrate the efficacy and safety of our product candidates;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receiving marketing approvals from applicable regulatory authorities;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launching commercial sales, marketing and distribution operations;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acceptance of our product candidates by patients, the medical community and third-party payors;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continued acceptable safety profile following approval;</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competing effectively with other therapies; and</w:t>
      </w:r>
    </w:p>
    <w:p>
      <w:pPr>
        <w:spacing w:after="0" w:line="220" w:lineRule="exact"/>
        <w:rPr>
          <w:rFonts w:ascii="Arial" w:cs="Arial" w:eastAsia="Arial" w:hAnsi="Arial"/>
          <w:sz w:val="17"/>
          <w:szCs w:val="17"/>
          <w:color w:val="auto"/>
        </w:rPr>
      </w:pPr>
    </w:p>
    <w:p>
      <w:pPr>
        <w:ind w:left="620" w:right="160" w:hanging="304"/>
        <w:spacing w:after="0" w:line="28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qualifying for, obtaining, maintaining, enforcing and defending our intellectual property rights and claims and not infringing on third parties’ intellectual property rights.</w:t>
      </w:r>
    </w:p>
    <w:p>
      <w:pPr>
        <w:spacing w:after="0" w:line="158"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Results of early clinical studies may not be predictive of future study results.</w:t>
      </w:r>
    </w:p>
    <w:p>
      <w:pPr>
        <w:spacing w:after="0" w:line="221" w:lineRule="exact"/>
        <w:rPr>
          <w:sz w:val="20"/>
          <w:szCs w:val="20"/>
          <w:color w:val="auto"/>
        </w:rPr>
      </w:pPr>
    </w:p>
    <w:p>
      <w:pPr>
        <w:ind w:right="100" w:firstLine="312"/>
        <w:spacing w:after="0" w:line="286"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w:t>
      </w: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9" w:name="page10"/>
    <w:bookmarkEnd w:id="9"/>
    <w:p>
      <w:pPr>
        <w:spacing w:after="0" w:line="300" w:lineRule="auto"/>
        <w:rPr>
          <w:sz w:val="20"/>
          <w:szCs w:val="20"/>
          <w:color w:val="auto"/>
        </w:rPr>
      </w:pPr>
      <w:r>
        <w:rPr>
          <w:rFonts w:ascii="Arial" w:cs="Arial" w:eastAsia="Arial" w:hAnsi="Arial"/>
          <w:sz w:val="15"/>
          <w:szCs w:val="15"/>
          <w:color w:val="auto"/>
        </w:rPr>
        <w:t>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56" w:lineRule="exact"/>
        <w:rPr>
          <w:sz w:val="20"/>
          <w:szCs w:val="20"/>
          <w:color w:val="auto"/>
        </w:rPr>
      </w:pPr>
    </w:p>
    <w:p>
      <w:pPr>
        <w:jc w:val="both"/>
        <w:ind w:right="40" w:firstLine="312"/>
        <w:spacing w:after="0" w:line="287" w:lineRule="auto"/>
        <w:rPr>
          <w:sz w:val="20"/>
          <w:szCs w:val="20"/>
          <w:color w:val="auto"/>
        </w:rPr>
      </w:pPr>
      <w:r>
        <w:rPr>
          <w:rFonts w:ascii="Arial" w:cs="Arial" w:eastAsia="Arial" w:hAnsi="Arial"/>
          <w:sz w:val="16"/>
          <w:szCs w:val="16"/>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60"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78" w:lineRule="exact"/>
        <w:rPr>
          <w:sz w:val="20"/>
          <w:szCs w:val="20"/>
          <w:color w:val="auto"/>
        </w:rPr>
      </w:pPr>
    </w:p>
    <w:p>
      <w:pPr>
        <w:ind w:right="40" w:firstLine="312"/>
        <w:spacing w:after="0" w:line="265"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77" w:lineRule="exact"/>
        <w:rPr>
          <w:sz w:val="20"/>
          <w:szCs w:val="20"/>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obtain marketing approval;</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 subject to additional post-marketing testing or other requirements; 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remove the product from the market after obtaining marketing approval.</w:t>
      </w:r>
    </w:p>
    <w:p>
      <w:pPr>
        <w:spacing w:after="0" w:line="221" w:lineRule="exact"/>
        <w:rPr>
          <w:sz w:val="20"/>
          <w:szCs w:val="20"/>
          <w:color w:val="auto"/>
        </w:rPr>
      </w:pPr>
    </w:p>
    <w:p>
      <w:pPr>
        <w:ind w:firstLine="312"/>
        <w:spacing w:after="0" w:line="280"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0" w:name="page11"/>
    <w:bookmarkEnd w:id="10"/>
    <w:p>
      <w:pPr>
        <w:ind w:left="160"/>
        <w:spacing w:after="0"/>
        <w:rPr>
          <w:sz w:val="20"/>
          <w:szCs w:val="20"/>
          <w:color w:val="auto"/>
        </w:rPr>
      </w:pPr>
      <w:r>
        <w:rPr>
          <w:rFonts w:ascii="Arial" w:cs="Arial" w:eastAsia="Arial" w:hAnsi="Arial"/>
          <w:sz w:val="15"/>
          <w:szCs w:val="15"/>
          <w:b w:val="1"/>
          <w:bCs w:val="1"/>
          <w:i w:val="1"/>
          <w:iCs w:val="1"/>
          <w:color w:val="auto"/>
        </w:rPr>
        <w:t>Additional competitors could enter the market with generic versions of our products, which may result in a material decline in sales of affected products.</w:t>
      </w:r>
    </w:p>
    <w:p>
      <w:pPr>
        <w:spacing w:after="0" w:line="244" w:lineRule="exact"/>
        <w:rPr>
          <w:sz w:val="20"/>
          <w:szCs w:val="20"/>
          <w:color w:val="auto"/>
        </w:rPr>
      </w:pPr>
    </w:p>
    <w:p>
      <w:pPr>
        <w:ind w:firstLine="312"/>
        <w:spacing w:after="0" w:line="296" w:lineRule="auto"/>
        <w:rPr>
          <w:sz w:val="20"/>
          <w:szCs w:val="20"/>
          <w:color w:val="auto"/>
        </w:rPr>
      </w:pPr>
      <w:r>
        <w:rPr>
          <w:rFonts w:ascii="Arial" w:cs="Arial" w:eastAsia="Arial" w:hAnsi="Arial"/>
          <w:sz w:val="15"/>
          <w:szCs w:val="15"/>
          <w:color w:val="auto"/>
        </w:rPr>
        <w:t>Under the Drug Price Competition and Patent Term Restoration Act of 1984, or the Hatch-Waxman Act, a pharmaceutical manufacturer may file an abbreviated new drug application, or ANDA, seeking approval of a 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57" w:lineRule="exact"/>
        <w:rPr>
          <w:sz w:val="20"/>
          <w:szCs w:val="20"/>
          <w:color w:val="auto"/>
        </w:rPr>
      </w:pPr>
    </w:p>
    <w:p>
      <w:pPr>
        <w:ind w:right="140" w:firstLine="312"/>
        <w:spacing w:after="0" w:line="261" w:lineRule="auto"/>
        <w:rPr>
          <w:sz w:val="20"/>
          <w:szCs w:val="20"/>
          <w:color w:val="auto"/>
        </w:rPr>
      </w:pPr>
      <w:r>
        <w:rPr>
          <w:rFonts w:ascii="Arial" w:cs="Arial" w:eastAsia="Arial" w:hAnsi="Arial"/>
          <w:sz w:val="17"/>
          <w:szCs w:val="17"/>
          <w:color w:val="auto"/>
        </w:rPr>
        <w:t>Accordingly, if crenezumab, ACI-24, ACI-35 and our anti-tau antibody candidate are approved, competitors could file ANDAs for generic versions of crenezumab, ACI-24 and ACI-35, or 505(b) (2) NDAs that reference crenezumab, ACI-24, ACI-35 or our anti-tau antibody candidate, respectively. If there are patents listed for crenezumab, ACI-24 and ACI-35 in the Orange Book, those ANDAs and 505(b) (2)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81" w:lineRule="exact"/>
        <w:rPr>
          <w:sz w:val="20"/>
          <w:szCs w:val="20"/>
          <w:color w:val="auto"/>
        </w:rPr>
      </w:pPr>
    </w:p>
    <w:p>
      <w:pPr>
        <w:ind w:right="240" w:firstLine="312"/>
        <w:spacing w:after="0" w:line="311" w:lineRule="auto"/>
        <w:rPr>
          <w:sz w:val="20"/>
          <w:szCs w:val="20"/>
          <w:color w:val="auto"/>
        </w:rPr>
      </w:pPr>
      <w:r>
        <w:rPr>
          <w:rFonts w:ascii="Arial" w:cs="Arial" w:eastAsia="Arial" w:hAnsi="Arial"/>
          <w:sz w:val="15"/>
          <w:szCs w:val="15"/>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One of our collaboration partners is evaluating a product candidate in the same indication as our lead product candidate crenezumab.</w:t>
      </w:r>
    </w:p>
    <w:p>
      <w:pPr>
        <w:spacing w:after="0" w:line="221" w:lineRule="exact"/>
        <w:rPr>
          <w:sz w:val="20"/>
          <w:szCs w:val="20"/>
          <w:color w:val="auto"/>
        </w:rPr>
      </w:pPr>
    </w:p>
    <w:p>
      <w:pPr>
        <w:ind w:right="80" w:firstLine="312"/>
        <w:spacing w:after="0" w:line="259" w:lineRule="auto"/>
        <w:rPr>
          <w:sz w:val="20"/>
          <w:szCs w:val="20"/>
          <w:color w:val="auto"/>
        </w:rPr>
      </w:pPr>
      <w:r>
        <w:rPr>
          <w:rFonts w:ascii="Arial" w:cs="Arial" w:eastAsia="Arial" w:hAnsi="Arial"/>
          <w:sz w:val="17"/>
          <w:szCs w:val="17"/>
          <w:color w:val="auto"/>
        </w:rPr>
        <w:t>Our collaboration partner Genentech is a subsidiary of Roche, which is evaluating gantenerumab, a product candidate for the same indication as our lead product candidate crenezumab, and Roche’s collaboration partner MorphoSys AG announced in March 2017 that Roche plans to initiate a phase 3 program for gantenerumab in patients with prodromal to mild AD.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185" w:lineRule="exact"/>
        <w:rPr>
          <w:sz w:val="20"/>
          <w:szCs w:val="20"/>
          <w:color w:val="auto"/>
        </w:rPr>
      </w:pPr>
    </w:p>
    <w:p>
      <w:pPr>
        <w:ind w:left="160"/>
        <w:spacing w:after="0" w:line="286"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158" w:lineRule="exact"/>
        <w:rPr>
          <w:sz w:val="20"/>
          <w:szCs w:val="20"/>
          <w:color w:val="auto"/>
        </w:rPr>
      </w:pPr>
    </w:p>
    <w:p>
      <w:pPr>
        <w:ind w:right="200" w:firstLine="312"/>
        <w:spacing w:after="0" w:line="270"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1" w:name="page12"/>
    <w:bookmarkEnd w:id="11"/>
    <w:p>
      <w:pPr>
        <w:ind w:right="60"/>
        <w:spacing w:after="0" w:line="263" w:lineRule="auto"/>
        <w:rPr>
          <w:sz w:val="20"/>
          <w:szCs w:val="20"/>
          <w:color w:val="auto"/>
        </w:rPr>
      </w:pPr>
      <w:r>
        <w:rPr>
          <w:rFonts w:ascii="Arial" w:cs="Arial" w:eastAsia="Arial" w:hAnsi="Arial"/>
          <w:sz w:val="17"/>
          <w:szCs w:val="17"/>
          <w:color w:val="auto"/>
        </w:rPr>
        <w:t>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8" w:lineRule="exact"/>
        <w:rPr>
          <w:sz w:val="20"/>
          <w:szCs w:val="20"/>
          <w:color w:val="auto"/>
        </w:rPr>
      </w:pPr>
    </w:p>
    <w:p>
      <w:pPr>
        <w:ind w:firstLine="312"/>
        <w:spacing w:after="0" w:line="283"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64"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77" w:lineRule="exact"/>
        <w:rPr>
          <w:sz w:val="20"/>
          <w:szCs w:val="20"/>
          <w:color w:val="auto"/>
        </w:rPr>
      </w:pPr>
    </w:p>
    <w:p>
      <w:pPr>
        <w:ind w:left="160" w:right="320"/>
        <w:spacing w:after="0" w:line="286" w:lineRule="auto"/>
        <w:rPr>
          <w:sz w:val="20"/>
          <w:szCs w:val="20"/>
          <w:color w:val="auto"/>
        </w:rPr>
      </w:pPr>
      <w:r>
        <w:rPr>
          <w:rFonts w:ascii="Arial" w:cs="Arial" w:eastAsia="Arial" w:hAnsi="Arial"/>
          <w:sz w:val="17"/>
          <w:szCs w:val="17"/>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158" w:lineRule="exact"/>
        <w:rPr>
          <w:sz w:val="20"/>
          <w:szCs w:val="20"/>
          <w:color w:val="auto"/>
        </w:rPr>
      </w:pPr>
    </w:p>
    <w:p>
      <w:pPr>
        <w:ind w:right="200" w:firstLine="312"/>
        <w:spacing w:after="0" w:line="263"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178" w:lineRule="exact"/>
        <w:rPr>
          <w:sz w:val="20"/>
          <w:szCs w:val="20"/>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how clinicians and potential patients perceive our novel products;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market introduction;</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and clinical profile of competing products;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provide acceptable evidence of safety and efficacy;</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cost-effectiveness;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patient diagnostics and screening infrastructure in each market;</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marketing and distribution support;</w:t>
      </w:r>
    </w:p>
    <w:p>
      <w:pPr>
        <w:spacing w:after="0" w:line="220" w:lineRule="exact"/>
        <w:rPr>
          <w:rFonts w:ascii="Arial" w:cs="Arial" w:eastAsia="Arial" w:hAnsi="Arial"/>
          <w:sz w:val="17"/>
          <w:szCs w:val="17"/>
          <w:color w:val="auto"/>
        </w:rPr>
      </w:pPr>
    </w:p>
    <w:p>
      <w:pPr>
        <w:ind w:left="620" w:right="520" w:hanging="304"/>
        <w:spacing w:after="0" w:line="286"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availability of coverage, reimbursement and adequate payment from health maintenance organizations and other third-party payors, both public and private; and</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potential advantages over alternative treatment methods.</w:t>
      </w:r>
    </w:p>
    <w:p>
      <w:pPr>
        <w:spacing w:after="0" w:line="221"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2" w:name="page13"/>
    <w:bookmarkEnd w:id="12"/>
    <w:p>
      <w:pPr>
        <w:ind w:right="100" w:firstLine="312"/>
        <w:spacing w:after="0" w:line="260"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183" w:lineRule="exact"/>
        <w:rPr>
          <w:sz w:val="20"/>
          <w:szCs w:val="20"/>
          <w:color w:val="auto"/>
        </w:rPr>
      </w:pPr>
    </w:p>
    <w:p>
      <w:pPr>
        <w:ind w:left="160" w:right="20"/>
        <w:spacing w:after="0" w:line="286" w:lineRule="auto"/>
        <w:rPr>
          <w:sz w:val="20"/>
          <w:szCs w:val="20"/>
          <w:color w:val="auto"/>
        </w:rPr>
      </w:pPr>
      <w:r>
        <w:rPr>
          <w:rFonts w:ascii="Arial" w:cs="Arial" w:eastAsia="Arial" w:hAnsi="Arial"/>
          <w:sz w:val="17"/>
          <w:szCs w:val="17"/>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158" w:lineRule="exact"/>
        <w:rPr>
          <w:sz w:val="20"/>
          <w:szCs w:val="20"/>
          <w:color w:val="auto"/>
        </w:rPr>
      </w:pPr>
    </w:p>
    <w:p>
      <w:pPr>
        <w:ind w:right="20" w:firstLine="312"/>
        <w:spacing w:after="0" w:line="280" w:lineRule="auto"/>
        <w:rPr>
          <w:sz w:val="20"/>
          <w:szCs w:val="20"/>
          <w:color w:val="auto"/>
        </w:rPr>
      </w:pPr>
      <w:r>
        <w:rPr>
          <w:rFonts w:ascii="Arial" w:cs="Arial" w:eastAsia="Arial" w:hAnsi="Arial"/>
          <w:sz w:val="16"/>
          <w:szCs w:val="16"/>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69" w:lineRule="exact"/>
        <w:rPr>
          <w:sz w:val="20"/>
          <w:szCs w:val="20"/>
          <w:color w:val="auto"/>
        </w:rPr>
      </w:pPr>
    </w:p>
    <w:p>
      <w:pPr>
        <w:ind w:right="40" w:firstLine="312"/>
        <w:spacing w:after="0" w:line="263" w:lineRule="auto"/>
        <w:rPr>
          <w:sz w:val="20"/>
          <w:szCs w:val="20"/>
          <w:color w:val="auto"/>
        </w:rPr>
      </w:pPr>
      <w:r>
        <w:rPr>
          <w:rFonts w:ascii="Arial" w:cs="Arial" w:eastAsia="Arial" w:hAnsi="Arial"/>
          <w:sz w:val="17"/>
          <w:szCs w:val="17"/>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7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73" w:lineRule="exact"/>
        <w:rPr>
          <w:sz w:val="20"/>
          <w:szCs w:val="20"/>
          <w:color w:val="auto"/>
        </w:rPr>
      </w:pPr>
    </w:p>
    <w:p>
      <w:pPr>
        <w:ind w:right="200" w:firstLine="312"/>
        <w:spacing w:after="0" w:line="265" w:lineRule="auto"/>
        <w:rPr>
          <w:sz w:val="20"/>
          <w:szCs w:val="20"/>
          <w:color w:val="auto"/>
        </w:rPr>
      </w:pPr>
      <w:r>
        <w:rPr>
          <w:rFonts w:ascii="Arial" w:cs="Arial" w:eastAsia="Arial" w:hAnsi="Arial"/>
          <w:sz w:val="17"/>
          <w:szCs w:val="17"/>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77" w:lineRule="exact"/>
        <w:rPr>
          <w:sz w:val="20"/>
          <w:szCs w:val="20"/>
          <w:color w:val="auto"/>
        </w:rPr>
      </w:pPr>
    </w:p>
    <w:p>
      <w:pPr>
        <w:ind w:right="40" w:firstLine="312"/>
        <w:spacing w:after="0" w:line="275" w:lineRule="auto"/>
        <w:rPr>
          <w:sz w:val="20"/>
          <w:szCs w:val="20"/>
          <w:color w:val="auto"/>
        </w:rPr>
      </w:pPr>
      <w:r>
        <w:rPr>
          <w:rFonts w:ascii="Arial" w:cs="Arial" w:eastAsia="Arial" w:hAnsi="Arial"/>
          <w:sz w:val="16"/>
          <w:szCs w:val="16"/>
          <w:color w:val="auto"/>
        </w:rPr>
        <w:t xml:space="preserve">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At the 2016 Clinical Trials on Alzheimer’s Disease (CTAD) meeting it was reported that in a Phase 1b study to evaluate higher doses of crenezumab, no investigator-assessed drug-related serious adverse events occurred. </w:t>
      </w:r>
      <w:r>
        <w:rPr>
          <w:rFonts w:ascii="Arial" w:cs="Arial" w:eastAsia="Arial" w:hAnsi="Arial"/>
          <w:sz w:val="16"/>
          <w:szCs w:val="16"/>
          <w:color w:val="1F497D"/>
        </w:rPr>
        <w:t>Serious adverse events occurring in three patients of the blinded study</w:t>
      </w:r>
      <w:r>
        <w:rPr>
          <w:rFonts w:ascii="Arial" w:cs="Arial" w:eastAsia="Arial" w:hAnsi="Arial"/>
          <w:sz w:val="16"/>
          <w:szCs w:val="16"/>
          <w:color w:val="auto"/>
        </w:rPr>
        <w:t xml:space="preserve"> include malignant melanoma, an accidental overdose, pneumonia and subdural hematoma and atypical chest pain. In addition, five serious adverse events were observed in three patients during clinical studies of ACI-35, although we believe that these serious adverse events were not related to the treatment. Acute pyelonephritis, or kidney infection, and dizziness were observed in one patient and sick sinus syndrome was reported for a second patient, and these were labeled as possibly related due to the close timing proximity with the last administration of ACI-35. In the third patient, urosepsis, or blood poisoning, and pyelonephritis were described and classified as unlikely related to the drug. A relationship between these serious adverse effects and ACI-35 cannot be ruled out, however. Nine non-drug related serious adverse effects were observed during clinical studies of ACI-24. They were prolongation of</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3" w:name="page14"/>
    <w:bookmarkEnd w:id="13"/>
    <w:p>
      <w:pPr>
        <w:ind w:right="360"/>
        <w:spacing w:after="0" w:line="286" w:lineRule="auto"/>
        <w:rPr>
          <w:sz w:val="20"/>
          <w:szCs w:val="20"/>
          <w:color w:val="auto"/>
        </w:rPr>
      </w:pPr>
      <w:r>
        <w:rPr>
          <w:rFonts w:ascii="Arial" w:cs="Arial" w:eastAsia="Arial" w:hAnsi="Arial"/>
          <w:sz w:val="17"/>
          <w:szCs w:val="17"/>
          <w:color w:val="auto"/>
        </w:rPr>
        <w:t>hospitalization after planned hip replacement or removal of colon polyp, fall, acute chest pain, death due to Alzheimer’s disease or myocardial infarction (heart attack), colonic cancer, wound infections, pneumonia and pancreatitis related to gallstones.</w:t>
      </w:r>
    </w:p>
    <w:p>
      <w:pPr>
        <w:spacing w:after="0" w:line="158" w:lineRule="exact"/>
        <w:rPr>
          <w:sz w:val="20"/>
          <w:szCs w:val="20"/>
          <w:color w:val="auto"/>
        </w:rPr>
      </w:pPr>
    </w:p>
    <w:p>
      <w:pPr>
        <w:ind w:right="60" w:firstLine="312"/>
        <w:spacing w:after="0" w:line="319" w:lineRule="auto"/>
        <w:rPr>
          <w:sz w:val="20"/>
          <w:szCs w:val="20"/>
          <w:color w:val="auto"/>
        </w:rPr>
      </w:pPr>
      <w:r>
        <w:rPr>
          <w:rFonts w:ascii="Arial" w:cs="Arial" w:eastAsia="Arial" w:hAnsi="Arial"/>
          <w:sz w:val="16"/>
          <w:szCs w:val="16"/>
          <w:color w:val="auto"/>
        </w:rPr>
        <w:t>Occurrence of serious procedure- 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35" w:lineRule="exact"/>
        <w:rPr>
          <w:sz w:val="20"/>
          <w:szCs w:val="20"/>
          <w:color w:val="auto"/>
        </w:rPr>
      </w:pPr>
    </w:p>
    <w:p>
      <w:pPr>
        <w:ind w:right="420" w:firstLine="312"/>
        <w:spacing w:after="0" w:line="286"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58" w:lineRule="exact"/>
        <w:rPr>
          <w:sz w:val="20"/>
          <w:szCs w:val="20"/>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authorities may withdraw approvals of such product and require us to take any approved products off the market;</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32" w:lineRule="exact"/>
        <w:rPr>
          <w:rFonts w:ascii="Arial" w:cs="Arial" w:eastAsia="Arial" w:hAnsi="Arial"/>
          <w:sz w:val="16"/>
          <w:szCs w:val="16"/>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subject to limitations in how we promote the product;</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of the product may decrease significantly;</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reputation and physician or patient acceptance of our products may suffer.</w:t>
      </w:r>
    </w:p>
    <w:p>
      <w:pPr>
        <w:spacing w:after="0" w:line="221" w:lineRule="exact"/>
        <w:rPr>
          <w:sz w:val="20"/>
          <w:szCs w:val="20"/>
          <w:color w:val="auto"/>
        </w:rPr>
      </w:pPr>
    </w:p>
    <w:p>
      <w:pPr>
        <w:ind w:right="60" w:firstLine="312"/>
        <w:spacing w:after="0" w:line="286"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left="160" w:right="20"/>
        <w:spacing w:after="0" w:line="286" w:lineRule="auto"/>
        <w:rPr>
          <w:sz w:val="20"/>
          <w:szCs w:val="20"/>
          <w:color w:val="auto"/>
        </w:rPr>
      </w:pPr>
      <w:r>
        <w:rPr>
          <w:rFonts w:ascii="Arial" w:cs="Arial" w:eastAsia="Arial" w:hAnsi="Arial"/>
          <w:sz w:val="17"/>
          <w:szCs w:val="17"/>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58" w:lineRule="exact"/>
        <w:rPr>
          <w:sz w:val="20"/>
          <w:szCs w:val="20"/>
          <w:color w:val="auto"/>
        </w:rPr>
      </w:pPr>
    </w:p>
    <w:p>
      <w:pPr>
        <w:ind w:firstLine="312"/>
        <w:spacing w:after="0" w:line="296" w:lineRule="auto"/>
        <w:rPr>
          <w:sz w:val="20"/>
          <w:szCs w:val="20"/>
          <w:color w:val="auto"/>
        </w:rPr>
      </w:pPr>
      <w:r>
        <w:rPr>
          <w:rFonts w:ascii="Arial" w:cs="Arial" w:eastAsia="Arial" w:hAnsi="Arial"/>
          <w:sz w:val="15"/>
          <w:szCs w:val="15"/>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57" w:lineRule="exact"/>
        <w:rPr>
          <w:sz w:val="20"/>
          <w:szCs w:val="20"/>
          <w:color w:val="auto"/>
        </w:rPr>
      </w:pPr>
    </w:p>
    <w:p>
      <w:pPr>
        <w:ind w:right="140" w:firstLine="312"/>
        <w:spacing w:after="0" w:line="319" w:lineRule="auto"/>
        <w:rPr>
          <w:sz w:val="20"/>
          <w:szCs w:val="20"/>
          <w:color w:val="auto"/>
        </w:rPr>
      </w:pPr>
      <w:r>
        <w:rPr>
          <w:rFonts w:ascii="Arial" w:cs="Arial" w:eastAsia="Arial" w:hAnsi="Arial"/>
          <w:sz w:val="16"/>
          <w:szCs w:val="16"/>
          <w:color w:val="auto"/>
        </w:rPr>
        <w:t>We believe that our key competitor product candidates are (i) aducanumab (Biogen) and gantenerumab (Roche) for crenezumab; (ii) CAD-106 (Novartis) and ABvac 40 (Araclon Biotech) for ACI-24; and (iii) AADVAC1 (Axon Neurosciences) for ACI-35, as described under “Business—Competition.”</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4" w:name="page15"/>
    <w:bookmarkEnd w:id="14"/>
    <w:p>
      <w:pPr>
        <w:ind w:right="200" w:firstLine="312"/>
        <w:spacing w:after="0" w:line="286" w:lineRule="auto"/>
        <w:rPr>
          <w:sz w:val="20"/>
          <w:szCs w:val="20"/>
          <w:color w:val="auto"/>
        </w:rPr>
      </w:pPr>
      <w:r>
        <w:rPr>
          <w:rFonts w:ascii="Arial" w:cs="Arial" w:eastAsia="Arial" w:hAnsi="Arial"/>
          <w:sz w:val="17"/>
          <w:szCs w:val="17"/>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158" w:lineRule="exact"/>
        <w:rPr>
          <w:sz w:val="20"/>
          <w:szCs w:val="20"/>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 and commercialize products that are safer, more effective, less expensive, or more convenient or easier to administer;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quicker regulatory approval;</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 superior intellectual property and proprietary positions;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have access to more manufacturing capacity;</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implement more effective approaches to sales and marketing; 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form more advantageous strategic alliances.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Should any of these occur, our business, financial condition and results of operations could be materially adversely affected.</w:t>
      </w:r>
    </w:p>
    <w:p>
      <w:pPr>
        <w:spacing w:after="0" w:line="221" w:lineRule="exact"/>
        <w:rPr>
          <w:sz w:val="20"/>
          <w:szCs w:val="20"/>
          <w:color w:val="auto"/>
        </w:rPr>
      </w:pPr>
    </w:p>
    <w:p>
      <w:pPr>
        <w:ind w:left="160" w:right="260"/>
        <w:spacing w:after="0" w:line="286" w:lineRule="auto"/>
        <w:rPr>
          <w:sz w:val="20"/>
          <w:szCs w:val="20"/>
          <w:color w:val="auto"/>
        </w:rPr>
      </w:pPr>
      <w:r>
        <w:rPr>
          <w:rFonts w:ascii="Arial" w:cs="Arial" w:eastAsia="Arial" w:hAnsi="Arial"/>
          <w:sz w:val="17"/>
          <w:szCs w:val="17"/>
          <w:b w:val="1"/>
          <w:bCs w:val="1"/>
          <w:i w:val="1"/>
          <w:iCs w:val="1"/>
          <w:color w:val="auto"/>
        </w:rPr>
        <w:t>We may not be successful in our efforts to use and expand our Morphomer proprietary technology platform to build additional product candidates for our pipeline.</w:t>
      </w:r>
    </w:p>
    <w:p>
      <w:pPr>
        <w:spacing w:after="0" w:line="158" w:lineRule="exact"/>
        <w:rPr>
          <w:sz w:val="20"/>
          <w:szCs w:val="20"/>
          <w:color w:val="auto"/>
        </w:rPr>
      </w:pPr>
    </w:p>
    <w:p>
      <w:pPr>
        <w:ind w:firstLine="312"/>
        <w:spacing w:after="0" w:line="279" w:lineRule="auto"/>
        <w:rPr>
          <w:sz w:val="20"/>
          <w:szCs w:val="20"/>
          <w:color w:val="auto"/>
        </w:rPr>
      </w:pPr>
      <w:r>
        <w:rPr>
          <w:rFonts w:ascii="Arial" w:cs="Arial" w:eastAsia="Arial" w:hAnsi="Arial"/>
          <w:sz w:val="16"/>
          <w:szCs w:val="16"/>
          <w:color w:val="auto"/>
        </w:rPr>
        <w:t>A key element of our strategy is to use and expand our Morphomer proprietary technology platform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business is subject to economic, political, regulatory and other risks associated with international operations.</w:t>
      </w:r>
    </w:p>
    <w:p>
      <w:pPr>
        <w:spacing w:after="0" w:line="221" w:lineRule="exact"/>
        <w:rPr>
          <w:sz w:val="20"/>
          <w:szCs w:val="20"/>
          <w:color w:val="auto"/>
        </w:rPr>
      </w:pPr>
    </w:p>
    <w:p>
      <w:pPr>
        <w:ind w:right="380" w:firstLine="312"/>
        <w:spacing w:after="0" w:line="286"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158" w:lineRule="exact"/>
        <w:rPr>
          <w:sz w:val="20"/>
          <w:szCs w:val="20"/>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non-U.S. economies and markets;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differing regulatory requirements for drug approvals in non-U.S. countries;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potentially reduced protection for intellectual property rights;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in compliance with non-U.S. laws and regulations;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non-U.S. regulations and customs, tariffs and trade barriers;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non-U.S. currency exchange rates and currency controls;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15" w:name="page16"/>
    <w:bookmarkEnd w:id="15"/>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negative consequences from changes in tax laws;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220" w:lineRule="exact"/>
        <w:rPr>
          <w:rFonts w:ascii="Arial" w:cs="Arial" w:eastAsia="Arial" w:hAnsi="Arial"/>
          <w:sz w:val="17"/>
          <w:szCs w:val="17"/>
          <w:color w:val="auto"/>
        </w:rPr>
      </w:pPr>
    </w:p>
    <w:p>
      <w:pPr>
        <w:ind w:left="620" w:right="240" w:hanging="304"/>
        <w:spacing w:after="0" w:line="286"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including earthquakes, typhoons, floods and fires.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232" w:lineRule="exact"/>
        <w:rPr>
          <w:sz w:val="20"/>
          <w:szCs w:val="20"/>
          <w:color w:val="auto"/>
        </w:rPr>
      </w:pPr>
    </w:p>
    <w:p>
      <w:pPr>
        <w:ind w:right="140" w:firstLine="312"/>
        <w:spacing w:after="0" w:line="263" w:lineRule="auto"/>
        <w:rPr>
          <w:sz w:val="20"/>
          <w:szCs w:val="20"/>
          <w:color w:val="auto"/>
        </w:rPr>
      </w:pPr>
      <w:r>
        <w:rPr>
          <w:rFonts w:ascii="Arial" w:cs="Arial" w:eastAsia="Arial" w:hAnsi="Arial"/>
          <w:sz w:val="17"/>
          <w:szCs w:val="17"/>
          <w:color w:val="auto"/>
        </w:rPr>
        <w:t>We began our operations in 2003. Our operations to date have been limited to financing and staffing our company, developing our technology and developing crenezumab and our other product candidates. We have not yet demonstrated an ability to successfully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Business interruptions could delay us in the process of developing our product candidates.</w:t>
      </w:r>
    </w:p>
    <w:p>
      <w:pPr>
        <w:spacing w:after="0" w:line="221" w:lineRule="exact"/>
        <w:rPr>
          <w:sz w:val="20"/>
          <w:szCs w:val="20"/>
          <w:color w:val="auto"/>
        </w:rPr>
      </w:pPr>
    </w:p>
    <w:p>
      <w:pPr>
        <w:jc w:val="both"/>
        <w:ind w:right="100" w:firstLine="312"/>
        <w:spacing w:after="0" w:line="270" w:lineRule="auto"/>
        <w:rPr>
          <w:sz w:val="20"/>
          <w:szCs w:val="20"/>
          <w:color w:val="auto"/>
        </w:rPr>
      </w:pPr>
      <w:r>
        <w:rPr>
          <w:rFonts w:ascii="Arial" w:cs="Arial" w:eastAsia="Arial" w:hAnsi="Arial"/>
          <w:sz w:val="17"/>
          <w:szCs w:val="17"/>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future growth and ability to compete depends on retaining our key personnel and recruiting additional qualified personnel.</w:t>
      </w:r>
    </w:p>
    <w:p>
      <w:pPr>
        <w:spacing w:after="0" w:line="221" w:lineRule="exact"/>
        <w:rPr>
          <w:sz w:val="20"/>
          <w:szCs w:val="20"/>
          <w:color w:val="auto"/>
        </w:rPr>
      </w:pPr>
    </w:p>
    <w:p>
      <w:pPr>
        <w:ind w:firstLine="312"/>
        <w:spacing w:after="0" w:line="265" w:lineRule="auto"/>
        <w:rPr>
          <w:sz w:val="20"/>
          <w:szCs w:val="20"/>
          <w:color w:val="auto"/>
        </w:rPr>
      </w:pPr>
      <w:r>
        <w:rPr>
          <w:rFonts w:ascii="Arial" w:cs="Arial" w:eastAsia="Arial" w:hAnsi="Arial"/>
          <w:sz w:val="17"/>
          <w:szCs w:val="17"/>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Wolfgang Barth, our Director of Development; Joerg Hornstein, our Chief Financial Officer (who is expected to join our team on April 1, 2017); and Jean-Fabien Monin, our Chief Administrative Officer.</w:t>
      </w:r>
    </w:p>
    <w:p>
      <w:pPr>
        <w:spacing w:after="0" w:line="177" w:lineRule="exact"/>
        <w:rPr>
          <w:sz w:val="20"/>
          <w:szCs w:val="20"/>
          <w:color w:val="auto"/>
        </w:rPr>
      </w:pPr>
    </w:p>
    <w:p>
      <w:pPr>
        <w:ind w:right="60" w:firstLine="312"/>
        <w:spacing w:after="0" w:line="258" w:lineRule="auto"/>
        <w:rPr>
          <w:sz w:val="20"/>
          <w:szCs w:val="20"/>
          <w:color w:val="auto"/>
        </w:rPr>
      </w:pPr>
      <w:r>
        <w:rPr>
          <w:rFonts w:ascii="Arial" w:cs="Arial" w:eastAsia="Arial" w:hAnsi="Arial"/>
          <w:sz w:val="17"/>
          <w:szCs w:val="17"/>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16" w:name="page17"/>
    <w:bookmarkEnd w:id="16"/>
    <w:p>
      <w:pPr>
        <w:ind w:left="160" w:right="500"/>
        <w:spacing w:after="0" w:line="286"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as a result, we may encounter difficulties in managing our growth, which could disrupt our operations.</w:t>
      </w:r>
    </w:p>
    <w:p>
      <w:pPr>
        <w:spacing w:after="0" w:line="158"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8" w:lineRule="exact"/>
        <w:rPr>
          <w:sz w:val="20"/>
          <w:szCs w:val="20"/>
          <w:color w:val="auto"/>
        </w:rPr>
      </w:pPr>
    </w:p>
    <w:p>
      <w:pPr>
        <w:ind w:left="160" w:right="100"/>
        <w:spacing w:after="0" w:line="286" w:lineRule="auto"/>
        <w:rPr>
          <w:sz w:val="20"/>
          <w:szCs w:val="20"/>
          <w:color w:val="auto"/>
        </w:rPr>
      </w:pPr>
      <w:r>
        <w:rPr>
          <w:rFonts w:ascii="Arial" w:cs="Arial" w:eastAsia="Arial" w:hAnsi="Arial"/>
          <w:sz w:val="17"/>
          <w:szCs w:val="17"/>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58" w:lineRule="exact"/>
        <w:rPr>
          <w:sz w:val="20"/>
          <w:szCs w:val="20"/>
          <w:color w:val="auto"/>
        </w:rPr>
      </w:pPr>
    </w:p>
    <w:p>
      <w:pPr>
        <w:ind w:right="60" w:firstLine="312"/>
        <w:spacing w:after="0" w:line="306" w:lineRule="auto"/>
        <w:rPr>
          <w:sz w:val="20"/>
          <w:szCs w:val="20"/>
          <w:color w:val="auto"/>
        </w:rPr>
      </w:pPr>
      <w:r>
        <w:rPr>
          <w:rFonts w:ascii="Arial" w:cs="Arial" w:eastAsia="Arial" w:hAnsi="Arial"/>
          <w:sz w:val="15"/>
          <w:szCs w:val="15"/>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49" w:lineRule="exact"/>
        <w:rPr>
          <w:sz w:val="20"/>
          <w:szCs w:val="20"/>
          <w:color w:val="auto"/>
        </w:rPr>
      </w:pPr>
    </w:p>
    <w:p>
      <w:pPr>
        <w:ind w:right="20" w:firstLine="312"/>
        <w:spacing w:after="0" w:line="265" w:lineRule="auto"/>
        <w:rPr>
          <w:sz w:val="20"/>
          <w:szCs w:val="20"/>
          <w:color w:val="auto"/>
        </w:rPr>
      </w:pPr>
      <w:r>
        <w:rPr>
          <w:rFonts w:ascii="Arial" w:cs="Arial" w:eastAsia="Arial" w:hAnsi="Arial"/>
          <w:sz w:val="17"/>
          <w:szCs w:val="17"/>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77" w:lineRule="exact"/>
        <w:rPr>
          <w:sz w:val="20"/>
          <w:szCs w:val="20"/>
          <w:color w:val="auto"/>
        </w:rPr>
      </w:pPr>
    </w:p>
    <w:p>
      <w:pPr>
        <w:ind w:right="80" w:firstLine="312"/>
        <w:spacing w:after="0" w:line="283" w:lineRule="auto"/>
        <w:rPr>
          <w:sz w:val="20"/>
          <w:szCs w:val="20"/>
          <w:color w:val="auto"/>
        </w:rPr>
      </w:pPr>
      <w:r>
        <w:rPr>
          <w:rFonts w:ascii="Arial" w:cs="Arial" w:eastAsia="Arial" w:hAnsi="Arial"/>
          <w:sz w:val="16"/>
          <w:szCs w:val="16"/>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232" w:lineRule="exact"/>
        <w:rPr>
          <w:sz w:val="20"/>
          <w:szCs w:val="20"/>
          <w:color w:val="auto"/>
        </w:rPr>
      </w:pPr>
    </w:p>
    <w:p>
      <w:pPr>
        <w:ind w:left="160" w:right="300"/>
        <w:spacing w:after="0" w:line="270" w:lineRule="auto"/>
        <w:rPr>
          <w:sz w:val="20"/>
          <w:szCs w:val="20"/>
          <w:color w:val="auto"/>
        </w:rPr>
      </w:pPr>
      <w:r>
        <w:rPr>
          <w:rFonts w:ascii="Arial" w:cs="Arial" w:eastAsia="Arial" w:hAnsi="Arial"/>
          <w:sz w:val="17"/>
          <w:szCs w:val="17"/>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173" w:lineRule="exact"/>
        <w:rPr>
          <w:sz w:val="20"/>
          <w:szCs w:val="20"/>
          <w:color w:val="auto"/>
        </w:rPr>
      </w:pPr>
    </w:p>
    <w:p>
      <w:pPr>
        <w:ind w:firstLine="312"/>
        <w:spacing w:after="0" w:line="279"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7" w:name="page18"/>
    <w:bookmarkEnd w:id="17"/>
    <w:p>
      <w:pPr>
        <w:ind w:right="240"/>
        <w:spacing w:after="0" w:line="286" w:lineRule="auto"/>
        <w:rPr>
          <w:sz w:val="20"/>
          <w:szCs w:val="20"/>
          <w:color w:val="auto"/>
        </w:rPr>
      </w:pPr>
      <w:r>
        <w:rPr>
          <w:rFonts w:ascii="Arial" w:cs="Arial" w:eastAsia="Arial" w:hAnsi="Arial"/>
          <w:sz w:val="17"/>
          <w:szCs w:val="17"/>
          <w:color w:val="auto"/>
        </w:rPr>
        <w:t>product or where there is no satisfactory method of diagnosis, prevention, or treatment, or, if such a method exists, the medicine must be of significant benefit to those affected by the condition.</w:t>
      </w:r>
    </w:p>
    <w:p>
      <w:pPr>
        <w:spacing w:after="0" w:line="158" w:lineRule="exact"/>
        <w:rPr>
          <w:sz w:val="20"/>
          <w:szCs w:val="20"/>
          <w:color w:val="auto"/>
        </w:rPr>
      </w:pPr>
    </w:p>
    <w:p>
      <w:pPr>
        <w:ind w:right="20" w:firstLine="312"/>
        <w:spacing w:after="0" w:line="279"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68" w:lineRule="exact"/>
        <w:rPr>
          <w:sz w:val="20"/>
          <w:szCs w:val="20"/>
          <w:color w:val="auto"/>
        </w:rPr>
      </w:pPr>
    </w:p>
    <w:p>
      <w:pPr>
        <w:ind w:right="180" w:firstLine="312"/>
        <w:spacing w:after="0" w:line="263" w:lineRule="auto"/>
        <w:rPr>
          <w:sz w:val="20"/>
          <w:szCs w:val="20"/>
          <w:color w:val="auto"/>
        </w:rPr>
      </w:pPr>
      <w:r>
        <w:rPr>
          <w:rFonts w:ascii="Arial" w:cs="Arial" w:eastAsia="Arial" w:hAnsi="Arial"/>
          <w:sz w:val="17"/>
          <w:szCs w:val="17"/>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Due to our limited resources and access to capital, we must prioritize development of certain product candidates.</w:t>
      </w:r>
    </w:p>
    <w:p>
      <w:pPr>
        <w:spacing w:after="0" w:line="221" w:lineRule="exact"/>
        <w:rPr>
          <w:sz w:val="20"/>
          <w:szCs w:val="20"/>
          <w:color w:val="auto"/>
        </w:rPr>
      </w:pPr>
    </w:p>
    <w:p>
      <w:pPr>
        <w:ind w:firstLine="312"/>
        <w:spacing w:after="0" w:line="300" w:lineRule="auto"/>
        <w:rPr>
          <w:sz w:val="20"/>
          <w:szCs w:val="20"/>
          <w:color w:val="auto"/>
        </w:rPr>
      </w:pPr>
      <w:r>
        <w:rPr>
          <w:rFonts w:ascii="Arial" w:cs="Arial" w:eastAsia="Arial" w:hAnsi="Arial"/>
          <w:sz w:val="15"/>
          <w:szCs w:val="15"/>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research and development activities could be affected or delayed as a result of possible restrictions on animal testing.</w:t>
      </w:r>
    </w:p>
    <w:p>
      <w:pPr>
        <w:spacing w:after="0" w:line="221" w:lineRule="exact"/>
        <w:rPr>
          <w:sz w:val="20"/>
          <w:szCs w:val="20"/>
          <w:color w:val="auto"/>
        </w:rPr>
      </w:pPr>
    </w:p>
    <w:p>
      <w:pPr>
        <w:ind w:right="60" w:firstLine="312"/>
        <w:spacing w:after="0" w:line="287"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information technology systems could face serious disruptions that could adversely affect our business.</w:t>
      </w:r>
    </w:p>
    <w:p>
      <w:pPr>
        <w:spacing w:after="0" w:line="221" w:lineRule="exact"/>
        <w:rPr>
          <w:sz w:val="20"/>
          <w:szCs w:val="20"/>
          <w:color w:val="auto"/>
        </w:rPr>
      </w:pPr>
    </w:p>
    <w:p>
      <w:pPr>
        <w:ind w:firstLine="312"/>
        <w:spacing w:after="0" w:line="280"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18" w:name="page19"/>
    <w:bookmarkEnd w:id="18"/>
    <w:p>
      <w:pPr>
        <w:ind w:left="160" w:right="120"/>
        <w:spacing w:after="0" w:line="286" w:lineRule="auto"/>
        <w:rPr>
          <w:sz w:val="20"/>
          <w:szCs w:val="20"/>
          <w:color w:val="auto"/>
        </w:rPr>
      </w:pPr>
      <w:r>
        <w:rPr>
          <w:rFonts w:ascii="Arial" w:cs="Arial" w:eastAsia="Arial" w:hAnsi="Arial"/>
          <w:sz w:val="17"/>
          <w:szCs w:val="17"/>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58" w:lineRule="exact"/>
        <w:rPr>
          <w:sz w:val="20"/>
          <w:szCs w:val="20"/>
          <w:color w:val="auto"/>
        </w:rPr>
      </w:pPr>
    </w:p>
    <w:p>
      <w:pPr>
        <w:ind w:right="540" w:firstLine="312"/>
        <w:spacing w:after="0" w:line="356" w:lineRule="auto"/>
        <w:rPr>
          <w:sz w:val="20"/>
          <w:szCs w:val="20"/>
          <w:color w:val="auto"/>
        </w:rPr>
      </w:pPr>
      <w:r>
        <w:rPr>
          <w:rFonts w:ascii="Arial" w:cs="Arial" w:eastAsia="Arial" w:hAnsi="Arial"/>
          <w:sz w:val="15"/>
          <w:szCs w:val="15"/>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13"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Relationships with Third Parties</w:t>
      </w:r>
    </w:p>
    <w:p>
      <w:pPr>
        <w:spacing w:after="0" w:line="227" w:lineRule="exact"/>
        <w:rPr>
          <w:sz w:val="20"/>
          <w:szCs w:val="20"/>
          <w:color w:val="auto"/>
        </w:rPr>
      </w:pPr>
    </w:p>
    <w:p>
      <w:pPr>
        <w:ind w:left="160" w:right="640"/>
        <w:spacing w:after="0" w:line="286" w:lineRule="auto"/>
        <w:rPr>
          <w:sz w:val="20"/>
          <w:szCs w:val="20"/>
          <w:color w:val="auto"/>
        </w:rPr>
      </w:pPr>
      <w:r>
        <w:rPr>
          <w:rFonts w:ascii="Arial" w:cs="Arial" w:eastAsia="Arial" w:hAnsi="Arial"/>
          <w:sz w:val="17"/>
          <w:szCs w:val="17"/>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158" w:lineRule="exact"/>
        <w:rPr>
          <w:sz w:val="20"/>
          <w:szCs w:val="20"/>
          <w:color w:val="auto"/>
        </w:rPr>
      </w:pPr>
    </w:p>
    <w:p>
      <w:pPr>
        <w:ind w:right="80" w:firstLine="312"/>
        <w:spacing w:after="0" w:line="278"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Pharmaceuticals, Inc.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8" w:lineRule="exact"/>
        <w:rPr>
          <w:sz w:val="20"/>
          <w:szCs w:val="20"/>
          <w:color w:val="auto"/>
        </w:rPr>
      </w:pPr>
    </w:p>
    <w:p>
      <w:pPr>
        <w:ind w:firstLine="312"/>
        <w:spacing w:after="0" w:line="287" w:lineRule="auto"/>
        <w:rPr>
          <w:sz w:val="20"/>
          <w:szCs w:val="20"/>
          <w:color w:val="auto"/>
        </w:rPr>
      </w:pPr>
      <w:r>
        <w:rPr>
          <w:rFonts w:ascii="Arial" w:cs="Arial" w:eastAsia="Arial" w:hAnsi="Arial"/>
          <w:sz w:val="16"/>
          <w:szCs w:val="16"/>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 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60" w:lineRule="exact"/>
        <w:rPr>
          <w:sz w:val="20"/>
          <w:szCs w:val="20"/>
          <w:color w:val="auto"/>
        </w:rPr>
      </w:pPr>
    </w:p>
    <w:p>
      <w:pPr>
        <w:ind w:right="80" w:firstLine="312"/>
        <w:spacing w:after="0" w:line="299" w:lineRule="auto"/>
        <w:rPr>
          <w:sz w:val="20"/>
          <w:szCs w:val="20"/>
          <w:color w:val="auto"/>
        </w:rPr>
      </w:pPr>
      <w:r>
        <w:rPr>
          <w:rFonts w:ascii="Arial" w:cs="Arial" w:eastAsia="Arial" w:hAnsi="Arial"/>
          <w:sz w:val="15"/>
          <w:szCs w:val="15"/>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9" w:name="page20"/>
    <w:bookmarkEnd w:id="19"/>
    <w:p>
      <w:pPr>
        <w:ind w:left="160" w:right="80"/>
        <w:spacing w:after="0" w:line="319"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35" w:lineRule="exact"/>
        <w:rPr>
          <w:sz w:val="20"/>
          <w:szCs w:val="20"/>
          <w:color w:val="auto"/>
        </w:rPr>
      </w:pPr>
    </w:p>
    <w:p>
      <w:pPr>
        <w:ind w:right="20" w:firstLine="312"/>
        <w:spacing w:after="0" w:line="287"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60" w:lineRule="exact"/>
        <w:rPr>
          <w:sz w:val="20"/>
          <w:szCs w:val="20"/>
          <w:color w:val="auto"/>
        </w:rPr>
      </w:pPr>
    </w:p>
    <w:p>
      <w:pPr>
        <w:ind w:right="60" w:firstLine="312"/>
        <w:spacing w:after="0" w:line="294" w:lineRule="auto"/>
        <w:rPr>
          <w:sz w:val="20"/>
          <w:szCs w:val="20"/>
          <w:color w:val="auto"/>
        </w:rPr>
      </w:pPr>
      <w:r>
        <w:rPr>
          <w:rFonts w:ascii="Arial" w:cs="Arial" w:eastAsia="Arial" w:hAnsi="Arial"/>
          <w:sz w:val="15"/>
          <w:szCs w:val="15"/>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160" w:lineRule="exact"/>
        <w:rPr>
          <w:sz w:val="20"/>
          <w:szCs w:val="20"/>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the collaboration partner devotes to the product development program;</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collaboration partner may experience financial difficulties;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grant or otherwise relinquish important rights such as marketing, distribution and intellectual property rights;</w:t>
      </w:r>
    </w:p>
    <w:p>
      <w:pPr>
        <w:spacing w:after="0" w:line="220" w:lineRule="exact"/>
        <w:rPr>
          <w:rFonts w:ascii="Arial" w:cs="Arial" w:eastAsia="Arial" w:hAnsi="Arial"/>
          <w:sz w:val="17"/>
          <w:szCs w:val="17"/>
          <w:color w:val="auto"/>
        </w:rPr>
      </w:pPr>
    </w:p>
    <w:p>
      <w:pPr>
        <w:ind w:left="620" w:right="160" w:hanging="304"/>
        <w:spacing w:after="0" w:line="286"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collaboration partner could move forward with a competing product developed either independently or in collaboration with third parties, including our competitors; or</w:t>
      </w:r>
    </w:p>
    <w:p>
      <w:pPr>
        <w:spacing w:after="0" w:line="158" w:lineRule="exact"/>
        <w:rPr>
          <w:rFonts w:ascii="Arial" w:cs="Arial" w:eastAsia="Arial" w:hAnsi="Arial"/>
          <w:sz w:val="17"/>
          <w:szCs w:val="17"/>
          <w:color w:val="auto"/>
        </w:rPr>
      </w:pPr>
    </w:p>
    <w:p>
      <w:pPr>
        <w:ind w:left="620" w:right="800" w:hanging="304"/>
        <w:spacing w:after="0" w:line="286"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business combinations or significant changes in a collaboration partner’s business strategy may adversely affect our willingness to complete our obligations under any arrangement.</w:t>
      </w:r>
    </w:p>
    <w:p>
      <w:pPr>
        <w:spacing w:after="0" w:line="15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73" w:lineRule="exact"/>
        <w:rPr>
          <w:sz w:val="20"/>
          <w:szCs w:val="20"/>
          <w:color w:val="auto"/>
        </w:rPr>
      </w:pPr>
    </w:p>
    <w:p>
      <w:pPr>
        <w:ind w:right="60" w:firstLine="312"/>
        <w:spacing w:after="0" w:line="265" w:lineRule="auto"/>
        <w:rPr>
          <w:sz w:val="20"/>
          <w:szCs w:val="20"/>
          <w:color w:val="auto"/>
        </w:rPr>
      </w:pPr>
      <w:r>
        <w:rPr>
          <w:rFonts w:ascii="Arial" w:cs="Arial" w:eastAsia="Arial" w:hAnsi="Arial"/>
          <w:sz w:val="17"/>
          <w:szCs w:val="17"/>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0" w:name="page21"/>
    <w:bookmarkEnd w:id="20"/>
    <w:p>
      <w:pPr>
        <w:ind w:right="140"/>
        <w:spacing w:after="0" w:line="277" w:lineRule="auto"/>
        <w:rPr>
          <w:sz w:val="20"/>
          <w:szCs w:val="20"/>
          <w:color w:val="auto"/>
        </w:rPr>
      </w:pPr>
      <w:r>
        <w:rPr>
          <w:rFonts w:ascii="Arial" w:cs="Arial" w:eastAsia="Arial" w:hAnsi="Arial"/>
          <w:sz w:val="16"/>
          <w:szCs w:val="16"/>
          <w:color w:val="auto"/>
        </w:rPr>
        <w:t>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0" w:lineRule="exact"/>
        <w:rPr>
          <w:sz w:val="20"/>
          <w:szCs w:val="20"/>
          <w:color w:val="auto"/>
        </w:rPr>
      </w:pPr>
    </w:p>
    <w:p>
      <w:pPr>
        <w:ind w:right="80" w:firstLine="312"/>
        <w:spacing w:after="0" w:line="259"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85" w:lineRule="exact"/>
        <w:rPr>
          <w:sz w:val="20"/>
          <w:szCs w:val="20"/>
          <w:color w:val="auto"/>
        </w:rPr>
      </w:pPr>
    </w:p>
    <w:p>
      <w:pPr>
        <w:ind w:right="120" w:firstLine="312"/>
        <w:spacing w:after="0" w:line="265"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7" w:lineRule="exact"/>
        <w:rPr>
          <w:sz w:val="20"/>
          <w:szCs w:val="20"/>
          <w:color w:val="auto"/>
        </w:rPr>
      </w:pPr>
    </w:p>
    <w:p>
      <w:pPr>
        <w:ind w:left="160" w:right="320"/>
        <w:spacing w:after="0" w:line="319" w:lineRule="auto"/>
        <w:rPr>
          <w:sz w:val="20"/>
          <w:szCs w:val="20"/>
          <w:color w:val="auto"/>
        </w:rPr>
      </w:pPr>
      <w:r>
        <w:rPr>
          <w:rFonts w:ascii="Arial" w:cs="Arial" w:eastAsia="Arial" w:hAnsi="Arial"/>
          <w:sz w:val="16"/>
          <w:szCs w:val="16"/>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35" w:lineRule="exact"/>
        <w:rPr>
          <w:sz w:val="20"/>
          <w:szCs w:val="20"/>
          <w:color w:val="auto"/>
        </w:rPr>
      </w:pPr>
    </w:p>
    <w:p>
      <w:pPr>
        <w:ind w:firstLine="312"/>
        <w:spacing w:after="0" w:line="275" w:lineRule="auto"/>
        <w:rPr>
          <w:sz w:val="20"/>
          <w:szCs w:val="20"/>
          <w:color w:val="auto"/>
        </w:rPr>
      </w:pPr>
      <w:r>
        <w:rPr>
          <w:rFonts w:ascii="Arial" w:cs="Arial" w:eastAsia="Arial" w:hAnsi="Arial"/>
          <w:sz w:val="16"/>
          <w:szCs w:val="16"/>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1" w:name="page22"/>
    <w:bookmarkEnd w:id="21"/>
    <w:p>
      <w:pPr>
        <w:ind w:right="20" w:firstLine="312"/>
        <w:spacing w:after="0" w:line="287" w:lineRule="auto"/>
        <w:rPr>
          <w:sz w:val="20"/>
          <w:szCs w:val="20"/>
          <w:color w:val="auto"/>
        </w:rPr>
      </w:pPr>
      <w:r>
        <w:rPr>
          <w:rFonts w:ascii="Arial" w:cs="Arial" w:eastAsia="Arial" w:hAnsi="Arial"/>
          <w:sz w:val="16"/>
          <w:szCs w:val="16"/>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60" w:lineRule="exact"/>
        <w:rPr>
          <w:sz w:val="20"/>
          <w:szCs w:val="20"/>
          <w:color w:val="auto"/>
        </w:rPr>
      </w:pPr>
    </w:p>
    <w:p>
      <w:pPr>
        <w:ind w:right="20" w:firstLine="312"/>
        <w:spacing w:after="0" w:line="265" w:lineRule="auto"/>
        <w:rPr>
          <w:sz w:val="20"/>
          <w:szCs w:val="20"/>
          <w:color w:val="auto"/>
        </w:rPr>
      </w:pPr>
      <w:r>
        <w:rPr>
          <w:rFonts w:ascii="Arial" w:cs="Arial" w:eastAsia="Arial" w:hAnsi="Arial"/>
          <w:sz w:val="17"/>
          <w:szCs w:val="17"/>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77" w:lineRule="exact"/>
        <w:rPr>
          <w:sz w:val="20"/>
          <w:szCs w:val="20"/>
          <w:color w:val="auto"/>
        </w:rPr>
      </w:pPr>
    </w:p>
    <w:p>
      <w:pPr>
        <w:ind w:right="20" w:firstLine="312"/>
        <w:spacing w:after="0" w:line="263" w:lineRule="auto"/>
        <w:rPr>
          <w:sz w:val="20"/>
          <w:szCs w:val="20"/>
          <w:color w:val="auto"/>
        </w:rPr>
      </w:pPr>
      <w:r>
        <w:rPr>
          <w:rFonts w:ascii="Arial" w:cs="Arial" w:eastAsia="Arial" w:hAnsi="Arial"/>
          <w:sz w:val="17"/>
          <w:szCs w:val="17"/>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232"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not have sufficient patent terms to effectively protect our products and business.</w:t>
      </w:r>
    </w:p>
    <w:p>
      <w:pPr>
        <w:spacing w:after="0" w:line="221" w:lineRule="exact"/>
        <w:rPr>
          <w:sz w:val="20"/>
          <w:szCs w:val="20"/>
          <w:color w:val="auto"/>
        </w:rPr>
      </w:pPr>
    </w:p>
    <w:p>
      <w:pPr>
        <w:ind w:right="220" w:firstLine="312"/>
        <w:spacing w:after="0" w:line="260"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83" w:lineRule="exact"/>
        <w:rPr>
          <w:sz w:val="20"/>
          <w:szCs w:val="20"/>
          <w:color w:val="auto"/>
        </w:rPr>
      </w:pPr>
    </w:p>
    <w:p>
      <w:pPr>
        <w:ind w:right="60" w:firstLine="312"/>
        <w:spacing w:after="0" w:line="277"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2" w:name="page23"/>
    <w:bookmarkEnd w:id="22"/>
    <w:p>
      <w:pPr>
        <w:ind w:left="160" w:right="40"/>
        <w:spacing w:after="0" w:line="270" w:lineRule="auto"/>
        <w:rPr>
          <w:sz w:val="20"/>
          <w:szCs w:val="20"/>
          <w:color w:val="auto"/>
        </w:rPr>
      </w:pPr>
      <w:r>
        <w:rPr>
          <w:rFonts w:ascii="Arial" w:cs="Arial" w:eastAsia="Arial" w:hAnsi="Arial"/>
          <w:sz w:val="17"/>
          <w:szCs w:val="17"/>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173" w:lineRule="exact"/>
        <w:rPr>
          <w:sz w:val="20"/>
          <w:szCs w:val="20"/>
          <w:color w:val="auto"/>
        </w:rPr>
      </w:pPr>
    </w:p>
    <w:p>
      <w:pPr>
        <w:ind w:firstLine="312"/>
        <w:spacing w:after="0" w:line="274" w:lineRule="auto"/>
        <w:rPr>
          <w:sz w:val="20"/>
          <w:szCs w:val="20"/>
          <w:color w:val="auto"/>
        </w:rPr>
      </w:pPr>
      <w:r>
        <w:rPr>
          <w:rFonts w:ascii="Arial" w:cs="Arial" w:eastAsia="Arial" w:hAnsi="Arial"/>
          <w:sz w:val="16"/>
          <w:szCs w:val="16"/>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6"/>
          <w:szCs w:val="16"/>
          <w:i w:val="1"/>
          <w:iCs w:val="1"/>
          <w:color w:val="auto"/>
        </w:rPr>
        <w:t>, inter partes</w:t>
      </w:r>
      <w:r>
        <w:rPr>
          <w:rFonts w:ascii="Arial" w:cs="Arial" w:eastAsia="Arial" w:hAnsi="Arial"/>
          <w:sz w:val="16"/>
          <w:szCs w:val="16"/>
          <w:color w:val="auto"/>
        </w:rPr>
        <w:t xml:space="preserve"> review, interference and derivation proceedings as well as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79"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83" w:lineRule="exact"/>
        <w:rPr>
          <w:sz w:val="20"/>
          <w:szCs w:val="20"/>
          <w:color w:val="auto"/>
        </w:rPr>
      </w:pPr>
    </w:p>
    <w:p>
      <w:pPr>
        <w:ind w:right="40" w:firstLine="312"/>
        <w:spacing w:after="0" w:line="261"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81" w:lineRule="exact"/>
        <w:rPr>
          <w:sz w:val="20"/>
          <w:szCs w:val="20"/>
          <w:color w:val="auto"/>
        </w:rPr>
      </w:pPr>
    </w:p>
    <w:p>
      <w:pPr>
        <w:ind w:right="280" w:firstLine="312"/>
        <w:spacing w:after="0" w:line="26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23" w:name="page24"/>
    <w:bookmarkEnd w:id="23"/>
    <w:p>
      <w:pPr>
        <w:ind w:left="160" w:right="220"/>
        <w:spacing w:after="0" w:line="354" w:lineRule="auto"/>
        <w:rPr>
          <w:sz w:val="20"/>
          <w:szCs w:val="20"/>
          <w:color w:val="auto"/>
        </w:rPr>
      </w:pPr>
      <w:r>
        <w:rPr>
          <w:rFonts w:ascii="Arial" w:cs="Arial" w:eastAsia="Arial" w:hAnsi="Arial"/>
          <w:sz w:val="14"/>
          <w:szCs w:val="14"/>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120" w:lineRule="exact"/>
        <w:rPr>
          <w:sz w:val="20"/>
          <w:szCs w:val="20"/>
          <w:color w:val="auto"/>
        </w:rPr>
      </w:pPr>
    </w:p>
    <w:p>
      <w:pPr>
        <w:ind w:right="240" w:firstLine="312"/>
        <w:spacing w:after="0" w:line="260"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83" w:lineRule="exact"/>
        <w:rPr>
          <w:sz w:val="20"/>
          <w:szCs w:val="20"/>
          <w:color w:val="auto"/>
        </w:rPr>
      </w:pPr>
    </w:p>
    <w:p>
      <w:pPr>
        <w:ind w:firstLine="312"/>
        <w:spacing w:after="0" w:line="302" w:lineRule="auto"/>
        <w:rPr>
          <w:sz w:val="20"/>
          <w:szCs w:val="20"/>
          <w:color w:val="auto"/>
        </w:rPr>
      </w:pPr>
      <w:r>
        <w:rPr>
          <w:rFonts w:ascii="Arial" w:cs="Arial" w:eastAsia="Arial" w:hAnsi="Arial"/>
          <w:sz w:val="15"/>
          <w:szCs w:val="15"/>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55" w:lineRule="exact"/>
        <w:rPr>
          <w:sz w:val="20"/>
          <w:szCs w:val="20"/>
          <w:color w:val="auto"/>
        </w:rPr>
      </w:pPr>
    </w:p>
    <w:p>
      <w:pPr>
        <w:ind w:right="140" w:firstLine="312"/>
        <w:spacing w:after="0" w:line="261" w:lineRule="auto"/>
        <w:rPr>
          <w:sz w:val="20"/>
          <w:szCs w:val="20"/>
          <w:color w:val="auto"/>
        </w:rPr>
      </w:pPr>
      <w:r>
        <w:rPr>
          <w:rFonts w:ascii="Arial" w:cs="Arial" w:eastAsia="Arial" w:hAnsi="Arial"/>
          <w:sz w:val="17"/>
          <w:szCs w:val="17"/>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81" w:lineRule="exact"/>
        <w:rPr>
          <w:sz w:val="20"/>
          <w:szCs w:val="20"/>
          <w:color w:val="auto"/>
        </w:rPr>
      </w:pPr>
    </w:p>
    <w:p>
      <w:pPr>
        <w:ind w:firstLine="312"/>
        <w:spacing w:after="0" w:line="283" w:lineRule="auto"/>
        <w:rPr>
          <w:sz w:val="20"/>
          <w:szCs w:val="20"/>
          <w:color w:val="auto"/>
        </w:rPr>
      </w:pPr>
      <w:r>
        <w:rPr>
          <w:rFonts w:ascii="Arial" w:cs="Arial" w:eastAsia="Arial" w:hAnsi="Arial"/>
          <w:sz w:val="16"/>
          <w:szCs w:val="16"/>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64" w:lineRule="exact"/>
        <w:rPr>
          <w:sz w:val="20"/>
          <w:szCs w:val="20"/>
          <w:color w:val="auto"/>
        </w:rPr>
      </w:pPr>
    </w:p>
    <w:p>
      <w:pPr>
        <w:ind w:right="120" w:firstLine="312"/>
        <w:spacing w:after="0" w:line="259"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patents and other intellectual property.</w:t>
      </w:r>
    </w:p>
    <w:p>
      <w:pPr>
        <w:spacing w:after="0" w:line="221" w:lineRule="exact"/>
        <w:rPr>
          <w:sz w:val="20"/>
          <w:szCs w:val="20"/>
          <w:color w:val="auto"/>
        </w:rPr>
      </w:pPr>
    </w:p>
    <w:p>
      <w:pPr>
        <w:ind w:right="480" w:firstLine="312"/>
        <w:spacing w:after="0" w:line="286"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patents or other intellectual property as an inventor or co-inventor. For example, we may have inventorship disputes</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24" w:name="page25"/>
    <w:bookmarkEnd w:id="24"/>
    <w:p>
      <w:pPr>
        <w:ind w:right="20"/>
        <w:spacing w:after="0" w:line="263" w:lineRule="auto"/>
        <w:rPr>
          <w:sz w:val="20"/>
          <w:szCs w:val="20"/>
          <w:color w:val="auto"/>
        </w:rPr>
      </w:pPr>
      <w:r>
        <w:rPr>
          <w:rFonts w:ascii="Arial" w:cs="Arial" w:eastAsia="Arial" w:hAnsi="Arial"/>
          <w:sz w:val="17"/>
          <w:szCs w:val="17"/>
          <w:color w:val="auto"/>
        </w:rPr>
        <w:t>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8" w:lineRule="exact"/>
        <w:rPr>
          <w:sz w:val="20"/>
          <w:szCs w:val="20"/>
          <w:color w:val="auto"/>
        </w:rPr>
      </w:pPr>
    </w:p>
    <w:p>
      <w:pPr>
        <w:ind w:left="160" w:right="320"/>
        <w:spacing w:after="0" w:line="286" w:lineRule="auto"/>
        <w:rPr>
          <w:sz w:val="20"/>
          <w:szCs w:val="20"/>
          <w:color w:val="auto"/>
        </w:rPr>
      </w:pPr>
      <w:r>
        <w:rPr>
          <w:rFonts w:ascii="Arial" w:cs="Arial" w:eastAsia="Arial" w:hAnsi="Arial"/>
          <w:sz w:val="17"/>
          <w:szCs w:val="17"/>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58" w:lineRule="exact"/>
        <w:rPr>
          <w:sz w:val="20"/>
          <w:szCs w:val="20"/>
          <w:color w:val="auto"/>
        </w:rPr>
      </w:pPr>
    </w:p>
    <w:p>
      <w:pPr>
        <w:ind w:firstLine="312"/>
        <w:spacing w:after="0" w:line="295" w:lineRule="auto"/>
        <w:rPr>
          <w:sz w:val="20"/>
          <w:szCs w:val="20"/>
          <w:color w:val="auto"/>
        </w:rPr>
      </w:pPr>
      <w:r>
        <w:rPr>
          <w:rFonts w:ascii="Arial" w:cs="Arial" w:eastAsia="Arial" w:hAnsi="Arial"/>
          <w:sz w:val="15"/>
          <w:szCs w:val="15"/>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1" w:lineRule="exact"/>
        <w:rPr>
          <w:sz w:val="20"/>
          <w:szCs w:val="20"/>
          <w:color w:val="auto"/>
        </w:rPr>
      </w:pPr>
    </w:p>
    <w:p>
      <w:pPr>
        <w:ind w:right="40" w:firstLine="312"/>
        <w:spacing w:after="0" w:line="283"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64" w:lineRule="exact"/>
        <w:rPr>
          <w:sz w:val="20"/>
          <w:szCs w:val="20"/>
          <w:color w:val="auto"/>
        </w:rPr>
      </w:pPr>
    </w:p>
    <w:p>
      <w:pPr>
        <w:ind w:left="160" w:right="320"/>
        <w:spacing w:after="0" w:line="286" w:lineRule="auto"/>
        <w:rPr>
          <w:sz w:val="20"/>
          <w:szCs w:val="20"/>
          <w:color w:val="auto"/>
        </w:rPr>
      </w:pPr>
      <w:r>
        <w:rPr>
          <w:rFonts w:ascii="Arial" w:cs="Arial" w:eastAsia="Arial" w:hAnsi="Arial"/>
          <w:sz w:val="17"/>
          <w:szCs w:val="17"/>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158" w:lineRule="exact"/>
        <w:rPr>
          <w:sz w:val="20"/>
          <w:szCs w:val="20"/>
          <w:color w:val="auto"/>
        </w:rPr>
      </w:pPr>
    </w:p>
    <w:p>
      <w:pPr>
        <w:ind w:right="20" w:firstLine="312"/>
        <w:spacing w:after="0" w:line="275"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25" w:name="page26"/>
    <w:bookmarkEnd w:id="25"/>
    <w:p>
      <w:pPr>
        <w:ind w:right="20"/>
        <w:spacing w:after="0" w:line="279" w:lineRule="auto"/>
        <w:rPr>
          <w:sz w:val="20"/>
          <w:szCs w:val="20"/>
          <w:color w:val="auto"/>
        </w:rPr>
      </w:pPr>
      <w:r>
        <w:rPr>
          <w:rFonts w:ascii="Arial" w:cs="Arial" w:eastAsia="Arial" w:hAnsi="Arial"/>
          <w:sz w:val="16"/>
          <w:szCs w:val="16"/>
          <w:color w:val="auto"/>
        </w:rPr>
        <w:t>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w:t>
      </w:r>
    </w:p>
    <w:p>
      <w:pPr>
        <w:spacing w:after="0" w:line="168" w:lineRule="exact"/>
        <w:rPr>
          <w:sz w:val="20"/>
          <w:szCs w:val="20"/>
          <w:color w:val="auto"/>
        </w:rPr>
      </w:pPr>
    </w:p>
    <w:p>
      <w:pPr>
        <w:ind w:right="100" w:firstLine="312"/>
        <w:spacing w:after="0" w:line="259"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3" w:lineRule="exact"/>
        <w:rPr>
          <w:sz w:val="20"/>
          <w:szCs w:val="20"/>
          <w:color w:val="auto"/>
        </w:rPr>
      </w:pPr>
    </w:p>
    <w:p>
      <w:pPr>
        <w:ind w:right="20" w:firstLine="312"/>
        <w:spacing w:after="0" w:line="265"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77" w:lineRule="exact"/>
        <w:rPr>
          <w:sz w:val="20"/>
          <w:szCs w:val="20"/>
          <w:color w:val="auto"/>
        </w:rPr>
      </w:pPr>
    </w:p>
    <w:p>
      <w:pPr>
        <w:jc w:val="both"/>
        <w:ind w:left="160" w:right="940"/>
        <w:spacing w:after="0" w:line="270"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3" w:lineRule="exact"/>
        <w:rPr>
          <w:sz w:val="20"/>
          <w:szCs w:val="20"/>
          <w:color w:val="auto"/>
        </w:rPr>
      </w:pPr>
    </w:p>
    <w:p>
      <w:pPr>
        <w:ind w:firstLine="312"/>
        <w:spacing w:after="0" w:line="276"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The patent protection and patent prosecution for some of our product candidates is dependent on third parties.</w:t>
      </w:r>
    </w:p>
    <w:p>
      <w:pPr>
        <w:spacing w:after="0" w:line="221" w:lineRule="exact"/>
        <w:rPr>
          <w:sz w:val="20"/>
          <w:szCs w:val="20"/>
          <w:color w:val="auto"/>
        </w:rPr>
      </w:pPr>
    </w:p>
    <w:p>
      <w:pPr>
        <w:ind w:right="80" w:firstLine="312"/>
        <w:spacing w:after="0" w:line="263"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6" w:name="page27"/>
    <w:bookmarkEnd w:id="26"/>
    <w:p>
      <w:pPr>
        <w:jc w:val="both"/>
        <w:ind w:right="120"/>
        <w:spacing w:after="0" w:line="265" w:lineRule="auto"/>
        <w:rPr>
          <w:sz w:val="20"/>
          <w:szCs w:val="20"/>
          <w:color w:val="auto"/>
        </w:rPr>
      </w:pPr>
      <w:r>
        <w:rPr>
          <w:rFonts w:ascii="Arial" w:cs="Arial" w:eastAsia="Arial" w:hAnsi="Arial"/>
          <w:sz w:val="17"/>
          <w:szCs w:val="17"/>
          <w:color w:val="auto"/>
        </w:rPr>
        <w:t>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77"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173" w:lineRule="exact"/>
        <w:rPr>
          <w:sz w:val="20"/>
          <w:szCs w:val="20"/>
          <w:color w:val="auto"/>
        </w:rPr>
      </w:pPr>
    </w:p>
    <w:p>
      <w:pPr>
        <w:ind w:right="100" w:firstLine="312"/>
        <w:spacing w:after="0" w:line="302" w:lineRule="auto"/>
        <w:rPr>
          <w:sz w:val="20"/>
          <w:szCs w:val="20"/>
          <w:color w:val="auto"/>
        </w:rPr>
      </w:pPr>
      <w:r>
        <w:rPr>
          <w:rFonts w:ascii="Arial" w:cs="Arial" w:eastAsia="Arial" w:hAnsi="Arial"/>
          <w:sz w:val="15"/>
          <w:szCs w:val="15"/>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55" w:lineRule="exact"/>
        <w:rPr>
          <w:sz w:val="20"/>
          <w:szCs w:val="20"/>
          <w:color w:val="auto"/>
        </w:rPr>
      </w:pPr>
    </w:p>
    <w:p>
      <w:pPr>
        <w:ind w:right="520" w:firstLine="312"/>
        <w:spacing w:after="0" w:line="286" w:lineRule="auto"/>
        <w:rPr>
          <w:sz w:val="20"/>
          <w:szCs w:val="20"/>
          <w:color w:val="auto"/>
        </w:rPr>
      </w:pPr>
      <w:r>
        <w:rPr>
          <w:rFonts w:ascii="Arial" w:cs="Arial" w:eastAsia="Arial" w:hAnsi="Arial"/>
          <w:sz w:val="17"/>
          <w:szCs w:val="17"/>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58" w:lineRule="exact"/>
        <w:rPr>
          <w:sz w:val="20"/>
          <w:szCs w:val="20"/>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scope of rights granted under the agreement and other interpretation-related issues;</w:t>
      </w:r>
    </w:p>
    <w:p>
      <w:pPr>
        <w:spacing w:after="0" w:line="220" w:lineRule="exact"/>
        <w:rPr>
          <w:rFonts w:ascii="Arial" w:cs="Arial" w:eastAsia="Arial" w:hAnsi="Arial"/>
          <w:sz w:val="17"/>
          <w:szCs w:val="17"/>
          <w:color w:val="auto"/>
        </w:rPr>
      </w:pPr>
    </w:p>
    <w:p>
      <w:pPr>
        <w:ind w:left="620" w:right="20" w:hanging="304"/>
        <w:spacing w:after="0" w:line="286"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or otherwise violate intellectual property of the licensor, the licensee or partner that is not subject to the agreement;</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sublicensing of patent and other rights;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diligence, development and commercialization obligations under the agreement and what activities satisfy those obligations;</w:t>
      </w:r>
    </w:p>
    <w:p>
      <w:pPr>
        <w:spacing w:after="0" w:line="220" w:lineRule="exact"/>
        <w:rPr>
          <w:rFonts w:ascii="Arial" w:cs="Arial" w:eastAsia="Arial" w:hAnsi="Arial"/>
          <w:sz w:val="17"/>
          <w:szCs w:val="17"/>
          <w:color w:val="auto"/>
        </w:rPr>
      </w:pPr>
    </w:p>
    <w:p>
      <w:pPr>
        <w:ind w:left="620" w:hanging="304"/>
        <w:spacing w:after="0" w:line="286"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or collaboration partners and us; and</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21" w:lineRule="exact"/>
        <w:rPr>
          <w:sz w:val="20"/>
          <w:szCs w:val="20"/>
          <w:color w:val="auto"/>
        </w:rPr>
      </w:pPr>
    </w:p>
    <w:p>
      <w:pPr>
        <w:ind w:right="660" w:firstLine="312"/>
        <w:spacing w:after="0" w:line="319"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35" w:lineRule="exact"/>
        <w:rPr>
          <w:sz w:val="20"/>
          <w:szCs w:val="20"/>
          <w:color w:val="auto"/>
        </w:rPr>
      </w:pPr>
    </w:p>
    <w:p>
      <w:pPr>
        <w:ind w:right="220" w:firstLine="312"/>
        <w:spacing w:after="0" w:line="263" w:lineRule="auto"/>
        <w:rPr>
          <w:sz w:val="20"/>
          <w:szCs w:val="20"/>
          <w:color w:val="auto"/>
        </w:rPr>
      </w:pPr>
      <w:r>
        <w:rPr>
          <w:rFonts w:ascii="Arial" w:cs="Arial" w:eastAsia="Arial" w:hAnsi="Arial"/>
          <w:sz w:val="17"/>
          <w:szCs w:val="17"/>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21" w:lineRule="exact"/>
        <w:rPr>
          <w:sz w:val="20"/>
          <w:szCs w:val="20"/>
          <w:color w:val="auto"/>
        </w:rPr>
      </w:pPr>
    </w:p>
    <w:p>
      <w:pPr>
        <w:ind w:right="40" w:firstLine="312"/>
        <w:spacing w:after="0" w:line="265"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7" w:name="page28"/>
    <w:bookmarkEnd w:id="27"/>
    <w:p>
      <w:pPr>
        <w:ind w:right="60"/>
        <w:spacing w:after="0" w:line="283" w:lineRule="auto"/>
        <w:rPr>
          <w:sz w:val="20"/>
          <w:szCs w:val="20"/>
          <w:color w:val="auto"/>
        </w:rPr>
      </w:pPr>
      <w:r>
        <w:rPr>
          <w:rFonts w:ascii="Arial" w:cs="Arial" w:eastAsia="Arial" w:hAnsi="Arial"/>
          <w:sz w:val="16"/>
          <w:szCs w:val="16"/>
          <w:color w:val="auto"/>
        </w:rPr>
        <w:t>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64" w:lineRule="exact"/>
        <w:rPr>
          <w:sz w:val="20"/>
          <w:szCs w:val="20"/>
          <w:color w:val="auto"/>
        </w:rPr>
      </w:pPr>
    </w:p>
    <w:p>
      <w:pPr>
        <w:ind w:right="300" w:firstLine="312"/>
        <w:spacing w:after="0" w:line="263" w:lineRule="auto"/>
        <w:rPr>
          <w:sz w:val="20"/>
          <w:szCs w:val="20"/>
          <w:color w:val="auto"/>
        </w:rPr>
      </w:pPr>
      <w:r>
        <w:rPr>
          <w:rFonts w:ascii="Arial" w:cs="Arial" w:eastAsia="Arial" w:hAnsi="Arial"/>
          <w:sz w:val="17"/>
          <w:szCs w:val="17"/>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78" w:lineRule="exact"/>
        <w:rPr>
          <w:sz w:val="20"/>
          <w:szCs w:val="20"/>
          <w:color w:val="auto"/>
        </w:rPr>
      </w:pPr>
    </w:p>
    <w:p>
      <w:pPr>
        <w:ind w:right="80" w:firstLine="312"/>
        <w:spacing w:after="0" w:line="286" w:lineRule="auto"/>
        <w:rPr>
          <w:sz w:val="20"/>
          <w:szCs w:val="20"/>
          <w:color w:val="auto"/>
        </w:rPr>
      </w:pPr>
      <w:r>
        <w:rPr>
          <w:rFonts w:ascii="Arial" w:cs="Arial" w:eastAsia="Arial" w:hAnsi="Arial"/>
          <w:sz w:val="17"/>
          <w:szCs w:val="17"/>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58" w:lineRule="exact"/>
        <w:rPr>
          <w:sz w:val="20"/>
          <w:szCs w:val="20"/>
          <w:color w:val="auto"/>
        </w:rPr>
      </w:pPr>
    </w:p>
    <w:p>
      <w:pPr>
        <w:ind w:left="160" w:right="300"/>
        <w:spacing w:after="0" w:line="286" w:lineRule="auto"/>
        <w:rPr>
          <w:sz w:val="20"/>
          <w:szCs w:val="20"/>
          <w:color w:val="auto"/>
        </w:rPr>
      </w:pPr>
      <w:r>
        <w:rPr>
          <w:rFonts w:ascii="Arial" w:cs="Arial" w:eastAsia="Arial" w:hAnsi="Arial"/>
          <w:sz w:val="17"/>
          <w:szCs w:val="17"/>
          <w:b w:val="1"/>
          <w:bCs w:val="1"/>
          <w:i w:val="1"/>
          <w:iCs w:val="1"/>
          <w:color w:val="auto"/>
        </w:rPr>
        <w:t>Third-party claims of intellectual property infringement may expose us to substantial liability or prevent or delay our development and commercialization efforts.</w:t>
      </w:r>
    </w:p>
    <w:p>
      <w:pPr>
        <w:spacing w:after="0" w:line="158"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 xml:space="preserve">Our commercial success depends on our ability and the ability of our licensees or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derivation proceedings and post grant review before the USPTO and corresponding foreign patent offices.</w:t>
      </w:r>
    </w:p>
    <w:p>
      <w:pPr>
        <w:spacing w:after="0" w:line="181" w:lineRule="exact"/>
        <w:rPr>
          <w:sz w:val="20"/>
          <w:szCs w:val="20"/>
          <w:color w:val="auto"/>
        </w:rPr>
      </w:pPr>
    </w:p>
    <w:p>
      <w:pPr>
        <w:ind w:right="100" w:firstLine="312"/>
        <w:spacing w:after="0" w:line="276" w:lineRule="auto"/>
        <w:rPr>
          <w:sz w:val="20"/>
          <w:szCs w:val="20"/>
          <w:color w:val="auto"/>
        </w:rPr>
      </w:pPr>
      <w:r>
        <w:rPr>
          <w:rFonts w:ascii="Arial" w:cs="Arial" w:eastAsia="Arial" w:hAnsi="Arial"/>
          <w:sz w:val="16"/>
          <w:szCs w:val="16"/>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70" w:lineRule="exact"/>
        <w:rPr>
          <w:sz w:val="20"/>
          <w:szCs w:val="20"/>
          <w:color w:val="auto"/>
        </w:rPr>
      </w:pPr>
    </w:p>
    <w:p>
      <w:pPr>
        <w:ind w:right="220" w:firstLine="312"/>
        <w:spacing w:after="0" w:line="280"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and other third parties access to the same technologies licensed to us and it could require us to make substantial payments to the licensor.</w:t>
      </w:r>
    </w:p>
    <w:p>
      <w:pPr>
        <w:spacing w:after="0" w:line="221" w:lineRule="exact"/>
        <w:rPr>
          <w:sz w:val="20"/>
          <w:szCs w:val="20"/>
          <w:color w:val="auto"/>
        </w:rPr>
      </w:pPr>
    </w:p>
    <w:p>
      <w:pPr>
        <w:ind w:right="20" w:firstLine="312"/>
        <w:spacing w:after="0" w:line="261"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81" w:lineRule="exact"/>
        <w:rPr>
          <w:sz w:val="20"/>
          <w:szCs w:val="20"/>
          <w:color w:val="auto"/>
        </w:rPr>
      </w:pPr>
    </w:p>
    <w:p>
      <w:pPr>
        <w:ind w:right="140" w:firstLine="312"/>
        <w:spacing w:after="0" w:line="265" w:lineRule="auto"/>
        <w:rPr>
          <w:sz w:val="20"/>
          <w:szCs w:val="20"/>
          <w:color w:val="auto"/>
        </w:rPr>
      </w:pPr>
      <w:r>
        <w:rPr>
          <w:rFonts w:ascii="Arial" w:cs="Arial" w:eastAsia="Arial" w:hAnsi="Arial"/>
          <w:sz w:val="17"/>
          <w:szCs w:val="17"/>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77"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ind w:left="160" w:right="10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8" w:lineRule="exact"/>
        <w:rPr>
          <w:sz w:val="20"/>
          <w:szCs w:val="20"/>
          <w:color w:val="auto"/>
        </w:rPr>
      </w:pPr>
    </w:p>
    <w:p>
      <w:pPr>
        <w:ind w:right="20" w:firstLine="312"/>
        <w:spacing w:after="0" w:line="259"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ind w:right="60" w:firstLine="312"/>
        <w:spacing w:after="0" w:line="263"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221"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9" w:name="page30"/>
    <w:bookmarkEnd w:id="29"/>
    <w:p>
      <w:pPr>
        <w:spacing w:after="0" w:line="300" w:lineRule="auto"/>
        <w:rPr>
          <w:sz w:val="20"/>
          <w:szCs w:val="20"/>
          <w:color w:val="auto"/>
        </w:rPr>
      </w:pPr>
      <w:r>
        <w:rPr>
          <w:rFonts w:ascii="Arial" w:cs="Arial" w:eastAsia="Arial" w:hAnsi="Arial"/>
          <w:sz w:val="15"/>
          <w:szCs w:val="15"/>
          <w:color w:val="auto"/>
        </w:rPr>
        <w:t>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56" w:lineRule="exact"/>
        <w:rPr>
          <w:sz w:val="20"/>
          <w:szCs w:val="20"/>
          <w:color w:val="auto"/>
        </w:rPr>
      </w:pPr>
    </w:p>
    <w:p>
      <w:pPr>
        <w:ind w:right="60" w:firstLine="312"/>
        <w:spacing w:after="0" w:line="27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Capital Requirements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244" w:lineRule="exact"/>
        <w:rPr>
          <w:sz w:val="20"/>
          <w:szCs w:val="20"/>
          <w:color w:val="auto"/>
        </w:rPr>
      </w:pPr>
    </w:p>
    <w:p>
      <w:pPr>
        <w:ind w:right="180" w:firstLine="312"/>
        <w:spacing w:after="0" w:line="322" w:lineRule="auto"/>
        <w:rPr>
          <w:sz w:val="20"/>
          <w:szCs w:val="20"/>
          <w:color w:val="auto"/>
        </w:rPr>
      </w:pPr>
      <w:r>
        <w:rPr>
          <w:rFonts w:ascii="Arial" w:cs="Arial" w:eastAsia="Arial" w:hAnsi="Arial"/>
          <w:sz w:val="15"/>
          <w:szCs w:val="15"/>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7.1 million for the year ended December 31, 2016. In addition, we had accumulated losses of CHF 47.0 million as of December 31, 2016.</w:t>
      </w:r>
    </w:p>
    <w:p>
      <w:pPr>
        <w:spacing w:after="0" w:line="138" w:lineRule="exact"/>
        <w:rPr>
          <w:sz w:val="20"/>
          <w:szCs w:val="20"/>
          <w:color w:val="auto"/>
        </w:rPr>
      </w:pPr>
    </w:p>
    <w:p>
      <w:pPr>
        <w:jc w:val="both"/>
        <w:ind w:right="60" w:firstLine="312"/>
        <w:spacing w:after="0" w:line="270" w:lineRule="auto"/>
        <w:rPr>
          <w:sz w:val="20"/>
          <w:szCs w:val="20"/>
          <w:color w:val="auto"/>
        </w:rPr>
      </w:pPr>
      <w:r>
        <w:rPr>
          <w:rFonts w:ascii="Arial" w:cs="Arial" w:eastAsia="Arial" w:hAnsi="Arial"/>
          <w:sz w:val="17"/>
          <w:szCs w:val="17"/>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73" w:lineRule="exact"/>
        <w:rPr>
          <w:sz w:val="20"/>
          <w:szCs w:val="20"/>
          <w:color w:val="auto"/>
        </w:rPr>
      </w:pPr>
    </w:p>
    <w:p>
      <w:pPr>
        <w:ind w:right="40" w:firstLine="312"/>
        <w:spacing w:after="0" w:line="263" w:lineRule="auto"/>
        <w:rPr>
          <w:sz w:val="20"/>
          <w:szCs w:val="20"/>
          <w:color w:val="auto"/>
        </w:rPr>
      </w:pPr>
      <w:r>
        <w:rPr>
          <w:rFonts w:ascii="Arial" w:cs="Arial" w:eastAsia="Arial" w:hAnsi="Arial"/>
          <w:sz w:val="17"/>
          <w:szCs w:val="17"/>
          <w:color w:val="auto"/>
        </w:rPr>
        <w:t>To date, we have financed our operations through proceeds from our initial public offering (“IPO”) in September 2016, private placements of preferred securities, and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178" w:lineRule="exact"/>
        <w:rPr>
          <w:sz w:val="20"/>
          <w:szCs w:val="20"/>
          <w:color w:val="auto"/>
        </w:rPr>
      </w:pPr>
    </w:p>
    <w:p>
      <w:pPr>
        <w:ind w:left="160" w:right="40"/>
        <w:spacing w:after="0" w:line="286" w:lineRule="auto"/>
        <w:rPr>
          <w:sz w:val="20"/>
          <w:szCs w:val="20"/>
          <w:color w:val="auto"/>
        </w:rPr>
      </w:pPr>
      <w:r>
        <w:rPr>
          <w:rFonts w:ascii="Arial" w:cs="Arial" w:eastAsia="Arial" w:hAnsi="Arial"/>
          <w:sz w:val="17"/>
          <w:szCs w:val="17"/>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158" w:lineRule="exact"/>
        <w:rPr>
          <w:sz w:val="20"/>
          <w:szCs w:val="20"/>
          <w:color w:val="auto"/>
        </w:rPr>
      </w:pPr>
    </w:p>
    <w:p>
      <w:pPr>
        <w:ind w:right="240" w:firstLine="312"/>
        <w:spacing w:after="0" w:line="283"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from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30" w:name="page31"/>
    <w:bookmarkEnd w:id="30"/>
    <w:p>
      <w:pPr>
        <w:ind w:left="620" w:hanging="304"/>
        <w:spacing w:after="0" w:line="270"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completing research and clinical development of our product candidates, including us or our collaboration partners, as the case may be, successfully completing a Phase 3 clinical study of crenezumab, a Phase 1/2a clinical study of ACI-24 for AD, a Phase 1 clinical study of ACI-24 in Down syndrome, a Phase 1b clinical study of ACI-35 and a Phase 1 clinical study of our anti-tau antibody candidate;</w:t>
      </w:r>
    </w:p>
    <w:p>
      <w:pPr>
        <w:spacing w:after="0" w:line="172" w:lineRule="exact"/>
        <w:rPr>
          <w:rFonts w:ascii="Arial" w:cs="Arial" w:eastAsia="Arial" w:hAnsi="Arial"/>
          <w:sz w:val="17"/>
          <w:szCs w:val="17"/>
          <w:color w:val="auto"/>
        </w:rPr>
      </w:pPr>
    </w:p>
    <w:p>
      <w:pPr>
        <w:ind w:left="620" w:right="80" w:hanging="304"/>
        <w:spacing w:after="0" w:line="286"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marketing approvals for our product candidates, including crenezumab, ACI-24 for AD or ACI-35 or our anti-tau antibody candidate, for which we complete clinical studies;</w:t>
      </w:r>
    </w:p>
    <w:p>
      <w:pPr>
        <w:spacing w:after="0" w:line="158" w:lineRule="exact"/>
        <w:rPr>
          <w:rFonts w:ascii="Arial" w:cs="Arial" w:eastAsia="Arial" w:hAnsi="Arial"/>
          <w:sz w:val="17"/>
          <w:szCs w:val="17"/>
          <w:color w:val="auto"/>
        </w:rPr>
      </w:pPr>
    </w:p>
    <w:p>
      <w:pPr>
        <w:ind w:left="620" w:right="20" w:hanging="304"/>
        <w:spacing w:after="0" w:line="270"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172" w:lineRule="exact"/>
        <w:rPr>
          <w:rFonts w:ascii="Arial" w:cs="Arial" w:eastAsia="Arial" w:hAnsi="Arial"/>
          <w:sz w:val="17"/>
          <w:szCs w:val="17"/>
          <w:color w:val="auto"/>
        </w:rPr>
      </w:pPr>
    </w:p>
    <w:p>
      <w:pPr>
        <w:ind w:left="620" w:hanging="30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marketing approval, either directly or with a collaborator or distributor;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viable treatment options;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identifying, assessing, acquiring and/or developing new product candidates;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similar arrangements into which we may enter;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221" w:lineRule="exact"/>
        <w:rPr>
          <w:sz w:val="20"/>
          <w:szCs w:val="20"/>
          <w:color w:val="auto"/>
        </w:rPr>
      </w:pPr>
    </w:p>
    <w:p>
      <w:pPr>
        <w:ind w:right="20" w:firstLine="312"/>
        <w:spacing w:after="0" w:line="276"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73" w:lineRule="exact"/>
        <w:rPr>
          <w:sz w:val="20"/>
          <w:szCs w:val="20"/>
          <w:color w:val="auto"/>
        </w:rPr>
      </w:pPr>
    </w:p>
    <w:p>
      <w:pPr>
        <w:ind w:right="20" w:firstLine="312"/>
        <w:spacing w:after="0" w:line="265" w:lineRule="auto"/>
        <w:rPr>
          <w:sz w:val="20"/>
          <w:szCs w:val="20"/>
          <w:color w:val="auto"/>
        </w:rPr>
      </w:pPr>
      <w:r>
        <w:rPr>
          <w:rFonts w:ascii="Arial" w:cs="Arial" w:eastAsia="Arial" w:hAnsi="Arial"/>
          <w:sz w:val="17"/>
          <w:szCs w:val="17"/>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77" w:lineRule="exact"/>
        <w:rPr>
          <w:sz w:val="20"/>
          <w:szCs w:val="20"/>
          <w:color w:val="auto"/>
        </w:rPr>
      </w:pPr>
    </w:p>
    <w:p>
      <w:pPr>
        <w:ind w:left="160" w:right="280"/>
        <w:spacing w:after="0" w:line="356" w:lineRule="auto"/>
        <w:rPr>
          <w:sz w:val="20"/>
          <w:szCs w:val="20"/>
          <w:color w:val="auto"/>
        </w:rPr>
      </w:pPr>
      <w:r>
        <w:rPr>
          <w:rFonts w:ascii="Arial" w:cs="Arial" w:eastAsia="Arial" w:hAnsi="Arial"/>
          <w:sz w:val="15"/>
          <w:szCs w:val="15"/>
          <w:b w:val="1"/>
          <w:bCs w:val="1"/>
          <w:i w:val="1"/>
          <w:iCs w:val="1"/>
          <w:color w:val="auto"/>
        </w:rPr>
        <w:t>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13" w:lineRule="exact"/>
        <w:rPr>
          <w:sz w:val="20"/>
          <w:szCs w:val="20"/>
          <w:color w:val="auto"/>
        </w:rPr>
      </w:pPr>
    </w:p>
    <w:p>
      <w:pPr>
        <w:ind w:right="120" w:firstLine="312"/>
        <w:spacing w:after="0" w:line="270" w:lineRule="auto"/>
        <w:rPr>
          <w:sz w:val="20"/>
          <w:szCs w:val="20"/>
          <w:color w:val="auto"/>
        </w:rPr>
      </w:pPr>
      <w:r>
        <w:rPr>
          <w:rFonts w:ascii="Arial" w:cs="Arial" w:eastAsia="Arial" w:hAnsi="Arial"/>
          <w:sz w:val="17"/>
          <w:szCs w:val="17"/>
          <w:color w:val="auto"/>
        </w:rPr>
        <w:t>We are currently advancing our product candidates through clinical development, either together with a collaboration partner (crenezumab, ACI-35 and our anti-tau antibody candidate) or independently (ACI-24 for AD and Down syndrome). We expect our research and development expenses to continue to increase in connection with</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31" w:name="page32"/>
    <w:bookmarkEnd w:id="31"/>
    <w:p>
      <w:pPr>
        <w:ind w:right="40"/>
        <w:spacing w:after="0" w:line="261" w:lineRule="auto"/>
        <w:rPr>
          <w:sz w:val="20"/>
          <w:szCs w:val="20"/>
          <w:color w:val="auto"/>
        </w:rPr>
      </w:pPr>
      <w:r>
        <w:rPr>
          <w:rFonts w:ascii="Arial" w:cs="Arial" w:eastAsia="Arial" w:hAnsi="Arial"/>
          <w:sz w:val="17"/>
          <w:szCs w:val="17"/>
          <w:color w:val="auto"/>
        </w:rPr>
        <w:t>our ongoing activities, particularly as we and/or our collaboration partners continue our ongoing studies and initiate new studies of crenezumab, ACI-24 for AD, ACI-35 and our anti-tau antibody candidate and initiate preclinical and clinical development of our other product candidates. As of December 31, 2016, we had cash and cash equivalents of CHF 152.2 million. We currently believe that our existing capital resources, not including potential milestone payments, will be sufficient to meet our projected operating requirements for at least through the fourth quarter of fiscal year 2018. We have based this estimate on assumptions that may prove to be wrong, and we could exhaust our capital resources sooner than we currently expect. Our future funding requirements will depend on many factors, including but not limited to:</w:t>
      </w:r>
    </w:p>
    <w:p>
      <w:pPr>
        <w:spacing w:after="0" w:line="181" w:lineRule="exact"/>
        <w:rPr>
          <w:sz w:val="20"/>
          <w:szCs w:val="20"/>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scope, rate of progress, results and cost of our pre-clinical and clinical studies and other related activities;</w:t>
      </w:r>
    </w:p>
    <w:p>
      <w:pPr>
        <w:spacing w:after="0" w:line="220" w:lineRule="exact"/>
        <w:rPr>
          <w:rFonts w:ascii="Arial" w:cs="Arial" w:eastAsia="Arial" w:hAnsi="Arial"/>
          <w:sz w:val="17"/>
          <w:szCs w:val="17"/>
          <w:color w:val="auto"/>
        </w:rPr>
      </w:pPr>
    </w:p>
    <w:p>
      <w:pPr>
        <w:ind w:left="620" w:right="560" w:hanging="304"/>
        <w:spacing w:after="0" w:line="286"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of manufacturing clinical supplies and establishing commercial supplies of our existing product candidates and any other products we may develop;</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timing, and outcomes of regulatory approvals;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and timing of establishing sales, marketing and distribution capabilities;</w:t>
      </w:r>
    </w:p>
    <w:p>
      <w:pPr>
        <w:spacing w:after="0" w:line="220" w:lineRule="exact"/>
        <w:rPr>
          <w:rFonts w:ascii="Arial" w:cs="Arial" w:eastAsia="Arial" w:hAnsi="Arial"/>
          <w:sz w:val="17"/>
          <w:szCs w:val="17"/>
          <w:color w:val="auto"/>
        </w:rPr>
      </w:pPr>
    </w:p>
    <w:p>
      <w:pPr>
        <w:ind w:left="620" w:right="460" w:hanging="304"/>
        <w:spacing w:after="0" w:line="286"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terms and timing of any collaborative, licensing, and other arrangements that currently exist or that we may establish in the future, including any required milestone and royalty payments thereunder;</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emergence of competing technologies or other adverse market developments;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cost and timing of managing and protecting our portfolio of intellectual property.</w:t>
      </w:r>
    </w:p>
    <w:p>
      <w:pPr>
        <w:spacing w:after="0" w:line="221" w:lineRule="exact"/>
        <w:rPr>
          <w:sz w:val="20"/>
          <w:szCs w:val="20"/>
          <w:color w:val="auto"/>
        </w:rPr>
      </w:pPr>
    </w:p>
    <w:p>
      <w:pPr>
        <w:ind w:right="60" w:firstLine="312"/>
        <w:spacing w:after="0" w:line="260"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as a result of our IPO.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183" w:lineRule="exact"/>
        <w:rPr>
          <w:sz w:val="20"/>
          <w:szCs w:val="20"/>
          <w:color w:val="auto"/>
        </w:rPr>
      </w:pPr>
    </w:p>
    <w:p>
      <w:pPr>
        <w:ind w:left="160" w:right="340"/>
        <w:spacing w:after="0" w:line="286" w:lineRule="auto"/>
        <w:rPr>
          <w:sz w:val="20"/>
          <w:szCs w:val="20"/>
          <w:color w:val="auto"/>
        </w:rPr>
      </w:pPr>
      <w:r>
        <w:rPr>
          <w:rFonts w:ascii="Arial" w:cs="Arial" w:eastAsia="Arial" w:hAnsi="Arial"/>
          <w:sz w:val="17"/>
          <w:szCs w:val="17"/>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58" w:lineRule="exact"/>
        <w:rPr>
          <w:sz w:val="20"/>
          <w:szCs w:val="20"/>
          <w:color w:val="auto"/>
        </w:rPr>
      </w:pPr>
    </w:p>
    <w:p>
      <w:pPr>
        <w:ind w:right="40" w:firstLine="312"/>
        <w:spacing w:after="0" w:line="261"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81" w:lineRule="exact"/>
        <w:rPr>
          <w:sz w:val="20"/>
          <w:szCs w:val="20"/>
          <w:color w:val="auto"/>
        </w:rPr>
      </w:pPr>
    </w:p>
    <w:p>
      <w:pPr>
        <w:ind w:right="100" w:firstLine="312"/>
        <w:spacing w:after="0" w:line="26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ability to use tax loss carryforwards in Switzerland may be limited.</w:t>
      </w:r>
    </w:p>
    <w:p>
      <w:pPr>
        <w:spacing w:after="0" w:line="221"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As of December 31, 2016, we reported tax loss carryforwards from financial years 2010 until 2016 for purposes of Swiss corporate income tax in the aggregate amount of CHF 36.7 million that could be available to offset future taxable income. If not used, these tax losses will expire seven years after the year in which they were incurred. Due</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32" w:name="page33"/>
    <w:bookmarkEnd w:id="32"/>
    <w:p>
      <w:pPr>
        <w:ind w:right="160"/>
        <w:spacing w:after="0" w:line="286" w:lineRule="auto"/>
        <w:rPr>
          <w:sz w:val="20"/>
          <w:szCs w:val="20"/>
          <w:color w:val="auto"/>
        </w:rPr>
      </w:pPr>
      <w:r>
        <w:rPr>
          <w:rFonts w:ascii="Arial" w:cs="Arial" w:eastAsia="Arial" w:hAnsi="Arial"/>
          <w:sz w:val="17"/>
          <w:szCs w:val="17"/>
          <w:color w:val="auto"/>
        </w:rPr>
        <w:t>to our limited income, there is a high risk that the tax loss carryforwards will expire partly or entirely and cannot be used to offset future taxable income thereafter for Swiss corporate income tax purposes.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221" w:lineRule="exact"/>
        <w:rPr>
          <w:sz w:val="20"/>
          <w:szCs w:val="20"/>
          <w:color w:val="auto"/>
        </w:rPr>
      </w:pPr>
    </w:p>
    <w:p>
      <w:pPr>
        <w:ind w:right="20" w:firstLine="312"/>
        <w:spacing w:after="0" w:line="306" w:lineRule="auto"/>
        <w:rPr>
          <w:sz w:val="20"/>
          <w:szCs w:val="20"/>
          <w:color w:val="auto"/>
        </w:rPr>
      </w:pPr>
      <w:r>
        <w:rPr>
          <w:rFonts w:ascii="Arial" w:cs="Arial" w:eastAsia="Arial" w:hAnsi="Arial"/>
          <w:sz w:val="15"/>
          <w:szCs w:val="15"/>
          <w:color w:val="auto"/>
        </w:rPr>
        <w:t>Under our existing agreements, we receive and make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Regulatory Environment</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We cannot give any assurance that any of our product candidates will receive regulatory approval, which is necessary before they can be commercialized.</w:t>
      </w:r>
    </w:p>
    <w:p>
      <w:pPr>
        <w:spacing w:after="0" w:line="244"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78" w:lineRule="exact"/>
        <w:rPr>
          <w:sz w:val="20"/>
          <w:szCs w:val="20"/>
          <w:color w:val="auto"/>
        </w:rPr>
      </w:pPr>
    </w:p>
    <w:p>
      <w:pPr>
        <w:ind w:right="500" w:firstLine="312"/>
        <w:spacing w:after="0" w:line="286"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58" w:lineRule="exact"/>
        <w:rPr>
          <w:sz w:val="20"/>
          <w:szCs w:val="20"/>
          <w:color w:val="auto"/>
        </w:rPr>
      </w:pPr>
    </w:p>
    <w:p>
      <w:pPr>
        <w:ind w:left="620" w:hanging="304"/>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the design or implementation of our clinical studies;</w:t>
      </w:r>
    </w:p>
    <w:p>
      <w:pPr>
        <w:spacing w:after="0" w:line="220" w:lineRule="exact"/>
        <w:rPr>
          <w:rFonts w:ascii="Arial" w:cs="Arial" w:eastAsia="Arial" w:hAnsi="Arial"/>
          <w:sz w:val="17"/>
          <w:szCs w:val="17"/>
          <w:color w:val="auto"/>
        </w:rPr>
      </w:pPr>
    </w:p>
    <w:p>
      <w:pPr>
        <w:ind w:left="620" w:right="420" w:hanging="304"/>
        <w:spacing w:after="0" w:line="286"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population studied in the clinical program may not be sufficiently broad or representative to assure safety in the full population for which we seek approval;</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220" w:lineRule="exact"/>
        <w:rPr>
          <w:rFonts w:ascii="Arial" w:cs="Arial" w:eastAsia="Arial" w:hAnsi="Arial"/>
          <w:sz w:val="17"/>
          <w:szCs w:val="17"/>
          <w:color w:val="auto"/>
        </w:rPr>
      </w:pPr>
    </w:p>
    <w:p>
      <w:pPr>
        <w:ind w:left="620" w:right="400" w:hanging="304"/>
        <w:spacing w:after="0" w:line="286"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data collected from clinical studies of our product candidates may not be sufficient to support the submission of an NDA or other submission or to obtain regulatory approval in the United States or elsewhere;</w:t>
      </w:r>
    </w:p>
    <w:p>
      <w:pPr>
        <w:spacing w:after="0" w:line="158" w:lineRule="exact"/>
        <w:rPr>
          <w:rFonts w:ascii="Arial" w:cs="Arial" w:eastAsia="Arial" w:hAnsi="Arial"/>
          <w:sz w:val="17"/>
          <w:szCs w:val="17"/>
          <w:color w:val="auto"/>
        </w:rPr>
      </w:pPr>
    </w:p>
    <w:p>
      <w:pPr>
        <w:ind w:left="620" w:right="580" w:hanging="304"/>
        <w:spacing w:after="0" w:line="286"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unable to demonstrate to the FDA, EMA or comparable foreign regulatory authorities that a product candidate’s risk-benefit ratio for its proposed indication is acceptable;</w:t>
      </w:r>
    </w:p>
    <w:p>
      <w:pPr>
        <w:spacing w:after="0" w:line="158" w:lineRule="exact"/>
        <w:rPr>
          <w:rFonts w:ascii="Arial" w:cs="Arial" w:eastAsia="Arial" w:hAnsi="Arial"/>
          <w:sz w:val="17"/>
          <w:szCs w:val="17"/>
          <w:color w:val="auto"/>
        </w:rPr>
      </w:pPr>
    </w:p>
    <w:p>
      <w:pPr>
        <w:ind w:left="620" w:right="280" w:hanging="304"/>
        <w:spacing w:after="0" w:line="286"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58" w:lineRule="exact"/>
        <w:rPr>
          <w:rFonts w:ascii="Arial" w:cs="Arial" w:eastAsia="Arial" w:hAnsi="Arial"/>
          <w:sz w:val="17"/>
          <w:szCs w:val="17"/>
          <w:color w:val="auto"/>
        </w:rPr>
      </w:pPr>
    </w:p>
    <w:p>
      <w:pPr>
        <w:ind w:left="620" w:right="300" w:hanging="304"/>
        <w:spacing w:after="0" w:line="286"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approval policies or regulations of the FDA, EMA or comparable foreign regulatory authorities may significantly change in a manner rendering our clinical data insufficient for approval.</w:t>
      </w:r>
    </w:p>
    <w:p>
      <w:pPr>
        <w:spacing w:after="0" w:line="158" w:lineRule="exact"/>
        <w:rPr>
          <w:sz w:val="20"/>
          <w:szCs w:val="20"/>
          <w:color w:val="auto"/>
        </w:rPr>
      </w:pPr>
    </w:p>
    <w:p>
      <w:pPr>
        <w:ind w:right="100" w:firstLine="312"/>
        <w:spacing w:after="0" w:line="265"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33" w:name="page34"/>
    <w:bookmarkEnd w:id="33"/>
    <w:p>
      <w:pPr>
        <w:ind w:right="20"/>
        <w:spacing w:after="0" w:line="265" w:lineRule="auto"/>
        <w:rPr>
          <w:sz w:val="20"/>
          <w:szCs w:val="20"/>
          <w:color w:val="auto"/>
        </w:rPr>
      </w:pPr>
      <w:r>
        <w:rPr>
          <w:rFonts w:ascii="Arial" w:cs="Arial" w:eastAsia="Arial" w:hAnsi="Arial"/>
          <w:sz w:val="17"/>
          <w:szCs w:val="17"/>
          <w:color w:val="auto"/>
        </w:rPr>
        <w:t>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77" w:lineRule="exact"/>
        <w:rPr>
          <w:sz w:val="20"/>
          <w:szCs w:val="20"/>
          <w:color w:val="auto"/>
        </w:rPr>
      </w:pPr>
    </w:p>
    <w:p>
      <w:pPr>
        <w:jc w:val="both"/>
        <w:ind w:left="160" w:right="460"/>
        <w:spacing w:after="0" w:line="270"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173" w:lineRule="exact"/>
        <w:rPr>
          <w:sz w:val="20"/>
          <w:szCs w:val="20"/>
          <w:color w:val="auto"/>
        </w:rPr>
      </w:pPr>
    </w:p>
    <w:p>
      <w:pPr>
        <w:ind w:right="20" w:firstLine="312"/>
        <w:spacing w:after="0" w:line="259"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85"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81" w:lineRule="exact"/>
        <w:rPr>
          <w:sz w:val="20"/>
          <w:szCs w:val="20"/>
          <w:color w:val="auto"/>
        </w:rPr>
      </w:pPr>
    </w:p>
    <w:p>
      <w:pPr>
        <w:ind w:right="120" w:firstLine="312"/>
        <w:spacing w:after="0" w:line="311" w:lineRule="auto"/>
        <w:rPr>
          <w:sz w:val="20"/>
          <w:szCs w:val="20"/>
          <w:color w:val="auto"/>
        </w:rPr>
      </w:pPr>
      <w:r>
        <w:rPr>
          <w:rFonts w:ascii="Arial" w:cs="Arial" w:eastAsia="Arial" w:hAnsi="Arial"/>
          <w:sz w:val="15"/>
          <w:szCs w:val="15"/>
          <w:color w:val="auto"/>
        </w:rPr>
        <w:t>To date, neither we nor our collaboration partners have completed all clinical studies required for the approval of any of our product candidates. Crenezumab has completed Phase 2 clinical testing and is currently in a Phase 3 clinical study, ACI-24 for AD is in a combined Phase 1/2a clinical study, ACI-24 for Down syndrome is in a Phase 1 clinical study, ACI-35 is in Phase 1b clinical studies, our anti-tau antibody candidate in a Phase 1 clinical study and our tau-PET imaging program has started clinical development. The development of our other product candidates is less advanced and studies have not yet started.</w:t>
      </w:r>
    </w:p>
    <w:p>
      <w:pPr>
        <w:spacing w:after="0" w:line="146" w:lineRule="exact"/>
        <w:rPr>
          <w:sz w:val="20"/>
          <w:szCs w:val="20"/>
          <w:color w:val="auto"/>
        </w:rPr>
      </w:pPr>
    </w:p>
    <w:p>
      <w:pPr>
        <w:ind w:right="260" w:firstLine="312"/>
        <w:spacing w:after="0" w:line="286" w:lineRule="auto"/>
        <w:rPr>
          <w:sz w:val="20"/>
          <w:szCs w:val="20"/>
          <w:color w:val="auto"/>
        </w:rPr>
      </w:pPr>
      <w:r>
        <w:rPr>
          <w:rFonts w:ascii="Arial" w:cs="Arial" w:eastAsia="Arial" w:hAnsi="Arial"/>
          <w:sz w:val="17"/>
          <w:szCs w:val="17"/>
          <w:color w:val="auto"/>
        </w:rPr>
        <w:t>The completion of clinical studies for our clinical product candidates may be delayed, suspended or terminated as a result of many factors, including but not limited to:</w:t>
      </w:r>
    </w:p>
    <w:p>
      <w:pPr>
        <w:spacing w:after="0" w:line="158" w:lineRule="exact"/>
        <w:rPr>
          <w:sz w:val="20"/>
          <w:szCs w:val="20"/>
          <w:color w:val="auto"/>
        </w:rPr>
      </w:pPr>
    </w:p>
    <w:p>
      <w:pPr>
        <w:ind w:left="620" w:right="240" w:hanging="304"/>
        <w:spacing w:after="0" w:line="286"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delay or refusal of regulators or IRBs to authorize us to commence a clinical study at a prospective study site or changes in regulatory requirements, policies and guidelines;</w:t>
      </w:r>
    </w:p>
    <w:p>
      <w:pPr>
        <w:spacing w:after="0" w:line="158" w:lineRule="exact"/>
        <w:rPr>
          <w:rFonts w:ascii="Arial" w:cs="Arial" w:eastAsia="Arial" w:hAnsi="Arial"/>
          <w:sz w:val="17"/>
          <w:szCs w:val="17"/>
          <w:color w:val="auto"/>
        </w:rPr>
      </w:pPr>
    </w:p>
    <w:p>
      <w:pPr>
        <w:ind w:left="620" w:right="300" w:hanging="304"/>
        <w:spacing w:after="0" w:line="286"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delays in patient enrollment and variability in the number and types of patients available for clinical studies;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to enroll a sufficient number of patients in studies to ensure adequate statistical power to detect statistically significant treatment effects;</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34" w:name="page35"/>
    <w:bookmarkEnd w:id="34"/>
    <w:p>
      <w:pPr>
        <w:ind w:left="620" w:right="280" w:hanging="304"/>
        <w:spacing w:after="0" w:line="286"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negative or inconclusive results, which may require us to conduct additional preclinical or clinical studies or to abandon projects that we expected to be promising;</w:t>
      </w:r>
    </w:p>
    <w:p>
      <w:pPr>
        <w:spacing w:after="0" w:line="158" w:lineRule="exact"/>
        <w:rPr>
          <w:rFonts w:ascii="Arial" w:cs="Arial" w:eastAsia="Arial" w:hAnsi="Arial"/>
          <w:sz w:val="17"/>
          <w:szCs w:val="17"/>
          <w:color w:val="auto"/>
        </w:rPr>
      </w:pPr>
    </w:p>
    <w:p>
      <w:pPr>
        <w:ind w:left="620" w:right="400" w:hanging="304"/>
        <w:spacing w:after="0" w:line="286"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safety or tolerability concerns, which could cause us to suspend or terminate a study if we find that the participants are being exposed to unacceptable health risks;</w:t>
      </w:r>
    </w:p>
    <w:p>
      <w:pPr>
        <w:spacing w:after="0" w:line="158" w:lineRule="exact"/>
        <w:rPr>
          <w:rFonts w:ascii="Arial" w:cs="Arial" w:eastAsia="Arial" w:hAnsi="Arial"/>
          <w:sz w:val="17"/>
          <w:szCs w:val="17"/>
          <w:color w:val="auto"/>
        </w:rPr>
      </w:pPr>
    </w:p>
    <w:p>
      <w:pPr>
        <w:ind w:left="620" w:right="680" w:hanging="304"/>
        <w:spacing w:after="0" w:line="286"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regulators or IRBs requiring that we or our investigators suspend or terminate clinical research for various reasons, including noncompliance with regulatory requirements or safety concerns, among others;</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lower than anticipated retention rates of patients and volunteers in clinical studies;</w:t>
      </w:r>
    </w:p>
    <w:p>
      <w:pPr>
        <w:spacing w:after="0" w:line="220" w:lineRule="exact"/>
        <w:rPr>
          <w:rFonts w:ascii="Arial" w:cs="Arial" w:eastAsia="Arial" w:hAnsi="Arial"/>
          <w:sz w:val="17"/>
          <w:szCs w:val="17"/>
          <w:color w:val="auto"/>
        </w:rPr>
      </w:pPr>
    </w:p>
    <w:p>
      <w:pPr>
        <w:ind w:left="620" w:right="360" w:hanging="304"/>
        <w:spacing w:after="0" w:line="286"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CROs or clinical study sites failing to comply with regulatory requirements or meet their contractual obligations to us in a timely manner, or at all, deviating from the protocol or dropping out of a study;</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delays relating to adding new clinical study sites;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difficulty in maintaining contact with patients after treatment, resulting in incomplete data;</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delays in establishing the appropriate dosage levels;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quality or stability of the product candidate falling below acceptable standards;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inability to produce or obtain sufficient quantities of the product candidate to complete clinical studies;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exceeding budgeted costs due to difficulty in accurately predicting costs associated with clinical studies.</w:t>
      </w:r>
    </w:p>
    <w:p>
      <w:pPr>
        <w:spacing w:after="0" w:line="221" w:lineRule="exact"/>
        <w:rPr>
          <w:sz w:val="20"/>
          <w:szCs w:val="20"/>
          <w:color w:val="auto"/>
        </w:rPr>
      </w:pPr>
    </w:p>
    <w:p>
      <w:pPr>
        <w:ind w:right="140" w:firstLine="312"/>
        <w:spacing w:after="0" w:line="265" w:lineRule="auto"/>
        <w:rPr>
          <w:sz w:val="20"/>
          <w:szCs w:val="20"/>
          <w:color w:val="auto"/>
        </w:rPr>
      </w:pPr>
      <w:r>
        <w:rPr>
          <w:rFonts w:ascii="Arial" w:cs="Arial" w:eastAsia="Arial" w:hAnsi="Arial"/>
          <w:sz w:val="17"/>
          <w:szCs w:val="17"/>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77" w:lineRule="exact"/>
        <w:rPr>
          <w:sz w:val="20"/>
          <w:szCs w:val="20"/>
          <w:color w:val="auto"/>
        </w:rPr>
      </w:pPr>
    </w:p>
    <w:p>
      <w:pPr>
        <w:ind w:left="160" w:right="480"/>
        <w:spacing w:after="0" w:line="286" w:lineRule="auto"/>
        <w:rPr>
          <w:sz w:val="20"/>
          <w:szCs w:val="20"/>
          <w:color w:val="auto"/>
        </w:rPr>
      </w:pPr>
      <w:r>
        <w:rPr>
          <w:rFonts w:ascii="Arial" w:cs="Arial" w:eastAsia="Arial" w:hAnsi="Arial"/>
          <w:sz w:val="17"/>
          <w:szCs w:val="17"/>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158" w:lineRule="exact"/>
        <w:rPr>
          <w:sz w:val="20"/>
          <w:szCs w:val="20"/>
          <w:color w:val="auto"/>
        </w:rPr>
      </w:pPr>
    </w:p>
    <w:p>
      <w:pPr>
        <w:ind w:firstLine="312"/>
        <w:spacing w:after="0" w:line="274" w:lineRule="auto"/>
        <w:rPr>
          <w:sz w:val="20"/>
          <w:szCs w:val="20"/>
          <w:color w:val="auto"/>
        </w:rPr>
      </w:pPr>
      <w:r>
        <w:rPr>
          <w:rFonts w:ascii="Arial" w:cs="Arial" w:eastAsia="Arial" w:hAnsi="Arial"/>
          <w:sz w:val="16"/>
          <w:szCs w:val="16"/>
          <w:color w:val="auto"/>
        </w:rPr>
        <w:t>Sales of our approved drugs will be subject to U.S. and non-U.S. regulatory requirements governing clinical studies and regulatory approval, and we plan to seek regulatory approval to commercialize our drug candidates in the United States, the European Economic Area,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35" w:name="page36"/>
    <w:bookmarkEnd w:id="35"/>
    <w:p>
      <w:pPr>
        <w:ind w:right="180"/>
        <w:spacing w:after="0" w:line="286" w:lineRule="auto"/>
        <w:rPr>
          <w:sz w:val="20"/>
          <w:szCs w:val="20"/>
          <w:color w:val="auto"/>
        </w:rPr>
      </w:pPr>
      <w:r>
        <w:rPr>
          <w:rFonts w:ascii="Arial" w:cs="Arial" w:eastAsia="Arial" w:hAnsi="Arial"/>
          <w:sz w:val="17"/>
          <w:szCs w:val="17"/>
          <w:color w:val="auto"/>
        </w:rPr>
        <w:t>obtain and maintain required approvals, or if regulatory approvals in international markets are delayed, our target market will be reduced and our ability to realize the full market potential of our drug candidates will be unrealized.</w:t>
      </w:r>
    </w:p>
    <w:p>
      <w:pPr>
        <w:spacing w:after="0" w:line="158" w:lineRule="exact"/>
        <w:rPr>
          <w:sz w:val="20"/>
          <w:szCs w:val="20"/>
          <w:color w:val="auto"/>
        </w:rPr>
      </w:pPr>
    </w:p>
    <w:p>
      <w:pPr>
        <w:jc w:val="both"/>
        <w:ind w:left="160" w:right="200"/>
        <w:spacing w:after="0" w:line="322" w:lineRule="auto"/>
        <w:rPr>
          <w:sz w:val="20"/>
          <w:szCs w:val="20"/>
          <w:color w:val="auto"/>
        </w:rPr>
      </w:pPr>
      <w:r>
        <w:rPr>
          <w:rFonts w:ascii="Arial" w:cs="Arial" w:eastAsia="Arial" w:hAnsi="Arial"/>
          <w:sz w:val="15"/>
          <w:szCs w:val="15"/>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8" w:lineRule="exact"/>
        <w:rPr>
          <w:sz w:val="20"/>
          <w:szCs w:val="20"/>
          <w:color w:val="auto"/>
        </w:rPr>
      </w:pPr>
    </w:p>
    <w:p>
      <w:pPr>
        <w:ind w:firstLine="312"/>
        <w:spacing w:after="0" w:line="258"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86" w:lineRule="exact"/>
        <w:rPr>
          <w:sz w:val="20"/>
          <w:szCs w:val="20"/>
          <w:color w:val="auto"/>
        </w:rPr>
      </w:pPr>
    </w:p>
    <w:p>
      <w:pPr>
        <w:ind w:left="620" w:hanging="304"/>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232" w:lineRule="exact"/>
        <w:rPr>
          <w:rFonts w:ascii="Arial" w:cs="Arial" w:eastAsia="Arial" w:hAnsi="Arial"/>
          <w:sz w:val="16"/>
          <w:szCs w:val="16"/>
          <w:color w:val="auto"/>
        </w:rPr>
      </w:pPr>
    </w:p>
    <w:p>
      <w:pPr>
        <w:ind w:left="620" w:hanging="304"/>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fines, warning letters or holds on clinical studies;</w:t>
      </w:r>
    </w:p>
    <w:p>
      <w:pPr>
        <w:spacing w:after="0" w:line="220" w:lineRule="exact"/>
        <w:rPr>
          <w:rFonts w:ascii="Arial" w:cs="Arial" w:eastAsia="Arial" w:hAnsi="Arial"/>
          <w:sz w:val="17"/>
          <w:szCs w:val="17"/>
          <w:color w:val="auto"/>
        </w:rPr>
      </w:pPr>
    </w:p>
    <w:p>
      <w:pPr>
        <w:ind w:left="620" w:right="280" w:hanging="304"/>
        <w:spacing w:after="0" w:line="286"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product license approvals;</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1" w:lineRule="exact"/>
        <w:rPr>
          <w:sz w:val="20"/>
          <w:szCs w:val="20"/>
          <w:color w:val="auto"/>
        </w:rPr>
      </w:pPr>
    </w:p>
    <w:p>
      <w:pPr>
        <w:ind w:right="300" w:firstLine="312"/>
        <w:spacing w:after="0" w:line="306" w:lineRule="auto"/>
        <w:rPr>
          <w:sz w:val="20"/>
          <w:szCs w:val="20"/>
          <w:color w:val="auto"/>
        </w:rPr>
      </w:pPr>
      <w:r>
        <w:rPr>
          <w:rFonts w:ascii="Arial" w:cs="Arial" w:eastAsia="Arial" w:hAnsi="Arial"/>
          <w:sz w:val="15"/>
          <w:szCs w:val="15"/>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49" w:lineRule="exact"/>
        <w:rPr>
          <w:sz w:val="20"/>
          <w:szCs w:val="20"/>
          <w:color w:val="auto"/>
        </w:rPr>
      </w:pPr>
    </w:p>
    <w:p>
      <w:pPr>
        <w:ind w:left="160" w:right="320"/>
        <w:spacing w:after="0" w:line="286" w:lineRule="auto"/>
        <w:rPr>
          <w:sz w:val="20"/>
          <w:szCs w:val="20"/>
          <w:color w:val="auto"/>
        </w:rPr>
      </w:pPr>
      <w:r>
        <w:rPr>
          <w:rFonts w:ascii="Arial" w:cs="Arial" w:eastAsia="Arial" w:hAnsi="Arial"/>
          <w:sz w:val="17"/>
          <w:szCs w:val="17"/>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158" w:lineRule="exact"/>
        <w:rPr>
          <w:sz w:val="20"/>
          <w:szCs w:val="20"/>
          <w:color w:val="auto"/>
        </w:rPr>
      </w:pPr>
    </w:p>
    <w:p>
      <w:pPr>
        <w:ind w:right="140" w:firstLine="312"/>
        <w:spacing w:after="0" w:line="300" w:lineRule="auto"/>
        <w:rPr>
          <w:sz w:val="20"/>
          <w:szCs w:val="20"/>
          <w:color w:val="auto"/>
        </w:rPr>
      </w:pPr>
      <w:r>
        <w:rPr>
          <w:rFonts w:ascii="Arial" w:cs="Arial" w:eastAsia="Arial" w:hAnsi="Arial"/>
          <w:sz w:val="15"/>
          <w:szCs w:val="15"/>
          <w:color w:val="auto"/>
        </w:rPr>
        <w:t>We have conducted and may in the future choose to conduct one or more of our clinical studies outside the United States, including in Germany, Austria, Denmark, Sweden and Finland.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 site inspection or other appropriate means. Additionally, the FDA’s clinical study requirements, including sufficient size of patient</w:t>
      </w: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36" w:name="page37"/>
    <w:bookmarkEnd w:id="36"/>
    <w:p>
      <w:pPr>
        <w:ind w:right="100"/>
        <w:spacing w:after="0" w:line="306" w:lineRule="auto"/>
        <w:rPr>
          <w:sz w:val="20"/>
          <w:szCs w:val="20"/>
          <w:color w:val="auto"/>
        </w:rPr>
      </w:pPr>
      <w:r>
        <w:rPr>
          <w:rFonts w:ascii="Arial" w:cs="Arial" w:eastAsia="Arial" w:hAnsi="Arial"/>
          <w:sz w:val="15"/>
          <w:szCs w:val="15"/>
          <w:color w:val="auto"/>
        </w:rPr>
        <w:t>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149" w:lineRule="exact"/>
        <w:rPr>
          <w:sz w:val="20"/>
          <w:szCs w:val="20"/>
          <w:color w:val="auto"/>
        </w:rPr>
      </w:pPr>
    </w:p>
    <w:p>
      <w:pPr>
        <w:ind w:left="160"/>
        <w:spacing w:after="0" w:line="286" w:lineRule="auto"/>
        <w:rPr>
          <w:sz w:val="20"/>
          <w:szCs w:val="20"/>
          <w:color w:val="auto"/>
        </w:rPr>
      </w:pPr>
      <w:r>
        <w:rPr>
          <w:rFonts w:ascii="Arial" w:cs="Arial" w:eastAsia="Arial" w:hAnsi="Arial"/>
          <w:sz w:val="17"/>
          <w:szCs w:val="17"/>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58" w:lineRule="exact"/>
        <w:rPr>
          <w:sz w:val="20"/>
          <w:szCs w:val="20"/>
          <w:color w:val="auto"/>
        </w:rPr>
      </w:pPr>
    </w:p>
    <w:p>
      <w:pPr>
        <w:ind w:right="220" w:firstLine="312"/>
        <w:spacing w:after="0" w:line="270" w:lineRule="auto"/>
        <w:rPr>
          <w:sz w:val="20"/>
          <w:szCs w:val="20"/>
          <w:color w:val="auto"/>
        </w:rPr>
      </w:pPr>
      <w:r>
        <w:rPr>
          <w:rFonts w:ascii="Arial" w:cs="Arial" w:eastAsia="Arial" w:hAnsi="Arial"/>
          <w:sz w:val="17"/>
          <w:szCs w:val="17"/>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73" w:lineRule="exact"/>
        <w:rPr>
          <w:sz w:val="20"/>
          <w:szCs w:val="20"/>
          <w:color w:val="auto"/>
        </w:rPr>
      </w:pPr>
    </w:p>
    <w:p>
      <w:pPr>
        <w:ind w:right="120" w:firstLine="312"/>
        <w:spacing w:after="0" w:line="279"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8" w:lineRule="exact"/>
        <w:rPr>
          <w:sz w:val="20"/>
          <w:szCs w:val="20"/>
          <w:color w:val="auto"/>
        </w:rPr>
      </w:pPr>
    </w:p>
    <w:p>
      <w:pPr>
        <w:ind w:right="60" w:firstLine="312"/>
        <w:spacing w:after="0" w:line="296" w:lineRule="auto"/>
        <w:rPr>
          <w:sz w:val="20"/>
          <w:szCs w:val="20"/>
          <w:color w:val="auto"/>
        </w:rPr>
      </w:pPr>
      <w:r>
        <w:rPr>
          <w:rFonts w:ascii="Arial" w:cs="Arial" w:eastAsia="Arial" w:hAnsi="Arial"/>
          <w:sz w:val="15"/>
          <w:szCs w:val="15"/>
          <w:color w:val="auto"/>
        </w:rPr>
        <w:t>More recently, in March 2010, former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62" w:lineRule="exact"/>
        <w:rPr>
          <w:sz w:val="20"/>
          <w:szCs w:val="20"/>
          <w:color w:val="auto"/>
        </w:rPr>
      </w:pPr>
    </w:p>
    <w:p>
      <w:pPr>
        <w:ind w:right="120" w:firstLine="312"/>
        <w:spacing w:after="0" w:line="259" w:lineRule="auto"/>
        <w:rPr>
          <w:sz w:val="20"/>
          <w:szCs w:val="20"/>
          <w:color w:val="auto"/>
        </w:rPr>
      </w:pPr>
      <w:r>
        <w:rPr>
          <w:rFonts w:ascii="Arial" w:cs="Arial" w:eastAsia="Arial" w:hAnsi="Arial"/>
          <w:sz w:val="17"/>
          <w:szCs w:val="17"/>
          <w:color w:val="auto"/>
        </w:rPr>
        <w:t>In 2017, we may face uncertainties because there likely will be U.S. federal legislative and administrative efforts to repeal, substantially modify or invalidate some or all of the provisions of the Health Care Reform Law. In January 2017, Congress voted to adopt a budget resolution for fiscal year 2017, or the Budget Resolution, that authorizes the implementation of legislation that would repeal portions of the Health Care Reform Law. Further, on January 20, 2017, President Trump signed an Executive Order directing federal agencies with authorities and responsibilities under Health Care Reform Law to waive, defer, grant exemptions from, or delay the implementation of any provision of Health Care Reform Law that would impose a fiscal or regulatory burden on states, individuals, healthcare providers, health insurers, or manufacturers of pharmaceuticals or medical devices. Congress also could consider subsequent legislation to replace elements of the Health Care Reform Law that are repealed. There is no assurance that the Health Care Reform Law, as currently enacted or as amended in the future, will not adversely affect our business and financial results, and we cannot predict how future federal or state legislative or administrative changes relating to healthcare reform will affect our business</w:t>
      </w:r>
      <w:r>
        <w:rPr>
          <w:rFonts w:ascii="Arial" w:cs="Arial" w:eastAsia="Arial" w:hAnsi="Arial"/>
          <w:sz w:val="17"/>
          <w:szCs w:val="17"/>
          <w:color w:val="0000FF"/>
        </w:rPr>
        <w:t>.</w:t>
      </w:r>
    </w:p>
    <w:p>
      <w:pPr>
        <w:spacing w:after="0" w:line="183" w:lineRule="exact"/>
        <w:rPr>
          <w:sz w:val="20"/>
          <w:szCs w:val="20"/>
          <w:color w:val="auto"/>
        </w:rPr>
      </w:pPr>
    </w:p>
    <w:p>
      <w:pPr>
        <w:ind w:right="220" w:firstLine="312"/>
        <w:spacing w:after="0" w:line="286"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37" w:name="page38"/>
    <w:bookmarkEnd w:id="37"/>
    <w:p>
      <w:pPr>
        <w:spacing w:after="0" w:line="279" w:lineRule="auto"/>
        <w:rPr>
          <w:sz w:val="20"/>
          <w:szCs w:val="20"/>
          <w:color w:val="auto"/>
        </w:rPr>
      </w:pPr>
      <w:r>
        <w:rPr>
          <w:rFonts w:ascii="Arial" w:cs="Arial" w:eastAsia="Arial" w:hAnsi="Arial"/>
          <w:sz w:val="16"/>
          <w:szCs w:val="16"/>
          <w:color w:val="auto"/>
        </w:rPr>
        <w:t>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former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68" w:lineRule="exact"/>
        <w:rPr>
          <w:sz w:val="20"/>
          <w:szCs w:val="20"/>
          <w:color w:val="auto"/>
        </w:rPr>
      </w:pPr>
    </w:p>
    <w:p>
      <w:pPr>
        <w:ind w:firstLine="312"/>
        <w:spacing w:after="0" w:line="265" w:lineRule="auto"/>
        <w:rPr>
          <w:sz w:val="20"/>
          <w:szCs w:val="20"/>
          <w:color w:val="auto"/>
        </w:rPr>
      </w:pPr>
      <w:r>
        <w:rPr>
          <w:rFonts w:ascii="Arial" w:cs="Arial" w:eastAsia="Arial" w:hAnsi="Arial"/>
          <w:sz w:val="17"/>
          <w:szCs w:val="17"/>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77" w:lineRule="exact"/>
        <w:rPr>
          <w:sz w:val="20"/>
          <w:szCs w:val="20"/>
          <w:color w:val="auto"/>
        </w:rPr>
      </w:pPr>
    </w:p>
    <w:p>
      <w:pPr>
        <w:jc w:val="both"/>
        <w:ind w:right="240" w:firstLine="312"/>
        <w:spacing w:after="0" w:line="322" w:lineRule="auto"/>
        <w:rPr>
          <w:sz w:val="20"/>
          <w:szCs w:val="20"/>
          <w:color w:val="auto"/>
        </w:rPr>
      </w:pPr>
      <w:r>
        <w:rPr>
          <w:rFonts w:ascii="Arial" w:cs="Arial" w:eastAsia="Arial" w:hAnsi="Arial"/>
          <w:sz w:val="15"/>
          <w:szCs w:val="15"/>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38" w:lineRule="exact"/>
        <w:rPr>
          <w:sz w:val="20"/>
          <w:szCs w:val="20"/>
          <w:color w:val="auto"/>
        </w:rPr>
      </w:pPr>
    </w:p>
    <w:p>
      <w:pPr>
        <w:ind w:left="160" w:right="220"/>
        <w:spacing w:after="0" w:line="319"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35" w:lineRule="exact"/>
        <w:rPr>
          <w:sz w:val="20"/>
          <w:szCs w:val="20"/>
          <w:color w:val="auto"/>
        </w:rPr>
      </w:pPr>
    </w:p>
    <w:p>
      <w:pPr>
        <w:ind w:right="80" w:firstLine="312"/>
        <w:spacing w:after="0" w:line="278"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8" w:lineRule="exact"/>
        <w:rPr>
          <w:sz w:val="20"/>
          <w:szCs w:val="20"/>
          <w:color w:val="auto"/>
        </w:rPr>
      </w:pPr>
    </w:p>
    <w:p>
      <w:pPr>
        <w:ind w:right="160" w:firstLine="312"/>
        <w:spacing w:after="0" w:line="295"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154"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73" w:lineRule="exact"/>
        <w:rPr>
          <w:sz w:val="20"/>
          <w:szCs w:val="20"/>
          <w:color w:val="auto"/>
        </w:rPr>
      </w:pPr>
    </w:p>
    <w:p>
      <w:pPr>
        <w:ind w:right="80" w:firstLine="312"/>
        <w:spacing w:after="0" w:line="287"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60" w:lineRule="exact"/>
        <w:rPr>
          <w:sz w:val="20"/>
          <w:szCs w:val="20"/>
          <w:color w:val="auto"/>
        </w:rPr>
      </w:pPr>
    </w:p>
    <w:p>
      <w:pPr>
        <w:ind w:left="620" w:right="220" w:hanging="304"/>
        <w:spacing w:after="0" w:line="286"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healthcare anti-kickback statute prohibits, among other things, persons from knowingly and willfully soliciting, offering, receiving or providing remuneration, directly or indirectly, in cash or in kind,</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38" w:name="page39"/>
    <w:bookmarkEnd w:id="38"/>
    <w:p>
      <w:pPr>
        <w:ind w:left="620" w:right="240"/>
        <w:spacing w:after="0" w:line="286" w:lineRule="auto"/>
        <w:rPr>
          <w:sz w:val="20"/>
          <w:szCs w:val="20"/>
          <w:color w:val="auto"/>
        </w:rPr>
      </w:pPr>
      <w:r>
        <w:rPr>
          <w:rFonts w:ascii="Arial" w:cs="Arial" w:eastAsia="Arial" w:hAnsi="Arial"/>
          <w:sz w:val="17"/>
          <w:szCs w:val="17"/>
          <w:color w:val="auto"/>
        </w:rPr>
        <w:t>to induce or reward either the referral of an individual for, or the purchase, order or recommendation of, any good or service, for which payment may be made under U.S. government healthcare programs such as Medicare and Medicaid;</w:t>
      </w:r>
    </w:p>
    <w:p>
      <w:pPr>
        <w:spacing w:after="0" w:line="158" w:lineRule="exact"/>
        <w:rPr>
          <w:sz w:val="20"/>
          <w:szCs w:val="20"/>
          <w:color w:val="auto"/>
        </w:rPr>
      </w:pPr>
    </w:p>
    <w:p>
      <w:pPr>
        <w:ind w:left="620" w:right="260" w:hanging="304"/>
        <w:spacing w:after="0" w:line="270"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172" w:lineRule="exact"/>
        <w:rPr>
          <w:rFonts w:ascii="Arial" w:cs="Arial" w:eastAsia="Arial" w:hAnsi="Arial"/>
          <w:sz w:val="17"/>
          <w:szCs w:val="17"/>
          <w:color w:val="auto"/>
        </w:rPr>
      </w:pPr>
    </w:p>
    <w:p>
      <w:pPr>
        <w:ind w:left="620" w:hanging="304"/>
        <w:spacing w:after="0" w:line="286"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158" w:lineRule="exact"/>
        <w:rPr>
          <w:rFonts w:ascii="Arial" w:cs="Arial" w:eastAsia="Arial" w:hAnsi="Arial"/>
          <w:sz w:val="17"/>
          <w:szCs w:val="17"/>
          <w:color w:val="auto"/>
        </w:rPr>
      </w:pPr>
    </w:p>
    <w:p>
      <w:pPr>
        <w:ind w:left="620" w:right="180" w:hanging="304"/>
        <w:spacing w:after="0" w:line="286"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158" w:lineRule="exact"/>
        <w:rPr>
          <w:rFonts w:ascii="Arial" w:cs="Arial" w:eastAsia="Arial" w:hAnsi="Arial"/>
          <w:sz w:val="17"/>
          <w:szCs w:val="17"/>
          <w:color w:val="auto"/>
        </w:rPr>
      </w:pPr>
    </w:p>
    <w:p>
      <w:pPr>
        <w:ind w:left="620" w:right="120" w:hanging="304"/>
        <w:spacing w:after="0" w:line="295" w:lineRule="auto"/>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53" w:lineRule="exact"/>
        <w:rPr>
          <w:rFonts w:ascii="Arial" w:cs="Arial" w:eastAsia="Arial" w:hAnsi="Arial"/>
          <w:sz w:val="16"/>
          <w:szCs w:val="16"/>
          <w:color w:val="auto"/>
        </w:rPr>
      </w:pPr>
    </w:p>
    <w:p>
      <w:pPr>
        <w:ind w:left="620" w:right="260" w:hanging="304"/>
        <w:spacing w:after="0" w:line="263"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78" w:lineRule="exact"/>
        <w:rPr>
          <w:sz w:val="20"/>
          <w:szCs w:val="20"/>
          <w:color w:val="auto"/>
        </w:rPr>
      </w:pPr>
    </w:p>
    <w:p>
      <w:pPr>
        <w:ind w:right="40" w:firstLine="312"/>
        <w:spacing w:after="0" w:line="26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81" w:lineRule="exact"/>
        <w:rPr>
          <w:sz w:val="20"/>
          <w:szCs w:val="20"/>
          <w:color w:val="auto"/>
        </w:rPr>
      </w:pPr>
    </w:p>
    <w:p>
      <w:pPr>
        <w:ind w:right="80" w:firstLine="312"/>
        <w:spacing w:after="0" w:line="27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68" w:lineRule="exact"/>
        <w:rPr>
          <w:sz w:val="20"/>
          <w:szCs w:val="20"/>
          <w:color w:val="auto"/>
        </w:rPr>
      </w:pPr>
    </w:p>
    <w:p>
      <w:pPr>
        <w:ind w:left="160" w:right="540"/>
        <w:spacing w:after="0" w:line="286" w:lineRule="auto"/>
        <w:rPr>
          <w:sz w:val="20"/>
          <w:szCs w:val="20"/>
          <w:color w:val="auto"/>
        </w:rPr>
      </w:pPr>
      <w:r>
        <w:rPr>
          <w:rFonts w:ascii="Arial" w:cs="Arial" w:eastAsia="Arial" w:hAnsi="Arial"/>
          <w:sz w:val="17"/>
          <w:szCs w:val="17"/>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58" w:lineRule="exact"/>
        <w:rPr>
          <w:sz w:val="20"/>
          <w:szCs w:val="20"/>
          <w:color w:val="auto"/>
        </w:rPr>
      </w:pPr>
    </w:p>
    <w:p>
      <w:pPr>
        <w:ind w:right="500" w:firstLine="312"/>
        <w:spacing w:after="0" w:line="295" w:lineRule="auto"/>
        <w:rPr>
          <w:sz w:val="20"/>
          <w:szCs w:val="20"/>
          <w:color w:val="auto"/>
        </w:rPr>
      </w:pPr>
      <w:r>
        <w:rPr>
          <w:rFonts w:ascii="Arial" w:cs="Arial" w:eastAsia="Arial" w:hAnsi="Arial"/>
          <w:sz w:val="16"/>
          <w:szCs w:val="16"/>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39" w:name="page40"/>
    <w:bookmarkEnd w:id="39"/>
    <w:p>
      <w:pPr>
        <w:ind w:right="520"/>
        <w:spacing w:after="0" w:line="286" w:lineRule="auto"/>
        <w:rPr>
          <w:sz w:val="20"/>
          <w:szCs w:val="20"/>
          <w:color w:val="auto"/>
        </w:rPr>
      </w:pPr>
      <w:r>
        <w:rPr>
          <w:rFonts w:ascii="Arial" w:cs="Arial" w:eastAsia="Arial" w:hAnsi="Arial"/>
          <w:sz w:val="17"/>
          <w:szCs w:val="17"/>
          <w:color w:val="auto"/>
        </w:rPr>
        <w:t>actions could subject us to civil or criminal investigations, and monetary and injunctive penalties, and could adversely impact our operating results, ability to conduct business, and reputation.</w:t>
      </w:r>
    </w:p>
    <w:p>
      <w:pPr>
        <w:spacing w:after="0" w:line="158" w:lineRule="exact"/>
        <w:rPr>
          <w:sz w:val="20"/>
          <w:szCs w:val="20"/>
          <w:color w:val="auto"/>
        </w:rPr>
      </w:pPr>
    </w:p>
    <w:p>
      <w:pPr>
        <w:ind w:right="40" w:firstLine="312"/>
        <w:spacing w:after="0" w:line="25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In October 2015, we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221" w:lineRule="exact"/>
        <w:rPr>
          <w:sz w:val="20"/>
          <w:szCs w:val="20"/>
          <w:color w:val="auto"/>
        </w:rPr>
      </w:pPr>
    </w:p>
    <w:p>
      <w:pPr>
        <w:ind w:firstLine="312"/>
        <w:spacing w:after="0" w:line="275"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Shares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The price of our common shares may be volatile and may fluctuate due to factors beyond our control.</w:t>
      </w:r>
    </w:p>
    <w:p>
      <w:pPr>
        <w:spacing w:after="0" w:line="221" w:lineRule="exact"/>
        <w:rPr>
          <w:sz w:val="20"/>
          <w:szCs w:val="20"/>
          <w:color w:val="auto"/>
        </w:rPr>
      </w:pPr>
    </w:p>
    <w:p>
      <w:pPr>
        <w:ind w:right="300" w:firstLine="312"/>
        <w:spacing w:after="0" w:line="319"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35" w:lineRule="exact"/>
        <w:rPr>
          <w:sz w:val="20"/>
          <w:szCs w:val="20"/>
          <w:color w:val="auto"/>
        </w:rPr>
      </w:pPr>
    </w:p>
    <w:p>
      <w:pPr>
        <w:ind w:left="620" w:hanging="304"/>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positive or negative results of testing and clinical studies by us, strategic partners, or competitors;</w:t>
      </w:r>
    </w:p>
    <w:p>
      <w:pPr>
        <w:spacing w:after="0" w:line="220" w:lineRule="exact"/>
        <w:rPr>
          <w:rFonts w:ascii="Arial" w:cs="Arial" w:eastAsia="Arial" w:hAnsi="Arial"/>
          <w:sz w:val="17"/>
          <w:szCs w:val="17"/>
          <w:color w:val="auto"/>
        </w:rPr>
      </w:pPr>
    </w:p>
    <w:p>
      <w:pPr>
        <w:ind w:left="620" w:right="500" w:hanging="304"/>
        <w:spacing w:after="0" w:line="286"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delays in entering into strategic relationships with respect to development and/or commercialization of our product candidates or entry into strategic relationships on terms that are not deemed to be favorable to us;</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technological innovations or commercial product introductions by us or competitors;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government regulations;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concerning proprietary rights, including patents and litigation matters;</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40" w:name="page41"/>
    <w:bookmarkEnd w:id="40"/>
    <w:p>
      <w:pPr>
        <w:ind w:left="620" w:hanging="304"/>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public concern relating to the commercial value or safety of any of our product candidates;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financing or other corporate transactions;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publication of research reports or comments by securities or industry analysts;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market conditions in the pharmaceutical industry or in the economy as a whole; 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events and factors beyond our control.</w:t>
      </w:r>
    </w:p>
    <w:p>
      <w:pPr>
        <w:spacing w:after="0" w:line="221" w:lineRule="exact"/>
        <w:rPr>
          <w:sz w:val="20"/>
          <w:szCs w:val="20"/>
          <w:color w:val="auto"/>
        </w:rPr>
      </w:pPr>
    </w:p>
    <w:p>
      <w:pPr>
        <w:jc w:val="both"/>
        <w:ind w:right="160" w:firstLine="312"/>
        <w:spacing w:after="0" w:line="270" w:lineRule="auto"/>
        <w:rPr>
          <w:sz w:val="20"/>
          <w:szCs w:val="20"/>
          <w:color w:val="auto"/>
        </w:rPr>
      </w:pPr>
      <w:r>
        <w:rPr>
          <w:rFonts w:ascii="Arial" w:cs="Arial" w:eastAsia="Arial" w:hAnsi="Arial"/>
          <w:sz w:val="17"/>
          <w:szCs w:val="17"/>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Certain of our existing shareholders exercise significant control over us, and your interests may conflict with the interests of our existing shareholders.</w:t>
      </w:r>
    </w:p>
    <w:p>
      <w:pPr>
        <w:spacing w:after="0" w:line="244" w:lineRule="exact"/>
        <w:rPr>
          <w:sz w:val="20"/>
          <w:szCs w:val="20"/>
          <w:color w:val="auto"/>
        </w:rPr>
      </w:pPr>
    </w:p>
    <w:p>
      <w:pPr>
        <w:ind w:right="20" w:firstLine="312"/>
        <w:spacing w:after="0" w:line="283" w:lineRule="auto"/>
        <w:rPr>
          <w:sz w:val="20"/>
          <w:szCs w:val="20"/>
          <w:color w:val="auto"/>
        </w:rPr>
      </w:pPr>
      <w:r>
        <w:rPr>
          <w:rFonts w:ascii="Arial" w:cs="Arial" w:eastAsia="Arial" w:hAnsi="Arial"/>
          <w:sz w:val="16"/>
          <w:szCs w:val="16"/>
          <w:color w:val="auto"/>
        </w:rPr>
        <w:t>Certain principal shareholders as well as our executive officers and directors together beneficially own approximately 62.5%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244" w:lineRule="exact"/>
        <w:rPr>
          <w:sz w:val="20"/>
          <w:szCs w:val="20"/>
          <w:color w:val="auto"/>
        </w:rPr>
      </w:pPr>
    </w:p>
    <w:p>
      <w:pPr>
        <w:ind w:firstLine="312"/>
        <w:spacing w:after="0" w:line="276" w:lineRule="auto"/>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we have adopted a new omnibus equity incentive plan under which we have the discretion to grant a broad range of equity-based awards to eligible participants. These shares were registered pursuant to the registration statement on Form S-8 that we filed with SEC and, therefore, can be freely sold in the public market upon issuance, subject to volume limitations applicable to affiliates.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have broad discretion in the use of our cash and cash equivalents and may not use them effectively.</w:t>
      </w:r>
    </w:p>
    <w:p>
      <w:pPr>
        <w:spacing w:after="0" w:line="221" w:lineRule="exact"/>
        <w:rPr>
          <w:sz w:val="20"/>
          <w:szCs w:val="20"/>
          <w:color w:val="auto"/>
        </w:rPr>
      </w:pPr>
    </w:p>
    <w:p>
      <w:pPr>
        <w:ind w:firstLine="312"/>
        <w:spacing w:after="0" w:line="287" w:lineRule="auto"/>
        <w:rPr>
          <w:sz w:val="20"/>
          <w:szCs w:val="20"/>
          <w:color w:val="auto"/>
        </w:rPr>
      </w:pPr>
      <w:r>
        <w:rPr>
          <w:rFonts w:ascii="Arial" w:cs="Arial" w:eastAsia="Arial" w:hAnsi="Arial"/>
          <w:sz w:val="16"/>
          <w:szCs w:val="16"/>
          <w:color w:val="auto"/>
        </w:rPr>
        <w:t>Our management will have broad discretion in the application of our cash and cash equivalents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our cash and cash equivalents in a manner that does not produce income or that loses value.</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w:t>
      </w:r>
    </w:p>
    <w:p>
      <w:pPr>
        <w:spacing w:after="0" w:line="221" w:lineRule="exact"/>
        <w:rPr>
          <w:sz w:val="20"/>
          <w:szCs w:val="20"/>
          <w:color w:val="auto"/>
        </w:rPr>
      </w:pPr>
    </w:p>
    <w:p>
      <w:pPr>
        <w:ind w:right="60" w:firstLine="312"/>
        <w:spacing w:after="0" w:line="295" w:lineRule="auto"/>
        <w:rPr>
          <w:sz w:val="20"/>
          <w:szCs w:val="20"/>
          <w:color w:val="auto"/>
        </w:rPr>
      </w:pPr>
      <w:r>
        <w:rPr>
          <w:rFonts w:ascii="Arial" w:cs="Arial" w:eastAsia="Arial" w:hAnsi="Arial"/>
          <w:sz w:val="16"/>
          <w:szCs w:val="16"/>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41" w:name="page42"/>
    <w:bookmarkEnd w:id="41"/>
    <w:p>
      <w:pPr>
        <w:ind w:right="40"/>
        <w:spacing w:after="0" w:line="322" w:lineRule="auto"/>
        <w:rPr>
          <w:sz w:val="20"/>
          <w:szCs w:val="20"/>
          <w:color w:val="auto"/>
        </w:rPr>
      </w:pPr>
      <w:r>
        <w:rPr>
          <w:rFonts w:ascii="Arial" w:cs="Arial" w:eastAsia="Arial" w:hAnsi="Arial"/>
          <w:sz w:val="15"/>
          <w:szCs w:val="15"/>
          <w:color w:val="auto"/>
        </w:rPr>
        <w:t>account various factors including our business prospects, cash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jurisdictions.</w:t>
      </w:r>
    </w:p>
    <w:p>
      <w:pPr>
        <w:spacing w:after="0" w:line="208" w:lineRule="exact"/>
        <w:rPr>
          <w:sz w:val="20"/>
          <w:szCs w:val="20"/>
          <w:color w:val="auto"/>
        </w:rPr>
      </w:pPr>
    </w:p>
    <w:p>
      <w:pPr>
        <w:ind w:right="40" w:firstLine="312"/>
        <w:spacing w:after="0" w:line="276"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 state.</w:t>
      </w:r>
    </w:p>
    <w:p>
      <w:pPr>
        <w:spacing w:after="0" w:line="244" w:lineRule="exact"/>
        <w:rPr>
          <w:sz w:val="20"/>
          <w:szCs w:val="20"/>
          <w:color w:val="auto"/>
        </w:rPr>
      </w:pPr>
    </w:p>
    <w:p>
      <w:pPr>
        <w:ind w:right="100" w:firstLine="312"/>
        <w:spacing w:after="0" w:line="286" w:lineRule="auto"/>
        <w:rPr>
          <w:sz w:val="20"/>
          <w:szCs w:val="20"/>
          <w:color w:val="auto"/>
        </w:rPr>
      </w:pPr>
      <w:r>
        <w:rPr>
          <w:rFonts w:ascii="Arial" w:cs="Arial" w:eastAsia="Arial" w:hAnsi="Arial"/>
          <w:sz w:val="17"/>
          <w:szCs w:val="17"/>
          <w:color w:val="auto"/>
        </w:rPr>
        <w:t>We are organized under the laws of Switzerland. There can be no assurance that Swiss law will not change in the future or that it will serve to protect investors in a similar fashion afforded under corporate law principles in the U.S., which could adversely affect the rights of investors.</w:t>
      </w:r>
    </w:p>
    <w:p>
      <w:pPr>
        <w:spacing w:after="0" w:line="158" w:lineRule="exact"/>
        <w:rPr>
          <w:sz w:val="20"/>
          <w:szCs w:val="20"/>
          <w:color w:val="auto"/>
        </w:rPr>
      </w:pPr>
    </w:p>
    <w:p>
      <w:pPr>
        <w:ind w:left="160" w:right="440"/>
        <w:spacing w:after="0" w:line="286" w:lineRule="auto"/>
        <w:rPr>
          <w:sz w:val="20"/>
          <w:szCs w:val="20"/>
          <w:color w:val="auto"/>
        </w:rPr>
      </w:pPr>
      <w:r>
        <w:rPr>
          <w:rFonts w:ascii="Arial" w:cs="Arial" w:eastAsia="Arial" w:hAnsi="Arial"/>
          <w:sz w:val="17"/>
          <w:szCs w:val="17"/>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58" w:lineRule="exact"/>
        <w:rPr>
          <w:sz w:val="20"/>
          <w:szCs w:val="20"/>
          <w:color w:val="auto"/>
        </w:rPr>
      </w:pPr>
    </w:p>
    <w:p>
      <w:pPr>
        <w:ind w:right="20" w:firstLine="312"/>
        <w:spacing w:after="0" w:line="260"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83" w:lineRule="exact"/>
        <w:rPr>
          <w:sz w:val="20"/>
          <w:szCs w:val="20"/>
          <w:color w:val="auto"/>
        </w:rPr>
      </w:pPr>
    </w:p>
    <w:p>
      <w:pPr>
        <w:ind w:right="80" w:firstLine="312"/>
        <w:spacing w:after="0" w:line="280"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As of December 31, 2016, the Company has CHF 179.2 million of qualifying capital contributions and CHF 1,135,468 of registered share capital (consisting of 56,773,392 common shares each with a nominal value of CHF 0.02 and no preferred shares) on its audited statutory balance sheet.</w:t>
      </w:r>
    </w:p>
    <w:p>
      <w:pPr>
        <w:spacing w:after="0" w:line="169"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We expect the aggregate of these amounts (less the lowest legally possible issued share capital and legal reserve of together CHF 150,000) to represent the amount available for future dividends or capital reductions on a Swiss withholding tax-free basis. We will not be able to pay dividends or make other distributions to shareholders on a</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42" w:name="page43"/>
    <w:bookmarkEnd w:id="42"/>
    <w:p>
      <w:pPr>
        <w:ind w:right="20"/>
        <w:spacing w:after="0" w:line="263" w:lineRule="auto"/>
        <w:rPr>
          <w:sz w:val="20"/>
          <w:szCs w:val="20"/>
          <w:color w:val="auto"/>
        </w:rPr>
      </w:pPr>
      <w:r>
        <w:rPr>
          <w:rFonts w:ascii="Arial" w:cs="Arial" w:eastAsia="Arial" w:hAnsi="Arial"/>
          <w:sz w:val="17"/>
          <w:szCs w:val="17"/>
          <w:color w:val="auto"/>
        </w:rPr>
        <w:t>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78" w:lineRule="exact"/>
        <w:rPr>
          <w:sz w:val="20"/>
          <w:szCs w:val="20"/>
          <w:color w:val="auto"/>
        </w:rPr>
      </w:pPr>
    </w:p>
    <w:p>
      <w:pPr>
        <w:ind w:firstLine="312"/>
        <w:spacing w:after="0" w:line="275" w:lineRule="auto"/>
        <w:rPr>
          <w:sz w:val="20"/>
          <w:szCs w:val="20"/>
          <w:color w:val="auto"/>
        </w:rPr>
      </w:pPr>
      <w:r>
        <w:rPr>
          <w:rFonts w:ascii="Arial" w:cs="Arial" w:eastAsia="Arial" w:hAnsi="Arial"/>
          <w:sz w:val="16"/>
          <w:szCs w:val="16"/>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73" w:lineRule="exact"/>
        <w:rPr>
          <w:sz w:val="20"/>
          <w:szCs w:val="20"/>
          <w:color w:val="auto"/>
        </w:rPr>
      </w:pPr>
    </w:p>
    <w:p>
      <w:pPr>
        <w:ind w:firstLine="312"/>
        <w:spacing w:after="0" w:line="283"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U.S. shareholders may not be able to obtain judgments or enforce civil liabilities against us or our executive officers or members of our board of directors.</w:t>
      </w:r>
    </w:p>
    <w:p>
      <w:pPr>
        <w:spacing w:after="0" w:line="244" w:lineRule="exact"/>
        <w:rPr>
          <w:sz w:val="20"/>
          <w:szCs w:val="20"/>
          <w:color w:val="auto"/>
        </w:rPr>
      </w:pPr>
    </w:p>
    <w:p>
      <w:pPr>
        <w:ind w:right="40" w:firstLine="312"/>
        <w:spacing w:after="0" w:line="276"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73" w:lineRule="exact"/>
        <w:rPr>
          <w:sz w:val="20"/>
          <w:szCs w:val="20"/>
          <w:color w:val="auto"/>
        </w:rPr>
      </w:pPr>
    </w:p>
    <w:p>
      <w:pPr>
        <w:ind w:right="60" w:firstLine="312"/>
        <w:spacing w:after="0" w:line="295" w:lineRule="auto"/>
        <w:rPr>
          <w:sz w:val="20"/>
          <w:szCs w:val="20"/>
          <w:color w:val="auto"/>
        </w:rPr>
      </w:pPr>
      <w:r>
        <w:rPr>
          <w:rFonts w:ascii="Arial" w:cs="Arial" w:eastAsia="Arial" w:hAnsi="Arial"/>
          <w:sz w:val="16"/>
          <w:szCs w:val="16"/>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43" w:name="page44"/>
    <w:bookmarkEnd w:id="43"/>
    <w:p>
      <w:pPr>
        <w:ind w:left="620" w:hanging="304"/>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non-Swiss court had jurisdiction pursuant to the Swiss Federal Act on Private International Law;</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judgment of such non-Swiss court has become final and non-appealable;</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judgment does not contravene Swiss public policy;</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court procedures and the service of documents leading to the judgment were in accordance with the due process of law; and</w:t>
      </w:r>
    </w:p>
    <w:p>
      <w:pPr>
        <w:spacing w:after="0" w:line="220" w:lineRule="exact"/>
        <w:rPr>
          <w:rFonts w:ascii="Arial" w:cs="Arial" w:eastAsia="Arial" w:hAnsi="Arial"/>
          <w:sz w:val="17"/>
          <w:szCs w:val="17"/>
          <w:color w:val="auto"/>
        </w:rPr>
      </w:pPr>
    </w:p>
    <w:p>
      <w:pPr>
        <w:ind w:left="620" w:right="460" w:hanging="304"/>
        <w:spacing w:after="0" w:line="286"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58" w:lineRule="exact"/>
        <w:rPr>
          <w:sz w:val="20"/>
          <w:szCs w:val="20"/>
          <w:color w:val="auto"/>
        </w:rPr>
      </w:pPr>
    </w:p>
    <w:p>
      <w:pPr>
        <w:ind w:left="160"/>
        <w:spacing w:after="0" w:line="286" w:lineRule="auto"/>
        <w:rPr>
          <w:sz w:val="20"/>
          <w:szCs w:val="20"/>
          <w:color w:val="auto"/>
        </w:rPr>
      </w:pPr>
      <w:r>
        <w:rPr>
          <w:rFonts w:ascii="Arial" w:cs="Arial" w:eastAsia="Arial" w:hAnsi="Arial"/>
          <w:sz w:val="17"/>
          <w:szCs w:val="17"/>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58" w:lineRule="exact"/>
        <w:rPr>
          <w:sz w:val="20"/>
          <w:szCs w:val="20"/>
          <w:color w:val="auto"/>
        </w:rPr>
      </w:pPr>
    </w:p>
    <w:p>
      <w:pPr>
        <w:ind w:firstLine="312"/>
        <w:spacing w:after="0" w:line="277"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Swiss law restricts our ability to pay dividends.</w:t>
      </w:r>
    </w:p>
    <w:p>
      <w:pPr>
        <w:spacing w:after="0" w:line="221"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See “Item 10. Additional Information- E. Taxation—Swiss Tax Considerations” for a summary of certain Swiss tax consequences regarding dividends distributed to holders of our common shares.</w:t>
      </w:r>
    </w:p>
    <w:p>
      <w:pPr>
        <w:spacing w:after="0" w:line="183" w:lineRule="exact"/>
        <w:rPr>
          <w:sz w:val="20"/>
          <w:szCs w:val="20"/>
          <w:color w:val="auto"/>
        </w:rPr>
      </w:pPr>
    </w:p>
    <w:p>
      <w:pPr>
        <w:ind w:left="160" w:right="120"/>
        <w:spacing w:after="0" w:line="286" w:lineRule="auto"/>
        <w:rPr>
          <w:sz w:val="20"/>
          <w:szCs w:val="20"/>
          <w:color w:val="auto"/>
        </w:rPr>
      </w:pPr>
      <w:r>
        <w:rPr>
          <w:rFonts w:ascii="Arial" w:cs="Arial" w:eastAsia="Arial" w:hAnsi="Arial"/>
          <w:sz w:val="17"/>
          <w:szCs w:val="17"/>
          <w:b w:val="1"/>
          <w:bCs w:val="1"/>
          <w:i w:val="1"/>
          <w:iCs w:val="1"/>
          <w:color w:val="auto"/>
        </w:rPr>
        <w:t>We are a foreign private issuer and, as a result, we are not be subject to U.S. proxy rules and are subject to Exchange Act reporting obligations that, to some extent, are more lenient and less frequent than those of a U.S. domestic public company.</w:t>
      </w:r>
    </w:p>
    <w:p>
      <w:pPr>
        <w:spacing w:after="0" w:line="158" w:lineRule="exact"/>
        <w:rPr>
          <w:sz w:val="20"/>
          <w:szCs w:val="20"/>
          <w:color w:val="auto"/>
        </w:rPr>
      </w:pPr>
    </w:p>
    <w:p>
      <w:pPr>
        <w:ind w:right="40" w:firstLine="312"/>
        <w:spacing w:after="0" w:line="278" w:lineRule="auto"/>
        <w:rPr>
          <w:sz w:val="20"/>
          <w:szCs w:val="20"/>
          <w:color w:val="auto"/>
        </w:rPr>
      </w:pPr>
      <w:r>
        <w:rPr>
          <w:rFonts w:ascii="Arial" w:cs="Arial" w:eastAsia="Arial" w:hAnsi="Arial"/>
          <w:sz w:val="16"/>
          <w:szCs w:val="16"/>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44" w:name="page45"/>
    <w:bookmarkEnd w:id="44"/>
    <w:p>
      <w:pPr>
        <w:jc w:val="both"/>
        <w:ind w:right="80"/>
        <w:spacing w:after="0" w:line="270" w:lineRule="auto"/>
        <w:rPr>
          <w:sz w:val="20"/>
          <w:szCs w:val="20"/>
          <w:color w:val="auto"/>
        </w:rPr>
      </w:pPr>
      <w:r>
        <w:rPr>
          <w:rFonts w:ascii="Arial" w:cs="Arial" w:eastAsia="Arial" w:hAnsi="Arial"/>
          <w:sz w:val="17"/>
          <w:szCs w:val="17"/>
          <w:color w:val="auto"/>
        </w:rPr>
        <w:t>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73" w:lineRule="exact"/>
        <w:rPr>
          <w:sz w:val="20"/>
          <w:szCs w:val="20"/>
          <w:color w:val="auto"/>
        </w:rPr>
      </w:pPr>
    </w:p>
    <w:p>
      <w:pPr>
        <w:ind w:left="160" w:right="180"/>
        <w:spacing w:after="0" w:line="286" w:lineRule="auto"/>
        <w:rPr>
          <w:sz w:val="20"/>
          <w:szCs w:val="20"/>
          <w:color w:val="auto"/>
        </w:rPr>
      </w:pPr>
      <w:r>
        <w:rPr>
          <w:rFonts w:ascii="Arial" w:cs="Arial" w:eastAsia="Arial" w:hAnsi="Arial"/>
          <w:sz w:val="17"/>
          <w:szCs w:val="17"/>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58" w:lineRule="exact"/>
        <w:rPr>
          <w:sz w:val="20"/>
          <w:szCs w:val="20"/>
          <w:color w:val="auto"/>
        </w:rPr>
      </w:pPr>
    </w:p>
    <w:p>
      <w:pPr>
        <w:ind w:firstLine="312"/>
        <w:spacing w:after="0" w:line="283" w:lineRule="auto"/>
        <w:rPr>
          <w:sz w:val="20"/>
          <w:szCs w:val="20"/>
          <w:color w:val="auto"/>
        </w:rPr>
      </w:pPr>
      <w:r>
        <w:rPr>
          <w:rFonts w:ascii="Arial" w:cs="Arial" w:eastAsia="Arial" w:hAnsi="Arial"/>
          <w:sz w:val="16"/>
          <w:szCs w:val="16"/>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be subject to NASDAQ Listing Rule 5605(b)(2), which requires that independent directors must regularly have scheduled meetings at which only independent directors are present.</w:t>
      </w:r>
    </w:p>
    <w:p>
      <w:pPr>
        <w:spacing w:after="0" w:line="164" w:lineRule="exact"/>
        <w:rPr>
          <w:sz w:val="20"/>
          <w:szCs w:val="20"/>
          <w:color w:val="auto"/>
        </w:rPr>
      </w:pPr>
    </w:p>
    <w:p>
      <w:pPr>
        <w:ind w:right="140" w:firstLine="312"/>
        <w:spacing w:after="0" w:line="263" w:lineRule="auto"/>
        <w:rPr>
          <w:sz w:val="20"/>
          <w:szCs w:val="20"/>
          <w:color w:val="auto"/>
        </w:rPr>
      </w:pPr>
      <w:r>
        <w:rPr>
          <w:rFonts w:ascii="Arial" w:cs="Arial" w:eastAsia="Arial" w:hAnsi="Arial"/>
          <w:sz w:val="17"/>
          <w:szCs w:val="17"/>
          <w:color w:val="auto"/>
        </w:rPr>
        <w:t>Although Swiss law also requires that we adopt a compensation committee, we follow home country requirements with respect to such committee and our compensation, nomination and governance committee is tasked with certain director nomination and governance responsibilities as described under “Item 6. Directors, Senior Management and Employees.”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8" w:lineRule="exact"/>
        <w:rPr>
          <w:sz w:val="20"/>
          <w:szCs w:val="20"/>
          <w:color w:val="auto"/>
        </w:rPr>
      </w:pPr>
    </w:p>
    <w:p>
      <w:pPr>
        <w:ind w:right="20" w:firstLine="312"/>
        <w:spacing w:after="0" w:line="276"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0" w:lineRule="exact"/>
        <w:rPr>
          <w:sz w:val="20"/>
          <w:szCs w:val="20"/>
          <w:color w:val="auto"/>
        </w:rPr>
      </w:pPr>
    </w:p>
    <w:p>
      <w:pPr>
        <w:ind w:right="720" w:firstLine="312"/>
        <w:spacing w:after="0" w:line="286" w:lineRule="auto"/>
        <w:rPr>
          <w:sz w:val="20"/>
          <w:szCs w:val="20"/>
          <w:color w:val="auto"/>
        </w:rPr>
      </w:pPr>
      <w:r>
        <w:rPr>
          <w:rFonts w:ascii="Arial" w:cs="Arial" w:eastAsia="Arial" w:hAnsi="Arial"/>
          <w:sz w:val="17"/>
          <w:szCs w:val="17"/>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58" w:lineRule="exact"/>
        <w:rPr>
          <w:sz w:val="20"/>
          <w:szCs w:val="20"/>
          <w:color w:val="auto"/>
        </w:rPr>
      </w:pPr>
    </w:p>
    <w:p>
      <w:pPr>
        <w:ind w:left="160" w:right="340"/>
        <w:spacing w:after="0" w:line="286" w:lineRule="auto"/>
        <w:rPr>
          <w:sz w:val="20"/>
          <w:szCs w:val="20"/>
          <w:color w:val="auto"/>
        </w:rPr>
      </w:pPr>
      <w:r>
        <w:rPr>
          <w:rFonts w:ascii="Arial" w:cs="Arial" w:eastAsia="Arial" w:hAnsi="Arial"/>
          <w:sz w:val="17"/>
          <w:szCs w:val="17"/>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8" w:lineRule="exact"/>
        <w:rPr>
          <w:sz w:val="20"/>
          <w:szCs w:val="20"/>
          <w:color w:val="auto"/>
        </w:rPr>
      </w:pPr>
    </w:p>
    <w:p>
      <w:pPr>
        <w:ind w:right="120" w:firstLine="312"/>
        <w:spacing w:after="0" w:line="278"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2017 (or the end of our second fiscal quarter in any subsequent fiscal year), which would require us to comply with all of the periodic disclosure and current reporting requirements of the Exchange Act applicable to U.S. domestic issuers as of January 1, 2018 (or the first day of the fiscal year immediately succeeding the end of such second quarter).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45" w:name="page46"/>
    <w:bookmarkEnd w:id="45"/>
    <w:p>
      <w:pPr>
        <w:ind w:right="60"/>
        <w:spacing w:after="0" w:line="300" w:lineRule="auto"/>
        <w:rPr>
          <w:sz w:val="20"/>
          <w:szCs w:val="20"/>
          <w:color w:val="auto"/>
        </w:rPr>
      </w:pPr>
      <w:r>
        <w:rPr>
          <w:rFonts w:ascii="Arial" w:cs="Arial" w:eastAsia="Arial" w:hAnsi="Arial"/>
          <w:sz w:val="15"/>
          <w:szCs w:val="15"/>
          <w:color w:val="auto"/>
        </w:rPr>
        <w:t>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56" w:lineRule="exact"/>
        <w:rPr>
          <w:sz w:val="20"/>
          <w:szCs w:val="20"/>
          <w:color w:val="auto"/>
        </w:rPr>
      </w:pPr>
    </w:p>
    <w:p>
      <w:pPr>
        <w:ind w:left="160" w:right="30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158" w:lineRule="exact"/>
        <w:rPr>
          <w:sz w:val="20"/>
          <w:szCs w:val="20"/>
          <w:color w:val="auto"/>
        </w:rPr>
      </w:pPr>
    </w:p>
    <w:p>
      <w:pPr>
        <w:ind w:right="60" w:firstLine="312"/>
        <w:spacing w:after="0" w:line="297"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We could be an “emerging growth company” until the end of our fiscal year 2021, although circumstances could cause us to lose that status earlier, including if the market value of our common shares held by non-affiliates exceeds $700 million as of any June 30 (the end of our second fiscal quarter) before the end of our fiscal year 2021,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60" w:lineRule="exact"/>
        <w:rPr>
          <w:sz w:val="20"/>
          <w:szCs w:val="20"/>
          <w:color w:val="auto"/>
        </w:rPr>
      </w:pPr>
    </w:p>
    <w:p>
      <w:pPr>
        <w:ind w:left="160" w:right="520"/>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incur additional costs and we may not manage to comply with our internal control procedures and corporate governance structures.</w:t>
      </w:r>
    </w:p>
    <w:p>
      <w:pPr>
        <w:spacing w:after="0" w:line="158" w:lineRule="exact"/>
        <w:rPr>
          <w:sz w:val="20"/>
          <w:szCs w:val="20"/>
          <w:color w:val="auto"/>
        </w:rPr>
      </w:pPr>
    </w:p>
    <w:p>
      <w:pPr>
        <w:ind w:right="100" w:firstLine="312"/>
        <w:spacing w:after="0" w:line="283" w:lineRule="auto"/>
        <w:rPr>
          <w:sz w:val="20"/>
          <w:szCs w:val="20"/>
          <w:color w:val="auto"/>
        </w:rPr>
      </w:pPr>
      <w:r>
        <w:rPr>
          <w:rFonts w:ascii="Arial" w:cs="Arial" w:eastAsia="Arial" w:hAnsi="Arial"/>
          <w:sz w:val="16"/>
          <w:szCs w:val="16"/>
          <w:color w:val="auto"/>
        </w:rPr>
        <w:t>As a public company, we incur additional legal, insurance, accounting and other expenses that we did not incur as a private company. For example, as a public company, we needed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164"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b w:val="1"/>
          <w:bCs w:val="1"/>
          <w:i w:val="1"/>
          <w:iCs w:val="1"/>
          <w:color w:val="auto"/>
        </w:rPr>
        <w:t>In connection with the audit of our financial statements as at and for the year ended December 31, 2014, we and our independent registered public accounting firm identified a material weakness in our internal control over financial reporting. This material weakness continued to exist as of December 31, 2016.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160" w:lineRule="exact"/>
        <w:rPr>
          <w:sz w:val="20"/>
          <w:szCs w:val="20"/>
          <w:color w:val="auto"/>
        </w:rPr>
      </w:pPr>
    </w:p>
    <w:p>
      <w:pPr>
        <w:ind w:firstLine="425"/>
        <w:spacing w:after="0" w:line="276" w:lineRule="auto"/>
        <w:rPr>
          <w:sz w:val="20"/>
          <w:szCs w:val="20"/>
          <w:color w:val="auto"/>
        </w:rPr>
      </w:pPr>
      <w:r>
        <w:rPr>
          <w:rFonts w:ascii="Arial" w:cs="Arial" w:eastAsia="Arial" w:hAnsi="Arial"/>
          <w:sz w:val="16"/>
          <w:szCs w:val="16"/>
          <w:color w:val="auto"/>
        </w:rPr>
        <w:t>Prior to our IPO, we were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 resources and systems for the foreseeable future. In connection with our preparation and the audit of our financial statements as of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remediated as of December 31, 2016.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70" w:lineRule="exact"/>
        <w:rPr>
          <w:sz w:val="20"/>
          <w:szCs w:val="20"/>
          <w:color w:val="auto"/>
        </w:rPr>
      </w:pPr>
    </w:p>
    <w:p>
      <w:pPr>
        <w:ind w:right="100" w:firstLine="425"/>
        <w:spacing w:after="0" w:line="263" w:lineRule="auto"/>
        <w:rPr>
          <w:sz w:val="20"/>
          <w:szCs w:val="20"/>
          <w:color w:val="auto"/>
        </w:rPr>
      </w:pPr>
      <w:r>
        <w:rPr>
          <w:rFonts w:ascii="Arial" w:cs="Arial" w:eastAsia="Arial" w:hAnsi="Arial"/>
          <w:sz w:val="17"/>
          <w:szCs w:val="17"/>
          <w:color w:val="auto"/>
        </w:rPr>
        <w:t>As a result of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8" w:lineRule="exact"/>
        <w:rPr>
          <w:sz w:val="20"/>
          <w:szCs w:val="20"/>
          <w:color w:val="auto"/>
        </w:rPr>
      </w:pPr>
    </w:p>
    <w:p>
      <w:pPr>
        <w:ind w:right="80" w:firstLine="425"/>
        <w:spacing w:after="0" w:line="306" w:lineRule="auto"/>
        <w:rPr>
          <w:sz w:val="20"/>
          <w:szCs w:val="20"/>
          <w:color w:val="auto"/>
        </w:rPr>
      </w:pPr>
      <w:r>
        <w:rPr>
          <w:rFonts w:ascii="Arial" w:cs="Arial" w:eastAsia="Arial" w:hAnsi="Arial"/>
          <w:sz w:val="15"/>
          <w:szCs w:val="15"/>
          <w:color w:val="auto"/>
        </w:rPr>
        <w:t>We are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46" w:name="page47"/>
    <w:bookmarkEnd w:id="46"/>
    <w:p>
      <w:pPr>
        <w:ind w:left="160" w:right="80"/>
        <w:spacing w:after="0" w:line="270" w:lineRule="auto"/>
        <w:rPr>
          <w:sz w:val="20"/>
          <w:szCs w:val="20"/>
          <w:color w:val="auto"/>
        </w:rPr>
      </w:pPr>
      <w:r>
        <w:rPr>
          <w:rFonts w:ascii="Arial" w:cs="Arial" w:eastAsia="Arial" w:hAnsi="Arial"/>
          <w:sz w:val="17"/>
          <w:szCs w:val="17"/>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73" w:lineRule="exact"/>
        <w:rPr>
          <w:sz w:val="20"/>
          <w:szCs w:val="20"/>
          <w:color w:val="auto"/>
        </w:rPr>
      </w:pPr>
    </w:p>
    <w:p>
      <w:pPr>
        <w:ind w:right="80" w:firstLine="312"/>
        <w:spacing w:after="0" w:line="277"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 of our financial statements as and for the year ended December 31, 2014, we identified a material weakness in our internal control over financial reporting, which was not remediated as at December 31, 2016.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70" w:lineRule="exact"/>
        <w:rPr>
          <w:sz w:val="20"/>
          <w:szCs w:val="20"/>
          <w:color w:val="auto"/>
        </w:rPr>
      </w:pPr>
    </w:p>
    <w:p>
      <w:pPr>
        <w:ind w:right="20" w:firstLine="312"/>
        <w:spacing w:after="0" w:line="306" w:lineRule="auto"/>
        <w:rPr>
          <w:sz w:val="20"/>
          <w:szCs w:val="20"/>
          <w:color w:val="auto"/>
        </w:rPr>
      </w:pPr>
      <w:r>
        <w:rPr>
          <w:rFonts w:ascii="Arial" w:cs="Arial" w:eastAsia="Arial" w:hAnsi="Arial"/>
          <w:sz w:val="15"/>
          <w:szCs w:val="15"/>
          <w:color w:val="auto"/>
        </w:rPr>
        <w:t>We are required to disclose changes made in our internal controls and procedures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the end of our fiscal year 2021.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left="160" w:right="6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58" w:lineRule="exact"/>
        <w:rPr>
          <w:sz w:val="20"/>
          <w:szCs w:val="20"/>
          <w:color w:val="auto"/>
        </w:rPr>
      </w:pPr>
    </w:p>
    <w:p>
      <w:pPr>
        <w:ind w:right="160" w:firstLine="312"/>
        <w:spacing w:after="0" w:line="28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An increase in our tax rate could occur, which could adversely affect our financial results</w:t>
      </w:r>
    </w:p>
    <w:p>
      <w:pPr>
        <w:spacing w:after="0" w:line="221" w:lineRule="exact"/>
        <w:rPr>
          <w:sz w:val="20"/>
          <w:szCs w:val="20"/>
          <w:color w:val="auto"/>
        </w:rPr>
      </w:pPr>
    </w:p>
    <w:p>
      <w:pPr>
        <w:jc w:val="both"/>
        <w:ind w:right="100" w:firstLine="312"/>
        <w:spacing w:after="0" w:line="270" w:lineRule="auto"/>
        <w:rPr>
          <w:sz w:val="20"/>
          <w:szCs w:val="20"/>
          <w:color w:val="auto"/>
        </w:rPr>
      </w:pPr>
      <w:r>
        <w:rPr>
          <w:rFonts w:ascii="Arial" w:cs="Arial" w:eastAsia="Arial" w:hAnsi="Arial"/>
          <w:sz w:val="17"/>
          <w:szCs w:val="17"/>
          <w:color w:val="auto"/>
        </w:rPr>
        <w:t>The Swiss Federal government has recently proposed changes to align Swiss corporate taxation with international recommendations but voters in Switzerland voted against such proposals in a national referendum on February 12, 2017. As a result, uncertainty will continue about the future level of Swiss corporate income taxes that may apply to us until revised proposals are put forward and gain acceptance.</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further discussion, see “Item 10. Additional Information—E. Taxation.”</w:t>
      </w:r>
    </w:p>
    <w:p>
      <w:pPr>
        <w:spacing w:after="0" w:line="221" w:lineRule="exact"/>
        <w:rPr>
          <w:sz w:val="20"/>
          <w:szCs w:val="20"/>
          <w:color w:val="auto"/>
        </w:rPr>
      </w:pPr>
    </w:p>
    <w:p>
      <w:pPr>
        <w:ind w:left="160" w:right="140"/>
        <w:spacing w:after="0" w:line="356" w:lineRule="auto"/>
        <w:rPr>
          <w:sz w:val="20"/>
          <w:szCs w:val="20"/>
          <w:color w:val="auto"/>
        </w:rPr>
      </w:pPr>
      <w:r>
        <w:rPr>
          <w:rFonts w:ascii="Arial" w:cs="Arial" w:eastAsia="Arial" w:hAnsi="Arial"/>
          <w:sz w:val="15"/>
          <w:szCs w:val="15"/>
          <w:b w:val="1"/>
          <w:bCs w:val="1"/>
          <w:i w:val="1"/>
          <w:iCs w:val="1"/>
          <w:color w:val="auto"/>
        </w:rPr>
        <w:t>Although we believe that we were not a “passive foreign investment company,” or PFIC, for U.S. federal income tax purposes in 2016, and we do not expect to be a PFIC in the immediately foreseeable future, if we were a PFIC U.S. shareholders may be subject to adverse U.S. federal income tax consequences.</w:t>
      </w:r>
    </w:p>
    <w:p>
      <w:pPr>
        <w:spacing w:after="0" w:line="113" w:lineRule="exact"/>
        <w:rPr>
          <w:sz w:val="20"/>
          <w:szCs w:val="20"/>
          <w:color w:val="auto"/>
        </w:rPr>
      </w:pPr>
    </w:p>
    <w:p>
      <w:pPr>
        <w:ind w:firstLine="312"/>
        <w:spacing w:after="0" w:line="259" w:lineRule="auto"/>
        <w:rPr>
          <w:sz w:val="20"/>
          <w:szCs w:val="20"/>
          <w:color w:val="auto"/>
        </w:rPr>
      </w:pPr>
      <w:r>
        <w:rPr>
          <w:rFonts w:ascii="Arial" w:cs="Arial" w:eastAsia="Arial" w:hAnsi="Arial"/>
          <w:sz w:val="17"/>
          <w:szCs w:val="17"/>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2016 taxable year and do not expect to be a PFIC in the immediately foreseeable future. However, there can be no assurance that the IRS will agree with our conclusion. In addition, whether we will be a PFIC in 2017 or any future years is uncertain because, among other things, (i) we currently own,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83" w:lineRule="exact"/>
        <w:rPr>
          <w:sz w:val="20"/>
          <w:szCs w:val="20"/>
          <w:color w:val="auto"/>
        </w:rPr>
      </w:pPr>
    </w:p>
    <w:p>
      <w:pPr>
        <w:ind w:right="180" w:firstLine="312"/>
        <w:spacing w:after="0" w:line="270" w:lineRule="auto"/>
        <w:rPr>
          <w:sz w:val="20"/>
          <w:szCs w:val="20"/>
          <w:color w:val="auto"/>
        </w:rPr>
      </w:pPr>
      <w:r>
        <w:rPr>
          <w:rFonts w:ascii="Arial" w:cs="Arial" w:eastAsia="Arial" w:hAnsi="Arial"/>
          <w:sz w:val="17"/>
          <w:szCs w:val="17"/>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47" w:name="page48"/>
    <w:bookmarkEnd w:id="47"/>
    <w:p>
      <w:pPr>
        <w:ind w:right="160"/>
        <w:spacing w:after="0" w:line="265" w:lineRule="auto"/>
        <w:rPr>
          <w:sz w:val="20"/>
          <w:szCs w:val="20"/>
          <w:color w:val="auto"/>
        </w:rPr>
      </w:pPr>
      <w:r>
        <w:rPr>
          <w:rFonts w:ascii="Arial" w:cs="Arial" w:eastAsia="Arial" w:hAnsi="Arial"/>
          <w:sz w:val="17"/>
          <w:szCs w:val="17"/>
          <w:color w:val="auto"/>
        </w:rPr>
        <w:t>investor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further discussion, see “Item 10. Additional Information—Section E. Taxation.”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INFORMATION ON THE COMPANY</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5"/>
          <w:szCs w:val="15"/>
          <w:b w:val="1"/>
          <w:bCs w:val="1"/>
          <w:color w:val="auto"/>
        </w:rPr>
        <w:t>History and development of the Company</w:t>
      </w:r>
    </w:p>
    <w:p>
      <w:pPr>
        <w:spacing w:after="0" w:line="227" w:lineRule="exact"/>
        <w:rPr>
          <w:sz w:val="20"/>
          <w:szCs w:val="20"/>
          <w:color w:val="auto"/>
        </w:rPr>
      </w:pPr>
    </w:p>
    <w:p>
      <w:pPr>
        <w:ind w:right="140" w:firstLine="312"/>
        <w:spacing w:after="0" w:line="287" w:lineRule="auto"/>
        <w:rPr>
          <w:sz w:val="20"/>
          <w:szCs w:val="20"/>
          <w:color w:val="auto"/>
        </w:rPr>
      </w:pPr>
      <w:r>
        <w:rPr>
          <w:rFonts w:ascii="Arial" w:cs="Arial" w:eastAsia="Arial" w:hAnsi="Arial"/>
          <w:sz w:val="16"/>
          <w:szCs w:val="16"/>
          <w:color w:val="auto"/>
        </w:rPr>
        <w:t>We are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Switzerland. We were formed as a Swiss limited liability company (</w:t>
      </w:r>
      <w:r>
        <w:rPr>
          <w:rFonts w:ascii="Arial" w:cs="Arial" w:eastAsia="Arial" w:hAnsi="Arial"/>
          <w:sz w:val="16"/>
          <w:szCs w:val="16"/>
          <w:i w:val="1"/>
          <w:iCs w:val="1"/>
          <w:color w:val="auto"/>
        </w:rPr>
        <w:t>société à</w:t>
      </w:r>
      <w:r>
        <w:rPr>
          <w:rFonts w:ascii="Arial" w:cs="Arial" w:eastAsia="Arial" w:hAnsi="Arial"/>
          <w:sz w:val="16"/>
          <w:szCs w:val="16"/>
          <w:color w:val="auto"/>
        </w:rPr>
        <w:t xml:space="preserve"> </w:t>
      </w:r>
      <w:r>
        <w:rPr>
          <w:rFonts w:ascii="Arial" w:cs="Arial" w:eastAsia="Arial" w:hAnsi="Arial"/>
          <w:sz w:val="16"/>
          <w:szCs w:val="16"/>
          <w:i w:val="1"/>
          <w:iCs w:val="1"/>
          <w:color w:val="auto"/>
        </w:rPr>
        <w:t>responsabilité limitée</w:t>
      </w:r>
      <w:r>
        <w:rPr>
          <w:rFonts w:ascii="Arial" w:cs="Arial" w:eastAsia="Arial" w:hAnsi="Arial"/>
          <w:sz w:val="16"/>
          <w:szCs w:val="16"/>
          <w:color w:val="auto"/>
        </w:rPr>
        <w:t>) on February 13, 2003 with our registered office and domicile in Basel, Switzerland. We converted 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under the laws of Switzerland on August 25, 2003. Our domicile and registered office is in Ecublens, near Lausanne, Canton of Vaud, Switzerland. Our</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were admitted to trading on NASDAQ Global Market on September 23, 2016. Our shares are traded under the symbol ACIU.</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registered and principal executive offices are located at EPFL Innovation Park, Building B, 1015 Lausanne, Switzerland, our general telephone number is</w:t>
      </w:r>
    </w:p>
    <w:p>
      <w:pPr>
        <w:spacing w:after="0" w:line="48" w:lineRule="exact"/>
        <w:rPr>
          <w:sz w:val="20"/>
          <w:szCs w:val="20"/>
          <w:color w:val="auto"/>
        </w:rPr>
      </w:pPr>
    </w:p>
    <w:p>
      <w:pPr>
        <w:ind w:right="120" w:firstLine="4"/>
        <w:spacing w:after="0" w:line="271" w:lineRule="auto"/>
        <w:tabs>
          <w:tab w:leader="none" w:pos="332" w:val="left"/>
        </w:tabs>
        <w:numPr>
          <w:ilvl w:val="0"/>
          <w:numId w:val="39"/>
        </w:numPr>
        <w:rPr>
          <w:rFonts w:ascii="Arial" w:cs="Arial" w:eastAsia="Arial" w:hAnsi="Arial"/>
          <w:sz w:val="17"/>
          <w:szCs w:val="17"/>
          <w:color w:val="auto"/>
        </w:rPr>
      </w:pPr>
      <w:r>
        <w:rPr>
          <w:rFonts w:ascii="Arial" w:cs="Arial" w:eastAsia="Arial" w:hAnsi="Arial"/>
          <w:sz w:val="17"/>
          <w:szCs w:val="17"/>
          <w:color w:val="auto"/>
        </w:rPr>
        <w:t>21 345 91 21 and our internet address is www.acimmune.com. Our website and the information contained on or accessible through our website are not part of this document.</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4"/>
          <w:szCs w:val="14"/>
          <w:b w:val="1"/>
          <w:bCs w:val="1"/>
          <w:color w:val="auto"/>
        </w:rPr>
        <w:t>Business overview</w:t>
      </w:r>
    </w:p>
    <w:p>
      <w:pPr>
        <w:spacing w:after="0" w:line="227" w:lineRule="exact"/>
        <w:rPr>
          <w:sz w:val="20"/>
          <w:szCs w:val="20"/>
          <w:color w:val="auto"/>
        </w:rPr>
      </w:pPr>
    </w:p>
    <w:p>
      <w:pPr>
        <w:ind w:right="40" w:firstLine="312"/>
        <w:spacing w:after="0" w:line="306" w:lineRule="auto"/>
        <w:rPr>
          <w:sz w:val="20"/>
          <w:szCs w:val="20"/>
          <w:color w:val="auto"/>
        </w:rPr>
      </w:pPr>
      <w:r>
        <w:rPr>
          <w:rFonts w:ascii="Arial" w:cs="Arial" w:eastAsia="Arial" w:hAnsi="Arial"/>
          <w:sz w:val="15"/>
          <w:szCs w:val="15"/>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49" w:lineRule="exact"/>
        <w:rPr>
          <w:sz w:val="20"/>
          <w:szCs w:val="20"/>
          <w:color w:val="auto"/>
        </w:rPr>
      </w:pPr>
    </w:p>
    <w:p>
      <w:pPr>
        <w:ind w:right="240" w:firstLine="312"/>
        <w:spacing w:after="0" w:line="295" w:lineRule="auto"/>
        <w:rPr>
          <w:sz w:val="20"/>
          <w:szCs w:val="20"/>
          <w:color w:val="auto"/>
        </w:rPr>
      </w:pPr>
      <w:r>
        <w:rPr>
          <w:rFonts w:ascii="Arial" w:cs="Arial" w:eastAsia="Arial" w:hAnsi="Arial"/>
          <w:sz w:val="15"/>
          <w:szCs w:val="15"/>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71" w:lineRule="exact"/>
        <w:rPr>
          <w:sz w:val="20"/>
          <w:szCs w:val="20"/>
          <w:color w:val="auto"/>
        </w:rPr>
      </w:pPr>
    </w:p>
    <w:p>
      <w:pPr>
        <w:ind w:right="180" w:firstLine="312"/>
        <w:spacing w:after="0" w:line="270" w:lineRule="auto"/>
        <w:rPr>
          <w:sz w:val="20"/>
          <w:szCs w:val="20"/>
          <w:color w:val="auto"/>
        </w:rPr>
      </w:pPr>
      <w:r>
        <w:rPr>
          <w:rFonts w:ascii="Arial" w:cs="Arial" w:eastAsia="Arial" w:hAnsi="Arial"/>
          <w:sz w:val="17"/>
          <w:szCs w:val="17"/>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173" w:lineRule="exact"/>
        <w:rPr>
          <w:sz w:val="20"/>
          <w:szCs w:val="20"/>
          <w:color w:val="auto"/>
        </w:rPr>
      </w:pPr>
    </w:p>
    <w:p>
      <w:pPr>
        <w:ind w:left="620" w:hanging="304"/>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Unique mechanism of action:</w:t>
      </w:r>
    </w:p>
    <w:p>
      <w:pPr>
        <w:spacing w:after="0" w:line="2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   Recognizes and binds to multiple forms of misfolded Abeta, a protein commonly associated with AD.</w:t>
      </w: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48" w:name="page49"/>
    <w:bookmarkEnd w:id="48"/>
    <w:p>
      <w:pPr>
        <w:ind w:left="940" w:right="540" w:hanging="312"/>
        <w:spacing w:after="0" w:line="286" w:lineRule="auto"/>
        <w:tabs>
          <w:tab w:leader="none" w:pos="9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Helps to protect against neurotoxicity due to high affinity for the multiple forms of misfolded Abeta, with high affinity for oligomers (the form hypothesized to mediate neurotoxicity)</w:t>
      </w:r>
    </w:p>
    <w:p>
      <w:pPr>
        <w:spacing w:after="0" w:line="158" w:lineRule="exact"/>
        <w:rPr>
          <w:rFonts w:ascii="Arial" w:cs="Arial" w:eastAsia="Arial" w:hAnsi="Arial"/>
          <w:sz w:val="17"/>
          <w:szCs w:val="17"/>
          <w:color w:val="auto"/>
        </w:rPr>
      </w:pPr>
    </w:p>
    <w:p>
      <w:pPr>
        <w:ind w:left="940" w:hanging="312"/>
        <w:spacing w:after="0"/>
        <w:tabs>
          <w:tab w:leader="none" w:pos="940" w:val="left"/>
        </w:tabs>
        <w:numPr>
          <w:ilvl w:val="1"/>
          <w:numId w:val="41"/>
        </w:numPr>
        <w:rPr>
          <w:rFonts w:ascii="Arial" w:cs="Arial" w:eastAsia="Arial" w:hAnsi="Arial"/>
          <w:sz w:val="15"/>
          <w:szCs w:val="15"/>
          <w:color w:val="auto"/>
        </w:rPr>
      </w:pPr>
      <w:r>
        <w:rPr>
          <w:rFonts w:ascii="Arial" w:cs="Arial" w:eastAsia="Arial" w:hAnsi="Arial"/>
          <w:sz w:val="15"/>
          <w:szCs w:val="15"/>
          <w:color w:val="auto"/>
        </w:rPr>
        <w:t>Promotes disaggregation of existing Abeta aggregates and disrupts their assembly to prevent amyloid plaque formation, which is associated with AD.</w:t>
      </w:r>
    </w:p>
    <w:p>
      <w:pPr>
        <w:spacing w:after="0" w:line="243" w:lineRule="exact"/>
        <w:rPr>
          <w:rFonts w:ascii="Arial" w:cs="Arial" w:eastAsia="Arial" w:hAnsi="Arial"/>
          <w:sz w:val="15"/>
          <w:szCs w:val="15"/>
          <w:color w:val="auto"/>
        </w:rPr>
      </w:pPr>
    </w:p>
    <w:p>
      <w:pPr>
        <w:ind w:left="940" w:hanging="312"/>
        <w:spacing w:after="0"/>
        <w:tabs>
          <w:tab w:leader="none" w:pos="9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Clears misfolded Abeta from the brain while limiting inflammation.</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Signal of activity in milder AD patients in Phase 2 studies:</w:t>
      </w:r>
    </w:p>
    <w:p>
      <w:pPr>
        <w:spacing w:after="0" w:line="220" w:lineRule="exact"/>
        <w:rPr>
          <w:rFonts w:ascii="Arial" w:cs="Arial" w:eastAsia="Arial" w:hAnsi="Arial"/>
          <w:sz w:val="17"/>
          <w:szCs w:val="17"/>
          <w:color w:val="auto"/>
        </w:rPr>
      </w:pPr>
    </w:p>
    <w:p>
      <w:pPr>
        <w:ind w:left="940" w:hanging="312"/>
        <w:spacing w:after="0" w:line="275" w:lineRule="auto"/>
        <w:tabs>
          <w:tab w:leader="none" w:pos="9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175" w:lineRule="exact"/>
        <w:rPr>
          <w:rFonts w:ascii="Arial" w:cs="Arial" w:eastAsia="Arial" w:hAnsi="Arial"/>
          <w:sz w:val="16"/>
          <w:szCs w:val="16"/>
          <w:color w:val="auto"/>
        </w:rPr>
      </w:pPr>
    </w:p>
    <w:p>
      <w:pPr>
        <w:ind w:left="940" w:right="480" w:hanging="312"/>
        <w:spacing w:after="0" w:line="270" w:lineRule="auto"/>
        <w:tabs>
          <w:tab w:leader="none" w:pos="9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172" w:lineRule="exact"/>
        <w:rPr>
          <w:rFonts w:ascii="Arial" w:cs="Arial" w:eastAsia="Arial" w:hAnsi="Arial"/>
          <w:sz w:val="17"/>
          <w:szCs w:val="17"/>
          <w:color w:val="auto"/>
        </w:rPr>
      </w:pPr>
    </w:p>
    <w:p>
      <w:pPr>
        <w:ind w:left="620" w:hanging="304"/>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Favorable safety profile allowing for potentially higher dosing:</w:t>
      </w:r>
    </w:p>
    <w:p>
      <w:pPr>
        <w:spacing w:after="0" w:line="220" w:lineRule="exact"/>
        <w:rPr>
          <w:rFonts w:ascii="Arial" w:cs="Arial" w:eastAsia="Arial" w:hAnsi="Arial"/>
          <w:sz w:val="17"/>
          <w:szCs w:val="17"/>
          <w:color w:val="auto"/>
        </w:rPr>
      </w:pPr>
    </w:p>
    <w:p>
      <w:pPr>
        <w:ind w:left="940" w:right="180" w:hanging="312"/>
        <w:spacing w:after="0" w:line="286" w:lineRule="auto"/>
        <w:tabs>
          <w:tab w:leader="none" w:pos="9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Unique mechanism of action linked to the reduced ability to cause inflammation-related vasogenic edema, an accumulation of fluid in the brain that can lead to headaches, loss of coordination and disorientation.</w:t>
      </w:r>
    </w:p>
    <w:p>
      <w:pPr>
        <w:spacing w:after="0" w:line="158" w:lineRule="exact"/>
        <w:rPr>
          <w:rFonts w:ascii="Arial" w:cs="Arial" w:eastAsia="Arial" w:hAnsi="Arial"/>
          <w:sz w:val="17"/>
          <w:szCs w:val="17"/>
          <w:color w:val="auto"/>
        </w:rPr>
      </w:pPr>
    </w:p>
    <w:p>
      <w:pPr>
        <w:ind w:left="940" w:hanging="312"/>
        <w:spacing w:after="0"/>
        <w:tabs>
          <w:tab w:leader="none" w:pos="9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Phase 2 clinical data showed a very low incidence of vasogenic edema.</w:t>
      </w:r>
    </w:p>
    <w:p>
      <w:pPr>
        <w:spacing w:after="0" w:line="220" w:lineRule="exact"/>
        <w:rPr>
          <w:rFonts w:ascii="Arial" w:cs="Arial" w:eastAsia="Arial" w:hAnsi="Arial"/>
          <w:sz w:val="17"/>
          <w:szCs w:val="17"/>
          <w:color w:val="auto"/>
        </w:rPr>
      </w:pPr>
    </w:p>
    <w:p>
      <w:pPr>
        <w:ind w:left="940" w:right="260" w:hanging="312"/>
        <w:spacing w:after="0" w:line="286" w:lineRule="auto"/>
        <w:tabs>
          <w:tab w:leader="none" w:pos="9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 Phase 1 study is ongoing to study crenezumab at higher doses to potentially increase the efficacy signal. The results of an interim analysis of the first two cohorts of this study are supportive of the design and dose of the Phase 3 clinical study.</w:t>
      </w:r>
    </w:p>
    <w:p>
      <w:pPr>
        <w:spacing w:after="0" w:line="158" w:lineRule="exact"/>
        <w:rPr>
          <w:sz w:val="20"/>
          <w:szCs w:val="20"/>
          <w:color w:val="auto"/>
        </w:rPr>
      </w:pPr>
    </w:p>
    <w:p>
      <w:pPr>
        <w:ind w:right="640" w:firstLine="312"/>
        <w:spacing w:after="0" w:line="286" w:lineRule="auto"/>
        <w:rPr>
          <w:sz w:val="20"/>
          <w:szCs w:val="20"/>
          <w:color w:val="auto"/>
        </w:rPr>
      </w:pPr>
      <w:r>
        <w:rPr>
          <w:rFonts w:ascii="Arial" w:cs="Arial" w:eastAsia="Arial" w:hAnsi="Arial"/>
          <w:sz w:val="17"/>
          <w:szCs w:val="17"/>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158" w:lineRule="exact"/>
        <w:rPr>
          <w:sz w:val="20"/>
          <w:szCs w:val="20"/>
          <w:color w:val="auto"/>
        </w:rPr>
      </w:pPr>
    </w:p>
    <w:p>
      <w:pPr>
        <w:ind w:left="620" w:right="80" w:hanging="304"/>
        <w:spacing w:after="0" w:line="260"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against Abeta in the absence of Abeta specific T-cells. This product candidate is currently in a Phase 1/2a clinical study to evaluate safety, tolerability, immunogenicity and biomarker endpoints in patients with mild to moderate AD in Europe. The analysis of the immune response data as well as further treatment in cohort 4 is ongoing. An interim analysis of the first three doses (cohort 1-3) revealed positive safety and tolerability. The study was not powered to examine efficacy but a trend towards reduction in accumulation in brain amyloid measured by PET imaging was observed in cohort 3. A similar pattern of reduction of clinical decline assessed by the CDR-SB was observed in cohort 3 compared to placebo at week 52 although this did not reach statistical significance. While the highest dose group is</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49" w:name="page50"/>
    <w:bookmarkEnd w:id="49"/>
    <w:p>
      <w:pPr>
        <w:ind w:left="620" w:right="20"/>
        <w:spacing w:after="0" w:line="265" w:lineRule="auto"/>
        <w:rPr>
          <w:sz w:val="20"/>
          <w:szCs w:val="20"/>
          <w:color w:val="auto"/>
        </w:rPr>
      </w:pPr>
      <w:r>
        <w:rPr>
          <w:rFonts w:ascii="Arial" w:cs="Arial" w:eastAsia="Arial" w:hAnsi="Arial"/>
          <w:sz w:val="17"/>
          <w:szCs w:val="17"/>
          <w:color w:val="auto"/>
        </w:rPr>
        <w:t>still ongoing the Phase 2 clinical design is scheduled to be completed in the second half of fiscal year 2017. ACI-24 is also being studied in a Phase 1 clinical study in people with Down syndrome, a population which is at high risk for developing AD-like symptoms and we expect to present data from this study in 2018. A protocol amendment for the Phase 1b study of ACI-24 was submitted to the FDA in September 2015 and the clinical study has started in December 2015.</w:t>
      </w:r>
    </w:p>
    <w:p>
      <w:pPr>
        <w:spacing w:after="0" w:line="177" w:lineRule="exact"/>
        <w:rPr>
          <w:sz w:val="20"/>
          <w:szCs w:val="20"/>
          <w:color w:val="auto"/>
        </w:rPr>
      </w:pPr>
    </w:p>
    <w:p>
      <w:pPr>
        <w:ind w:left="620" w:right="20" w:hanging="304"/>
        <w:spacing w:after="0" w:line="260"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are developing the anti-tau vaccine ACI-35 under a collaboration agreement with Janssen, which we entered into in December 2014. A Phase 1b clinical study to evaluate the safety, tolerability and immunogenicity of ACI-35 in patients with mild to moderate AD is ongoing in Finland and the United Kingdom. The study includes 5 cohorts with escalating doses and different dosing schedules. To date, safety and tolerability is considered satisfactory as assessed by the Data Safety Monitoring Board. An interim analysis showed a dose-dependent and target-specific antibody response to pTau. Further results, which we expect to have completed in the second half of fiscal 2017, will be the basis for the program’s future development. Janssen is expected to assume responsibility for the clinical development of phase 2 and beyond, as well as the regulatory approval, manufacturing and commercialization of ACI-35.</w:t>
      </w:r>
    </w:p>
    <w:p>
      <w:pPr>
        <w:spacing w:after="0" w:line="183" w:lineRule="exact"/>
        <w:rPr>
          <w:sz w:val="20"/>
          <w:szCs w:val="20"/>
          <w:color w:val="auto"/>
        </w:rPr>
      </w:pPr>
    </w:p>
    <w:p>
      <w:pPr>
        <w:ind w:firstLine="312"/>
        <w:spacing w:after="0" w:line="287" w:lineRule="auto"/>
        <w:rPr>
          <w:sz w:val="20"/>
          <w:szCs w:val="20"/>
          <w:color w:val="auto"/>
        </w:rPr>
      </w:pPr>
      <w:r>
        <w:rPr>
          <w:rFonts w:ascii="Arial" w:cs="Arial" w:eastAsia="Arial" w:hAnsi="Arial"/>
          <w:sz w:val="16"/>
          <w:szCs w:val="16"/>
          <w:color w:val="auto"/>
        </w:rPr>
        <w:t>Additionally, our passive anti-tau monoclonal antibody candidate is being developed under a collaboration agreement with Genentech, which we entered into in the second quarter of fiscal year 2012. The anti-tau antibody candidate is a humanized monoclonal antibody that is believed to bind specifically to tau. A Phase 1 clinical study conducted by Genentech will evaluate the safety, tolerability and pharmacokinetics in patients with mild to moderate Alzheimer’s disease and healthy volunteers. The Phase 1 clinical study commenced in the second quarter of 2016, with results expected in the first half of 2017.</w:t>
      </w:r>
    </w:p>
    <w:p>
      <w:pPr>
        <w:spacing w:after="0" w:line="160" w:lineRule="exact"/>
        <w:rPr>
          <w:sz w:val="20"/>
          <w:szCs w:val="20"/>
          <w:color w:val="auto"/>
        </w:rPr>
      </w:pPr>
    </w:p>
    <w:p>
      <w:pPr>
        <w:ind w:right="560" w:firstLine="312"/>
        <w:spacing w:after="0" w:line="265" w:lineRule="auto"/>
        <w:rPr>
          <w:sz w:val="20"/>
          <w:szCs w:val="20"/>
          <w:color w:val="auto"/>
        </w:rPr>
      </w:pPr>
      <w:r>
        <w:rPr>
          <w:rFonts w:ascii="Arial" w:cs="Arial" w:eastAsia="Arial" w:hAnsi="Arial"/>
          <w:sz w:val="17"/>
          <w:szCs w:val="17"/>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177" w:lineRule="exact"/>
        <w:rPr>
          <w:sz w:val="20"/>
          <w:szCs w:val="20"/>
          <w:color w:val="auto"/>
        </w:rPr>
      </w:pPr>
    </w:p>
    <w:p>
      <w:pPr>
        <w:ind w:left="620" w:right="480" w:hanging="304"/>
        <w:spacing w:after="0" w:line="286"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commenced a Phase 1 clinical study of our tau PET imaging agent in the fourth quarter of fiscal year 2016 under a collaboration agreement with Piramal Imaging.</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220" w:lineRule="exact"/>
        <w:rPr>
          <w:rFonts w:ascii="Arial" w:cs="Arial" w:eastAsia="Arial" w:hAnsi="Arial"/>
          <w:sz w:val="17"/>
          <w:szCs w:val="17"/>
          <w:color w:val="auto"/>
        </w:rPr>
      </w:pPr>
    </w:p>
    <w:p>
      <w:pPr>
        <w:ind w:left="620" w:right="200" w:hanging="304"/>
        <w:spacing w:after="0" w:line="265"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 We expect to commence a Phase 1 clinical study of our alpha-synuclein PET imaging agent in 2017.</w:t>
      </w:r>
    </w:p>
    <w:p>
      <w:pPr>
        <w:spacing w:after="0" w:line="177" w:lineRule="exact"/>
        <w:rPr>
          <w:sz w:val="20"/>
          <w:szCs w:val="20"/>
          <w:color w:val="auto"/>
        </w:rPr>
      </w:pPr>
    </w:p>
    <w:p>
      <w:pPr>
        <w:ind w:right="40" w:firstLine="312"/>
        <w:spacing w:after="0" w:line="297" w:lineRule="auto"/>
        <w:rPr>
          <w:sz w:val="20"/>
          <w:szCs w:val="20"/>
          <w:color w:val="auto"/>
        </w:rPr>
      </w:pPr>
      <w:r>
        <w:rPr>
          <w:rFonts w:ascii="Arial" w:cs="Arial" w:eastAsia="Arial" w:hAnsi="Arial"/>
          <w:sz w:val="15"/>
          <w:szCs w:val="15"/>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diagram below summarizes the status of our research and development programs.</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369570</wp:posOffset>
            </wp:positionV>
            <wp:extent cx="6697980" cy="4079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697980" cy="407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560" w:firstLine="312"/>
        <w:spacing w:after="0" w:line="295" w:lineRule="auto"/>
        <w:rPr>
          <w:sz w:val="20"/>
          <w:szCs w:val="20"/>
          <w:color w:val="auto"/>
        </w:rPr>
      </w:pPr>
      <w:r>
        <w:rPr>
          <w:rFonts w:ascii="Arial" w:cs="Arial" w:eastAsia="Arial" w:hAnsi="Arial"/>
          <w:sz w:val="16"/>
          <w:szCs w:val="16"/>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154" w:lineRule="exact"/>
        <w:rPr>
          <w:sz w:val="20"/>
          <w:szCs w:val="20"/>
          <w:color w:val="auto"/>
        </w:rPr>
      </w:pPr>
    </w:p>
    <w:p>
      <w:pPr>
        <w:ind w:left="620" w:hanging="304"/>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 is the most common form of dementia, which affects an estimated worldwide patient population of 47 million in 2015, and is expected to grow to</w:t>
      </w:r>
    </w:p>
    <w:p>
      <w:pPr>
        <w:spacing w:after="0" w:line="36" w:lineRule="exact"/>
        <w:rPr>
          <w:rFonts w:ascii="Arial" w:cs="Arial" w:eastAsia="Arial" w:hAnsi="Arial"/>
          <w:sz w:val="16"/>
          <w:szCs w:val="16"/>
          <w:color w:val="auto"/>
        </w:rPr>
      </w:pPr>
    </w:p>
    <w:p>
      <w:pPr>
        <w:ind w:left="620"/>
        <w:spacing w:after="0" w:line="279" w:lineRule="auto"/>
        <w:rPr>
          <w:rFonts w:ascii="Arial" w:cs="Arial" w:eastAsia="Arial" w:hAnsi="Arial"/>
          <w:sz w:val="16"/>
          <w:szCs w:val="16"/>
          <w:color w:val="auto"/>
        </w:rPr>
      </w:pPr>
      <w:r>
        <w:rPr>
          <w:rFonts w:ascii="Arial" w:cs="Arial" w:eastAsia="Arial" w:hAnsi="Arial"/>
          <w:sz w:val="16"/>
          <w:szCs w:val="16"/>
          <w:color w:val="auto"/>
        </w:rPr>
        <w:t>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166" w:lineRule="exact"/>
        <w:rPr>
          <w:rFonts w:ascii="Arial" w:cs="Arial" w:eastAsia="Arial" w:hAnsi="Arial"/>
          <w:sz w:val="16"/>
          <w:szCs w:val="16"/>
          <w:color w:val="auto"/>
        </w:rPr>
      </w:pPr>
    </w:p>
    <w:p>
      <w:pPr>
        <w:ind w:left="620" w:right="180"/>
        <w:spacing w:after="0" w:line="311" w:lineRule="auto"/>
        <w:rPr>
          <w:rFonts w:ascii="Arial" w:cs="Arial" w:eastAsia="Arial" w:hAnsi="Arial"/>
          <w:sz w:val="16"/>
          <w:szCs w:val="16"/>
          <w:color w:val="auto"/>
        </w:rPr>
      </w:pPr>
      <w:r>
        <w:rPr>
          <w:rFonts w:ascii="Arial" w:cs="Arial" w:eastAsia="Arial" w:hAnsi="Arial"/>
          <w:sz w:val="15"/>
          <w:szCs w:val="15"/>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146" w:lineRule="exact"/>
        <w:rPr>
          <w:rFonts w:ascii="Arial" w:cs="Arial" w:eastAsia="Arial" w:hAnsi="Arial"/>
          <w:sz w:val="16"/>
          <w:szCs w:val="16"/>
          <w:color w:val="auto"/>
        </w:rPr>
      </w:pPr>
    </w:p>
    <w:p>
      <w:pPr>
        <w:ind w:left="620" w:right="60"/>
        <w:spacing w:after="0" w:line="263" w:lineRule="auto"/>
        <w:rPr>
          <w:rFonts w:ascii="Arial" w:cs="Arial" w:eastAsia="Arial" w:hAnsi="Arial"/>
          <w:sz w:val="16"/>
          <w:szCs w:val="16"/>
          <w:color w:val="auto"/>
        </w:rPr>
      </w:pPr>
      <w:r>
        <w:rPr>
          <w:rFonts w:ascii="Arial" w:cs="Arial" w:eastAsia="Arial" w:hAnsi="Arial"/>
          <w:sz w:val="17"/>
          <w:szCs w:val="17"/>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stage-specific clinical study subjects, tracking patient progress and results, managing patients receiving treatment and ultimately diagnosing the disease at its earliest stage for immediate treatment.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1" w:name="page52"/>
    <w:bookmarkEnd w:id="51"/>
    <w:p>
      <w:pPr>
        <w:jc w:val="both"/>
        <w:ind w:left="620" w:right="20" w:hanging="304"/>
        <w:spacing w:after="0" w:line="356" w:lineRule="auto"/>
        <w:tabs>
          <w:tab w:leader="none" w:pos="6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13" w:lineRule="exact"/>
        <w:rPr>
          <w:sz w:val="20"/>
          <w:szCs w:val="20"/>
          <w:color w:val="auto"/>
        </w:rPr>
      </w:pPr>
    </w:p>
    <w:p>
      <w:pPr>
        <w:ind w:right="160" w:firstLine="312"/>
        <w:spacing w:after="0" w:line="286" w:lineRule="auto"/>
        <w:rPr>
          <w:sz w:val="20"/>
          <w:szCs w:val="20"/>
          <w:color w:val="auto"/>
        </w:rPr>
      </w:pPr>
      <w:r>
        <w:rPr>
          <w:rFonts w:ascii="Arial" w:cs="Arial" w:eastAsia="Arial" w:hAnsi="Arial"/>
          <w:sz w:val="17"/>
          <w:szCs w:val="17"/>
          <w:color w:val="auto"/>
        </w:rPr>
        <w:t>There remains a significant unmet medical need for reliable and accurate diagnostics to enable early diagnosis and disease-modifying treatments that slow the progress of neurodegenerative diseases.</w:t>
      </w:r>
    </w:p>
    <w:p>
      <w:pPr>
        <w:spacing w:after="0" w:line="158"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7" w:lineRule="exact"/>
        <w:rPr>
          <w:sz w:val="20"/>
          <w:szCs w:val="20"/>
          <w:color w:val="auto"/>
        </w:rPr>
      </w:pPr>
    </w:p>
    <w:p>
      <w:pPr>
        <w:ind w:right="260" w:firstLine="312"/>
        <w:spacing w:after="0" w:line="270" w:lineRule="auto"/>
        <w:rPr>
          <w:sz w:val="20"/>
          <w:szCs w:val="20"/>
          <w:color w:val="auto"/>
        </w:rPr>
      </w:pPr>
      <w:r>
        <w:rPr>
          <w:rFonts w:ascii="Arial" w:cs="Arial" w:eastAsia="Arial" w:hAnsi="Arial"/>
          <w:sz w:val="17"/>
          <w:szCs w:val="17"/>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167" w:lineRule="exact"/>
        <w:rPr>
          <w:sz w:val="20"/>
          <w:szCs w:val="20"/>
          <w:color w:val="auto"/>
        </w:rPr>
      </w:pPr>
    </w:p>
    <w:p>
      <w:pPr>
        <w:ind w:left="620" w:hanging="304"/>
        <w:spacing w:after="0"/>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Advance our product candidates, in partnership or alone, through clinical development to regulatory approval and potential commercialization.</w:t>
      </w:r>
    </w:p>
    <w:p>
      <w:pPr>
        <w:spacing w:after="0" w:line="249" w:lineRule="exact"/>
        <w:rPr>
          <w:rFonts w:ascii="Arial" w:cs="Arial" w:eastAsia="Arial" w:hAnsi="Arial"/>
          <w:sz w:val="15"/>
          <w:szCs w:val="15"/>
          <w:color w:val="auto"/>
        </w:rPr>
      </w:pPr>
    </w:p>
    <w:p>
      <w:pPr>
        <w:ind w:left="940" w:right="320" w:hanging="312"/>
        <w:spacing w:after="0" w:line="356" w:lineRule="auto"/>
        <w:tabs>
          <w:tab w:leader="none" w:pos="940" w:val="left"/>
        </w:tabs>
        <w:numPr>
          <w:ilvl w:val="1"/>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Crenezumab</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collaboration partner, Genentech, will advance crenezumab through Phase 3 clinical studies and seek regulatory approval.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believe that crenezumab’s efficacy, coupled with its safety profile, has the potential to become a best-in-class disease-modifying treatment for AD.</w:t>
      </w:r>
    </w:p>
    <w:p>
      <w:pPr>
        <w:spacing w:after="0" w:line="112" w:lineRule="exact"/>
        <w:rPr>
          <w:rFonts w:ascii="Arial" w:cs="Arial" w:eastAsia="Arial" w:hAnsi="Arial"/>
          <w:sz w:val="15"/>
          <w:szCs w:val="15"/>
          <w:color w:val="auto"/>
        </w:rPr>
      </w:pPr>
    </w:p>
    <w:p>
      <w:pPr>
        <w:ind w:left="940" w:right="20" w:hanging="312"/>
        <w:spacing w:after="0" w:line="287" w:lineRule="auto"/>
        <w:tabs>
          <w:tab w:leader="none" w:pos="940"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 tolerability,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immunogenicity and biomarker endpoints in people with mild to moderate AD and, if the Phase 1/2a results are favorable, through a Phase 2/3 clinical study in people with AD. Our Phase 1 clinical study of ACI-24 in people with Down syndrome is intended to assess safety and started in December 2015. We own the global rights to ACI-24 and we intend to continue to develop ACI-24 in-house as a therapeutic candidate.</w:t>
      </w:r>
    </w:p>
    <w:p>
      <w:pPr>
        <w:spacing w:after="0" w:line="160" w:lineRule="exact"/>
        <w:rPr>
          <w:rFonts w:ascii="Arial" w:cs="Arial" w:eastAsia="Arial" w:hAnsi="Arial"/>
          <w:sz w:val="16"/>
          <w:szCs w:val="16"/>
          <w:color w:val="auto"/>
        </w:rPr>
      </w:pPr>
    </w:p>
    <w:p>
      <w:pPr>
        <w:ind w:left="940" w:right="240" w:hanging="312"/>
        <w:spacing w:after="0" w:line="286" w:lineRule="auto"/>
        <w:tabs>
          <w:tab w:leader="none" w:pos="940" w:val="left"/>
        </w:tabs>
        <w:numPr>
          <w:ilvl w:val="1"/>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The ongoing Phase 1b clinical study in collaboration with Janssen includes different doses and dosing schedules. Further results,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 to have completed in the second half of fiscal year 2017 will be the basis for the program’s future development.</w:t>
      </w:r>
    </w:p>
    <w:p>
      <w:pPr>
        <w:spacing w:after="0" w:line="158" w:lineRule="exact"/>
        <w:rPr>
          <w:rFonts w:ascii="Arial" w:cs="Arial" w:eastAsia="Arial" w:hAnsi="Arial"/>
          <w:sz w:val="17"/>
          <w:szCs w:val="17"/>
          <w:color w:val="auto"/>
        </w:rPr>
      </w:pPr>
    </w:p>
    <w:p>
      <w:pPr>
        <w:ind w:left="940" w:hanging="312"/>
        <w:spacing w:after="0"/>
        <w:tabs>
          <w:tab w:leader="none" w:pos="940" w:val="left"/>
        </w:tabs>
        <w:numPr>
          <w:ilvl w:val="1"/>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Our Anti-tau antibody candidate</w:t>
      </w:r>
      <w:r>
        <w:rPr>
          <w:rFonts w:ascii="Arial" w:cs="Arial" w:eastAsia="Arial" w:hAnsi="Arial"/>
          <w:sz w:val="15"/>
          <w:szCs w:val="15"/>
          <w:color w:val="auto"/>
        </w:rPr>
        <w:t>. Our collaboration partner, Genentech, is advancing an anti-tau antibody candidate through a Phase 1 clinical study.</w:t>
      </w:r>
    </w:p>
    <w:p>
      <w:pPr>
        <w:spacing w:after="0" w:line="243" w:lineRule="exact"/>
        <w:rPr>
          <w:rFonts w:ascii="Arial" w:cs="Arial" w:eastAsia="Arial" w:hAnsi="Arial"/>
          <w:sz w:val="15"/>
          <w:szCs w:val="15"/>
          <w:color w:val="auto"/>
        </w:rPr>
      </w:pPr>
    </w:p>
    <w:p>
      <w:pPr>
        <w:ind w:left="940" w:right="20" w:hanging="312"/>
        <w:spacing w:after="0" w:line="286" w:lineRule="auto"/>
        <w:tabs>
          <w:tab w:leader="none" w:pos="940" w:val="left"/>
        </w:tabs>
        <w:numPr>
          <w:ilvl w:val="1"/>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 candidates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advance these through clinical development, either independently or with collaboration partners.</w:t>
      </w:r>
    </w:p>
    <w:p>
      <w:pPr>
        <w:spacing w:after="0" w:line="152"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Expand into other neurodegenerative and neuro-orphan diseases. </w:t>
      </w:r>
      <w:r>
        <w:rPr>
          <w:rFonts w:ascii="Arial" w:cs="Arial" w:eastAsia="Arial" w:hAnsi="Arial"/>
          <w:sz w:val="16"/>
          <w:szCs w:val="16"/>
          <w:color w:val="auto"/>
        </w:rPr>
        <w:t>We intend to leverage our proprietary technology platforms to develop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that share the same disease targets as misfolded Abeta, tau and alpha-synuclein proteins, which are the key features in the pathology of many neurodegenerative diseases. We plan to pursue selected neuro-orphan indications, such as progressive supranuclear palsy, or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156" w:lineRule="exact"/>
        <w:rPr>
          <w:rFonts w:ascii="Arial" w:cs="Arial" w:eastAsia="Arial" w:hAnsi="Arial"/>
          <w:sz w:val="16"/>
          <w:szCs w:val="16"/>
          <w:color w:val="auto"/>
        </w:rPr>
      </w:pPr>
    </w:p>
    <w:p>
      <w:pPr>
        <w:ind w:left="620" w:right="640" w:hanging="304"/>
        <w:spacing w:after="0" w:line="293"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Accelerate the advancement of our diagnostic portfolio. </w:t>
      </w:r>
      <w:r>
        <w:rPr>
          <w:rFonts w:ascii="Arial" w:cs="Arial" w:eastAsia="Arial" w:hAnsi="Arial"/>
          <w:sz w:val="17"/>
          <w:szCs w:val="17"/>
          <w:color w:val="auto"/>
        </w:rPr>
        <w:t>We are also developing a complementary diagnostic portfolio. We currently have three</w:t>
      </w:r>
      <w:r>
        <w:rPr>
          <w:rFonts w:ascii="Arial" w:cs="Arial" w:eastAsia="Arial" w:hAnsi="Arial"/>
          <w:sz w:val="17"/>
          <w:szCs w:val="17"/>
          <w:b w:val="1"/>
          <w:bCs w:val="1"/>
          <w:color w:val="auto"/>
        </w:rPr>
        <w:t xml:space="preserve"> </w:t>
      </w:r>
      <w:r>
        <w:rPr>
          <w:rFonts w:ascii="Arial" w:cs="Arial" w:eastAsia="Arial" w:hAnsi="Arial"/>
          <w:sz w:val="17"/>
          <w:szCs w:val="17"/>
          <w:color w:val="auto"/>
        </w:rPr>
        <w:t>diagnostics candidates in our pipeline that we developed</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52" w:name="page53"/>
    <w:bookmarkEnd w:id="52"/>
    <w:p>
      <w:pPr>
        <w:jc w:val="both"/>
        <w:ind w:left="620"/>
        <w:spacing w:after="0" w:line="270" w:lineRule="auto"/>
        <w:rPr>
          <w:sz w:val="20"/>
          <w:szCs w:val="20"/>
          <w:color w:val="auto"/>
        </w:rPr>
      </w:pPr>
      <w:r>
        <w:rPr>
          <w:rFonts w:ascii="Arial" w:cs="Arial" w:eastAsia="Arial" w:hAnsi="Arial"/>
          <w:sz w:val="17"/>
          <w:szCs w:val="17"/>
          <w:color w:val="auto"/>
        </w:rPr>
        <w:t>using our Morphomer platform that targets Abeta, tau and alpha synuclein.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173" w:lineRule="exact"/>
        <w:rPr>
          <w:sz w:val="20"/>
          <w:szCs w:val="20"/>
          <w:color w:val="auto"/>
        </w:rPr>
      </w:pPr>
    </w:p>
    <w:p>
      <w:pPr>
        <w:ind w:left="620" w:right="60" w:hanging="304"/>
        <w:spacing w:after="0" w:line="278" w:lineRule="auto"/>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Leverage the duality of our therapeutic and diagnostic approaches to become the leader in personalized treatment of neurodegenerative diseases. Personalized medicine involves the development of diagnostics, therapies and treatment procedures best suited for an individual patient, 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162" w:lineRule="exact"/>
        <w:rPr>
          <w:rFonts w:ascii="Arial" w:cs="Arial" w:eastAsia="Arial" w:hAnsi="Arial"/>
          <w:sz w:val="16"/>
          <w:szCs w:val="16"/>
          <w:color w:val="auto"/>
        </w:rPr>
      </w:pPr>
    </w:p>
    <w:p>
      <w:pPr>
        <w:ind w:left="620" w:right="20" w:hanging="304"/>
        <w:spacing w:after="0" w:line="260"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 xml:space="preserve">Strategically collaborate or selectively partner for the development and commercialization of product candidates. </w:t>
      </w:r>
      <w:r>
        <w:rPr>
          <w:rFonts w:ascii="Arial" w:cs="Arial" w:eastAsia="Arial" w:hAnsi="Arial"/>
          <w:sz w:val="17"/>
          <w:szCs w:val="17"/>
          <w:color w:val="auto"/>
        </w:rPr>
        <w:t>Historically, we have relied on</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 to Treating Diseases Related to Protein Misfolding</w:t>
      </w:r>
    </w:p>
    <w:p>
      <w:pPr>
        <w:spacing w:after="0" w:line="227" w:lineRule="exact"/>
        <w:rPr>
          <w:sz w:val="20"/>
          <w:szCs w:val="20"/>
          <w:color w:val="auto"/>
        </w:rPr>
      </w:pPr>
    </w:p>
    <w:p>
      <w:pPr>
        <w:ind w:right="240" w:firstLine="312"/>
        <w:spacing w:after="0" w:line="311" w:lineRule="auto"/>
        <w:rPr>
          <w:sz w:val="20"/>
          <w:szCs w:val="20"/>
          <w:color w:val="auto"/>
        </w:rPr>
      </w:pPr>
      <w:r>
        <w:rPr>
          <w:rFonts w:ascii="Arial" w:cs="Arial" w:eastAsia="Arial" w:hAnsi="Arial"/>
          <w:sz w:val="15"/>
          <w:szCs w:val="15"/>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100965</wp:posOffset>
            </wp:positionV>
            <wp:extent cx="3799205" cy="1808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9920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firstLine="312"/>
        <w:spacing w:after="0" w:line="263"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53" w:name="page54"/>
    <w:bookmarkEnd w:id="53"/>
    <w:p>
      <w:pPr>
        <w:ind w:left="160"/>
        <w:spacing w:after="0"/>
        <w:rPr>
          <w:sz w:val="20"/>
          <w:szCs w:val="20"/>
          <w:color w:val="auto"/>
        </w:rPr>
      </w:pPr>
      <w:r>
        <w:rPr>
          <w:rFonts w:ascii="Arial" w:cs="Arial" w:eastAsia="Arial" w:hAnsi="Arial"/>
          <w:sz w:val="17"/>
          <w:szCs w:val="17"/>
          <w:b w:val="1"/>
          <w:bCs w:val="1"/>
          <w:i w:val="1"/>
          <w:iCs w:val="1"/>
          <w:color w:val="auto"/>
        </w:rPr>
        <w:t>Challenges in targeting misfolded proteins</w:t>
      </w:r>
    </w:p>
    <w:p>
      <w:pPr>
        <w:spacing w:after="0" w:line="221"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Benefits of our approach</w:t>
      </w:r>
    </w:p>
    <w:p>
      <w:pPr>
        <w:spacing w:after="0" w:line="221"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1637665</wp:posOffset>
            </wp:positionH>
            <wp:positionV relativeFrom="paragraph">
              <wp:posOffset>123190</wp:posOffset>
            </wp:positionV>
            <wp:extent cx="3980815" cy="1692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80815" cy="169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580" w:firstLine="312"/>
        <w:spacing w:after="0" w:line="286" w:lineRule="auto"/>
        <w:rPr>
          <w:sz w:val="20"/>
          <w:szCs w:val="20"/>
          <w:color w:val="auto"/>
        </w:rPr>
      </w:pPr>
      <w:r>
        <w:rPr>
          <w:rFonts w:ascii="Arial" w:cs="Arial" w:eastAsia="Arial" w:hAnsi="Arial"/>
          <w:sz w:val="17"/>
          <w:szCs w:val="17"/>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Treatment Paradigm for Neurodegenerative Disease</w:t>
      </w:r>
    </w:p>
    <w:p>
      <w:pPr>
        <w:spacing w:after="0" w:line="227" w:lineRule="exact"/>
        <w:rPr>
          <w:sz w:val="20"/>
          <w:szCs w:val="20"/>
          <w:color w:val="auto"/>
        </w:rPr>
      </w:pPr>
    </w:p>
    <w:p>
      <w:pPr>
        <w:ind w:firstLine="312"/>
        <w:spacing w:after="0" w:line="279" w:lineRule="auto"/>
        <w:rPr>
          <w:sz w:val="20"/>
          <w:szCs w:val="20"/>
          <w:color w:val="auto"/>
        </w:rPr>
      </w:pPr>
      <w:r>
        <w:rPr>
          <w:rFonts w:ascii="Arial" w:cs="Arial" w:eastAsia="Arial" w:hAnsi="Arial"/>
          <w:sz w:val="16"/>
          <w:szCs w:val="16"/>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68" w:lineRule="exact"/>
        <w:rPr>
          <w:sz w:val="20"/>
          <w:szCs w:val="20"/>
          <w:color w:val="auto"/>
        </w:rPr>
      </w:pPr>
    </w:p>
    <w:p>
      <w:pPr>
        <w:ind w:right="120" w:firstLine="312"/>
        <w:spacing w:after="0" w:line="260" w:lineRule="auto"/>
        <w:rPr>
          <w:sz w:val="20"/>
          <w:szCs w:val="20"/>
          <w:color w:val="auto"/>
        </w:rPr>
      </w:pPr>
      <w:r>
        <w:rPr>
          <w:rFonts w:ascii="Arial" w:cs="Arial" w:eastAsia="Arial" w:hAnsi="Arial"/>
          <w:sz w:val="17"/>
          <w:szCs w:val="17"/>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 towards early intervention in clinical development. Early intervention, however, requires accurate disease detection prior to physical manifestation of symptoms, using new and sophisticated technologies that are superior to the subjective rating scales currently used</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54" w:name="page55"/>
    <w:bookmarkEnd w:id="54"/>
    <w:p>
      <w:pPr>
        <w:ind w:right="280"/>
        <w:spacing w:after="0" w:line="286" w:lineRule="auto"/>
        <w:rPr>
          <w:sz w:val="20"/>
          <w:szCs w:val="20"/>
          <w:color w:val="auto"/>
        </w:rPr>
      </w:pPr>
      <w:r>
        <w:rPr>
          <w:rFonts w:ascii="Arial" w:cs="Arial" w:eastAsia="Arial" w:hAnsi="Arial"/>
          <w:sz w:val="17"/>
          <w:szCs w:val="17"/>
          <w:color w:val="auto"/>
        </w:rPr>
        <w:t>to assess patients. Thus, new diagnostic technologies are critical to the clinical development process of disease-modifying therapies and ultimately better disease management of patients with neurodegenerative diseases.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Opportunity for AC Immune in Neurodegenerative Diseases</w:t>
      </w:r>
    </w:p>
    <w:p>
      <w:pPr>
        <w:spacing w:after="0" w:line="221" w:lineRule="exact"/>
        <w:rPr>
          <w:sz w:val="20"/>
          <w:szCs w:val="20"/>
          <w:color w:val="auto"/>
        </w:rPr>
      </w:pPr>
    </w:p>
    <w:p>
      <w:pPr>
        <w:ind w:right="40" w:firstLine="312"/>
        <w:spacing w:after="0" w:line="286" w:lineRule="auto"/>
        <w:rPr>
          <w:sz w:val="20"/>
          <w:szCs w:val="20"/>
          <w:color w:val="auto"/>
        </w:rPr>
      </w:pPr>
      <w:r>
        <w:rPr>
          <w:rFonts w:ascii="Arial" w:cs="Arial" w:eastAsia="Arial" w:hAnsi="Arial"/>
          <w:sz w:val="17"/>
          <w:szCs w:val="17"/>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1414780</wp:posOffset>
            </wp:positionH>
            <wp:positionV relativeFrom="paragraph">
              <wp:posOffset>108585</wp:posOffset>
            </wp:positionV>
            <wp:extent cx="4427220" cy="2015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2722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firstLine="312"/>
        <w:spacing w:after="0" w:line="260"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83" w:lineRule="exact"/>
        <w:rPr>
          <w:sz w:val="20"/>
          <w:szCs w:val="20"/>
          <w:color w:val="auto"/>
        </w:rPr>
      </w:pPr>
    </w:p>
    <w:p>
      <w:pPr>
        <w:ind w:right="20" w:firstLine="312"/>
        <w:spacing w:after="0" w:line="261"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platform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Proprietary Technology Platforms</w:t>
      </w:r>
    </w:p>
    <w:p>
      <w:pPr>
        <w:spacing w:after="0" w:line="227" w:lineRule="exact"/>
        <w:rPr>
          <w:sz w:val="20"/>
          <w:szCs w:val="20"/>
          <w:color w:val="auto"/>
        </w:rPr>
      </w:pPr>
    </w:p>
    <w:p>
      <w:pPr>
        <w:jc w:val="both"/>
        <w:ind w:right="160" w:firstLine="312"/>
        <w:spacing w:after="0" w:line="295" w:lineRule="auto"/>
        <w:rPr>
          <w:sz w:val="20"/>
          <w:szCs w:val="20"/>
          <w:color w:val="auto"/>
        </w:rPr>
      </w:pPr>
      <w:r>
        <w:rPr>
          <w:rFonts w:ascii="Arial" w:cs="Arial" w:eastAsia="Arial" w:hAnsi="Arial"/>
          <w:sz w:val="16"/>
          <w:szCs w:val="16"/>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54"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55" w:name="page56"/>
    <w:bookmarkEnd w:id="55"/>
    <w:p>
      <w:pPr>
        <w:ind w:right="40"/>
        <w:spacing w:after="0" w:line="265" w:lineRule="auto"/>
        <w:rPr>
          <w:sz w:val="20"/>
          <w:szCs w:val="20"/>
          <w:color w:val="auto"/>
        </w:rPr>
      </w:pPr>
      <w:r>
        <w:rPr>
          <w:rFonts w:ascii="Arial" w:cs="Arial" w:eastAsia="Arial" w:hAnsi="Arial"/>
          <w:sz w:val="17"/>
          <w:szCs w:val="17"/>
          <w:color w:val="auto"/>
        </w:rPr>
        <w:t>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77" w:lineRule="exact"/>
        <w:rPr>
          <w:sz w:val="20"/>
          <w:szCs w:val="20"/>
          <w:color w:val="auto"/>
        </w:rPr>
      </w:pPr>
    </w:p>
    <w:p>
      <w:pPr>
        <w:ind w:firstLine="312"/>
        <w:spacing w:after="0" w:line="306" w:lineRule="auto"/>
        <w:rPr>
          <w:sz w:val="20"/>
          <w:szCs w:val="20"/>
          <w:color w:val="auto"/>
        </w:rPr>
      </w:pPr>
      <w:r>
        <w:rPr>
          <w:rFonts w:ascii="Arial" w:cs="Arial" w:eastAsia="Arial" w:hAnsi="Arial"/>
          <w:sz w:val="15"/>
          <w:szCs w:val="15"/>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platforms address two key issues in the development of drugs against diseases of protein misfolding:</w:t>
      </w:r>
    </w:p>
    <w:p>
      <w:pPr>
        <w:spacing w:after="0" w:line="221" w:lineRule="exact"/>
        <w:rPr>
          <w:sz w:val="20"/>
          <w:szCs w:val="20"/>
          <w:color w:val="auto"/>
        </w:rPr>
      </w:pPr>
    </w:p>
    <w:p>
      <w:pPr>
        <w:ind w:left="620" w:right="20" w:hanging="304"/>
        <w:spacing w:after="0" w:line="286"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body does not make antibodies against misfolded proteins because, although pathogenic, they are still recognized as “self-proteins” and do not trigger an immune response.</w:t>
      </w:r>
    </w:p>
    <w:p>
      <w:pPr>
        <w:spacing w:after="0" w:line="158" w:lineRule="exact"/>
        <w:rPr>
          <w:rFonts w:ascii="Arial" w:cs="Arial" w:eastAsia="Arial" w:hAnsi="Arial"/>
          <w:sz w:val="17"/>
          <w:szCs w:val="17"/>
          <w:color w:val="auto"/>
        </w:rPr>
      </w:pPr>
    </w:p>
    <w:p>
      <w:pPr>
        <w:ind w:left="620" w:right="40" w:hanging="304"/>
        <w:spacing w:after="0" w:line="286"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108585</wp:posOffset>
            </wp:positionV>
            <wp:extent cx="3469005" cy="1758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69005" cy="175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540" w:firstLine="312"/>
        <w:spacing w:after="0" w:line="319" w:lineRule="auto"/>
        <w:rPr>
          <w:sz w:val="20"/>
          <w:szCs w:val="20"/>
          <w:color w:val="auto"/>
        </w:rPr>
      </w:pPr>
      <w:r>
        <w:rPr>
          <w:rFonts w:ascii="Arial" w:cs="Arial" w:eastAsia="Arial" w:hAnsi="Arial"/>
          <w:sz w:val="16"/>
          <w:szCs w:val="16"/>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93980</wp:posOffset>
            </wp:positionV>
            <wp:extent cx="3881755" cy="2213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81755" cy="221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9" w:right="299" w:bottom="1440" w:gutter="0" w:footer="0" w:header="0"/>
        </w:sectPr>
      </w:pPr>
    </w:p>
    <w:bookmarkStart w:id="56" w:name="page57"/>
    <w:bookmarkEnd w:id="56"/>
    <w:p>
      <w:pPr>
        <w:ind w:firstLine="312"/>
        <w:spacing w:after="0" w:line="265" w:lineRule="auto"/>
        <w:rPr>
          <w:sz w:val="20"/>
          <w:szCs w:val="20"/>
          <w:color w:val="auto"/>
        </w:rPr>
      </w:pPr>
      <w:r>
        <w:rPr>
          <w:rFonts w:ascii="Arial" w:cs="Arial" w:eastAsia="Arial" w:hAnsi="Arial"/>
          <w:sz w:val="17"/>
          <w:szCs w:val="17"/>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SupraAntigen Platform: Active Immunization</w:t>
      </w:r>
    </w:p>
    <w:p>
      <w:pPr>
        <w:spacing w:after="0" w:line="221" w:lineRule="exact"/>
        <w:rPr>
          <w:sz w:val="20"/>
          <w:szCs w:val="20"/>
          <w:color w:val="auto"/>
        </w:rPr>
      </w:pPr>
    </w:p>
    <w:p>
      <w:pPr>
        <w:ind w:right="180" w:firstLine="312"/>
        <w:spacing w:after="0" w:line="261" w:lineRule="auto"/>
        <w:rPr>
          <w:sz w:val="20"/>
          <w:szCs w:val="20"/>
          <w:color w:val="auto"/>
        </w:rPr>
      </w:pPr>
      <w:r>
        <w:rPr>
          <w:rFonts w:ascii="Arial" w:cs="Arial" w:eastAsia="Arial" w:hAnsi="Arial"/>
          <w:sz w:val="17"/>
          <w:szCs w:val="17"/>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1803400</wp:posOffset>
            </wp:positionH>
            <wp:positionV relativeFrom="paragraph">
              <wp:posOffset>123190</wp:posOffset>
            </wp:positionV>
            <wp:extent cx="3650615" cy="2230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50615" cy="223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SupraAntigen Platform: Passive Immunization</w:t>
      </w:r>
    </w:p>
    <w:p>
      <w:pPr>
        <w:spacing w:after="0" w:line="221" w:lineRule="exact"/>
        <w:rPr>
          <w:sz w:val="20"/>
          <w:szCs w:val="20"/>
          <w:color w:val="auto"/>
        </w:rPr>
      </w:pPr>
    </w:p>
    <w:p>
      <w:pPr>
        <w:jc w:val="both"/>
        <w:ind w:right="260" w:firstLine="312"/>
        <w:spacing w:after="0" w:line="265" w:lineRule="auto"/>
        <w:rPr>
          <w:sz w:val="20"/>
          <w:szCs w:val="20"/>
          <w:color w:val="auto"/>
        </w:rPr>
      </w:pPr>
      <w:r>
        <w:rPr>
          <w:rFonts w:ascii="Arial" w:cs="Arial" w:eastAsia="Arial" w:hAnsi="Arial"/>
          <w:sz w:val="17"/>
          <w:szCs w:val="17"/>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Morphomer Platform</w:t>
      </w:r>
    </w:p>
    <w:p>
      <w:pPr>
        <w:spacing w:after="0" w:line="221"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March 31, 2016, the Morphomer library consisted of more than 2,400 compounds. Our key platform assets have been validated for selective binding to Abeta, tau and alpha-synuclein through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efficacy studies and have a validated mechanism of action through reproducible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for Abeta, tau and alpha-synuclein.</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1600200</wp:posOffset>
            </wp:positionH>
            <wp:positionV relativeFrom="page">
              <wp:posOffset>369570</wp:posOffset>
            </wp:positionV>
            <wp:extent cx="4361180" cy="3089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361180" cy="308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The figure above shows a Morphomer blocking amyloid growth. Only one end of aggregated amyloid fibers grows, and these molecules are designed to inhibit that growing end as shown in the above diagram.</w:t>
      </w:r>
    </w:p>
    <w:p>
      <w:pPr>
        <w:spacing w:after="0" w:line="158" w:lineRule="exact"/>
        <w:rPr>
          <w:sz w:val="20"/>
          <w:szCs w:val="20"/>
          <w:color w:val="auto"/>
        </w:rPr>
      </w:pPr>
    </w:p>
    <w:p>
      <w:pPr>
        <w:ind w:right="120" w:firstLine="312"/>
        <w:spacing w:after="0" w:line="286" w:lineRule="auto"/>
        <w:rPr>
          <w:sz w:val="20"/>
          <w:szCs w:val="20"/>
          <w:color w:val="auto"/>
        </w:rPr>
      </w:pPr>
      <w:r>
        <w:rPr>
          <w:rFonts w:ascii="Arial" w:cs="Arial" w:eastAsia="Arial" w:hAnsi="Arial"/>
          <w:sz w:val="17"/>
          <w:szCs w:val="17"/>
          <w:color w:val="auto"/>
        </w:rPr>
        <w:t>Most molecules involved in neurodegenerative diseases follow the same overall disease development and aggregation process, including Abeta in AD, alpha-synuclein in PD and huntingtin in Huntington’s disease.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key advantages of our Morphomer platform include:</w:t>
      </w:r>
    </w:p>
    <w:p>
      <w:pPr>
        <w:spacing w:after="0" w:line="221" w:lineRule="exact"/>
        <w:rPr>
          <w:sz w:val="20"/>
          <w:szCs w:val="20"/>
          <w:color w:val="auto"/>
        </w:rPr>
      </w:pPr>
    </w:p>
    <w:p>
      <w:pPr>
        <w:ind w:left="620" w:hanging="304"/>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High specificity for the targeted misfolded protein;</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One Morphomer can inhibit multiple protein units in oligomers and fibers;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Early inhibition of aggregation and seeding.</w:t>
      </w:r>
    </w:p>
    <w:p>
      <w:pPr>
        <w:spacing w:after="0" w:line="221" w:lineRule="exact"/>
        <w:rPr>
          <w:sz w:val="20"/>
          <w:szCs w:val="20"/>
          <w:color w:val="auto"/>
        </w:rPr>
      </w:pPr>
    </w:p>
    <w:p>
      <w:pPr>
        <w:ind w:right="200" w:firstLine="312"/>
        <w:spacing w:after="0" w:line="286" w:lineRule="auto"/>
        <w:rPr>
          <w:sz w:val="20"/>
          <w:szCs w:val="20"/>
          <w:color w:val="auto"/>
        </w:rPr>
      </w:pPr>
      <w:r>
        <w:rPr>
          <w:rFonts w:ascii="Arial" w:cs="Arial" w:eastAsia="Arial" w:hAnsi="Arial"/>
          <w:sz w:val="17"/>
          <w:szCs w:val="17"/>
          <w:color w:val="auto"/>
        </w:rPr>
        <w:t>Our Morphomer platform was developed through a collaboration of our scientific founders Dr. Jean-Marie Lehn, a recipient of the Nobel Prize in chemistry, and Dr. Claude Nicolau, a former Harvard University professor, and our board member Dr. Detlev Riesner.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AD Programs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Crenezumab</w:t>
      </w:r>
    </w:p>
    <w:p>
      <w:pPr>
        <w:spacing w:after="0" w:line="221" w:lineRule="exact"/>
        <w:rPr>
          <w:sz w:val="20"/>
          <w:szCs w:val="20"/>
          <w:color w:val="auto"/>
        </w:rPr>
      </w:pPr>
    </w:p>
    <w:p>
      <w:pPr>
        <w:ind w:right="260" w:firstLine="312"/>
        <w:spacing w:after="0" w:line="270" w:lineRule="auto"/>
        <w:rPr>
          <w:sz w:val="20"/>
          <w:szCs w:val="20"/>
          <w:color w:val="auto"/>
        </w:rPr>
      </w:pPr>
      <w:r>
        <w:rPr>
          <w:rFonts w:ascii="Arial" w:cs="Arial" w:eastAsia="Arial" w:hAnsi="Arial"/>
          <w:sz w:val="17"/>
          <w:szCs w:val="17"/>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46" w:lineRule="exact"/>
        <w:rPr>
          <w:sz w:val="20"/>
          <w:szCs w:val="20"/>
          <w:color w:val="auto"/>
        </w:rPr>
      </w:pPr>
    </w:p>
    <w:p>
      <w:pPr>
        <w:ind w:right="80" w:firstLine="312"/>
        <w:spacing w:after="0" w:line="238" w:lineRule="auto"/>
        <w:rPr>
          <w:sz w:val="20"/>
          <w:szCs w:val="20"/>
          <w:color w:val="auto"/>
        </w:rPr>
      </w:pPr>
      <w:r>
        <w:rPr>
          <w:rFonts w:ascii="Arial" w:cs="Arial" w:eastAsia="Arial" w:hAnsi="Arial"/>
          <w:sz w:val="16"/>
          <w:szCs w:val="16"/>
          <w:color w:val="auto"/>
        </w:rPr>
        <w:t xml:space="preserve">Abeta is produced by the breakdown of a larger protein called amyloid precursor protein, or APP. The Abeta fragment containing 42 amino acids, or Abeta </w:t>
      </w:r>
      <w:r>
        <w:rPr>
          <w:rFonts w:ascii="Arial" w:cs="Arial" w:eastAsia="Arial" w:hAnsi="Arial"/>
          <w:sz w:val="26"/>
          <w:szCs w:val="26"/>
          <w:color w:val="auto"/>
          <w:vertAlign w:val="subscript"/>
        </w:rPr>
        <w:t>1–</w:t>
      </w:r>
      <w:r>
        <w:rPr>
          <w:rFonts w:ascii="Arial" w:cs="Arial" w:eastAsia="Arial" w:hAnsi="Arial"/>
          <w:sz w:val="16"/>
          <w:szCs w:val="16"/>
          <w:color w:val="auto"/>
        </w:rPr>
        <w:t xml:space="preserve"> </w:t>
      </w:r>
      <w:r>
        <w:rPr>
          <w:rFonts w:ascii="Arial" w:cs="Arial" w:eastAsia="Arial" w:hAnsi="Arial"/>
          <w:sz w:val="26"/>
          <w:szCs w:val="26"/>
          <w:color w:val="auto"/>
          <w:vertAlign w:val="subscript"/>
        </w:rPr>
        <w:t>42</w:t>
      </w:r>
      <w:r>
        <w:rPr>
          <w:rFonts w:ascii="Arial" w:cs="Arial" w:eastAsia="Arial" w:hAnsi="Arial"/>
          <w:sz w:val="16"/>
          <w:szCs w:val="16"/>
          <w:color w:val="auto"/>
        </w:rPr>
        <w:t xml:space="preserve">,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 </w:t>
      </w:r>
      <w:r>
        <w:rPr>
          <w:rFonts w:ascii="Arial" w:cs="Arial" w:eastAsia="Arial" w:hAnsi="Arial"/>
          <w:sz w:val="26"/>
          <w:szCs w:val="26"/>
          <w:color w:val="auto"/>
          <w:vertAlign w:val="subscript"/>
        </w:rPr>
        <w:t>1–42</w:t>
      </w:r>
      <w:r>
        <w:rPr>
          <w:rFonts w:ascii="Arial" w:cs="Arial" w:eastAsia="Arial" w:hAnsi="Arial"/>
          <w:sz w:val="16"/>
          <w:szCs w:val="16"/>
          <w:color w:val="auto"/>
        </w:rPr>
        <w:t xml:space="preserve">, as well as multiple forms of Abeta, including monomers, oligomers, and fibrils, which reduces Abeta </w:t>
      </w:r>
      <w:r>
        <w:rPr>
          <w:rFonts w:ascii="Arial" w:cs="Arial" w:eastAsia="Arial" w:hAnsi="Arial"/>
          <w:sz w:val="26"/>
          <w:szCs w:val="26"/>
          <w:color w:val="auto"/>
          <w:vertAlign w:val="subscript"/>
        </w:rPr>
        <w:t>1–42</w:t>
      </w:r>
      <w:r>
        <w:rPr>
          <w:rFonts w:ascii="Arial" w:cs="Arial" w:eastAsia="Arial" w:hAnsi="Arial"/>
          <w:sz w:val="16"/>
          <w:szCs w:val="16"/>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58" w:name="page59"/>
    <w:bookmarkEnd w:id="58"/>
    <w:p>
      <w:pPr>
        <w:ind w:firstLine="312"/>
        <w:spacing w:after="0" w:line="261"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Abeta1-42 oligomers Reduces Abeta 1-42 oligomer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2444750" cy="1824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44750" cy="182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Abeta 1-42 oligomers + MABT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2436495" cy="1824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36495" cy="182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MABT is equivalent to crenezumab, mMABT is the parental murine version of crenezumab</w:t>
      </w: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9" w:right="29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2731770</wp:posOffset>
            </wp:positionH>
            <wp:positionV relativeFrom="page">
              <wp:posOffset>369570</wp:posOffset>
            </wp:positionV>
            <wp:extent cx="2106295" cy="1800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1062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Reduces microglia inflammatory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151765</wp:posOffset>
            </wp:positionV>
            <wp:extent cx="2106295" cy="1916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06295" cy="191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figure above shows that crenezumab promotes Abeta oligomer engulfment by microglia without inflammatory activation.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p>
    <w:p>
      <w:pPr>
        <w:spacing w:after="0" w:line="221" w:lineRule="exact"/>
        <w:rPr>
          <w:sz w:val="20"/>
          <w:szCs w:val="20"/>
          <w:color w:val="auto"/>
        </w:rPr>
      </w:pPr>
    </w:p>
    <w:p>
      <w:pPr>
        <w:ind w:left="620" w:hanging="304"/>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Unique mechanism of action:</w:t>
      </w:r>
    </w:p>
    <w:p>
      <w:pPr>
        <w:spacing w:after="0" w:line="220" w:lineRule="exact"/>
        <w:rPr>
          <w:rFonts w:ascii="Arial" w:cs="Arial" w:eastAsia="Arial" w:hAnsi="Arial"/>
          <w:sz w:val="17"/>
          <w:szCs w:val="17"/>
          <w:color w:val="auto"/>
        </w:rPr>
      </w:pPr>
    </w:p>
    <w:p>
      <w:pPr>
        <w:ind w:left="620" w:hanging="304"/>
        <w:spacing w:after="0" w:line="270"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172" w:lineRule="exact"/>
        <w:rPr>
          <w:rFonts w:ascii="Arial" w:cs="Arial" w:eastAsia="Arial" w:hAnsi="Arial"/>
          <w:sz w:val="17"/>
          <w:szCs w:val="17"/>
          <w:color w:val="auto"/>
        </w:rPr>
      </w:pPr>
    </w:p>
    <w:p>
      <w:pPr>
        <w:ind w:left="620" w:hanging="304"/>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Due to its binding to the multiple forms of Abeta, with high specificity to oligomers, crenezumab also protects against oligomer-induced neurotoxicity.</w:t>
      </w:r>
    </w:p>
    <w:p>
      <w:pPr>
        <w:spacing w:after="0" w:line="232" w:lineRule="exact"/>
        <w:rPr>
          <w:rFonts w:ascii="Arial" w:cs="Arial" w:eastAsia="Arial" w:hAnsi="Arial"/>
          <w:sz w:val="16"/>
          <w:szCs w:val="16"/>
          <w:color w:val="auto"/>
        </w:rPr>
      </w:pPr>
    </w:p>
    <w:p>
      <w:pPr>
        <w:ind w:left="620" w:right="80" w:hanging="304"/>
        <w:spacing w:after="0" w:line="286"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Linked to its unique epitope, crenezumab has been shown to promote disaggregation of existing Abeta aggregates and disrupt their assembly to prevent amyloid plaque formation.</w:t>
      </w:r>
    </w:p>
    <w:p>
      <w:pPr>
        <w:spacing w:after="0" w:line="158" w:lineRule="exact"/>
        <w:rPr>
          <w:rFonts w:ascii="Arial" w:cs="Arial" w:eastAsia="Arial" w:hAnsi="Arial"/>
          <w:sz w:val="17"/>
          <w:szCs w:val="17"/>
          <w:color w:val="auto"/>
        </w:rPr>
      </w:pPr>
    </w:p>
    <w:p>
      <w:pPr>
        <w:ind w:left="620" w:right="580" w:hanging="304"/>
        <w:spacing w:after="0" w:line="286"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Crenezumab has been designed with an IgG4 backbone to reduce effector function on microglia and to clear Abeta from the brain while limiting inflammation.</w:t>
      </w:r>
    </w:p>
    <w:p>
      <w:pPr>
        <w:spacing w:after="0" w:line="26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1864360</wp:posOffset>
            </wp:positionH>
            <wp:positionV relativeFrom="page">
              <wp:posOffset>369570</wp:posOffset>
            </wp:positionV>
            <wp:extent cx="3832225" cy="1941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3832225" cy="194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4" w:hanging="304"/>
        <w:spacing w:after="0"/>
        <w:tabs>
          <w:tab w:leader="none" w:pos="3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Signal of activity in milder AD patients (MMSE 22-26):</w:t>
      </w:r>
    </w:p>
    <w:p>
      <w:pPr>
        <w:spacing w:after="0" w:line="220" w:lineRule="exact"/>
        <w:rPr>
          <w:rFonts w:ascii="Arial" w:cs="Arial" w:eastAsia="Arial" w:hAnsi="Arial"/>
          <w:sz w:val="17"/>
          <w:szCs w:val="17"/>
          <w:color w:val="auto"/>
        </w:rPr>
      </w:pPr>
    </w:p>
    <w:p>
      <w:pPr>
        <w:ind w:left="304" w:right="360" w:hanging="304"/>
        <w:spacing w:after="0" w:line="286" w:lineRule="auto"/>
        <w:tabs>
          <w:tab w:leader="none" w:pos="3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the proof-of-concept Phase 2 studies of crenezumab, a positive trend in cognition was observed with a greater effect on cognition in patients with a milder stage of AD (MMSE 22-26).</w:t>
      </w:r>
    </w:p>
    <w:p>
      <w:pPr>
        <w:spacing w:after="0" w:line="158" w:lineRule="exact"/>
        <w:rPr>
          <w:rFonts w:ascii="Arial" w:cs="Arial" w:eastAsia="Arial" w:hAnsi="Arial"/>
          <w:sz w:val="17"/>
          <w:szCs w:val="17"/>
          <w:color w:val="auto"/>
        </w:rPr>
      </w:pPr>
    </w:p>
    <w:p>
      <w:pPr>
        <w:ind w:left="304" w:right="40" w:hanging="304"/>
        <w:spacing w:after="0" w:line="286" w:lineRule="auto"/>
        <w:tabs>
          <w:tab w:leader="none" w:pos="3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the ABBY cognition study there was a statistically significant 35% reduction in the rate of cognitive decline in the non-pre-specified milder AD patient population (MMSE 22-26) for the high-dose arm.</w:t>
      </w:r>
    </w:p>
    <w:p>
      <w:pPr>
        <w:spacing w:after="0" w:line="158" w:lineRule="exact"/>
        <w:rPr>
          <w:rFonts w:ascii="Arial" w:cs="Arial" w:eastAsia="Arial" w:hAnsi="Arial"/>
          <w:sz w:val="17"/>
          <w:szCs w:val="17"/>
          <w:color w:val="auto"/>
        </w:rPr>
      </w:pPr>
    </w:p>
    <w:p>
      <w:pPr>
        <w:ind w:left="304" w:right="140" w:hanging="304"/>
        <w:spacing w:after="0" w:line="295" w:lineRule="auto"/>
        <w:tabs>
          <w:tab w:leader="none" w:pos="304"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153" w:lineRule="exact"/>
        <w:rPr>
          <w:rFonts w:ascii="Arial" w:cs="Arial" w:eastAsia="Arial" w:hAnsi="Arial"/>
          <w:sz w:val="16"/>
          <w:szCs w:val="16"/>
          <w:color w:val="auto"/>
        </w:rPr>
      </w:pPr>
    </w:p>
    <w:p>
      <w:pPr>
        <w:ind w:left="304" w:hanging="304"/>
        <w:spacing w:after="0"/>
        <w:tabs>
          <w:tab w:leader="none" w:pos="3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Favorable safety profile allowing for potentially higher dosing:</w:t>
      </w:r>
    </w:p>
    <w:p>
      <w:pPr>
        <w:spacing w:after="0" w:line="220" w:lineRule="exact"/>
        <w:rPr>
          <w:rFonts w:ascii="Arial" w:cs="Arial" w:eastAsia="Arial" w:hAnsi="Arial"/>
          <w:sz w:val="17"/>
          <w:szCs w:val="17"/>
          <w:color w:val="auto"/>
        </w:rPr>
      </w:pPr>
    </w:p>
    <w:p>
      <w:pPr>
        <w:ind w:left="304" w:right="100" w:hanging="304"/>
        <w:spacing w:after="0" w:line="265" w:lineRule="auto"/>
        <w:tabs>
          <w:tab w:leader="none" w:pos="3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177" w:lineRule="exact"/>
        <w:rPr>
          <w:rFonts w:ascii="Arial" w:cs="Arial" w:eastAsia="Arial" w:hAnsi="Arial"/>
          <w:sz w:val="17"/>
          <w:szCs w:val="17"/>
          <w:color w:val="auto"/>
        </w:rPr>
      </w:pPr>
    </w:p>
    <w:p>
      <w:pPr>
        <w:ind w:left="304" w:hanging="304"/>
        <w:spacing w:after="0" w:line="265" w:lineRule="auto"/>
        <w:tabs>
          <w:tab w:leader="none" w:pos="3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177" w:lineRule="exact"/>
        <w:rPr>
          <w:rFonts w:ascii="Arial" w:cs="Arial" w:eastAsia="Arial" w:hAnsi="Arial"/>
          <w:sz w:val="17"/>
          <w:szCs w:val="17"/>
          <w:color w:val="auto"/>
        </w:rPr>
      </w:pPr>
    </w:p>
    <w:p>
      <w:pPr>
        <w:ind w:left="304" w:right="460" w:hanging="304"/>
        <w:spacing w:after="0" w:line="286" w:lineRule="auto"/>
        <w:tabs>
          <w:tab w:leader="none" w:pos="3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Due to its favorable safety profile, there is an ongoing Phase 1 study in which crenezumab is being studied at higher doses to potentially increase its efficacy signal.</w:t>
      </w:r>
    </w:p>
    <w:p>
      <w:pPr>
        <w:spacing w:after="0" w:line="262" w:lineRule="exact"/>
        <w:rPr>
          <w:sz w:val="20"/>
          <w:szCs w:val="20"/>
          <w:color w:val="auto"/>
        </w:rPr>
      </w:pPr>
    </w:p>
    <w:p>
      <w:pPr>
        <w:jc w:val="center"/>
        <w:ind w:right="196"/>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44"/>
          </w:cols>
          <w:pgMar w:left="556" w:top="1440" w:right="299" w:bottom="1440" w:gutter="0" w:footer="0" w:header="0"/>
        </w:sectPr>
      </w:pPr>
    </w:p>
    <w:bookmarkStart w:id="61" w:name="page62"/>
    <w:bookmarkEnd w:id="61"/>
    <w:p>
      <w:pPr>
        <w:ind w:left="320"/>
        <w:spacing w:after="0"/>
        <w:rPr>
          <w:sz w:val="20"/>
          <w:szCs w:val="20"/>
          <w:color w:val="auto"/>
        </w:rPr>
      </w:pPr>
      <w:r>
        <w:rPr>
          <w:rFonts w:ascii="Arial" w:cs="Arial" w:eastAsia="Arial" w:hAnsi="Arial"/>
          <w:sz w:val="17"/>
          <w:szCs w:val="17"/>
          <w:color w:val="auto"/>
        </w:rPr>
        <w:t>The table below sets forth the relative incidence of ARIA-E of crenezumab and other competitive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147955</wp:posOffset>
            </wp:positionV>
            <wp:extent cx="7127875" cy="27914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7875" cy="279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25" w:lineRule="exact"/>
        <w:rPr>
          <w:sz w:val="20"/>
          <w:szCs w:val="20"/>
          <w:color w:val="auto"/>
        </w:rPr>
      </w:pPr>
    </w:p>
    <w:p>
      <w:pPr>
        <w:ind w:left="320" w:hanging="316"/>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10 mg/kg dose cohort</w:t>
      </w:r>
    </w:p>
    <w:p>
      <w:pPr>
        <w:spacing w:after="0" w:line="208" w:lineRule="exact"/>
        <w:rPr>
          <w:rFonts w:ascii="Arial" w:cs="Arial" w:eastAsia="Arial" w:hAnsi="Arial"/>
          <w:sz w:val="17"/>
          <w:szCs w:val="17"/>
          <w:color w:val="auto"/>
        </w:rPr>
      </w:pPr>
    </w:p>
    <w:p>
      <w:pPr>
        <w:ind w:right="9580" w:firstLine="4"/>
        <w:spacing w:after="0" w:line="579" w:lineRule="auto"/>
        <w:tabs>
          <w:tab w:leader="none" w:pos="312" w:val="left"/>
        </w:tabs>
        <w:numPr>
          <w:ilvl w:val="0"/>
          <w:numId w:val="53"/>
        </w:numPr>
        <w:rPr>
          <w:rFonts w:ascii="Arial" w:cs="Arial" w:eastAsia="Arial" w:hAnsi="Arial"/>
          <w:sz w:val="15"/>
          <w:szCs w:val="15"/>
          <w:color w:val="auto"/>
        </w:rPr>
      </w:pPr>
      <w:r>
        <w:rPr>
          <w:rFonts w:ascii="Arial" w:cs="Arial" w:eastAsia="Arial" w:hAnsi="Arial"/>
          <w:sz w:val="15"/>
          <w:szCs w:val="15"/>
          <w:color w:val="auto"/>
        </w:rPr>
        <w:t>6 mg/kg dose cohort Reduced effector function ** Full effector function</w:t>
      </w:r>
    </w:p>
    <w:p>
      <w:pPr>
        <w:ind w:left="160"/>
        <w:spacing w:after="0"/>
        <w:rPr>
          <w:sz w:val="20"/>
          <w:szCs w:val="20"/>
          <w:color w:val="auto"/>
        </w:rPr>
      </w:pPr>
      <w:r>
        <w:rPr>
          <w:rFonts w:ascii="Arial" w:cs="Arial" w:eastAsia="Arial" w:hAnsi="Arial"/>
          <w:sz w:val="17"/>
          <w:szCs w:val="17"/>
          <w:b w:val="1"/>
          <w:bCs w:val="1"/>
          <w:i w:val="1"/>
          <w:iCs w:val="1"/>
          <w:color w:val="auto"/>
        </w:rPr>
        <w:t>Phase 2 Studies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Phase 2 Study Design Overview</w:t>
      </w:r>
    </w:p>
    <w:p>
      <w:pPr>
        <w:spacing w:after="0" w:line="221" w:lineRule="exact"/>
        <w:rPr>
          <w:sz w:val="20"/>
          <w:szCs w:val="20"/>
          <w:color w:val="auto"/>
        </w:rPr>
      </w:pPr>
    </w:p>
    <w:p>
      <w:pPr>
        <w:ind w:firstLine="312"/>
        <w:spacing w:after="0" w:line="277"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ABBY Study Design</w:t>
      </w:r>
    </w:p>
    <w:p>
      <w:pPr>
        <w:spacing w:after="0" w:line="221" w:lineRule="exact"/>
        <w:rPr>
          <w:sz w:val="20"/>
          <w:szCs w:val="20"/>
          <w:color w:val="auto"/>
        </w:rPr>
      </w:pPr>
    </w:p>
    <w:p>
      <w:pPr>
        <w:ind w:right="40" w:firstLine="312"/>
        <w:spacing w:after="0" w:line="279" w:lineRule="auto"/>
        <w:rPr>
          <w:sz w:val="20"/>
          <w:szCs w:val="20"/>
          <w:color w:val="auto"/>
        </w:rPr>
      </w:pPr>
      <w:r>
        <w:rPr>
          <w:rFonts w:ascii="Arial" w:cs="Arial" w:eastAsia="Arial" w:hAnsi="Arial"/>
          <w:sz w:val="16"/>
          <w:szCs w:val="16"/>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62" w:name="page63"/>
    <w:bookmarkEnd w:id="62"/>
    <w:p>
      <w:pPr>
        <w:ind w:firstLine="312"/>
        <w:spacing w:after="0" w:line="306" w:lineRule="auto"/>
        <w:rPr>
          <w:sz w:val="20"/>
          <w:szCs w:val="20"/>
          <w:color w:val="auto"/>
        </w:rPr>
      </w:pPr>
      <w:r>
        <w:rPr>
          <w:rFonts w:ascii="Arial" w:cs="Arial" w:eastAsia="Arial" w:hAnsi="Arial"/>
          <w:sz w:val="15"/>
          <w:szCs w:val="15"/>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49" w:lineRule="exact"/>
        <w:rPr>
          <w:sz w:val="20"/>
          <w:szCs w:val="20"/>
          <w:color w:val="auto"/>
        </w:rPr>
      </w:pPr>
    </w:p>
    <w:p>
      <w:pPr>
        <w:ind w:right="60" w:firstLine="312"/>
        <w:spacing w:after="0" w:line="265"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77" w:lineRule="exact"/>
        <w:rPr>
          <w:sz w:val="20"/>
          <w:szCs w:val="20"/>
          <w:color w:val="auto"/>
        </w:rPr>
      </w:pPr>
    </w:p>
    <w:p>
      <w:pPr>
        <w:ind w:right="20" w:firstLine="312"/>
        <w:spacing w:after="0" w:line="295"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312660" cy="4848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2660" cy="4848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ABBY Study Results</w:t>
      </w:r>
    </w:p>
    <w:p>
      <w:pPr>
        <w:spacing w:after="0" w:line="221" w:lineRule="exact"/>
        <w:rPr>
          <w:sz w:val="20"/>
          <w:szCs w:val="20"/>
          <w:color w:val="auto"/>
        </w:rPr>
      </w:pPr>
    </w:p>
    <w:p>
      <w:pPr>
        <w:ind w:right="40" w:firstLine="312"/>
        <w:spacing w:after="0" w:line="265" w:lineRule="auto"/>
        <w:rPr>
          <w:sz w:val="20"/>
          <w:szCs w:val="20"/>
          <w:color w:val="auto"/>
        </w:rPr>
      </w:pPr>
      <w:r>
        <w:rPr>
          <w:rFonts w:ascii="Arial" w:cs="Arial" w:eastAsia="Arial" w:hAnsi="Arial"/>
          <w:sz w:val="17"/>
          <w:szCs w:val="17"/>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9" w:right="299" w:bottom="1440" w:gutter="0" w:footer="0" w:header="0"/>
        </w:sectPr>
      </w:pPr>
    </w:p>
    <w:bookmarkStart w:id="63" w:name="page64"/>
    <w:bookmarkEnd w:id="63"/>
    <w:p>
      <w:pPr>
        <w:ind w:right="240" w:firstLine="312"/>
        <w:spacing w:after="0" w:line="270" w:lineRule="auto"/>
        <w:rPr>
          <w:sz w:val="20"/>
          <w:szCs w:val="20"/>
          <w:color w:val="auto"/>
        </w:rPr>
      </w:pPr>
      <w:r>
        <w:rPr>
          <w:rFonts w:ascii="Arial" w:cs="Arial" w:eastAsia="Arial" w:hAnsi="Arial"/>
          <w:sz w:val="17"/>
          <w:szCs w:val="17"/>
          <w:color w:val="auto"/>
        </w:rPr>
        <w:t>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151765</wp:posOffset>
            </wp:positionV>
            <wp:extent cx="6475095" cy="6243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75095" cy="6243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00"/>
          </w:cols>
          <w:pgMar w:left="240" w:top="569" w:right="35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7"/>
          <w:szCs w:val="17"/>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151765</wp:posOffset>
            </wp:positionV>
            <wp:extent cx="6442075" cy="67227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42075" cy="672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20" w:firstLine="312"/>
        <w:spacing w:after="0" w:line="286" w:lineRule="auto"/>
        <w:rPr>
          <w:sz w:val="20"/>
          <w:szCs w:val="20"/>
          <w:color w:val="auto"/>
        </w:rPr>
      </w:pPr>
      <w:r>
        <w:rPr>
          <w:rFonts w:ascii="Arial" w:cs="Arial" w:eastAsia="Arial" w:hAnsi="Arial"/>
          <w:sz w:val="17"/>
          <w:szCs w:val="17"/>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58"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two cohorts of patients with milder symptoms showed a 19.6% (MMSE 22-26) and 45% (MMSE 24-26) reduction in global functional decline.</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1203960</wp:posOffset>
            </wp:positionH>
            <wp:positionV relativeFrom="page">
              <wp:posOffset>369570</wp:posOffset>
            </wp:positionV>
            <wp:extent cx="5153660" cy="1808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1536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Greater relative reductions were observed in the crenezumab arm compared with placebo in the CDR subdomains Memory, Orientation, Judgment &amp; Problem Solving and Home &amp; Hobbies in progressively milder patients. Treatment effects were less consistent in progressively milder patients for the CDR subdomains Community Affairs and Personal Care.</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1203960</wp:posOffset>
            </wp:positionH>
            <wp:positionV relativeFrom="page">
              <wp:posOffset>369570</wp:posOffset>
            </wp:positionV>
            <wp:extent cx="5153660" cy="6144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153660" cy="614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firstLine="312"/>
        <w:spacing w:after="0" w:line="286" w:lineRule="auto"/>
        <w:rPr>
          <w:sz w:val="20"/>
          <w:szCs w:val="20"/>
          <w:color w:val="auto"/>
        </w:rPr>
      </w:pPr>
      <w:r>
        <w:rPr>
          <w:rFonts w:ascii="Arial" w:cs="Arial" w:eastAsia="Arial" w:hAnsi="Arial"/>
          <w:sz w:val="17"/>
          <w:szCs w:val="17"/>
          <w:color w:val="auto"/>
        </w:rPr>
        <w:t>D CDR subdomains=difference in change from baseline to Week 73 in CDR subdomain scores between treatment and control groups. Diamonds represent LS mean change from baseline at Week 73, error bars 95% present CI. Positive values indicate less decline in crenezumab group.</w:t>
      </w:r>
    </w:p>
    <w:p>
      <w:pPr>
        <w:spacing w:after="0" w:line="158" w:lineRule="exact"/>
        <w:rPr>
          <w:sz w:val="20"/>
          <w:szCs w:val="20"/>
          <w:color w:val="auto"/>
        </w:rPr>
      </w:pPr>
    </w:p>
    <w:p>
      <w:pPr>
        <w:ind w:firstLine="312"/>
        <w:spacing w:after="0" w:line="295" w:lineRule="auto"/>
        <w:rPr>
          <w:sz w:val="20"/>
          <w:szCs w:val="20"/>
          <w:color w:val="auto"/>
        </w:rPr>
      </w:pPr>
      <w:r>
        <w:rPr>
          <w:rFonts w:ascii="Arial" w:cs="Arial" w:eastAsia="Arial" w:hAnsi="Arial"/>
          <w:sz w:val="16"/>
          <w:szCs w:val="16"/>
          <w:color w:val="auto"/>
        </w:rPr>
        <w:t>Although the overall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timepoints and dose dependency are considered indicators of a</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67" w:name="page68"/>
    <w:bookmarkEnd w:id="67"/>
    <w:p>
      <w:pPr>
        <w:ind w:right="160"/>
        <w:spacing w:after="0" w:line="286" w:lineRule="auto"/>
        <w:rPr>
          <w:sz w:val="20"/>
          <w:szCs w:val="20"/>
          <w:color w:val="auto"/>
        </w:rPr>
      </w:pPr>
      <w:r>
        <w:rPr>
          <w:rFonts w:ascii="Arial" w:cs="Arial" w:eastAsia="Arial" w:hAnsi="Arial"/>
          <w:sz w:val="17"/>
          <w:szCs w:val="17"/>
          <w:color w:val="auto"/>
        </w:rPr>
        <w:t>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BLAZE Study Design</w:t>
      </w:r>
    </w:p>
    <w:p>
      <w:pPr>
        <w:spacing w:after="0" w:line="221" w:lineRule="exact"/>
        <w:rPr>
          <w:sz w:val="20"/>
          <w:szCs w:val="20"/>
          <w:color w:val="auto"/>
        </w:rPr>
      </w:pPr>
    </w:p>
    <w:p>
      <w:pPr>
        <w:ind w:right="100" w:firstLine="312"/>
        <w:spacing w:after="0" w:line="261"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151765</wp:posOffset>
            </wp:positionV>
            <wp:extent cx="4385945" cy="2692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85945" cy="269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BLAZE Study Results</w:t>
      </w:r>
    </w:p>
    <w:p>
      <w:pPr>
        <w:spacing w:after="0" w:line="221" w:lineRule="exact"/>
        <w:rPr>
          <w:sz w:val="20"/>
          <w:szCs w:val="20"/>
          <w:color w:val="auto"/>
        </w:rPr>
      </w:pPr>
    </w:p>
    <w:p>
      <w:pPr>
        <w:ind w:firstLine="312"/>
        <w:spacing w:after="0" w:line="259"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807720</wp:posOffset>
            </wp:positionH>
            <wp:positionV relativeFrom="page">
              <wp:posOffset>369570</wp:posOffset>
            </wp:positionV>
            <wp:extent cx="5946775" cy="29235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946775" cy="292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46" w:lineRule="exact"/>
        <w:rPr>
          <w:sz w:val="20"/>
          <w:szCs w:val="20"/>
          <w:color w:val="auto"/>
        </w:rPr>
      </w:pPr>
    </w:p>
    <w:p>
      <w:pPr>
        <w:jc w:val="both"/>
        <w:ind w:right="60" w:firstLine="312"/>
        <w:spacing w:after="0" w:line="269" w:lineRule="auto"/>
        <w:rPr>
          <w:sz w:val="20"/>
          <w:szCs w:val="20"/>
          <w:color w:val="auto"/>
        </w:rPr>
      </w:pPr>
      <w:r>
        <w:rPr>
          <w:rFonts w:ascii="Arial" w:cs="Arial" w:eastAsia="Arial" w:hAnsi="Arial"/>
          <w:sz w:val="17"/>
          <w:szCs w:val="17"/>
          <w:color w:val="auto"/>
        </w:rPr>
        <w:t>In the BLAZE study, patients also showed a statistically significant increase in CSF Abeta</w:t>
      </w:r>
      <w:r>
        <w:rPr>
          <w:rFonts w:ascii="Arial" w:cs="Arial" w:eastAsia="Arial" w:hAnsi="Arial"/>
          <w:sz w:val="28"/>
          <w:szCs w:val="28"/>
          <w:color w:val="auto"/>
          <w:vertAlign w:val="subscript"/>
        </w:rPr>
        <w:t>1–42</w:t>
      </w:r>
      <w:r>
        <w:rPr>
          <w:rFonts w:ascii="Arial" w:cs="Arial" w:eastAsia="Arial" w:hAnsi="Arial"/>
          <w:sz w:val="17"/>
          <w:szCs w:val="17"/>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151765</wp:posOffset>
            </wp:positionV>
            <wp:extent cx="2948305" cy="264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48305" cy="264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BLAZE Study Results: Effects on Cognition and Global Function</w:t>
      </w:r>
    </w:p>
    <w:p>
      <w:pPr>
        <w:spacing w:after="0" w:line="221" w:lineRule="exact"/>
        <w:rPr>
          <w:sz w:val="20"/>
          <w:szCs w:val="20"/>
          <w:color w:val="auto"/>
        </w:rPr>
      </w:pPr>
    </w:p>
    <w:p>
      <w:pPr>
        <w:ind w:right="60" w:firstLine="312"/>
        <w:spacing w:after="0" w:line="295" w:lineRule="auto"/>
        <w:rPr>
          <w:sz w:val="20"/>
          <w:szCs w:val="20"/>
          <w:color w:val="auto"/>
        </w:rPr>
      </w:pPr>
      <w:r>
        <w:rPr>
          <w:rFonts w:ascii="Arial" w:cs="Arial" w:eastAsia="Arial" w:hAnsi="Arial"/>
          <w:sz w:val="16"/>
          <w:szCs w:val="16"/>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69" w:name="page70"/>
    <w:bookmarkEnd w:id="69"/>
    <w:p>
      <w:pPr>
        <w:jc w:val="both"/>
        <w:ind w:right="40"/>
        <w:spacing w:after="0" w:line="218" w:lineRule="auto"/>
        <w:rPr>
          <w:sz w:val="20"/>
          <w:szCs w:val="20"/>
          <w:color w:val="auto"/>
        </w:rPr>
      </w:pPr>
      <w:r>
        <w:rPr>
          <w:rFonts w:ascii="Arial" w:cs="Arial" w:eastAsia="Arial" w:hAnsi="Arial"/>
          <w:sz w:val="17"/>
          <w:szCs w:val="17"/>
          <w:color w:val="auto"/>
        </w:rPr>
        <w:t xml:space="preserve">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 </w:t>
      </w:r>
      <w:r>
        <w:rPr>
          <w:rFonts w:ascii="Arial" w:cs="Arial" w:eastAsia="Arial" w:hAnsi="Arial"/>
          <w:sz w:val="28"/>
          <w:szCs w:val="28"/>
          <w:color w:val="auto"/>
          <w:vertAlign w:val="subscript"/>
        </w:rPr>
        <w:t>1–42</w:t>
      </w:r>
      <w:r>
        <w:rPr>
          <w:rFonts w:ascii="Arial" w:cs="Arial" w:eastAsia="Arial" w:hAnsi="Arial"/>
          <w:sz w:val="17"/>
          <w:szCs w:val="17"/>
          <w:color w:val="auto"/>
        </w:rPr>
        <w:t>, which confirms target engagement by crenezumab.</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151765</wp:posOffset>
            </wp:positionV>
            <wp:extent cx="6004560" cy="2989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04560" cy="298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1" w:lineRule="exact"/>
        <w:rPr>
          <w:sz w:val="20"/>
          <w:szCs w:val="20"/>
          <w:color w:val="auto"/>
        </w:rPr>
      </w:pPr>
    </w:p>
    <w:p>
      <w:pPr>
        <w:ind w:right="440" w:firstLine="312"/>
        <w:spacing w:after="0" w:line="306" w:lineRule="auto"/>
        <w:rPr>
          <w:sz w:val="20"/>
          <w:szCs w:val="20"/>
          <w:color w:val="auto"/>
        </w:rPr>
      </w:pPr>
      <w:r>
        <w:rPr>
          <w:rFonts w:ascii="Arial" w:cs="Arial" w:eastAsia="Arial" w:hAnsi="Arial"/>
          <w:sz w:val="15"/>
          <w:szCs w:val="15"/>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Safety Data from ABBY and BLAZE Studies</w:t>
      </w:r>
    </w:p>
    <w:p>
      <w:pPr>
        <w:spacing w:after="0" w:line="221" w:lineRule="exact"/>
        <w:rPr>
          <w:sz w:val="20"/>
          <w:szCs w:val="20"/>
          <w:color w:val="auto"/>
        </w:rPr>
      </w:pPr>
    </w:p>
    <w:p>
      <w:pPr>
        <w:ind w:right="40" w:firstLine="312"/>
        <w:spacing w:after="0" w:line="306" w:lineRule="auto"/>
        <w:rPr>
          <w:sz w:val="20"/>
          <w:szCs w:val="20"/>
          <w:color w:val="auto"/>
        </w:rPr>
      </w:pPr>
      <w:r>
        <w:rPr>
          <w:rFonts w:ascii="Arial" w:cs="Arial" w:eastAsia="Arial" w:hAnsi="Arial"/>
          <w:sz w:val="15"/>
          <w:szCs w:val="15"/>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49" w:lineRule="exact"/>
        <w:rPr>
          <w:sz w:val="20"/>
          <w:szCs w:val="20"/>
          <w:color w:val="auto"/>
        </w:rPr>
      </w:pPr>
    </w:p>
    <w:p>
      <w:pPr>
        <w:jc w:val="both"/>
        <w:ind w:right="240" w:firstLine="312"/>
        <w:spacing w:after="0" w:line="270" w:lineRule="auto"/>
        <w:rPr>
          <w:sz w:val="20"/>
          <w:szCs w:val="20"/>
          <w:color w:val="auto"/>
        </w:rPr>
      </w:pPr>
      <w:r>
        <w:rPr>
          <w:rFonts w:ascii="Arial" w:cs="Arial" w:eastAsia="Arial" w:hAnsi="Arial"/>
          <w:sz w:val="17"/>
          <w:szCs w:val="17"/>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70" w:name="page71"/>
    <w:bookmarkEnd w:id="70"/>
    <w:p>
      <w:pPr>
        <w:ind w:right="40"/>
        <w:spacing w:after="0" w:line="263" w:lineRule="auto"/>
        <w:rPr>
          <w:sz w:val="20"/>
          <w:szCs w:val="20"/>
          <w:color w:val="auto"/>
        </w:rPr>
      </w:pPr>
      <w:r>
        <w:rPr>
          <w:rFonts w:ascii="Arial" w:cs="Arial" w:eastAsia="Arial" w:hAnsi="Arial"/>
          <w:sz w:val="17"/>
          <w:szCs w:val="17"/>
          <w:color w:val="auto"/>
        </w:rPr>
        <w:t>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78" w:lineRule="exact"/>
        <w:rPr>
          <w:sz w:val="20"/>
          <w:szCs w:val="20"/>
          <w:color w:val="auto"/>
        </w:rPr>
      </w:pPr>
    </w:p>
    <w:p>
      <w:pPr>
        <w:ind w:right="140" w:firstLine="312"/>
        <w:spacing w:after="0" w:line="270" w:lineRule="auto"/>
        <w:rPr>
          <w:sz w:val="20"/>
          <w:szCs w:val="20"/>
          <w:color w:val="auto"/>
        </w:rPr>
      </w:pPr>
      <w:r>
        <w:rPr>
          <w:rFonts w:ascii="Arial" w:cs="Arial" w:eastAsia="Arial" w:hAnsi="Arial"/>
          <w:sz w:val="17"/>
          <w:szCs w:val="17"/>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Ongoing Phase 1 Study</w:t>
      </w:r>
    </w:p>
    <w:p>
      <w:pPr>
        <w:spacing w:after="0" w:line="221" w:lineRule="exact"/>
        <w:rPr>
          <w:sz w:val="20"/>
          <w:szCs w:val="20"/>
          <w:color w:val="auto"/>
        </w:rPr>
      </w:pPr>
    </w:p>
    <w:p>
      <w:pPr>
        <w:ind w:right="80" w:firstLine="312"/>
        <w:spacing w:after="0" w:line="258" w:lineRule="auto"/>
        <w:rPr>
          <w:sz w:val="20"/>
          <w:szCs w:val="20"/>
          <w:color w:val="auto"/>
        </w:rPr>
      </w:pPr>
      <w:r>
        <w:rPr>
          <w:rFonts w:ascii="Arial" w:cs="Arial" w:eastAsia="Arial" w:hAnsi="Arial"/>
          <w:sz w:val="17"/>
          <w:szCs w:val="17"/>
          <w:color w:val="auto"/>
        </w:rPr>
        <w:t>To explore safety at higher doses, crenezumab is currently being tested in a Phase 1b dose escalation clinical study (NCT02353598)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 At the 2016 CTAD meeting, Genentech presented the results of the first two cohorts in 52 patients with mild-to-moderate Alzheimer’s disease. No dose-limiting toxicities were observed at 30, 45 and 60mg/kg doses of crenezumab. No events of Amyloid Related Imaging Abnormality-Edema (ARIA-E) were observed in the Phase 1b study and only few patients (6 of 52) showed asymptomatic Amyloid Related Imaging Abnormality-Hemsiderin (ARIA-H).The pharmacokinetic profile of crenezumab is dose proportional up to the 60mg/kg dose and is consistent with historical data. The serum concentrations at this dose are four times higher than in the 15mg/kg dose used in the Phase 2 trials. These safety and pharmacokinetic data of the Phase 1b dose escalation study support the continued treatment of patients with crenezumab at the higher dose of 60mg/kg.</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Phase 2 AD Prevention Study</w:t>
      </w:r>
    </w:p>
    <w:p>
      <w:pPr>
        <w:spacing w:after="0" w:line="221"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Ongoing Phase 3 Studies (CREAD 1 and 2)</w:t>
      </w:r>
    </w:p>
    <w:p>
      <w:pPr>
        <w:spacing w:after="0" w:line="221" w:lineRule="exact"/>
        <w:rPr>
          <w:sz w:val="20"/>
          <w:szCs w:val="20"/>
          <w:color w:val="auto"/>
        </w:rPr>
      </w:pPr>
    </w:p>
    <w:p>
      <w:pPr>
        <w:ind w:right="20" w:firstLine="312"/>
        <w:spacing w:after="0" w:line="280" w:lineRule="auto"/>
        <w:rPr>
          <w:sz w:val="20"/>
          <w:szCs w:val="20"/>
          <w:color w:val="auto"/>
        </w:rPr>
      </w:pPr>
      <w:r>
        <w:rPr>
          <w:rFonts w:ascii="Arial" w:cs="Arial" w:eastAsia="Arial" w:hAnsi="Arial"/>
          <w:sz w:val="16"/>
          <w:szCs w:val="16"/>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(60mg/kg) is administered intravenously once every 4 weeks for 100 weeks. Primary outcome measure is change from baseline to week 105 in Clinical Dementia Rating - Sum of Boxes (CDR-SB) score. An exposure-response model to evaluate the best dose of crenezumab for the treatment of Alzheimer’s disease was established and predicts an improved outcome of the CREAD Phase 3 study by using the higher dose of 60mg/kg relative to the Phase 2 trials. Final data collection date for primary outcome measures is expected by August 2020, with study completion by July 2021.</w:t>
      </w:r>
    </w:p>
    <w:p>
      <w:pPr>
        <w:spacing w:after="0" w:line="169" w:lineRule="exact"/>
        <w:rPr>
          <w:sz w:val="20"/>
          <w:szCs w:val="20"/>
          <w:color w:val="auto"/>
        </w:rPr>
      </w:pPr>
    </w:p>
    <w:p>
      <w:pPr>
        <w:ind w:right="80" w:firstLine="624"/>
        <w:spacing w:after="0" w:line="286" w:lineRule="auto"/>
        <w:rPr>
          <w:sz w:val="20"/>
          <w:szCs w:val="20"/>
          <w:color w:val="auto"/>
        </w:rPr>
      </w:pPr>
      <w:r>
        <w:rPr>
          <w:rFonts w:ascii="Arial" w:cs="Arial" w:eastAsia="Arial" w:hAnsi="Arial"/>
          <w:sz w:val="17"/>
          <w:szCs w:val="17"/>
          <w:color w:val="auto"/>
        </w:rPr>
        <w:t>On February 28, 2017, AC Immune announced that its partner Genentech, member of the Roche Group, had decided to start a second Phase 3 clinical trial of crenezumab.</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1781810</wp:posOffset>
            </wp:positionH>
            <wp:positionV relativeFrom="page">
              <wp:posOffset>369570</wp:posOffset>
            </wp:positionV>
            <wp:extent cx="4005580" cy="1536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4005580" cy="153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Exposure-response model results: correlation between crenezumab exposure (AUC at steady state) and treatment effect reaching asymptote at projected exposure of 60mg/kg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108585</wp:posOffset>
            </wp:positionV>
            <wp:extent cx="4551045" cy="382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51045" cy="382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i w:val="1"/>
          <w:iCs w:val="1"/>
          <w:color w:val="auto"/>
        </w:rPr>
        <w:t>Exposure-response model results: clinical trial simulations of Phase 3 study design predict 41% relative reduction on ADAS-Coq12 and 44% on CDR-SB in the milder AD population (MMSE 22-26)</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ACI-24</w:t>
      </w:r>
    </w:p>
    <w:p>
      <w:pPr>
        <w:spacing w:after="0" w:line="221" w:lineRule="exact"/>
        <w:rPr>
          <w:sz w:val="20"/>
          <w:szCs w:val="20"/>
          <w:color w:val="auto"/>
        </w:rPr>
      </w:pPr>
    </w:p>
    <w:p>
      <w:pPr>
        <w:ind w:firstLine="312"/>
        <w:spacing w:after="0" w:line="265"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Phase 1/2a Study</w:t>
      </w:r>
    </w:p>
    <w:p>
      <w:pPr>
        <w:spacing w:after="0" w:line="221" w:lineRule="exact"/>
        <w:rPr>
          <w:sz w:val="20"/>
          <w:szCs w:val="20"/>
          <w:color w:val="auto"/>
        </w:rPr>
      </w:pPr>
    </w:p>
    <w:p>
      <w:pPr>
        <w:ind w:right="20" w:firstLine="312"/>
        <w:spacing w:after="0" w:line="270"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72" w:name="page73"/>
    <w:bookmarkEnd w:id="72"/>
    <w:p>
      <w:pPr>
        <w:ind w:right="160"/>
        <w:spacing w:after="0" w:line="286" w:lineRule="auto"/>
        <w:rPr>
          <w:sz w:val="20"/>
          <w:szCs w:val="20"/>
          <w:color w:val="auto"/>
        </w:rPr>
      </w:pPr>
      <w:r>
        <w:rPr>
          <w:rFonts w:ascii="Arial" w:cs="Arial" w:eastAsia="Arial" w:hAnsi="Arial"/>
          <w:sz w:val="17"/>
          <w:szCs w:val="17"/>
          <w:color w:val="auto"/>
        </w:rPr>
        <w:t>The ACI-24 study is an adaptive design study where, after completion of a first step assessment of safety and immunogenicity at different doses, the study may be expanded to assess the efficacy at the best dose in a Phase 2a-type design.</w:t>
      </w:r>
    </w:p>
    <w:p>
      <w:pPr>
        <w:spacing w:after="0" w:line="158" w:lineRule="exact"/>
        <w:rPr>
          <w:sz w:val="20"/>
          <w:szCs w:val="20"/>
          <w:color w:val="auto"/>
        </w:rPr>
      </w:pPr>
    </w:p>
    <w:p>
      <w:pPr>
        <w:ind w:right="260" w:firstLine="312"/>
        <w:spacing w:after="0" w:line="265"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7" w:lineRule="exact"/>
        <w:rPr>
          <w:sz w:val="20"/>
          <w:szCs w:val="20"/>
          <w:color w:val="auto"/>
        </w:rPr>
      </w:pPr>
    </w:p>
    <w:p>
      <w:pPr>
        <w:ind w:right="20" w:firstLine="312"/>
        <w:spacing w:after="0" w:line="263" w:lineRule="auto"/>
        <w:rPr>
          <w:sz w:val="20"/>
          <w:szCs w:val="20"/>
          <w:color w:val="auto"/>
        </w:rPr>
      </w:pPr>
      <w:r>
        <w:rPr>
          <w:rFonts w:ascii="Arial" w:cs="Arial" w:eastAsia="Arial" w:hAnsi="Arial"/>
          <w:sz w:val="17"/>
          <w:szCs w:val="17"/>
          <w:color w:val="auto"/>
        </w:rPr>
        <w:t>Analysis of the immune response data as well as further treatment in cohort 4 is ongoing. An interim analysis of the first three doses (cohort 1-3) revealed positive safety and tolerability. The study was not powered to examine efficacy but a trend towards reduction in accumulation in brain amyloid measured by PET imaging was observed in cohort 3. A similar pattern of reduction of clinical decline assessed by the CDR-SB was observed in cohort 3 compared to placebo at week 52 although this did not reach statistical significance. While the highest dose group is still ongoing the Phase 2 clinical design is scheduled to be completed in the second half of 2017.</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ACI-24 is also being studied in a Phase 1 clinical study in people with Down syndrome, a population which is at high risk for developing AD-like symptoms.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The clinical study started in December 2015 and we expect to present data from this study in 2018.</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Pre-clinical Study</w:t>
      </w:r>
    </w:p>
    <w:p>
      <w:pPr>
        <w:spacing w:after="0" w:line="221" w:lineRule="exact"/>
        <w:rPr>
          <w:sz w:val="20"/>
          <w:szCs w:val="20"/>
          <w:color w:val="auto"/>
        </w:rPr>
      </w:pPr>
    </w:p>
    <w:p>
      <w:pPr>
        <w:ind w:right="80" w:firstLine="312"/>
        <w:spacing w:after="0" w:line="263" w:lineRule="auto"/>
        <w:rPr>
          <w:sz w:val="20"/>
          <w:szCs w:val="20"/>
          <w:color w:val="auto"/>
        </w:rPr>
      </w:pPr>
      <w:r>
        <w:rPr>
          <w:rFonts w:ascii="Arial" w:cs="Arial" w:eastAsia="Arial" w:hAnsi="Arial"/>
          <w:sz w:val="17"/>
          <w:szCs w:val="17"/>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120650</wp:posOffset>
            </wp:positionV>
            <wp:extent cx="5955030" cy="2469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55030" cy="246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12"/>
        <w:spacing w:after="0" w:line="226" w:lineRule="auto"/>
        <w:rPr>
          <w:sz w:val="20"/>
          <w:szCs w:val="20"/>
          <w:color w:val="auto"/>
        </w:rPr>
      </w:pPr>
      <w:r>
        <w:rPr>
          <w:rFonts w:ascii="Arial" w:cs="Arial" w:eastAsia="Arial" w:hAnsi="Arial"/>
          <w:sz w:val="17"/>
          <w:szCs w:val="17"/>
          <w:color w:val="auto"/>
        </w:rPr>
        <w:t xml:space="preserve">As shown in the diagram above, immunization of an AD mouse model with ACI-24 led to a significant decrease of insoluble, plaque-related (black bars) and soluble (grey bars) oligomeric Abeta </w:t>
      </w:r>
      <w:r>
        <w:rPr>
          <w:rFonts w:ascii="Arial" w:cs="Arial" w:eastAsia="Arial" w:hAnsi="Arial"/>
          <w:sz w:val="28"/>
          <w:szCs w:val="28"/>
          <w:color w:val="auto"/>
          <w:vertAlign w:val="subscript"/>
        </w:rPr>
        <w:t>1-40</w:t>
      </w:r>
      <w:r>
        <w:rPr>
          <w:rFonts w:ascii="Arial" w:cs="Arial" w:eastAsia="Arial" w:hAnsi="Arial"/>
          <w:sz w:val="17"/>
          <w:szCs w:val="17"/>
          <w:color w:val="auto"/>
        </w:rPr>
        <w:t xml:space="preserve"> and Abeta </w:t>
      </w:r>
      <w:r>
        <w:rPr>
          <w:rFonts w:ascii="Arial" w:cs="Arial" w:eastAsia="Arial" w:hAnsi="Arial"/>
          <w:sz w:val="28"/>
          <w:szCs w:val="28"/>
          <w:color w:val="auto"/>
          <w:vertAlign w:val="subscript"/>
        </w:rPr>
        <w:t>1-42</w:t>
      </w:r>
      <w:r>
        <w:rPr>
          <w:rFonts w:ascii="Arial" w:cs="Arial" w:eastAsia="Arial" w:hAnsi="Arial"/>
          <w:sz w:val="17"/>
          <w:szCs w:val="17"/>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ACI-24 in Down Syndrome</w:t>
      </w:r>
    </w:p>
    <w:p>
      <w:pPr>
        <w:spacing w:after="0" w:line="221" w:lineRule="exact"/>
        <w:rPr>
          <w:sz w:val="20"/>
          <w:szCs w:val="20"/>
          <w:color w:val="auto"/>
        </w:rPr>
      </w:pPr>
    </w:p>
    <w:p>
      <w:pPr>
        <w:ind w:right="240" w:firstLine="312"/>
        <w:spacing w:after="0" w:line="286" w:lineRule="auto"/>
        <w:rPr>
          <w:sz w:val="20"/>
          <w:szCs w:val="20"/>
          <w:color w:val="auto"/>
        </w:rPr>
      </w:pPr>
      <w:r>
        <w:rPr>
          <w:rFonts w:ascii="Arial" w:cs="Arial" w:eastAsia="Arial" w:hAnsi="Arial"/>
          <w:sz w:val="17"/>
          <w:szCs w:val="17"/>
          <w:color w:val="auto"/>
        </w:rPr>
        <w:t>Individuals with Down syndrome have an extra copy of chromosome 21 where the gene for APP resides. These individuals have a rate of AD that is three to five times that of the general population and develop the disease at a</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much younger age. At autopsy, AD has been reported in 80% of people with Down syndrome over age 40 and 100% over age 60.</w:t>
      </w:r>
    </w:p>
    <w:p>
      <w:pPr>
        <w:spacing w:after="0" w:line="221" w:lineRule="exact"/>
        <w:rPr>
          <w:sz w:val="20"/>
          <w:szCs w:val="20"/>
          <w:color w:val="auto"/>
        </w:rPr>
      </w:pPr>
    </w:p>
    <w:p>
      <w:pPr>
        <w:ind w:right="180" w:firstLine="312"/>
        <w:spacing w:after="0" w:line="322" w:lineRule="auto"/>
        <w:rPr>
          <w:sz w:val="20"/>
          <w:szCs w:val="20"/>
          <w:color w:val="auto"/>
        </w:rPr>
      </w:pPr>
      <w:r>
        <w:rPr>
          <w:rFonts w:ascii="Arial" w:cs="Arial" w:eastAsia="Arial" w:hAnsi="Arial"/>
          <w:sz w:val="15"/>
          <w:szCs w:val="15"/>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38" w:lineRule="exact"/>
        <w:rPr>
          <w:sz w:val="20"/>
          <w:szCs w:val="20"/>
          <w:color w:val="auto"/>
        </w:rPr>
      </w:pPr>
    </w:p>
    <w:p>
      <w:pPr>
        <w:jc w:val="both"/>
        <w:ind w:right="280" w:firstLine="312"/>
        <w:spacing w:after="0" w:line="270" w:lineRule="auto"/>
        <w:rPr>
          <w:sz w:val="20"/>
          <w:szCs w:val="20"/>
          <w:color w:val="auto"/>
        </w:rPr>
      </w:pPr>
      <w:r>
        <w:rPr>
          <w:rFonts w:ascii="Arial" w:cs="Arial" w:eastAsia="Arial" w:hAnsi="Arial"/>
          <w:sz w:val="17"/>
          <w:szCs w:val="17"/>
          <w:color w:val="auto"/>
        </w:rPr>
        <w:t>An Investigational New Drug (IND) to study the disease-modifying properties of ACI-24 for the prevention of cognitive decline with Down syndrome was filed and cleared by the FDA. ACI-24 commenced the Phase 1 clinical study for Down syndrome at the end of 2015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117475</wp:posOffset>
            </wp:positionV>
            <wp:extent cx="5384800" cy="2337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84800" cy="2337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12"/>
        <w:spacing w:after="0" w:line="270" w:lineRule="auto"/>
        <w:rPr>
          <w:sz w:val="20"/>
          <w:szCs w:val="20"/>
          <w:color w:val="auto"/>
        </w:rPr>
      </w:pPr>
      <w:r>
        <w:rPr>
          <w:rFonts w:ascii="Arial" w:cs="Arial" w:eastAsia="Arial" w:hAnsi="Arial"/>
          <w:sz w:val="17"/>
          <w:szCs w:val="17"/>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ACI-35</w:t>
      </w:r>
    </w:p>
    <w:p>
      <w:pPr>
        <w:spacing w:after="0" w:line="221" w:lineRule="exact"/>
        <w:rPr>
          <w:sz w:val="20"/>
          <w:szCs w:val="20"/>
          <w:color w:val="auto"/>
        </w:rPr>
      </w:pPr>
    </w:p>
    <w:p>
      <w:pPr>
        <w:ind w:firstLine="312"/>
        <w:spacing w:after="0" w:line="283" w:lineRule="auto"/>
        <w:rPr>
          <w:sz w:val="20"/>
          <w:szCs w:val="20"/>
          <w:color w:val="auto"/>
        </w:rPr>
      </w:pPr>
      <w:r>
        <w:rPr>
          <w:rFonts w:ascii="Arial" w:cs="Arial" w:eastAsia="Arial" w:hAnsi="Arial"/>
          <w:sz w:val="16"/>
          <w:szCs w:val="16"/>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2014, we entered into a partnership with Janssen Pharmaceuticals, a subsidiary of Johnson &amp; Johnson, for the research, clinical development, manufacture and commercialization of ACI-35.</w:t>
      </w:r>
    </w:p>
    <w:p>
      <w:pPr>
        <w:spacing w:after="0" w:line="164" w:lineRule="exact"/>
        <w:rPr>
          <w:sz w:val="20"/>
          <w:szCs w:val="20"/>
          <w:color w:val="auto"/>
        </w:rPr>
      </w:pPr>
    </w:p>
    <w:p>
      <w:pPr>
        <w:ind w:right="120" w:firstLine="312"/>
        <w:spacing w:after="0" w:line="356" w:lineRule="auto"/>
        <w:rPr>
          <w:sz w:val="20"/>
          <w:szCs w:val="20"/>
          <w:color w:val="auto"/>
        </w:rPr>
      </w:pPr>
      <w:r>
        <w:rPr>
          <w:rFonts w:ascii="Arial" w:cs="Arial" w:eastAsia="Arial" w:hAnsi="Arial"/>
          <w:sz w:val="15"/>
          <w:szCs w:val="15"/>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13" w:lineRule="exact"/>
        <w:rPr>
          <w:sz w:val="20"/>
          <w:szCs w:val="20"/>
          <w:color w:val="auto"/>
        </w:rPr>
      </w:pPr>
    </w:p>
    <w:p>
      <w:pPr>
        <w:jc w:val="both"/>
        <w:ind w:right="320" w:firstLine="312"/>
        <w:spacing w:after="0" w:line="270" w:lineRule="auto"/>
        <w:rPr>
          <w:sz w:val="20"/>
          <w:szCs w:val="20"/>
          <w:color w:val="auto"/>
        </w:rPr>
      </w:pPr>
      <w:r>
        <w:rPr>
          <w:rFonts w:ascii="Arial" w:cs="Arial" w:eastAsia="Arial" w:hAnsi="Arial"/>
          <w:sz w:val="17"/>
          <w:szCs w:val="17"/>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73" w:lineRule="exact"/>
        <w:rPr>
          <w:sz w:val="20"/>
          <w:szCs w:val="20"/>
          <w:color w:val="auto"/>
        </w:rPr>
      </w:pPr>
    </w:p>
    <w:p>
      <w:pPr>
        <w:ind w:right="120" w:firstLine="312"/>
        <w:spacing w:after="0" w:line="270" w:lineRule="auto"/>
        <w:rPr>
          <w:sz w:val="20"/>
          <w:szCs w:val="20"/>
          <w:color w:val="auto"/>
        </w:rPr>
      </w:pPr>
      <w:r>
        <w:rPr>
          <w:rFonts w:ascii="Arial" w:cs="Arial" w:eastAsia="Arial" w:hAnsi="Arial"/>
          <w:sz w:val="17"/>
          <w:szCs w:val="17"/>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74" w:name="page75"/>
    <w:bookmarkEnd w:id="74"/>
    <w:p>
      <w:pPr>
        <w:ind w:left="160"/>
        <w:spacing w:after="0"/>
        <w:rPr>
          <w:sz w:val="20"/>
          <w:szCs w:val="20"/>
          <w:color w:val="auto"/>
        </w:rPr>
      </w:pPr>
      <w:r>
        <w:rPr>
          <w:rFonts w:ascii="Arial" w:cs="Arial" w:eastAsia="Arial" w:hAnsi="Arial"/>
          <w:sz w:val="17"/>
          <w:szCs w:val="17"/>
          <w:b w:val="1"/>
          <w:bCs w:val="1"/>
          <w:i w:val="1"/>
          <w:iCs w:val="1"/>
          <w:color w:val="auto"/>
        </w:rPr>
        <w:t>Phase 1b Study</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Phase 1b Study Design</w:t>
      </w:r>
    </w:p>
    <w:p>
      <w:pPr>
        <w:spacing w:after="0" w:line="221"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Pre-clinical Study</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research and pre-clinical studies, ACI-35 demonstrated:</w:t>
      </w:r>
    </w:p>
    <w:p>
      <w:pPr>
        <w:spacing w:after="0" w:line="221" w:lineRule="exact"/>
        <w:rPr>
          <w:sz w:val="20"/>
          <w:szCs w:val="20"/>
          <w:color w:val="auto"/>
        </w:rPr>
      </w:pPr>
    </w:p>
    <w:p>
      <w:pPr>
        <w:ind w:left="620" w:hanging="304"/>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high and specific anti-p-tau IgG antibody response in wild-type mice, tau transgenic mice and primates (cynomolgus and rhesus monkeys);</w:t>
      </w:r>
    </w:p>
    <w:p>
      <w:pPr>
        <w:spacing w:after="0" w:line="220" w:lineRule="exact"/>
        <w:rPr>
          <w:rFonts w:ascii="Arial" w:cs="Arial" w:eastAsia="Arial" w:hAnsi="Arial"/>
          <w:sz w:val="17"/>
          <w:szCs w:val="17"/>
          <w:color w:val="auto"/>
        </w:rPr>
      </w:pPr>
    </w:p>
    <w:p>
      <w:pPr>
        <w:ind w:left="620" w:right="80" w:hanging="304"/>
        <w:spacing w:after="0" w:line="286"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induction of highly specific antibodies that are able to recognize p-tau over non-phosphorylated tau peptide and yield a 30-100 fold higher titer for p-tau over non-phosphorylated tau;</w:t>
      </w:r>
    </w:p>
    <w:p>
      <w:pPr>
        <w:spacing w:after="0" w:line="158" w:lineRule="exact"/>
        <w:rPr>
          <w:rFonts w:ascii="Arial" w:cs="Arial" w:eastAsia="Arial" w:hAnsi="Arial"/>
          <w:sz w:val="17"/>
          <w:szCs w:val="17"/>
          <w:color w:val="auto"/>
        </w:rPr>
      </w:pPr>
    </w:p>
    <w:p>
      <w:pPr>
        <w:ind w:left="620" w:right="560" w:hanging="304"/>
        <w:spacing w:after="0" w:line="270"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172" w:lineRule="exact"/>
        <w:rPr>
          <w:rFonts w:ascii="Arial" w:cs="Arial" w:eastAsia="Arial" w:hAnsi="Arial"/>
          <w:sz w:val="17"/>
          <w:szCs w:val="17"/>
          <w:color w:val="auto"/>
        </w:rPr>
      </w:pPr>
    </w:p>
    <w:p>
      <w:pPr>
        <w:ind w:left="620" w:hanging="304"/>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observable toxicity at the highest dose used in cynomolgus monkeys or mice;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cross-reactivity to any human tissue with the antibodies induced in monkeys by ACI-35 immunization.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ACI-35 generated antibodies that are phosphor-specific for the full-length p-tau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120" w:firstLine="312"/>
        <w:spacing w:after="0" w:line="295"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Anti-Tau Antibody Candidate</w:t>
      </w:r>
    </w:p>
    <w:p>
      <w:pPr>
        <w:spacing w:after="0" w:line="221"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Our anti-tau monoclonal antibody program generated humanized monoclonal antibodies for use as 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 collaboration partner for the anti-tau antibody program commenced a Phase 1 clinical study in Q2 2016. The Phase 1 clinical study tests the safety, tolerability and pharmacokinetics of various dosing regimens of the anti-tau antibody in patients with mild to moderate AD as well as in healthy volunteers.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9" w:right="29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Pre-clinical and Discovery Stage Therapeutic Programs</w:t>
      </w:r>
    </w:p>
    <w:p>
      <w:pPr>
        <w:spacing w:after="0" w:line="227" w:lineRule="exact"/>
        <w:rPr>
          <w:sz w:val="20"/>
          <w:szCs w:val="20"/>
          <w:color w:val="auto"/>
        </w:rPr>
      </w:pPr>
    </w:p>
    <w:p>
      <w:pPr>
        <w:ind w:right="40" w:firstLine="312"/>
        <w:spacing w:after="0" w:line="283" w:lineRule="auto"/>
        <w:rPr>
          <w:sz w:val="20"/>
          <w:szCs w:val="20"/>
          <w:color w:val="auto"/>
        </w:rPr>
      </w:pPr>
      <w:r>
        <w:rPr>
          <w:rFonts w:ascii="Arial" w:cs="Arial" w:eastAsia="Arial" w:hAnsi="Arial"/>
          <w:sz w:val="16"/>
          <w:szCs w:val="16"/>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three pre-clinical Morphomer product candidates and the lead indication being pursued:</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320" w:type="dxa"/>
            <w:vAlign w:val="bottom"/>
            <w:tcBorders>
              <w:top w:val="single" w:sz="8" w:color="auto"/>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Product Candidate</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Lead Indication</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Partner</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Platform</w:t>
            </w:r>
          </w:p>
        </w:tc>
      </w:tr>
      <w:tr>
        <w:trPr>
          <w:trHeight w:val="23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Morphomer tau</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tau</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AD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Morphomer</w:t>
            </w:r>
          </w:p>
        </w:tc>
      </w:tr>
      <w:tr>
        <w:trPr>
          <w:trHeight w:val="26"/>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2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Morphomer abeta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Abeta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Glaucoma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Morphomer</w:t>
            </w:r>
          </w:p>
        </w:tc>
      </w:tr>
      <w:tr>
        <w:trPr>
          <w:trHeight w:val="26"/>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2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Morphomer alpha-synuclein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alpha-synuclein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PD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Morphomer</w:t>
            </w:r>
          </w:p>
        </w:tc>
      </w:tr>
      <w:tr>
        <w:trPr>
          <w:trHeight w:val="26"/>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0"/>
          <w:szCs w:val="20"/>
          <w:color w:val="auto"/>
        </w:rPr>
      </w:pPr>
    </w:p>
    <w:p>
      <w:pPr>
        <w:ind w:right="60" w:firstLine="312"/>
        <w:spacing w:after="0" w:line="263" w:lineRule="auto"/>
        <w:rPr>
          <w:sz w:val="20"/>
          <w:szCs w:val="20"/>
          <w:color w:val="auto"/>
        </w:rPr>
      </w:pPr>
      <w:r>
        <w:rPr>
          <w:rFonts w:ascii="Arial" w:cs="Arial" w:eastAsia="Arial" w:hAnsi="Arial"/>
          <w:sz w:val="17"/>
          <w:szCs w:val="17"/>
          <w:b w:val="1"/>
          <w:bCs w:val="1"/>
          <w:i w:val="1"/>
          <w:iCs w:val="1"/>
          <w:color w:val="auto"/>
        </w:rPr>
        <w:t xml:space="preserve">Anti-tau Morphomers: </w:t>
      </w:r>
      <w:r>
        <w:rPr>
          <w:rFonts w:ascii="Arial" w:cs="Arial" w:eastAsia="Arial" w:hAnsi="Arial"/>
          <w:sz w:val="17"/>
          <w:szCs w:val="17"/>
          <w:color w:val="auto"/>
        </w:rPr>
        <w:t>Anti-tau Morphomers are small molecule compounds designed to inhibit tau aggregation with the aim of interacting with the beta sheet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78" w:lineRule="exact"/>
        <w:rPr>
          <w:sz w:val="20"/>
          <w:szCs w:val="20"/>
          <w:color w:val="auto"/>
        </w:rPr>
      </w:pPr>
    </w:p>
    <w:p>
      <w:pPr>
        <w:ind w:right="100" w:firstLine="312"/>
        <w:spacing w:after="0" w:line="265" w:lineRule="auto"/>
        <w:rPr>
          <w:sz w:val="20"/>
          <w:szCs w:val="20"/>
          <w:color w:val="auto"/>
        </w:rPr>
      </w:pPr>
      <w:r>
        <w:rPr>
          <w:rFonts w:ascii="Arial" w:cs="Arial" w:eastAsia="Arial" w:hAnsi="Arial"/>
          <w:sz w:val="17"/>
          <w:szCs w:val="17"/>
          <w:b w:val="1"/>
          <w:bCs w:val="1"/>
          <w:i w:val="1"/>
          <w:iCs w:val="1"/>
          <w:color w:val="auto"/>
        </w:rPr>
        <w:t xml:space="preserve">Morphomer abeta: </w:t>
      </w:r>
      <w:r>
        <w:rPr>
          <w:rFonts w:ascii="Arial" w:cs="Arial" w:eastAsia="Arial" w:hAnsi="Arial"/>
          <w:sz w:val="17"/>
          <w:szCs w:val="17"/>
          <w:color w:val="auto"/>
        </w:rPr>
        <w:t>Our Morphomer abeta product candidate is a small molecule that inhibits and disrupts Abeta propagation and aggregation, and is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w:t>
      </w:r>
    </w:p>
    <w:p>
      <w:pPr>
        <w:spacing w:after="0" w:line="177" w:lineRule="exact"/>
        <w:rPr>
          <w:sz w:val="20"/>
          <w:szCs w:val="20"/>
          <w:color w:val="auto"/>
        </w:rPr>
      </w:pPr>
    </w:p>
    <w:p>
      <w:pPr>
        <w:ind w:right="400" w:firstLine="312"/>
        <w:spacing w:after="0" w:line="263" w:lineRule="auto"/>
        <w:rPr>
          <w:sz w:val="20"/>
          <w:szCs w:val="20"/>
          <w:color w:val="auto"/>
        </w:rPr>
      </w:pPr>
      <w:r>
        <w:rPr>
          <w:rFonts w:ascii="Arial" w:cs="Arial" w:eastAsia="Arial" w:hAnsi="Arial"/>
          <w:sz w:val="17"/>
          <w:szCs w:val="17"/>
          <w:b w:val="1"/>
          <w:bCs w:val="1"/>
          <w:i w:val="1"/>
          <w:iCs w:val="1"/>
          <w:color w:val="auto"/>
        </w:rPr>
        <w:t xml:space="preserve">Morphomer alpha-synuclein: </w:t>
      </w:r>
      <w:r>
        <w:rPr>
          <w:rFonts w:ascii="Arial" w:cs="Arial" w:eastAsia="Arial" w:hAnsi="Arial"/>
          <w:sz w:val="17"/>
          <w:szCs w:val="17"/>
          <w:color w:val="auto"/>
        </w:rPr>
        <w:t>Our Morphomer alpha-synuclein product candidate is a small molecule that reduces the cytotoxicity of alpha-synuclein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aggregates by a decrease in their beta sheet content. In pre-clinical studies, Morphomer alpha-synuclein significantly reduced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Diagnostics</w:t>
      </w:r>
    </w:p>
    <w:p>
      <w:pPr>
        <w:spacing w:after="0" w:line="227" w:lineRule="exact"/>
        <w:rPr>
          <w:sz w:val="20"/>
          <w:szCs w:val="20"/>
          <w:color w:val="auto"/>
        </w:rPr>
      </w:pPr>
    </w:p>
    <w:p>
      <w:pPr>
        <w:ind w:right="100" w:firstLine="312"/>
        <w:spacing w:after="0" w:line="279" w:lineRule="auto"/>
        <w:rPr>
          <w:sz w:val="20"/>
          <w:szCs w:val="20"/>
          <w:color w:val="auto"/>
        </w:rPr>
      </w:pPr>
      <w:r>
        <w:rPr>
          <w:rFonts w:ascii="Arial" w:cs="Arial" w:eastAsia="Arial" w:hAnsi="Arial"/>
          <w:sz w:val="16"/>
          <w:szCs w:val="16"/>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68" w:lineRule="exact"/>
        <w:rPr>
          <w:sz w:val="20"/>
          <w:szCs w:val="20"/>
          <w:color w:val="auto"/>
        </w:rPr>
      </w:pPr>
    </w:p>
    <w:p>
      <w:pPr>
        <w:ind w:right="280" w:firstLine="312"/>
        <w:spacing w:after="0" w:line="295" w:lineRule="auto"/>
        <w:rPr>
          <w:sz w:val="20"/>
          <w:szCs w:val="20"/>
          <w:color w:val="auto"/>
        </w:rPr>
      </w:pPr>
      <w:r>
        <w:rPr>
          <w:rFonts w:ascii="Arial" w:cs="Arial" w:eastAsia="Arial" w:hAnsi="Arial"/>
          <w:sz w:val="16"/>
          <w:szCs w:val="16"/>
          <w:color w:val="auto"/>
        </w:rPr>
        <w:t>We are developing two diagnostic product candidates using our Morphomer technology platform. These product candidates are PET ligands, that are tracers that can be used to target tau and alpha-synuclein aggregates. In May 2014, we established a collaboration agreement for our tau-PET imaging program with Piramal Imaging. Piramal Imaging commenced a Phase 1 clinical study of the program in the fourth quarter of fiscal year 2016.</w:t>
      </w:r>
    </w:p>
    <w:p>
      <w:pPr>
        <w:spacing w:after="0" w:line="154" w:lineRule="exact"/>
        <w:rPr>
          <w:sz w:val="20"/>
          <w:szCs w:val="20"/>
          <w:color w:val="auto"/>
        </w:rPr>
      </w:pPr>
    </w:p>
    <w:p>
      <w:pPr>
        <w:ind w:right="220" w:firstLine="312"/>
        <w:spacing w:after="0" w:line="286" w:lineRule="auto"/>
        <w:rPr>
          <w:sz w:val="20"/>
          <w:szCs w:val="20"/>
          <w:color w:val="auto"/>
        </w:rPr>
      </w:pPr>
      <w:r>
        <w:rPr>
          <w:rFonts w:ascii="Arial" w:cs="Arial" w:eastAsia="Arial" w:hAnsi="Arial"/>
          <w:sz w:val="17"/>
          <w:szCs w:val="17"/>
          <w:color w:val="auto"/>
        </w:rPr>
        <w:t>Our PET tracers are designed to bind specifically to tau tangles and have demonstrated their ability to cross the blood-brain barrier. The severity of cognitive impairment in AD patients is correlated with the presence of tau</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6" w:name="page77"/>
    <w:bookmarkEnd w:id="76"/>
    <w:p>
      <w:pPr>
        <w:spacing w:after="0" w:line="270" w:lineRule="auto"/>
        <w:rPr>
          <w:sz w:val="20"/>
          <w:szCs w:val="20"/>
          <w:color w:val="auto"/>
        </w:rPr>
      </w:pPr>
      <w:r>
        <w:rPr>
          <w:rFonts w:ascii="Arial" w:cs="Arial" w:eastAsia="Arial" w:hAnsi="Arial"/>
          <w:sz w:val="17"/>
          <w:szCs w:val="17"/>
          <w:color w:val="auto"/>
        </w:rPr>
        <w:t>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117475</wp:posOffset>
            </wp:positionV>
            <wp:extent cx="5971540" cy="2552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71540" cy="255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160" w:firstLine="312"/>
        <w:spacing w:after="0" w:line="356" w:lineRule="auto"/>
        <w:rPr>
          <w:sz w:val="20"/>
          <w:szCs w:val="20"/>
          <w:color w:val="auto"/>
        </w:rPr>
      </w:pPr>
      <w:r>
        <w:rPr>
          <w:rFonts w:ascii="Arial" w:cs="Arial" w:eastAsia="Arial" w:hAnsi="Arial"/>
          <w:sz w:val="15"/>
          <w:szCs w:val="15"/>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13" w:lineRule="exact"/>
        <w:rPr>
          <w:sz w:val="20"/>
          <w:szCs w:val="20"/>
          <w:color w:val="auto"/>
        </w:rPr>
      </w:pPr>
    </w:p>
    <w:p>
      <w:pPr>
        <w:ind w:right="160" w:firstLine="312"/>
        <w:spacing w:after="0" w:line="286" w:lineRule="auto"/>
        <w:rPr>
          <w:sz w:val="20"/>
          <w:szCs w:val="20"/>
          <w:color w:val="auto"/>
        </w:rPr>
      </w:pPr>
      <w:r>
        <w:rPr>
          <w:rFonts w:ascii="Arial" w:cs="Arial" w:eastAsia="Arial" w:hAnsi="Arial"/>
          <w:sz w:val="17"/>
          <w:szCs w:val="17"/>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58" w:lineRule="exact"/>
        <w:rPr>
          <w:sz w:val="20"/>
          <w:szCs w:val="20"/>
          <w:color w:val="auto"/>
        </w:rPr>
      </w:pPr>
    </w:p>
    <w:p>
      <w:pPr>
        <w:ind w:firstLine="312"/>
        <w:spacing w:after="0" w:line="280" w:lineRule="auto"/>
        <w:rPr>
          <w:sz w:val="20"/>
          <w:szCs w:val="20"/>
          <w:color w:val="auto"/>
        </w:rPr>
      </w:pPr>
      <w:r>
        <w:rPr>
          <w:rFonts w:ascii="Arial" w:cs="Arial" w:eastAsia="Arial" w:hAnsi="Arial"/>
          <w:sz w:val="16"/>
          <w:szCs w:val="16"/>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 and Biogen under the non-exclusive research and development agreement signed in April 2016.</w:t>
      </w:r>
    </w:p>
    <w:p>
      <w:pPr>
        <w:spacing w:after="0" w:line="169" w:lineRule="exact"/>
        <w:rPr>
          <w:sz w:val="20"/>
          <w:szCs w:val="20"/>
          <w:color w:val="auto"/>
        </w:rPr>
      </w:pPr>
    </w:p>
    <w:p>
      <w:pPr>
        <w:ind w:right="220" w:firstLine="312"/>
        <w:spacing w:after="0" w:line="286"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158" w:lineRule="exact"/>
        <w:rPr>
          <w:sz w:val="20"/>
          <w:szCs w:val="20"/>
          <w:color w:val="auto"/>
        </w:rPr>
      </w:pPr>
    </w:p>
    <w:p>
      <w:pPr>
        <w:ind w:left="620" w:right="60" w:hanging="304"/>
        <w:spacing w:after="0" w:line="286"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diagnosis of PD at much earlier premotor stages than is now possible, thereby enabling early therapeutic intervention and corresponding better patient outcomes;</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232" w:lineRule="exact"/>
        <w:rPr>
          <w:rFonts w:ascii="Arial" w:cs="Arial" w:eastAsia="Arial" w:hAnsi="Arial"/>
          <w:sz w:val="16"/>
          <w:szCs w:val="16"/>
          <w:color w:val="auto"/>
        </w:rPr>
      </w:pPr>
    </w:p>
    <w:p>
      <w:pPr>
        <w:ind w:left="620" w:hanging="304"/>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diagnosis of sub-populations of PD and other synucleinopathies.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These applications of alpha-synuclein PET imaging agents have the potential to fundamentally change the approach of treating PD and other similar diseases.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PD market size is estimated to grow from $3.6 billion in 2012 to approximately $5.3 billion in 2022.</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License Agreements and Collaborations</w:t>
      </w:r>
    </w:p>
    <w:p>
      <w:pPr>
        <w:spacing w:after="0" w:line="227" w:lineRule="exact"/>
        <w:rPr>
          <w:sz w:val="20"/>
          <w:szCs w:val="20"/>
          <w:color w:val="auto"/>
        </w:rPr>
      </w:pPr>
    </w:p>
    <w:p>
      <w:pPr>
        <w:ind w:right="160" w:firstLine="312"/>
        <w:spacing w:after="0" w:line="265"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177" w:lineRule="exact"/>
        <w:rPr>
          <w:sz w:val="20"/>
          <w:szCs w:val="20"/>
          <w:color w:val="auto"/>
        </w:rPr>
      </w:pPr>
    </w:p>
    <w:p>
      <w:pPr>
        <w:ind w:left="620" w:right="200" w:hanging="304"/>
        <w:spacing w:after="0" w:line="286"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158" w:lineRule="exact"/>
        <w:rPr>
          <w:rFonts w:ascii="Arial" w:cs="Arial" w:eastAsia="Arial" w:hAnsi="Arial"/>
          <w:sz w:val="17"/>
          <w:szCs w:val="17"/>
          <w:color w:val="auto"/>
        </w:rPr>
      </w:pPr>
    </w:p>
    <w:p>
      <w:pPr>
        <w:ind w:left="620" w:right="300" w:hanging="304"/>
        <w:spacing w:after="0" w:line="286"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worldwide licensing agreement with Genentech signed in June 2012 for anti-tau antibodies for AD, under which we may become eligible to receive payments potentially greater than $400 million, excluding royalties.</w:t>
      </w:r>
    </w:p>
    <w:p>
      <w:pPr>
        <w:spacing w:after="0" w:line="158" w:lineRule="exact"/>
        <w:rPr>
          <w:rFonts w:ascii="Arial" w:cs="Arial" w:eastAsia="Arial" w:hAnsi="Arial"/>
          <w:sz w:val="17"/>
          <w:szCs w:val="17"/>
          <w:color w:val="auto"/>
        </w:rPr>
      </w:pPr>
    </w:p>
    <w:p>
      <w:pPr>
        <w:ind w:left="620" w:hanging="304"/>
        <w:spacing w:after="0" w:line="286"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158" w:lineRule="exact"/>
        <w:rPr>
          <w:rFonts w:ascii="Arial" w:cs="Arial" w:eastAsia="Arial" w:hAnsi="Arial"/>
          <w:sz w:val="17"/>
          <w:szCs w:val="17"/>
          <w:color w:val="auto"/>
        </w:rPr>
      </w:pPr>
    </w:p>
    <w:p>
      <w:pPr>
        <w:ind w:left="620" w:right="200" w:hanging="304"/>
        <w:spacing w:after="0" w:line="286"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158" w:lineRule="exact"/>
        <w:rPr>
          <w:sz w:val="20"/>
          <w:szCs w:val="20"/>
          <w:color w:val="auto"/>
        </w:rPr>
      </w:pPr>
    </w:p>
    <w:p>
      <w:pPr>
        <w:ind w:right="20" w:firstLine="312"/>
        <w:spacing w:after="0" w:line="265" w:lineRule="auto"/>
        <w:rPr>
          <w:sz w:val="20"/>
          <w:szCs w:val="20"/>
          <w:color w:val="auto"/>
        </w:rPr>
      </w:pPr>
      <w:r>
        <w:rPr>
          <w:rFonts w:ascii="Arial" w:cs="Arial" w:eastAsia="Arial" w:hAnsi="Arial"/>
          <w:sz w:val="17"/>
          <w:szCs w:val="17"/>
          <w:color w:val="auto"/>
        </w:rPr>
        <w:t>In April 2016, we entered into a non-exclusive research and development agreement with Biogen International GmbH, or Biogen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Genentech</w:t>
      </w:r>
    </w:p>
    <w:p>
      <w:pPr>
        <w:spacing w:after="0" w:line="221" w:lineRule="exact"/>
        <w:rPr>
          <w:sz w:val="20"/>
          <w:szCs w:val="20"/>
          <w:color w:val="auto"/>
        </w:rPr>
      </w:pPr>
    </w:p>
    <w:p>
      <w:pPr>
        <w:ind w:right="520" w:firstLine="312"/>
        <w:spacing w:after="0" w:line="286" w:lineRule="auto"/>
        <w:rPr>
          <w:sz w:val="20"/>
          <w:szCs w:val="20"/>
          <w:color w:val="auto"/>
        </w:rPr>
      </w:pPr>
      <w:r>
        <w:rPr>
          <w:rFonts w:ascii="Arial" w:cs="Arial" w:eastAsia="Arial" w:hAnsi="Arial"/>
          <w:sz w:val="17"/>
          <w:szCs w:val="17"/>
          <w:color w:val="auto"/>
        </w:rPr>
        <w:t>We have two partnership agreements with Genentech, a company with a reputation for scientific excellence and a history of bringing innovative protein therapeutics to market.</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Crenezumab Collaboration Agreement of 2006</w:t>
      </w:r>
    </w:p>
    <w:p>
      <w:pPr>
        <w:spacing w:after="0" w:line="221"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77" w:lineRule="exact"/>
        <w:rPr>
          <w:sz w:val="20"/>
          <w:szCs w:val="20"/>
          <w:color w:val="auto"/>
        </w:rPr>
      </w:pPr>
    </w:p>
    <w:p>
      <w:pPr>
        <w:ind w:right="380" w:firstLine="312"/>
        <w:spacing w:after="0" w:line="356" w:lineRule="auto"/>
        <w:rPr>
          <w:sz w:val="20"/>
          <w:szCs w:val="20"/>
          <w:color w:val="auto"/>
        </w:rPr>
      </w:pPr>
      <w:r>
        <w:rPr>
          <w:rFonts w:ascii="Arial" w:cs="Arial" w:eastAsia="Arial" w:hAnsi="Arial"/>
          <w:sz w:val="15"/>
          <w:szCs w:val="15"/>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113" w:lineRule="exact"/>
        <w:rPr>
          <w:sz w:val="20"/>
          <w:szCs w:val="20"/>
          <w:color w:val="auto"/>
        </w:rPr>
      </w:pPr>
    </w:p>
    <w:p>
      <w:pPr>
        <w:ind w:left="620" w:hanging="304"/>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upfront payment</w:t>
      </w:r>
    </w:p>
    <w:p>
      <w:pPr>
        <w:spacing w:after="0" w:line="220" w:lineRule="exact"/>
        <w:rPr>
          <w:rFonts w:ascii="Arial" w:cs="Arial" w:eastAsia="Arial" w:hAnsi="Arial"/>
          <w:sz w:val="17"/>
          <w:szCs w:val="17"/>
          <w:color w:val="auto"/>
        </w:rPr>
      </w:pPr>
    </w:p>
    <w:p>
      <w:pPr>
        <w:ind w:left="620" w:right="40" w:hanging="304"/>
        <w:spacing w:after="0" w:line="265"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Clinical milestone payments </w:t>
      </w:r>
      <w:r>
        <w:rPr>
          <w:rFonts w:ascii="Arial" w:cs="Arial" w:eastAsia="Arial" w:hAnsi="Arial"/>
          <w:sz w:val="17"/>
          <w:szCs w:val="17"/>
          <w:color w:val="auto"/>
        </w:rPr>
        <w:t>are payable upon commencement of each of Phase 1 and Phase 2 of clinical developments, and upon the earlier of</w:t>
      </w:r>
      <w:r>
        <w:rPr>
          <w:rFonts w:ascii="Arial" w:cs="Arial" w:eastAsia="Arial" w:hAnsi="Arial"/>
          <w:sz w:val="17"/>
          <w:szCs w:val="17"/>
          <w:i w:val="1"/>
          <w:iCs w:val="1"/>
          <w:color w:val="auto"/>
        </w:rPr>
        <w:t xml:space="preserve"> </w:t>
      </w:r>
      <w:r>
        <w:rPr>
          <w:rFonts w:ascii="Arial" w:cs="Arial" w:eastAsia="Arial" w:hAnsi="Arial"/>
          <w:sz w:val="17"/>
          <w:szCs w:val="17"/>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177" w:lineRule="exact"/>
        <w:rPr>
          <w:rFonts w:ascii="Arial" w:cs="Arial" w:eastAsia="Arial" w:hAnsi="Arial"/>
          <w:sz w:val="17"/>
          <w:szCs w:val="17"/>
          <w:color w:val="auto"/>
        </w:rPr>
      </w:pPr>
    </w:p>
    <w:p>
      <w:pPr>
        <w:ind w:left="620" w:right="220" w:hanging="304"/>
        <w:spacing w:after="0" w:line="356" w:lineRule="auto"/>
        <w:tabs>
          <w:tab w:leader="none" w:pos="62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Regulatory milestone payments </w:t>
      </w:r>
      <w:r>
        <w:rPr>
          <w:rFonts w:ascii="Arial" w:cs="Arial" w:eastAsia="Arial" w:hAnsi="Arial"/>
          <w:sz w:val="15"/>
          <w:szCs w:val="15"/>
          <w:color w:val="auto"/>
        </w:rPr>
        <w:t>upon making regulatory filings in the U.S. and Europe, respectively, and milestone payments upon obtaining marketing</w:t>
      </w:r>
      <w:r>
        <w:rPr>
          <w:rFonts w:ascii="Arial" w:cs="Arial" w:eastAsia="Arial" w:hAnsi="Arial"/>
          <w:sz w:val="15"/>
          <w:szCs w:val="15"/>
          <w:i w:val="1"/>
          <w:iCs w:val="1"/>
          <w:color w:val="auto"/>
        </w:rPr>
        <w:t xml:space="preserve"> </w:t>
      </w:r>
      <w:r>
        <w:rPr>
          <w:rFonts w:ascii="Arial" w:cs="Arial" w:eastAsia="Arial" w:hAnsi="Arial"/>
          <w:sz w:val="15"/>
          <w:szCs w:val="15"/>
          <w:color w:val="auto"/>
        </w:rPr>
        <w:t>approval in each of the U.S. and Europe. In addition, for a second indication, additional regulatory and approval milestones would be payable.</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78" w:name="page79"/>
    <w:bookmarkEnd w:id="78"/>
    <w:p>
      <w:pPr>
        <w:ind w:left="620" w:right="20" w:hanging="304"/>
        <w:spacing w:after="0" w:line="286"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on sales with different royalty rates applicable in the U.S. and Europe. Royalty levels are tied to annual sales volumes. We will receive royalties</w:t>
      </w:r>
      <w:r>
        <w:rPr>
          <w:rFonts w:ascii="Arial" w:cs="Arial" w:eastAsia="Arial" w:hAnsi="Arial"/>
          <w:sz w:val="17"/>
          <w:szCs w:val="17"/>
          <w:i w:val="1"/>
          <w:iCs w:val="1"/>
          <w:color w:val="auto"/>
        </w:rPr>
        <w:t xml:space="preserve"> </w:t>
      </w:r>
      <w:r>
        <w:rPr>
          <w:rFonts w:ascii="Arial" w:cs="Arial" w:eastAsia="Arial" w:hAnsi="Arial"/>
          <w:sz w:val="17"/>
          <w:szCs w:val="17"/>
          <w:color w:val="auto"/>
        </w:rPr>
        <w:t>on sales of crenezumab with the percentage rates ranging from net high single digits to the mid-teens.</w:t>
      </w:r>
    </w:p>
    <w:p>
      <w:pPr>
        <w:spacing w:after="0" w:line="158"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73"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Anti-tau Antibody Collaboration Agreement of 2012</w:t>
      </w:r>
    </w:p>
    <w:p>
      <w:pPr>
        <w:spacing w:after="0" w:line="221" w:lineRule="exact"/>
        <w:rPr>
          <w:sz w:val="20"/>
          <w:szCs w:val="20"/>
          <w:color w:val="auto"/>
        </w:rPr>
      </w:pPr>
    </w:p>
    <w:p>
      <w:pPr>
        <w:ind w:right="60" w:firstLine="312"/>
        <w:spacing w:after="0" w:line="287"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60" w:lineRule="exact"/>
        <w:rPr>
          <w:sz w:val="20"/>
          <w:szCs w:val="20"/>
          <w:color w:val="auto"/>
        </w:rPr>
      </w:pPr>
    </w:p>
    <w:p>
      <w:pPr>
        <w:jc w:val="both"/>
        <w:ind w:right="180" w:firstLine="312"/>
        <w:spacing w:after="0" w:line="270" w:lineRule="auto"/>
        <w:rPr>
          <w:sz w:val="20"/>
          <w:szCs w:val="20"/>
          <w:color w:val="auto"/>
        </w:rPr>
      </w:pPr>
      <w:r>
        <w:rPr>
          <w:rFonts w:ascii="Arial" w:cs="Arial" w:eastAsia="Arial" w:hAnsi="Arial"/>
          <w:sz w:val="17"/>
          <w:szCs w:val="17"/>
          <w:color w:val="auto"/>
        </w:rPr>
        <w:t>To date, we have received payments totaling CHF 45 million, including a CHF 14 million milestone payment recognized in the second quarter of 2016 and received in July 2016, associated with the recent announcement of the commencement of the Phase 1 clinical study of the lead anti-tau antibody candidate and a CHF 14 million milestone payment received in 2015 in connection with the ED-GO decision.</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structure of the collaboration agreement is as follows:</w:t>
      </w:r>
    </w:p>
    <w:p>
      <w:pPr>
        <w:spacing w:after="0" w:line="221" w:lineRule="exact"/>
        <w:rPr>
          <w:sz w:val="20"/>
          <w:szCs w:val="20"/>
          <w:color w:val="auto"/>
        </w:rPr>
      </w:pPr>
    </w:p>
    <w:p>
      <w:pPr>
        <w:ind w:left="620" w:hanging="304"/>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upfront payment</w:t>
      </w:r>
    </w:p>
    <w:p>
      <w:pPr>
        <w:spacing w:after="0" w:line="220" w:lineRule="exact"/>
        <w:rPr>
          <w:rFonts w:ascii="Arial" w:cs="Arial" w:eastAsia="Arial" w:hAnsi="Arial"/>
          <w:sz w:val="17"/>
          <w:szCs w:val="17"/>
          <w:color w:val="auto"/>
        </w:rPr>
      </w:pPr>
    </w:p>
    <w:p>
      <w:pPr>
        <w:ind w:left="620" w:right="160" w:hanging="304"/>
        <w:spacing w:after="0" w:line="356" w:lineRule="auto"/>
        <w:tabs>
          <w:tab w:leader="none" w:pos="620"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 xml:space="preserve">Preclinical and clinical milestone payments </w:t>
      </w:r>
      <w:r>
        <w:rPr>
          <w:rFonts w:ascii="Arial" w:cs="Arial" w:eastAsia="Arial" w:hAnsi="Arial"/>
          <w:sz w:val="15"/>
          <w:szCs w:val="15"/>
          <w:color w:val="auto"/>
        </w:rPr>
        <w:t>upon selection of a lead candidate, commencement of each of Phase 1, 2 and 3 of clinical development. In</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 for a second indication, clinical milestone payments would be payable upon commencement of each of Phase 2 and 3 of clinical development.</w:t>
      </w:r>
    </w:p>
    <w:p>
      <w:pPr>
        <w:spacing w:after="0" w:line="112" w:lineRule="exact"/>
        <w:rPr>
          <w:rFonts w:ascii="Arial" w:cs="Arial" w:eastAsia="Arial" w:hAnsi="Arial"/>
          <w:sz w:val="15"/>
          <w:szCs w:val="15"/>
          <w:color w:val="auto"/>
        </w:rPr>
      </w:pPr>
    </w:p>
    <w:p>
      <w:pPr>
        <w:ind w:left="620" w:right="220" w:hanging="304"/>
        <w:spacing w:after="0" w:line="286" w:lineRule="auto"/>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Regulatory milestones payments </w:t>
      </w:r>
      <w:r>
        <w:rPr>
          <w:rFonts w:ascii="Arial" w:cs="Arial" w:eastAsia="Arial" w:hAnsi="Arial"/>
          <w:sz w:val="17"/>
          <w:szCs w:val="17"/>
          <w:color w:val="auto"/>
        </w:rPr>
        <w:t>upon making regulatory filings for marketing approvals in the U.S., Europe, and Japan, respectively. In addition, for a</w:t>
      </w:r>
      <w:r>
        <w:rPr>
          <w:rFonts w:ascii="Arial" w:cs="Arial" w:eastAsia="Arial" w:hAnsi="Arial"/>
          <w:sz w:val="17"/>
          <w:szCs w:val="17"/>
          <w:i w:val="1"/>
          <w:iCs w:val="1"/>
          <w:color w:val="auto"/>
        </w:rPr>
        <w:t xml:space="preserve"> </w:t>
      </w:r>
      <w:r>
        <w:rPr>
          <w:rFonts w:ascii="Arial" w:cs="Arial" w:eastAsia="Arial" w:hAnsi="Arial"/>
          <w:sz w:val="17"/>
          <w:szCs w:val="17"/>
          <w:color w:val="auto"/>
        </w:rPr>
        <w:t>second indication, similar regulatory milestones would be payable.</w:t>
      </w:r>
    </w:p>
    <w:p>
      <w:pPr>
        <w:spacing w:after="0" w:line="158" w:lineRule="exact"/>
        <w:rPr>
          <w:rFonts w:ascii="Arial" w:cs="Arial" w:eastAsia="Arial" w:hAnsi="Arial"/>
          <w:sz w:val="17"/>
          <w:szCs w:val="17"/>
          <w:color w:val="auto"/>
        </w:rPr>
      </w:pPr>
    </w:p>
    <w:p>
      <w:pPr>
        <w:ind w:left="620" w:right="200" w:hanging="304"/>
        <w:spacing w:after="0" w:line="270" w:lineRule="auto"/>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Commercialization milestones </w:t>
      </w:r>
      <w:r>
        <w:rPr>
          <w:rFonts w:ascii="Arial" w:cs="Arial" w:eastAsia="Arial" w:hAnsi="Arial"/>
          <w:sz w:val="17"/>
          <w:szCs w:val="17"/>
          <w:color w:val="auto"/>
        </w:rPr>
        <w:t>payable upon making a first commercial sale in each of the U.S., Europe and Japan. For a second indication,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milestones exist for each of the U.S., Europe and Japan which are triggered by the first commercial sale for the second indication in each of those jurisdictions.</w:t>
      </w:r>
    </w:p>
    <w:p>
      <w:pPr>
        <w:spacing w:after="0" w:line="172" w:lineRule="exact"/>
        <w:rPr>
          <w:rFonts w:ascii="Arial" w:cs="Arial" w:eastAsia="Arial" w:hAnsi="Arial"/>
          <w:sz w:val="17"/>
          <w:szCs w:val="17"/>
          <w:color w:val="auto"/>
        </w:rPr>
      </w:pPr>
    </w:p>
    <w:p>
      <w:pPr>
        <w:ind w:left="620" w:hanging="304"/>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on sales with royalty rates differing based on the source of the intellectual property underlying the commercial product.</w:t>
      </w:r>
    </w:p>
    <w:p>
      <w:pPr>
        <w:spacing w:after="0" w:line="221" w:lineRule="exact"/>
        <w:rPr>
          <w:sz w:val="20"/>
          <w:szCs w:val="20"/>
          <w:color w:val="auto"/>
        </w:rPr>
      </w:pPr>
    </w:p>
    <w:p>
      <w:pPr>
        <w:ind w:right="100" w:firstLine="312"/>
        <w:spacing w:after="0" w:line="26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00"/>
          </w:cols>
          <w:pgMar w:left="240" w:top="569" w:right="35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royalties for licensed products have passed or expired. However, Genentech may terminate the agreement at any time by providing three months’ notice to us.</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Janssen Pharmaceuticals</w:t>
      </w:r>
    </w:p>
    <w:p>
      <w:pPr>
        <w:spacing w:after="0" w:line="221" w:lineRule="exact"/>
        <w:rPr>
          <w:sz w:val="20"/>
          <w:szCs w:val="20"/>
          <w:color w:val="auto"/>
        </w:rPr>
      </w:pPr>
    </w:p>
    <w:p>
      <w:pPr>
        <w:ind w:right="20" w:firstLine="312"/>
        <w:spacing w:after="0" w:line="280"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is expected to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9" w:lineRule="exact"/>
        <w:rPr>
          <w:sz w:val="20"/>
          <w:szCs w:val="20"/>
          <w:color w:val="auto"/>
        </w:rPr>
      </w:pPr>
    </w:p>
    <w:p>
      <w:pPr>
        <w:ind w:right="60" w:firstLine="312"/>
        <w:spacing w:after="0" w:line="287" w:lineRule="auto"/>
        <w:rPr>
          <w:sz w:val="20"/>
          <w:szCs w:val="20"/>
          <w:color w:val="auto"/>
        </w:rPr>
      </w:pPr>
      <w:r>
        <w:rPr>
          <w:rFonts w:ascii="Arial" w:cs="Arial" w:eastAsia="Arial" w:hAnsi="Arial"/>
          <w:sz w:val="16"/>
          <w:szCs w:val="16"/>
          <w:color w:val="auto"/>
        </w:rPr>
        <w:t>To date, we have received an upfront payment of CHF 25.9 million, a research contribution of CHF 1.5 million and a CHF 4.9 million clinical milestone payment. We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structure of the collaboration agreement is as follows:</w:t>
      </w:r>
    </w:p>
    <w:p>
      <w:pPr>
        <w:spacing w:after="0" w:line="221" w:lineRule="exact"/>
        <w:rPr>
          <w:sz w:val="20"/>
          <w:szCs w:val="20"/>
          <w:color w:val="auto"/>
        </w:rPr>
      </w:pPr>
    </w:p>
    <w:p>
      <w:pPr>
        <w:ind w:left="620" w:hanging="304"/>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upfront payment</w:t>
      </w:r>
    </w:p>
    <w:p>
      <w:pPr>
        <w:spacing w:after="0" w:line="220" w:lineRule="exact"/>
        <w:rPr>
          <w:rFonts w:ascii="Arial" w:cs="Arial" w:eastAsia="Arial" w:hAnsi="Arial"/>
          <w:sz w:val="17"/>
          <w:szCs w:val="17"/>
          <w:color w:val="auto"/>
        </w:rPr>
      </w:pPr>
    </w:p>
    <w:p>
      <w:pPr>
        <w:ind w:left="620" w:right="400" w:hanging="304"/>
        <w:spacing w:after="0" w:line="270"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Clinical milestone payments </w:t>
      </w:r>
      <w:r>
        <w:rPr>
          <w:rFonts w:ascii="Arial" w:cs="Arial" w:eastAsia="Arial" w:hAnsi="Arial"/>
          <w:sz w:val="17"/>
          <w:szCs w:val="17"/>
          <w:color w:val="auto"/>
        </w:rPr>
        <w:t>upon completion of Phase 1b, commencement of each of Phase 2 and 3 of clinical development. For a second cohort, a</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 payment is payable to us upon commencement of Phase 2 clinical studies. In addition, for a second indication, clinical milestone payments would be payable upon commencement of Phase 3 clinical studies.</w:t>
      </w:r>
    </w:p>
    <w:p>
      <w:pPr>
        <w:spacing w:after="0" w:line="172" w:lineRule="exact"/>
        <w:rPr>
          <w:rFonts w:ascii="Arial" w:cs="Arial" w:eastAsia="Arial" w:hAnsi="Arial"/>
          <w:sz w:val="17"/>
          <w:szCs w:val="17"/>
          <w:color w:val="auto"/>
        </w:rPr>
      </w:pPr>
    </w:p>
    <w:p>
      <w:pPr>
        <w:ind w:left="620" w:right="20" w:hanging="304"/>
        <w:spacing w:after="0" w:line="270"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Regulatory milestone payments </w:t>
      </w:r>
      <w:r>
        <w:rPr>
          <w:rFonts w:ascii="Arial" w:cs="Arial" w:eastAsia="Arial" w:hAnsi="Arial"/>
          <w:sz w:val="17"/>
          <w:szCs w:val="17"/>
          <w:color w:val="auto"/>
        </w:rPr>
        <w:t>upon making regulatory filings in the U.S., Europe, and Japan, respectively. In addition, for a second indication,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milestones would be payable. Also, for a second indication, additional regulatory milestone payments are payable by Janssen to us upon receipt of each of the regulatory approvals in the U.S., Europe and Japan.</w:t>
      </w:r>
    </w:p>
    <w:p>
      <w:pPr>
        <w:spacing w:after="0" w:line="172" w:lineRule="exact"/>
        <w:rPr>
          <w:rFonts w:ascii="Arial" w:cs="Arial" w:eastAsia="Arial" w:hAnsi="Arial"/>
          <w:sz w:val="17"/>
          <w:szCs w:val="17"/>
          <w:color w:val="auto"/>
        </w:rPr>
      </w:pPr>
    </w:p>
    <w:p>
      <w:pPr>
        <w:ind w:left="620" w:hanging="304"/>
        <w:spacing w:after="0" w:line="286"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Commercialization milestones </w:t>
      </w:r>
      <w:r>
        <w:rPr>
          <w:rFonts w:ascii="Arial" w:cs="Arial" w:eastAsia="Arial" w:hAnsi="Arial"/>
          <w:sz w:val="17"/>
          <w:szCs w:val="17"/>
          <w:color w:val="auto"/>
        </w:rPr>
        <w:t>payable upon making a first commercial sale in each of the U.S., Europe and Japan, and upon achieving certain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on sales with royalty rates differing based on the level of annual sales.</w:t>
      </w:r>
    </w:p>
    <w:p>
      <w:pPr>
        <w:spacing w:after="0" w:line="221" w:lineRule="exact"/>
        <w:rPr>
          <w:sz w:val="20"/>
          <w:szCs w:val="20"/>
          <w:color w:val="auto"/>
        </w:rPr>
      </w:pPr>
    </w:p>
    <w:p>
      <w:pPr>
        <w:ind w:right="100" w:firstLine="312"/>
        <w:spacing w:after="0" w:line="286" w:lineRule="auto"/>
        <w:rPr>
          <w:sz w:val="20"/>
          <w:szCs w:val="20"/>
          <w:color w:val="auto"/>
        </w:rPr>
      </w:pPr>
      <w:r>
        <w:rPr>
          <w:rFonts w:ascii="Arial" w:cs="Arial" w:eastAsia="Arial" w:hAnsi="Arial"/>
          <w:sz w:val="17"/>
          <w:szCs w:val="17"/>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Piramal Imaging</w:t>
      </w:r>
    </w:p>
    <w:p>
      <w:pPr>
        <w:spacing w:after="0" w:line="221" w:lineRule="exact"/>
        <w:rPr>
          <w:sz w:val="20"/>
          <w:szCs w:val="20"/>
          <w:color w:val="auto"/>
        </w:rPr>
      </w:pPr>
    </w:p>
    <w:p>
      <w:pPr>
        <w:ind w:right="20" w:firstLine="312"/>
        <w:spacing w:after="0" w:line="286" w:lineRule="auto"/>
        <w:rPr>
          <w:sz w:val="20"/>
          <w:szCs w:val="20"/>
          <w:color w:val="auto"/>
        </w:rPr>
      </w:pPr>
      <w:r>
        <w:rPr>
          <w:rFonts w:ascii="Arial" w:cs="Arial" w:eastAsia="Arial" w:hAnsi="Arial"/>
          <w:sz w:val="17"/>
          <w:szCs w:val="17"/>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58" w:lineRule="exact"/>
        <w:rPr>
          <w:sz w:val="20"/>
          <w:szCs w:val="20"/>
          <w:color w:val="auto"/>
        </w:rPr>
      </w:pPr>
    </w:p>
    <w:p>
      <w:pPr>
        <w:ind w:right="240" w:firstLine="312"/>
        <w:spacing w:after="0" w:line="286" w:lineRule="auto"/>
        <w:rPr>
          <w:sz w:val="20"/>
          <w:szCs w:val="20"/>
          <w:color w:val="auto"/>
        </w:rPr>
      </w:pPr>
      <w:r>
        <w:rPr>
          <w:rFonts w:ascii="Arial" w:cs="Arial" w:eastAsia="Arial" w:hAnsi="Arial"/>
          <w:sz w:val="17"/>
          <w:szCs w:val="17"/>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structure of the collaboration agreement is as follows:</w:t>
      </w:r>
    </w:p>
    <w:p>
      <w:pPr>
        <w:spacing w:after="0" w:line="221" w:lineRule="exact"/>
        <w:rPr>
          <w:sz w:val="20"/>
          <w:szCs w:val="20"/>
          <w:color w:val="auto"/>
        </w:rPr>
      </w:pPr>
    </w:p>
    <w:p>
      <w:pPr>
        <w:ind w:left="620" w:hanging="304"/>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upfront payment</w:t>
      </w: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9" w:right="299" w:bottom="1440" w:gutter="0" w:footer="0" w:header="0"/>
        </w:sectPr>
      </w:pPr>
    </w:p>
    <w:bookmarkStart w:id="80" w:name="page81"/>
    <w:bookmarkEnd w:id="80"/>
    <w:p>
      <w:pPr>
        <w:ind w:left="620" w:right="100" w:hanging="304"/>
        <w:spacing w:after="0" w:line="270" w:lineRule="auto"/>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Clinical milestone payments </w:t>
      </w:r>
      <w:r>
        <w:rPr>
          <w:rFonts w:ascii="Arial" w:cs="Arial" w:eastAsia="Arial" w:hAnsi="Arial"/>
          <w:sz w:val="17"/>
          <w:szCs w:val="17"/>
          <w:color w:val="auto"/>
        </w:rPr>
        <w:t>upon the commencement of the Phase 1 study in PSP, commencement of Phase 2 and 3 for generation of data intended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a regulatory submission in the US or EU. We would be entitled to further clinical milestone payments for the commencement of Phase 2 and 3 for a second indication</w:t>
      </w:r>
    </w:p>
    <w:p>
      <w:pPr>
        <w:spacing w:after="0" w:line="172" w:lineRule="exact"/>
        <w:rPr>
          <w:rFonts w:ascii="Arial" w:cs="Arial" w:eastAsia="Arial" w:hAnsi="Arial"/>
          <w:sz w:val="17"/>
          <w:szCs w:val="17"/>
          <w:color w:val="auto"/>
        </w:rPr>
      </w:pPr>
    </w:p>
    <w:p>
      <w:pPr>
        <w:ind w:left="620" w:hanging="304"/>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 and marketing approval milestones </w:t>
      </w:r>
      <w:r>
        <w:rPr>
          <w:rFonts w:ascii="Arial" w:cs="Arial" w:eastAsia="Arial" w:hAnsi="Arial"/>
          <w:sz w:val="17"/>
          <w:szCs w:val="17"/>
          <w:color w:val="auto"/>
        </w:rPr>
        <w:t>upon filing and approval in each of the U.S. and Europe</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Sales milestones </w:t>
      </w:r>
      <w:r>
        <w:rPr>
          <w:rFonts w:ascii="Arial" w:cs="Arial" w:eastAsia="Arial" w:hAnsi="Arial"/>
          <w:sz w:val="17"/>
          <w:szCs w:val="17"/>
          <w:color w:val="auto"/>
        </w:rPr>
        <w:t>tied to specific net sales amounts</w:t>
      </w:r>
    </w:p>
    <w:p>
      <w:pPr>
        <w:spacing w:after="0" w:line="221" w:lineRule="exact"/>
        <w:rPr>
          <w:sz w:val="20"/>
          <w:szCs w:val="20"/>
          <w:color w:val="auto"/>
        </w:rPr>
      </w:pPr>
    </w:p>
    <w:p>
      <w:pPr>
        <w:ind w:right="60" w:firstLine="312"/>
        <w:spacing w:after="0" w:line="287"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Alpha-synuclein and TDP-43 PET Imaging Tracers – Collaboration with Biogen</w:t>
      </w:r>
    </w:p>
    <w:p>
      <w:pPr>
        <w:spacing w:after="0" w:line="221" w:lineRule="exact"/>
        <w:rPr>
          <w:sz w:val="20"/>
          <w:szCs w:val="20"/>
          <w:color w:val="auto"/>
        </w:rPr>
      </w:pPr>
    </w:p>
    <w:p>
      <w:pPr>
        <w:ind w:right="20" w:firstLine="312"/>
        <w:spacing w:after="0" w:line="280" w:lineRule="auto"/>
        <w:rPr>
          <w:sz w:val="20"/>
          <w:szCs w:val="20"/>
          <w:color w:val="auto"/>
        </w:rPr>
      </w:pPr>
      <w:r>
        <w:rPr>
          <w:rFonts w:ascii="Arial" w:cs="Arial" w:eastAsia="Arial" w:hAnsi="Arial"/>
          <w:sz w:val="16"/>
          <w:szCs w:val="16"/>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and activities. We will own all intellectual property rights to any invention relating to alpha-synuclein or TDP-43 PET tracers.</w:t>
      </w:r>
    </w:p>
    <w:p>
      <w:pPr>
        <w:spacing w:after="0" w:line="169" w:lineRule="exact"/>
        <w:rPr>
          <w:sz w:val="20"/>
          <w:szCs w:val="20"/>
          <w:color w:val="auto"/>
        </w:rPr>
      </w:pPr>
    </w:p>
    <w:p>
      <w:pPr>
        <w:ind w:right="80" w:firstLine="312"/>
        <w:spacing w:after="0" w:line="261" w:lineRule="auto"/>
        <w:rPr>
          <w:sz w:val="20"/>
          <w:szCs w:val="20"/>
          <w:color w:val="auto"/>
        </w:rPr>
      </w:pPr>
      <w:r>
        <w:rPr>
          <w:rFonts w:ascii="Arial" w:cs="Arial" w:eastAsia="Arial" w:hAnsi="Arial"/>
          <w:sz w:val="17"/>
          <w:szCs w:val="17"/>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National Institutes of Health/Banner Alzheimer’s Institute</w:t>
      </w:r>
    </w:p>
    <w:p>
      <w:pPr>
        <w:spacing w:after="0" w:line="221"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Michael J. Fox Foundation for Parkinson’s Research</w:t>
      </w:r>
    </w:p>
    <w:p>
      <w:pPr>
        <w:spacing w:after="0" w:line="221" w:lineRule="exact"/>
        <w:rPr>
          <w:sz w:val="20"/>
          <w:szCs w:val="20"/>
          <w:color w:val="auto"/>
        </w:rPr>
      </w:pPr>
    </w:p>
    <w:p>
      <w:pPr>
        <w:ind w:right="40" w:firstLine="312"/>
        <w:spacing w:after="0" w:line="265"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(MJFF).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Nestlé Institute of Health Sciences SA</w:t>
      </w:r>
    </w:p>
    <w:p>
      <w:pPr>
        <w:spacing w:after="0" w:line="221" w:lineRule="exact"/>
        <w:rPr>
          <w:sz w:val="20"/>
          <w:szCs w:val="20"/>
          <w:color w:val="auto"/>
        </w:rPr>
      </w:pPr>
    </w:p>
    <w:p>
      <w:pPr>
        <w:ind w:right="360" w:firstLine="312"/>
        <w:spacing w:after="0" w:line="295"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1" w:name="page82"/>
    <w:bookmarkEnd w:id="81"/>
    <w:p>
      <w:pPr>
        <w:ind w:right="160"/>
        <w:spacing w:after="0" w:line="319" w:lineRule="auto"/>
        <w:rPr>
          <w:sz w:val="20"/>
          <w:szCs w:val="20"/>
          <w:color w:val="auto"/>
        </w:rPr>
      </w:pPr>
      <w:r>
        <w:rPr>
          <w:rFonts w:ascii="Arial" w:cs="Arial" w:eastAsia="Arial" w:hAnsi="Arial"/>
          <w:sz w:val="16"/>
          <w:szCs w:val="16"/>
          <w:color w:val="auto"/>
        </w:rPr>
        <w:t>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7"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78" w:lineRule="exact"/>
        <w:rPr>
          <w:sz w:val="20"/>
          <w:szCs w:val="20"/>
          <w:color w:val="auto"/>
        </w:rPr>
      </w:pPr>
    </w:p>
    <w:p>
      <w:pPr>
        <w:ind w:right="300" w:firstLine="312"/>
        <w:spacing w:after="0" w:line="265" w:lineRule="auto"/>
        <w:rPr>
          <w:sz w:val="20"/>
          <w:szCs w:val="20"/>
          <w:color w:val="auto"/>
        </w:rPr>
      </w:pPr>
      <w:r>
        <w:rPr>
          <w:rFonts w:ascii="Arial" w:cs="Arial" w:eastAsia="Arial" w:hAnsi="Arial"/>
          <w:sz w:val="17"/>
          <w:szCs w:val="17"/>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77" w:lineRule="exact"/>
        <w:rPr>
          <w:sz w:val="20"/>
          <w:szCs w:val="20"/>
          <w:color w:val="auto"/>
        </w:rPr>
      </w:pPr>
    </w:p>
    <w:p>
      <w:pPr>
        <w:ind w:right="80" w:firstLine="312"/>
        <w:spacing w:after="0" w:line="322" w:lineRule="auto"/>
        <w:rPr>
          <w:sz w:val="20"/>
          <w:szCs w:val="20"/>
          <w:color w:val="auto"/>
        </w:rPr>
      </w:pPr>
      <w:r>
        <w:rPr>
          <w:rFonts w:ascii="Arial" w:cs="Arial" w:eastAsia="Arial" w:hAnsi="Arial"/>
          <w:sz w:val="15"/>
          <w:szCs w:val="15"/>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pathological tau protein. Therapeutic vaccines are a second class of disease-modifying therapies, and include our candidate products ACI-24, that targets Abeta plaque, and ACI-35, that targets aggregated tau protein.</w:t>
      </w:r>
    </w:p>
    <w:p>
      <w:pPr>
        <w:spacing w:after="0" w:line="138" w:lineRule="exact"/>
        <w:rPr>
          <w:sz w:val="20"/>
          <w:szCs w:val="20"/>
          <w:color w:val="auto"/>
        </w:rPr>
      </w:pPr>
    </w:p>
    <w:p>
      <w:pPr>
        <w:ind w:right="240" w:firstLine="312"/>
        <w:spacing w:after="0" w:line="270" w:lineRule="auto"/>
        <w:rPr>
          <w:sz w:val="20"/>
          <w:szCs w:val="20"/>
          <w:color w:val="auto"/>
        </w:rPr>
      </w:pPr>
      <w:r>
        <w:rPr>
          <w:rFonts w:ascii="Arial" w:cs="Arial" w:eastAsia="Arial" w:hAnsi="Arial"/>
          <w:sz w:val="17"/>
          <w:szCs w:val="17"/>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173" w:lineRule="exact"/>
        <w:rPr>
          <w:sz w:val="20"/>
          <w:szCs w:val="20"/>
          <w:color w:val="auto"/>
        </w:rPr>
      </w:pPr>
    </w:p>
    <w:p>
      <w:pPr>
        <w:ind w:left="620" w:right="60" w:hanging="304"/>
        <w:spacing w:after="0" w:line="280" w:lineRule="auto"/>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Crenezumab: </w:t>
      </w:r>
      <w:r>
        <w:rPr>
          <w:rFonts w:ascii="Arial" w:cs="Arial" w:eastAsia="Arial" w:hAnsi="Arial"/>
          <w:sz w:val="16"/>
          <w:szCs w:val="16"/>
          <w:color w:val="auto"/>
        </w:rPr>
        <w:t>If crenezumab is approved, it would compete with other monoclonal antibody products that target Abeta plaques and act as disease-modifying agents. Currently, no product has been approved that is a disease-modifying agent targeting Abeta plaques; however, two such product candidates are in clinical development. These are gantenerumab and aducanumab, each of which is in Phase 3 clinical study and which are being advanced by Roche and Biogen, respectively. Roche’s collaboration partner MorphoSys also announced in March 2017 that Roche plans to initiate Phase 3 program for gantenerumab in patients with prodromal to mild AD. Biogen has a second product candidate known as BAN2401, which is currently in Phase 2 clinical study. Aducanumab received Fast Track designation from the FDA in 2016 as did crenezumab in 2008.</w:t>
      </w:r>
    </w:p>
    <w:p>
      <w:pPr>
        <w:spacing w:after="0" w:line="168" w:lineRule="exact"/>
        <w:rPr>
          <w:rFonts w:ascii="Arial" w:cs="Arial" w:eastAsia="Arial" w:hAnsi="Arial"/>
          <w:sz w:val="16"/>
          <w:szCs w:val="16"/>
          <w:color w:val="auto"/>
        </w:rPr>
      </w:pPr>
    </w:p>
    <w:p>
      <w:pPr>
        <w:ind w:left="620" w:right="20" w:hanging="304"/>
        <w:spacing w:after="0" w:line="287" w:lineRule="auto"/>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in AD: </w:t>
      </w:r>
      <w:r>
        <w:rPr>
          <w:rFonts w:ascii="Arial" w:cs="Arial" w:eastAsia="Arial" w:hAnsi="Arial"/>
          <w:sz w:val="16"/>
          <w:szCs w:val="16"/>
          <w:color w:val="auto"/>
        </w:rPr>
        <w:t>ACI-24, if approved, would compete with other approved anti-Abeta-targeting therapeutic vaccines. Several potential competing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have not continued through the regulatory approval process, including ACC-001 (Janssen / Pfizer) and AN-1792 (Elan / Janssen), both of which were discontinued after completing Phase 2 studies. Other potential competing product candidates for ACI-24 include ABvac 40 (Araclon Bioscience) which has completed a Phase 1 study and CAD-106 (Novartis International AG), which has completed a Phase 2 study.</w:t>
      </w:r>
    </w:p>
    <w:p>
      <w:pPr>
        <w:spacing w:after="0" w:line="160" w:lineRule="exact"/>
        <w:rPr>
          <w:rFonts w:ascii="Arial" w:cs="Arial" w:eastAsia="Arial" w:hAnsi="Arial"/>
          <w:sz w:val="16"/>
          <w:szCs w:val="16"/>
          <w:color w:val="auto"/>
        </w:rPr>
      </w:pPr>
    </w:p>
    <w:p>
      <w:pPr>
        <w:ind w:left="620" w:right="140" w:hanging="304"/>
        <w:spacing w:after="0" w:line="270" w:lineRule="auto"/>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in Down syndrome: </w:t>
      </w:r>
      <w:r>
        <w:rPr>
          <w:rFonts w:ascii="Arial" w:cs="Arial" w:eastAsia="Arial" w:hAnsi="Arial"/>
          <w:sz w:val="17"/>
          <w:szCs w:val="17"/>
          <w:color w:val="auto"/>
        </w:rPr>
        <w:t>ACI-24 is the first disease-modifying vaccine candidate addressing AD in Down syndrome, with a potential preventive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application. While there are symptomatic treatments of Down syndrome in clinical development, to our knowledge there are no other disease-modifying treatments for AD in Down syndrome.</w:t>
      </w:r>
    </w:p>
    <w:p>
      <w:pPr>
        <w:spacing w:after="0" w:line="172" w:lineRule="exact"/>
        <w:rPr>
          <w:rFonts w:ascii="Arial" w:cs="Arial" w:eastAsia="Arial" w:hAnsi="Arial"/>
          <w:sz w:val="17"/>
          <w:szCs w:val="17"/>
          <w:color w:val="auto"/>
        </w:rPr>
      </w:pPr>
    </w:p>
    <w:p>
      <w:pPr>
        <w:ind w:left="620" w:right="20" w:hanging="304"/>
        <w:spacing w:after="0" w:line="356" w:lineRule="auto"/>
        <w:tabs>
          <w:tab w:leader="none" w:pos="620"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ACI-35: </w:t>
      </w:r>
      <w:r>
        <w:rPr>
          <w:rFonts w:ascii="Arial" w:cs="Arial" w:eastAsia="Arial" w:hAnsi="Arial"/>
          <w:sz w:val="15"/>
          <w:szCs w:val="15"/>
          <w:color w:val="auto"/>
        </w:rPr>
        <w:t>ACI-35, if approved, would compete with other approved tau-targeting therapeutic vaccines. This includes AADVAC1, being advanced by Axon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Neuroscience. It is an anti-tau vaccine product candidate and is currently in a Phase 2 clinical trial to examine safety and efficacy in patients with mild AD.</w:t>
      </w:r>
    </w:p>
    <w:p>
      <w:pPr>
        <w:spacing w:after="0" w:line="112" w:lineRule="exact"/>
        <w:rPr>
          <w:rFonts w:ascii="Arial" w:cs="Arial" w:eastAsia="Arial" w:hAnsi="Arial"/>
          <w:sz w:val="15"/>
          <w:szCs w:val="15"/>
          <w:color w:val="auto"/>
        </w:rPr>
      </w:pPr>
    </w:p>
    <w:p>
      <w:pPr>
        <w:ind w:left="620" w:right="60" w:hanging="304"/>
        <w:spacing w:after="0" w:line="286" w:lineRule="auto"/>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Anti-tau Antibodies: </w:t>
      </w:r>
      <w:r>
        <w:rPr>
          <w:rFonts w:ascii="Arial" w:cs="Arial" w:eastAsia="Arial" w:hAnsi="Arial"/>
          <w:sz w:val="17"/>
          <w:szCs w:val="17"/>
          <w:color w:val="auto"/>
        </w:rPr>
        <w:t>The anti-tau monoclonal antibody BMS-986168 (Bristol-Myers Squibb Company) is currently in Phase 1 clinical development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orphan indication PSP, a tau protein-based</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2" w:name="page83"/>
    <w:bookmarkEnd w:id="82"/>
    <w:p>
      <w:pPr>
        <w:ind w:left="620" w:right="220"/>
        <w:spacing w:after="0" w:line="286" w:lineRule="auto"/>
        <w:rPr>
          <w:sz w:val="20"/>
          <w:szCs w:val="20"/>
          <w:color w:val="auto"/>
        </w:rPr>
      </w:pPr>
      <w:r>
        <w:rPr>
          <w:rFonts w:ascii="Arial" w:cs="Arial" w:eastAsia="Arial" w:hAnsi="Arial"/>
          <w:sz w:val="17"/>
          <w:szCs w:val="17"/>
          <w:color w:val="auto"/>
        </w:rPr>
        <w:t>neurodegenerative disease. In the fourth quarter of fiscal year 2016 ABBV-812E (Abbvie) entered into Phase 2 clinical studies in PSP and in early stage AD.</w:t>
      </w:r>
    </w:p>
    <w:p>
      <w:pPr>
        <w:spacing w:after="0" w:line="158" w:lineRule="exact"/>
        <w:rPr>
          <w:sz w:val="20"/>
          <w:szCs w:val="20"/>
          <w:color w:val="auto"/>
        </w:rPr>
      </w:pPr>
    </w:p>
    <w:p>
      <w:pPr>
        <w:jc w:val="both"/>
        <w:ind w:left="620" w:hanging="304"/>
        <w:spacing w:after="0" w:line="295" w:lineRule="auto"/>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Anti-tau Morphomers: </w:t>
      </w:r>
      <w:r>
        <w:rPr>
          <w:rFonts w:ascii="Arial" w:cs="Arial" w:eastAsia="Arial" w:hAnsi="Arial"/>
          <w:sz w:val="16"/>
          <w:szCs w:val="16"/>
          <w:color w:val="auto"/>
        </w:rPr>
        <w:t>A potential competitor to our anti-tau Morphomers is LMTX (also known as TRx0237). LMTX is a methylene blue derivative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being advanced by TauRx Therapeutics and is intended to target tau protein aggregation. LMTX entered Phase 3 clinical study in September 2012. In the third quarter of fiscal year 2016 it was announced that LMTX failed to slow cognitive or functional decline in mild to moderate AD.</w:t>
      </w:r>
    </w:p>
    <w:p>
      <w:pPr>
        <w:spacing w:after="0" w:line="153" w:lineRule="exact"/>
        <w:rPr>
          <w:rFonts w:ascii="Arial" w:cs="Arial" w:eastAsia="Arial" w:hAnsi="Arial"/>
          <w:sz w:val="16"/>
          <w:szCs w:val="16"/>
          <w:color w:val="auto"/>
        </w:rPr>
      </w:pPr>
    </w:p>
    <w:p>
      <w:pPr>
        <w:ind w:left="620" w:right="20" w:hanging="304"/>
        <w:spacing w:after="0" w:line="280" w:lineRule="auto"/>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Diagnostics: </w:t>
      </w:r>
      <w:r>
        <w:rPr>
          <w:rFonts w:ascii="Arial" w:cs="Arial" w:eastAsia="Arial" w:hAnsi="Arial"/>
          <w:sz w:val="16"/>
          <w:szCs w:val="16"/>
          <w:color w:val="auto"/>
        </w:rPr>
        <w:t>Currently, there are no approved tau PET imaging products. However, should our tau PET imaging agent be approved, it would compete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approved tau-PET agents. These include (i) Flortaucipir (previously known as F-AV-1451 or T807), which is being advanced by Eli Lilly and is currently in Phase 3 clinical studies, (ii) THK-5351, is being advanced by GE Healthcare under license from the Tohoku University School of Medicine and is currently in Phase 1 studies, (iii) PBB3, a product candidate in Phase 1 studies and being advanced by the National Institute of Radiological Services, (iv) Roche is evaluating internal tau PET imaging ligands in Phase 1 clinical studies in AD patients, (v) Genentech is developing F-GTP1 in Phase 1 studies and (vi) Merck is evaluating F-MK-6240 in Phase 1 clinical trials.</w:t>
      </w:r>
    </w:p>
    <w:p>
      <w:pPr>
        <w:spacing w:after="0" w:line="169" w:lineRule="exact"/>
        <w:rPr>
          <w:sz w:val="20"/>
          <w:szCs w:val="20"/>
          <w:color w:val="auto"/>
        </w:rPr>
      </w:pPr>
    </w:p>
    <w:p>
      <w:pPr>
        <w:ind w:right="120" w:firstLine="312"/>
        <w:spacing w:after="0" w:line="261" w:lineRule="auto"/>
        <w:rPr>
          <w:sz w:val="20"/>
          <w:szCs w:val="20"/>
          <w:color w:val="auto"/>
        </w:rPr>
      </w:pPr>
      <w:r>
        <w:rPr>
          <w:rFonts w:ascii="Arial" w:cs="Arial" w:eastAsia="Arial" w:hAnsi="Arial"/>
          <w:sz w:val="17"/>
          <w:szCs w:val="17"/>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 Strategy</w:t>
      </w:r>
    </w:p>
    <w:p>
      <w:pPr>
        <w:spacing w:after="0" w:line="227" w:lineRule="exact"/>
        <w:rPr>
          <w:sz w:val="20"/>
          <w:szCs w:val="20"/>
          <w:color w:val="auto"/>
        </w:rPr>
      </w:pPr>
    </w:p>
    <w:p>
      <w:pPr>
        <w:ind w:right="40" w:firstLine="312"/>
        <w:spacing w:after="0" w:line="270" w:lineRule="auto"/>
        <w:rPr>
          <w:sz w:val="20"/>
          <w:szCs w:val="20"/>
          <w:color w:val="auto"/>
        </w:rPr>
      </w:pPr>
      <w:r>
        <w:rPr>
          <w:rFonts w:ascii="Arial" w:cs="Arial" w:eastAsia="Arial" w:hAnsi="Arial"/>
          <w:sz w:val="17"/>
          <w:szCs w:val="17"/>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73" w:lineRule="exact"/>
        <w:rPr>
          <w:sz w:val="20"/>
          <w:szCs w:val="20"/>
          <w:color w:val="auto"/>
        </w:rPr>
      </w:pPr>
    </w:p>
    <w:p>
      <w:pPr>
        <w:ind w:right="20" w:firstLine="312"/>
        <w:spacing w:after="0" w:line="278"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8" w:lineRule="exact"/>
        <w:rPr>
          <w:sz w:val="20"/>
          <w:szCs w:val="20"/>
          <w:color w:val="auto"/>
        </w:rPr>
      </w:pPr>
    </w:p>
    <w:p>
      <w:pPr>
        <w:ind w:right="60" w:firstLine="312"/>
        <w:spacing w:after="0" w:line="311" w:lineRule="auto"/>
        <w:rPr>
          <w:sz w:val="20"/>
          <w:szCs w:val="20"/>
          <w:color w:val="auto"/>
        </w:rPr>
      </w:pPr>
      <w:r>
        <w:rPr>
          <w:rFonts w:ascii="Arial" w:cs="Arial" w:eastAsia="Arial" w:hAnsi="Arial"/>
          <w:sz w:val="15"/>
          <w:szCs w:val="15"/>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7" w:lineRule="exact"/>
        <w:rPr>
          <w:sz w:val="20"/>
          <w:szCs w:val="20"/>
          <w:color w:val="auto"/>
        </w:rPr>
      </w:pPr>
    </w:p>
    <w:p>
      <w:pPr>
        <w:ind w:right="580" w:firstLine="312"/>
        <w:spacing w:after="0" w:line="286" w:lineRule="auto"/>
        <w:rPr>
          <w:sz w:val="20"/>
          <w:szCs w:val="20"/>
          <w:color w:val="auto"/>
        </w:rPr>
      </w:pPr>
      <w:r>
        <w:rPr>
          <w:rFonts w:ascii="Arial" w:cs="Arial" w:eastAsia="Arial" w:hAnsi="Arial"/>
          <w:sz w:val="17"/>
          <w:szCs w:val="17"/>
          <w:color w:val="auto"/>
        </w:rPr>
        <w:t>We strive to protect the proprietary technology that we believe is important to our business, including seeking and maintaining U.S. and foreign patents intended to cover our products and compositions, their methods of use and</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83" w:name="page84"/>
    <w:bookmarkEnd w:id="83"/>
    <w:p>
      <w:pPr>
        <w:jc w:val="both"/>
        <w:ind w:right="20"/>
        <w:spacing w:after="0" w:line="270" w:lineRule="auto"/>
        <w:rPr>
          <w:sz w:val="20"/>
          <w:szCs w:val="20"/>
          <w:color w:val="auto"/>
        </w:rPr>
      </w:pPr>
      <w:r>
        <w:rPr>
          <w:rFonts w:ascii="Arial" w:cs="Arial" w:eastAsia="Arial" w:hAnsi="Arial"/>
          <w:sz w:val="17"/>
          <w:szCs w:val="17"/>
          <w:color w:val="auto"/>
        </w:rPr>
        <w:t>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73" w:lineRule="exact"/>
        <w:rPr>
          <w:sz w:val="20"/>
          <w:szCs w:val="20"/>
          <w:color w:val="auto"/>
        </w:rPr>
      </w:pPr>
    </w:p>
    <w:p>
      <w:pPr>
        <w:ind w:right="380" w:firstLine="312"/>
        <w:spacing w:after="0" w:line="265" w:lineRule="auto"/>
        <w:rPr>
          <w:sz w:val="20"/>
          <w:szCs w:val="20"/>
          <w:color w:val="auto"/>
        </w:rPr>
      </w:pPr>
      <w:r>
        <w:rPr>
          <w:rFonts w:ascii="Arial" w:cs="Arial" w:eastAsia="Arial" w:hAnsi="Arial"/>
          <w:sz w:val="17"/>
          <w:szCs w:val="17"/>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February 1, 2017 we owned or co-owned approximately 23 issued U.S. patents and 198 issued patents in other jurisdictions, as well as 19 pending U.S.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patent applications and 282 pending foreign patent applications. As of February 1, 2017 we licensed approximately 13 issued U.S. patents and 13 pending U.S.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patent applications, as well as 131 issued patents in other jurisdictions and 222 pending foreign patent applications.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patent portfolios for our three most advanced product candidates as of February 1, 2017 are summarized below.</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Crenezumab</w:t>
      </w:r>
    </w:p>
    <w:p>
      <w:pPr>
        <w:spacing w:after="0" w:line="221" w:lineRule="exact"/>
        <w:rPr>
          <w:sz w:val="20"/>
          <w:szCs w:val="20"/>
          <w:color w:val="auto"/>
        </w:rPr>
      </w:pPr>
    </w:p>
    <w:p>
      <w:pPr>
        <w:ind w:right="40" w:firstLine="312"/>
        <w:spacing w:after="0" w:line="263" w:lineRule="auto"/>
        <w:rPr>
          <w:sz w:val="20"/>
          <w:szCs w:val="20"/>
          <w:color w:val="auto"/>
        </w:rPr>
      </w:pPr>
      <w:r>
        <w:rPr>
          <w:rFonts w:ascii="Arial" w:cs="Arial" w:eastAsia="Arial" w:hAnsi="Arial"/>
          <w:sz w:val="17"/>
          <w:szCs w:val="17"/>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 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spacing w:after="0" w:line="178" w:lineRule="exact"/>
        <w:rPr>
          <w:sz w:val="20"/>
          <w:szCs w:val="20"/>
          <w:color w:val="auto"/>
        </w:rPr>
      </w:pPr>
    </w:p>
    <w:p>
      <w:pPr>
        <w:ind w:firstLine="312"/>
        <w:spacing w:after="0" w:line="259"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February 1, 2017, we owned or co-owned approximately 24 patents (not including the patents in the individual countries where the issued European patent was validated) and 38 patent applications in 34 countries in our main patent family directed to the crenezumab antibody and methods of using the crenezumab antibody to treat certain indications, including AD. This patent portfolio includes three issued U.S. patents and one pending U.S. patent application,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ACI-24</w:t>
      </w:r>
    </w:p>
    <w:p>
      <w:pPr>
        <w:spacing w:after="0" w:line="221" w:lineRule="exact"/>
        <w:rPr>
          <w:sz w:val="20"/>
          <w:szCs w:val="20"/>
          <w:color w:val="auto"/>
        </w:rPr>
      </w:pPr>
    </w:p>
    <w:p>
      <w:pPr>
        <w:ind w:right="60" w:firstLine="312"/>
        <w:spacing w:after="0" w:line="286" w:lineRule="auto"/>
        <w:rPr>
          <w:sz w:val="20"/>
          <w:szCs w:val="20"/>
          <w:color w:val="auto"/>
        </w:rPr>
      </w:pPr>
      <w:r>
        <w:rPr>
          <w:rFonts w:ascii="Arial" w:cs="Arial" w:eastAsia="Arial" w:hAnsi="Arial"/>
          <w:sz w:val="17"/>
          <w:szCs w:val="17"/>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58" w:lineRule="exact"/>
        <w:rPr>
          <w:sz w:val="20"/>
          <w:szCs w:val="20"/>
          <w:color w:val="auto"/>
        </w:rPr>
      </w:pPr>
    </w:p>
    <w:p>
      <w:pPr>
        <w:ind w:right="260" w:firstLine="312"/>
        <w:spacing w:after="0" w:line="286" w:lineRule="auto"/>
        <w:rPr>
          <w:sz w:val="20"/>
          <w:szCs w:val="20"/>
          <w:color w:val="auto"/>
        </w:rPr>
      </w:pPr>
      <w:r>
        <w:rPr>
          <w:rFonts w:ascii="Arial" w:cs="Arial" w:eastAsia="Arial" w:hAnsi="Arial"/>
          <w:sz w:val="17"/>
          <w:szCs w:val="17"/>
          <w:color w:val="auto"/>
        </w:rPr>
        <w:t>Our patent portfolio for ACI-24 consists of approximately 24 issued patents and 10 pending patent applications in 30 countries. With respect to the U.S., we own two issued U.S. patents.</w:t>
      </w:r>
    </w:p>
    <w:p>
      <w:pPr>
        <w:spacing w:after="0" w:line="158" w:lineRule="exact"/>
        <w:rPr>
          <w:sz w:val="20"/>
          <w:szCs w:val="20"/>
          <w:color w:val="auto"/>
        </w:rPr>
      </w:pPr>
    </w:p>
    <w:p>
      <w:pPr>
        <w:ind w:right="120" w:firstLine="312"/>
        <w:spacing w:after="0" w:line="270" w:lineRule="auto"/>
        <w:rPr>
          <w:sz w:val="20"/>
          <w:szCs w:val="20"/>
          <w:color w:val="auto"/>
        </w:rPr>
      </w:pPr>
      <w:r>
        <w:rPr>
          <w:rFonts w:ascii="Arial" w:cs="Arial" w:eastAsia="Arial" w:hAnsi="Arial"/>
          <w:sz w:val="17"/>
          <w:szCs w:val="17"/>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ACI-35</w:t>
      </w:r>
    </w:p>
    <w:p>
      <w:pPr>
        <w:spacing w:after="0" w:line="221" w:lineRule="exact"/>
        <w:rPr>
          <w:sz w:val="20"/>
          <w:szCs w:val="20"/>
          <w:color w:val="auto"/>
        </w:rPr>
      </w:pPr>
    </w:p>
    <w:p>
      <w:pPr>
        <w:ind w:right="580" w:firstLine="312"/>
        <w:spacing w:after="0" w:line="286" w:lineRule="auto"/>
        <w:rPr>
          <w:sz w:val="20"/>
          <w:szCs w:val="20"/>
          <w:color w:val="auto"/>
        </w:rPr>
      </w:pPr>
      <w:r>
        <w:rPr>
          <w:rFonts w:ascii="Arial" w:cs="Arial" w:eastAsia="Arial" w:hAnsi="Arial"/>
          <w:sz w:val="17"/>
          <w:szCs w:val="17"/>
          <w:color w:val="auto"/>
        </w:rPr>
        <w:t>Our patent portfolio for ACI-35 includes composition of matter claims (including claims directed to the ACI-35 antigenic peptide and a pharmaceutical composition comprising such an antigenic peptide), claims directed to</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treating certain indications using ACI-35 including AD, and claims directed to using ACI-35 to induce an immune response.</w:t>
      </w:r>
    </w:p>
    <w:p>
      <w:pPr>
        <w:spacing w:after="0" w:line="221" w:lineRule="exact"/>
        <w:rPr>
          <w:sz w:val="20"/>
          <w:szCs w:val="20"/>
          <w:color w:val="auto"/>
        </w:rPr>
      </w:pPr>
    </w:p>
    <w:p>
      <w:pPr>
        <w:ind w:right="280" w:firstLine="312"/>
        <w:spacing w:after="0" w:line="286" w:lineRule="auto"/>
        <w:rPr>
          <w:sz w:val="20"/>
          <w:szCs w:val="20"/>
          <w:color w:val="auto"/>
        </w:rPr>
      </w:pPr>
      <w:r>
        <w:rPr>
          <w:rFonts w:ascii="Arial" w:cs="Arial" w:eastAsia="Arial" w:hAnsi="Arial"/>
          <w:sz w:val="17"/>
          <w:szCs w:val="17"/>
          <w:color w:val="auto"/>
        </w:rPr>
        <w:t>Our patent portfolio for ACI-35 consists of approximately 16 issued patents and 14 pending patent applications in 27 countries. With respect to the U.S., we own one issued U.S. patent.</w:t>
      </w:r>
    </w:p>
    <w:p>
      <w:pPr>
        <w:spacing w:after="0" w:line="158" w:lineRule="exact"/>
        <w:rPr>
          <w:sz w:val="20"/>
          <w:szCs w:val="20"/>
          <w:color w:val="auto"/>
        </w:rPr>
      </w:pPr>
    </w:p>
    <w:p>
      <w:pPr>
        <w:ind w:right="240" w:firstLine="312"/>
        <w:spacing w:after="0" w:line="270" w:lineRule="auto"/>
        <w:rPr>
          <w:sz w:val="20"/>
          <w:szCs w:val="20"/>
          <w:color w:val="auto"/>
        </w:rPr>
      </w:pPr>
      <w:r>
        <w:rPr>
          <w:rFonts w:ascii="Arial" w:cs="Arial" w:eastAsia="Arial" w:hAnsi="Arial"/>
          <w:sz w:val="17"/>
          <w:szCs w:val="17"/>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Background</w:t>
      </w:r>
    </w:p>
    <w:p>
      <w:pPr>
        <w:spacing w:after="0" w:line="221" w:lineRule="exact"/>
        <w:rPr>
          <w:sz w:val="20"/>
          <w:szCs w:val="20"/>
          <w:color w:val="auto"/>
        </w:rPr>
      </w:pPr>
    </w:p>
    <w:p>
      <w:pPr>
        <w:ind w:right="40" w:firstLine="312"/>
        <w:spacing w:after="0" w:line="270" w:lineRule="auto"/>
        <w:rPr>
          <w:sz w:val="20"/>
          <w:szCs w:val="20"/>
          <w:color w:val="auto"/>
        </w:rPr>
      </w:pPr>
      <w:r>
        <w:rPr>
          <w:rFonts w:ascii="Arial" w:cs="Arial" w:eastAsia="Arial" w:hAnsi="Arial"/>
          <w:sz w:val="17"/>
          <w:szCs w:val="17"/>
          <w:color w:val="auto"/>
        </w:rPr>
        <w:t xml:space="preserve">The manufacturing and supply of the clinical study materials are currently done in collaboration with our collaboration partners ( </w:t>
      </w:r>
      <w:r>
        <w:rPr>
          <w:rFonts w:ascii="Arial" w:cs="Arial" w:eastAsia="Arial" w:hAnsi="Arial"/>
          <w:sz w:val="17"/>
          <w:szCs w:val="17"/>
          <w:i w:val="1"/>
          <w:iCs w:val="1"/>
          <w:color w:val="auto"/>
        </w:rPr>
        <w:t>e.g.</w:t>
      </w:r>
      <w:r>
        <w:rPr>
          <w:rFonts w:ascii="Arial" w:cs="Arial" w:eastAsia="Arial" w:hAnsi="Arial"/>
          <w:sz w:val="17"/>
          <w:szCs w:val="17"/>
          <w:color w:val="auto"/>
        </w:rPr>
        <w:t xml:space="preserve"> , Genentech in the case of crenezumab and anti-tau antibodies and Piramal Imaging in the case of tau PET imaging) or contract manufacturing organizations ( </w:t>
      </w:r>
      <w:r>
        <w:rPr>
          <w:rFonts w:ascii="Arial" w:cs="Arial" w:eastAsia="Arial" w:hAnsi="Arial"/>
          <w:sz w:val="17"/>
          <w:szCs w:val="17"/>
          <w:i w:val="1"/>
          <w:iCs w:val="1"/>
          <w:color w:val="auto"/>
        </w:rPr>
        <w:t>e.g.</w:t>
      </w:r>
      <w:r>
        <w:rPr>
          <w:rFonts w:ascii="Arial" w:cs="Arial" w:eastAsia="Arial" w:hAnsi="Arial"/>
          <w:sz w:val="17"/>
          <w:szCs w:val="17"/>
          <w:color w:val="auto"/>
        </w:rPr>
        <w:t xml:space="preserve"> , for ACI-35 and ACI-24) for the supply of raw materials, drug substances and drug products.</w:t>
      </w:r>
    </w:p>
    <w:p>
      <w:pPr>
        <w:spacing w:after="0" w:line="173" w:lineRule="exact"/>
        <w:rPr>
          <w:sz w:val="20"/>
          <w:szCs w:val="20"/>
          <w:color w:val="auto"/>
        </w:rPr>
      </w:pPr>
    </w:p>
    <w:p>
      <w:pPr>
        <w:ind w:right="180" w:firstLine="312"/>
        <w:spacing w:after="0" w:line="270" w:lineRule="auto"/>
        <w:rPr>
          <w:sz w:val="20"/>
          <w:szCs w:val="20"/>
          <w:color w:val="auto"/>
        </w:rPr>
      </w:pPr>
      <w:r>
        <w:rPr>
          <w:rFonts w:ascii="Arial" w:cs="Arial" w:eastAsia="Arial" w:hAnsi="Arial"/>
          <w:sz w:val="17"/>
          <w:szCs w:val="17"/>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Collaboration Partners and Contract Manufacturing Organizations</w:t>
      </w:r>
    </w:p>
    <w:p>
      <w:pPr>
        <w:spacing w:after="0" w:line="221"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77" w:lineRule="exact"/>
        <w:rPr>
          <w:sz w:val="20"/>
          <w:szCs w:val="20"/>
          <w:color w:val="auto"/>
        </w:rPr>
      </w:pPr>
    </w:p>
    <w:p>
      <w:pPr>
        <w:ind w:right="60" w:firstLine="312"/>
        <w:spacing w:after="0" w:line="287" w:lineRule="auto"/>
        <w:rPr>
          <w:sz w:val="20"/>
          <w:szCs w:val="20"/>
          <w:color w:val="auto"/>
        </w:rPr>
      </w:pPr>
      <w:r>
        <w:rPr>
          <w:rFonts w:ascii="Arial" w:cs="Arial" w:eastAsia="Arial" w:hAnsi="Arial"/>
          <w:sz w:val="16"/>
          <w:szCs w:val="16"/>
          <w:color w:val="auto"/>
        </w:rPr>
        <w:t>ACI-24 and ACI-35 APIs (active pharmaceutical ingredients) are produced by Bachem AG, which is an experienced company specialized in manufacturing synthetic peptides and based in Switzerland. Drug products for the advancement of ACI-24 are manufactured by Polymun GmbH, a company based in Austria with significant experience in developing and producing Liposomal formulations, while drug products for the advancement of ACI-35 are produced by Evonik Canada Inc., a company based in Canada with a strong and long experience in the field of liposomal formulation and production.</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Compliance with Governing Rules and Quality Requirements</w:t>
      </w:r>
    </w:p>
    <w:p>
      <w:pPr>
        <w:spacing w:after="0" w:line="221" w:lineRule="exact"/>
        <w:rPr>
          <w:sz w:val="20"/>
          <w:szCs w:val="20"/>
          <w:color w:val="auto"/>
        </w:rPr>
      </w:pPr>
    </w:p>
    <w:p>
      <w:pPr>
        <w:ind w:right="20" w:firstLine="312"/>
        <w:spacing w:after="0" w:line="260"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83" w:lineRule="exact"/>
        <w:rPr>
          <w:sz w:val="20"/>
          <w:szCs w:val="20"/>
          <w:color w:val="auto"/>
        </w:rPr>
      </w:pPr>
    </w:p>
    <w:p>
      <w:pPr>
        <w:ind w:firstLine="312"/>
        <w:spacing w:after="0" w:line="311" w:lineRule="auto"/>
        <w:rPr>
          <w:sz w:val="20"/>
          <w:szCs w:val="20"/>
          <w:color w:val="auto"/>
        </w:rPr>
      </w:pPr>
      <w:r>
        <w:rPr>
          <w:rFonts w:ascii="Arial" w:cs="Arial" w:eastAsia="Arial" w:hAnsi="Arial"/>
          <w:sz w:val="15"/>
          <w:szCs w:val="15"/>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5" w:name="page86"/>
    <w:bookmarkEnd w:id="85"/>
    <w:p>
      <w:pPr>
        <w:ind w:left="160"/>
        <w:spacing w:after="0"/>
        <w:rPr>
          <w:sz w:val="20"/>
          <w:szCs w:val="20"/>
          <w:color w:val="auto"/>
        </w:rPr>
      </w:pPr>
      <w:r>
        <w:rPr>
          <w:rFonts w:ascii="Arial" w:cs="Arial" w:eastAsia="Arial" w:hAnsi="Arial"/>
          <w:sz w:val="17"/>
          <w:szCs w:val="17"/>
          <w:b w:val="1"/>
          <w:bCs w:val="1"/>
          <w:i w:val="1"/>
          <w:iCs w:val="1"/>
          <w:color w:val="auto"/>
        </w:rPr>
        <w:t>Contractual framework</w:t>
      </w:r>
    </w:p>
    <w:p>
      <w:pPr>
        <w:spacing w:after="0" w:line="221" w:lineRule="exact"/>
        <w:rPr>
          <w:sz w:val="20"/>
          <w:szCs w:val="20"/>
          <w:color w:val="auto"/>
        </w:rPr>
      </w:pPr>
    </w:p>
    <w:p>
      <w:pPr>
        <w:ind w:firstLine="312"/>
        <w:spacing w:after="0" w:line="276" w:lineRule="auto"/>
        <w:rPr>
          <w:sz w:val="20"/>
          <w:szCs w:val="20"/>
          <w:color w:val="auto"/>
        </w:rPr>
      </w:pPr>
      <w:r>
        <w:rPr>
          <w:rFonts w:ascii="Arial" w:cs="Arial" w:eastAsia="Arial" w:hAnsi="Arial"/>
          <w:sz w:val="16"/>
          <w:szCs w:val="16"/>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Interaction with collaboration partners and contract manufacturing organizations</w:t>
      </w:r>
    </w:p>
    <w:p>
      <w:pPr>
        <w:spacing w:after="0" w:line="221"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Our Regulatory Department</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regulatory department has a strong culture of regulatory compliance, operating under three guiding principles, to:</w:t>
      </w:r>
    </w:p>
    <w:p>
      <w:pPr>
        <w:spacing w:after="0" w:line="221" w:lineRule="exact"/>
        <w:rPr>
          <w:sz w:val="20"/>
          <w:szCs w:val="20"/>
          <w:color w:val="auto"/>
        </w:rPr>
      </w:pPr>
    </w:p>
    <w:p>
      <w:pPr>
        <w:ind w:left="620" w:hanging="304"/>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 constructive regulatory input for development products.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Ensure smooth regulatory approvals by anticipating hurdles.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Build confidence with regulators by continuous communication.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quality assurance group is included within the regulatory department with the mission to:</w:t>
      </w:r>
    </w:p>
    <w:p>
      <w:pPr>
        <w:spacing w:after="0" w:line="221" w:lineRule="exact"/>
        <w:rPr>
          <w:sz w:val="20"/>
          <w:szCs w:val="20"/>
          <w:color w:val="auto"/>
        </w:rPr>
      </w:pPr>
    </w:p>
    <w:p>
      <w:pPr>
        <w:ind w:left="620" w:hanging="304"/>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Create and maintain a corporate quality management system.</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Ensure GCP, GMP, GLP and GDP compliance.</w:t>
      </w:r>
    </w:p>
    <w:p>
      <w:pPr>
        <w:spacing w:after="0" w:line="221" w:lineRule="exact"/>
        <w:rPr>
          <w:sz w:val="20"/>
          <w:szCs w:val="20"/>
          <w:color w:val="auto"/>
        </w:rPr>
      </w:pPr>
    </w:p>
    <w:p>
      <w:pPr>
        <w:ind w:right="20" w:firstLine="312"/>
        <w:spacing w:after="0" w:line="259" w:lineRule="auto"/>
        <w:rPr>
          <w:sz w:val="20"/>
          <w:szCs w:val="20"/>
          <w:color w:val="auto"/>
        </w:rPr>
      </w:pPr>
      <w:r>
        <w:rPr>
          <w:rFonts w:ascii="Arial" w:cs="Arial" w:eastAsia="Arial" w:hAnsi="Arial"/>
          <w:sz w:val="17"/>
          <w:szCs w:val="17"/>
          <w:color w:val="auto"/>
        </w:rPr>
        <w:t>A science driven approach is the cornerstone of our interactions and this has helped us to build and maintain a high level of trust with regulators. Besides informal conversations with the authorities, our regulatory department has conducted several pre-IND meetings with the FDA (ACI-24 for AD and Down syndrome, and tau-PET Imaging) and six Scientific Advice meetings, which are the European equivalent of pre-IND meetings (with German BfArM, Swedish Medical Products Agency; Medicine &amp; 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83" w:lineRule="exact"/>
        <w:rPr>
          <w:sz w:val="20"/>
          <w:szCs w:val="20"/>
          <w:color w:val="auto"/>
        </w:rPr>
      </w:pPr>
    </w:p>
    <w:p>
      <w:pPr>
        <w:ind w:right="20" w:firstLine="312"/>
        <w:spacing w:after="0" w:line="265" w:lineRule="auto"/>
        <w:rPr>
          <w:sz w:val="20"/>
          <w:szCs w:val="20"/>
          <w:color w:val="auto"/>
        </w:rPr>
      </w:pPr>
      <w:r>
        <w:rPr>
          <w:rFonts w:ascii="Arial" w:cs="Arial" w:eastAsia="Arial" w:hAnsi="Arial"/>
          <w:sz w:val="17"/>
          <w:szCs w:val="17"/>
          <w:color w:val="auto"/>
        </w:rPr>
        <w:t>Our regulatory department contains a quality assurance (QA) group. As every quality issue ultimately requires regulatory involvement and input, this approach is intended to lead to rapid resolution of issues and ensure full compliance to satisfy both the 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86" w:name="page87"/>
    <w:bookmarkEnd w:id="86"/>
    <w:p>
      <w:pPr>
        <w:spacing w:after="0" w:line="265" w:lineRule="auto"/>
        <w:rPr>
          <w:sz w:val="20"/>
          <w:szCs w:val="20"/>
          <w:color w:val="auto"/>
        </w:rPr>
      </w:pPr>
      <w:r>
        <w:rPr>
          <w:rFonts w:ascii="Arial" w:cs="Arial" w:eastAsia="Arial" w:hAnsi="Arial"/>
          <w:sz w:val="17"/>
          <w:szCs w:val="17"/>
          <w:color w:val="auto"/>
        </w:rPr>
        <w:t>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In addition, we have recently added a corporate documentation specialist to ensure good documentation practice.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Product Approval Process</w:t>
      </w:r>
    </w:p>
    <w:p>
      <w:pPr>
        <w:spacing w:after="0" w:line="221" w:lineRule="exact"/>
        <w:rPr>
          <w:sz w:val="20"/>
          <w:szCs w:val="20"/>
          <w:color w:val="auto"/>
        </w:rPr>
      </w:pPr>
    </w:p>
    <w:p>
      <w:pPr>
        <w:ind w:right="120" w:firstLine="312"/>
        <w:spacing w:after="0" w:line="265"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177" w:lineRule="exact"/>
        <w:rPr>
          <w:sz w:val="20"/>
          <w:szCs w:val="20"/>
          <w:color w:val="auto"/>
        </w:rPr>
      </w:pPr>
    </w:p>
    <w:p>
      <w:pPr>
        <w:ind w:left="620" w:hanging="304"/>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completion of pre-clinical laboratory tests and animal tests conducted under Good Laboratory Practice, or GLP, regulations;</w:t>
      </w:r>
    </w:p>
    <w:p>
      <w:pPr>
        <w:spacing w:after="0" w:line="220" w:lineRule="exact"/>
        <w:rPr>
          <w:rFonts w:ascii="Arial" w:cs="Arial" w:eastAsia="Arial" w:hAnsi="Arial"/>
          <w:sz w:val="17"/>
          <w:szCs w:val="17"/>
          <w:color w:val="auto"/>
        </w:rPr>
      </w:pPr>
    </w:p>
    <w:p>
      <w:pPr>
        <w:ind w:left="620" w:right="280" w:hanging="304"/>
        <w:spacing w:after="0" w:line="286" w:lineRule="auto"/>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submission to the FDA of an Investigational New Drug, or IND, application for human clinical testing, which must become effective before human clinical studies commence;</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obtaining a positive opinion from the Ethics Committee (Europe) / Institutional Review Board (United States) to commence study on human subjects;</w:t>
      </w:r>
    </w:p>
    <w:p>
      <w:pPr>
        <w:spacing w:after="0" w:line="232" w:lineRule="exact"/>
        <w:rPr>
          <w:rFonts w:ascii="Arial" w:cs="Arial" w:eastAsia="Arial" w:hAnsi="Arial"/>
          <w:sz w:val="16"/>
          <w:szCs w:val="16"/>
          <w:color w:val="auto"/>
        </w:rPr>
      </w:pPr>
    </w:p>
    <w:p>
      <w:pPr>
        <w:ind w:left="620" w:right="340" w:hanging="304"/>
        <w:spacing w:after="0" w:line="286" w:lineRule="auto"/>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pre-New Drug Application (NDA) submission meeting with FDA (highly recommended);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submission to the FDA of a NDA;</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FDA’s acceptance of the NDA;</w:t>
      </w:r>
    </w:p>
    <w:p>
      <w:pPr>
        <w:spacing w:after="0" w:line="220" w:lineRule="exact"/>
        <w:rPr>
          <w:rFonts w:ascii="Arial" w:cs="Arial" w:eastAsia="Arial" w:hAnsi="Arial"/>
          <w:sz w:val="17"/>
          <w:szCs w:val="17"/>
          <w:color w:val="auto"/>
        </w:rPr>
      </w:pPr>
    </w:p>
    <w:p>
      <w:pPr>
        <w:ind w:left="620" w:right="160" w:hanging="304"/>
        <w:spacing w:after="0" w:line="286" w:lineRule="auto"/>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(PAI) of the manufacturing facilities at which the product is made to assess compliance with current Good Manufacturing Practice, or cGMP, requirements;</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FDA’s review and approval of an NDA prior to any commercial marketing or sale of the drug in the United States; and</w:t>
      </w:r>
    </w:p>
    <w:p>
      <w:pPr>
        <w:spacing w:after="0" w:line="220" w:lineRule="exact"/>
        <w:rPr>
          <w:rFonts w:ascii="Arial" w:cs="Arial" w:eastAsia="Arial" w:hAnsi="Arial"/>
          <w:sz w:val="17"/>
          <w:szCs w:val="17"/>
          <w:color w:val="auto"/>
        </w:rPr>
      </w:pPr>
    </w:p>
    <w:p>
      <w:pPr>
        <w:ind w:left="620" w:right="20" w:hanging="304"/>
        <w:spacing w:after="0" w:line="270" w:lineRule="auto"/>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73" w:lineRule="exact"/>
        <w:rPr>
          <w:sz w:val="20"/>
          <w:szCs w:val="20"/>
          <w:color w:val="auto"/>
        </w:rPr>
      </w:pPr>
    </w:p>
    <w:p>
      <w:pPr>
        <w:ind w:right="80" w:firstLine="312"/>
        <w:spacing w:after="0" w:line="287"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60" w:lineRule="exact"/>
        <w:rPr>
          <w:sz w:val="20"/>
          <w:szCs w:val="20"/>
          <w:color w:val="auto"/>
        </w:rPr>
      </w:pPr>
    </w:p>
    <w:p>
      <w:pPr>
        <w:ind w:right="40" w:firstLine="312"/>
        <w:spacing w:after="0" w:line="263"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87" w:name="page88"/>
    <w:bookmarkEnd w:id="87"/>
    <w:p>
      <w:pPr>
        <w:ind w:right="40"/>
        <w:spacing w:after="0" w:line="322" w:lineRule="auto"/>
        <w:rPr>
          <w:sz w:val="20"/>
          <w:szCs w:val="20"/>
          <w:color w:val="auto"/>
        </w:rPr>
      </w:pPr>
      <w:r>
        <w:rPr>
          <w:rFonts w:ascii="Arial" w:cs="Arial" w:eastAsia="Arial" w:hAnsi="Arial"/>
          <w:sz w:val="15"/>
          <w:szCs w:val="15"/>
          <w:color w:val="auto"/>
        </w:rPr>
        <w:t>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38" w:lineRule="exact"/>
        <w:rPr>
          <w:sz w:val="20"/>
          <w:szCs w:val="20"/>
          <w:color w:val="auto"/>
        </w:rPr>
      </w:pPr>
    </w:p>
    <w:p>
      <w:pPr>
        <w:ind w:firstLine="312"/>
        <w:spacing w:after="0" w:line="275"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73" w:lineRule="exact"/>
        <w:rPr>
          <w:sz w:val="20"/>
          <w:szCs w:val="20"/>
          <w:color w:val="auto"/>
        </w:rPr>
      </w:pPr>
    </w:p>
    <w:p>
      <w:pPr>
        <w:ind w:right="80" w:firstLine="312"/>
        <w:spacing w:after="0" w:line="259"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3" w:lineRule="exact"/>
        <w:rPr>
          <w:sz w:val="20"/>
          <w:szCs w:val="20"/>
          <w:color w:val="auto"/>
        </w:rPr>
      </w:pPr>
    </w:p>
    <w:p>
      <w:pPr>
        <w:ind w:right="300" w:firstLine="312"/>
        <w:spacing w:after="0" w:line="265"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7" w:lineRule="exact"/>
        <w:rPr>
          <w:sz w:val="20"/>
          <w:szCs w:val="20"/>
          <w:color w:val="auto"/>
        </w:rPr>
      </w:pPr>
    </w:p>
    <w:p>
      <w:pPr>
        <w:jc w:val="both"/>
        <w:ind w:right="140" w:firstLine="312"/>
        <w:spacing w:after="0" w:line="263"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8" w:lineRule="exact"/>
        <w:rPr>
          <w:sz w:val="20"/>
          <w:szCs w:val="20"/>
          <w:color w:val="auto"/>
        </w:rPr>
      </w:pPr>
    </w:p>
    <w:p>
      <w:pPr>
        <w:ind w:right="100" w:firstLine="312"/>
        <w:spacing w:after="0" w:line="263"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8" w:name="page89"/>
    <w:bookmarkEnd w:id="88"/>
    <w:p>
      <w:pPr>
        <w:ind w:right="20"/>
        <w:spacing w:after="0" w:line="302" w:lineRule="auto"/>
        <w:rPr>
          <w:sz w:val="20"/>
          <w:szCs w:val="20"/>
          <w:color w:val="auto"/>
        </w:rPr>
      </w:pPr>
      <w:r>
        <w:rPr>
          <w:rFonts w:ascii="Arial" w:cs="Arial" w:eastAsia="Arial" w:hAnsi="Arial"/>
          <w:sz w:val="15"/>
          <w:szCs w:val="15"/>
          <w:color w:val="auto"/>
        </w:rPr>
        <w:t>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Clinical studies are typically conducted in three sequential phases prior to approval, but the phases may overlap. These phases generally include the following:</w:t>
      </w:r>
    </w:p>
    <w:p>
      <w:pPr>
        <w:spacing w:after="0" w:line="244" w:lineRule="exact"/>
        <w:rPr>
          <w:sz w:val="20"/>
          <w:szCs w:val="20"/>
          <w:color w:val="auto"/>
        </w:rPr>
      </w:pPr>
    </w:p>
    <w:p>
      <w:pPr>
        <w:ind w:right="200" w:firstLine="312"/>
        <w:spacing w:after="0" w:line="356" w:lineRule="auto"/>
        <w:rPr>
          <w:sz w:val="20"/>
          <w:szCs w:val="20"/>
          <w:color w:val="auto"/>
        </w:rPr>
      </w:pPr>
      <w:r>
        <w:rPr>
          <w:rFonts w:ascii="Arial" w:cs="Arial" w:eastAsia="Arial" w:hAnsi="Arial"/>
          <w:sz w:val="15"/>
          <w:szCs w:val="15"/>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13" w:lineRule="exact"/>
        <w:rPr>
          <w:sz w:val="20"/>
          <w:szCs w:val="20"/>
          <w:color w:val="auto"/>
        </w:rPr>
      </w:pPr>
    </w:p>
    <w:p>
      <w:pPr>
        <w:ind w:right="640" w:firstLine="312"/>
        <w:spacing w:after="0" w:line="286" w:lineRule="auto"/>
        <w:rPr>
          <w:sz w:val="20"/>
          <w:szCs w:val="20"/>
          <w:color w:val="auto"/>
        </w:rPr>
      </w:pPr>
      <w:r>
        <w:rPr>
          <w:rFonts w:ascii="Arial" w:cs="Arial" w:eastAsia="Arial" w:hAnsi="Arial"/>
          <w:sz w:val="17"/>
          <w:szCs w:val="17"/>
          <w:color w:val="auto"/>
        </w:rPr>
        <w:t>Phase 2. 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58" w:lineRule="exact"/>
        <w:rPr>
          <w:sz w:val="20"/>
          <w:szCs w:val="20"/>
          <w:color w:val="auto"/>
        </w:rPr>
      </w:pPr>
    </w:p>
    <w:p>
      <w:pPr>
        <w:ind w:right="40" w:firstLine="312"/>
        <w:spacing w:after="0" w:line="270" w:lineRule="auto"/>
        <w:rPr>
          <w:sz w:val="20"/>
          <w:szCs w:val="20"/>
          <w:color w:val="auto"/>
        </w:rPr>
      </w:pPr>
      <w:r>
        <w:rPr>
          <w:rFonts w:ascii="Arial" w:cs="Arial" w:eastAsia="Arial" w:hAnsi="Arial"/>
          <w:sz w:val="17"/>
          <w:szCs w:val="17"/>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73" w:lineRule="exact"/>
        <w:rPr>
          <w:sz w:val="20"/>
          <w:szCs w:val="20"/>
          <w:color w:val="auto"/>
        </w:rPr>
      </w:pPr>
    </w:p>
    <w:p>
      <w:pPr>
        <w:ind w:right="200" w:firstLine="312"/>
        <w:spacing w:after="0" w:line="295"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54"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7" w:lineRule="exact"/>
        <w:rPr>
          <w:sz w:val="20"/>
          <w:szCs w:val="20"/>
          <w:color w:val="auto"/>
        </w:rPr>
      </w:pPr>
    </w:p>
    <w:p>
      <w:pPr>
        <w:ind w:right="400" w:firstLine="312"/>
        <w:spacing w:after="0" w:line="319"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35" w:lineRule="exact"/>
        <w:rPr>
          <w:sz w:val="20"/>
          <w:szCs w:val="20"/>
          <w:color w:val="auto"/>
        </w:rPr>
      </w:pPr>
    </w:p>
    <w:p>
      <w:pPr>
        <w:ind w:firstLine="312"/>
        <w:spacing w:after="0" w:line="276"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within sixty days of an end-of-phase 2 meeting or as may be agreed between the sponsor and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Pediatric Study Plan. A sponsor can submit amendments to an agreed-upon initial Pediatric Study Plan at any time if changes to the pediatric plan need to be considered based on data collected from nonclinical studies, early phase clinical trials, and/or other clinical development programs.</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89" w:name="page90"/>
    <w:bookmarkEnd w:id="89"/>
    <w:p>
      <w:pPr>
        <w:ind w:right="200" w:firstLine="312"/>
        <w:spacing w:after="0" w:line="260" w:lineRule="auto"/>
        <w:rPr>
          <w:sz w:val="20"/>
          <w:szCs w:val="20"/>
          <w:color w:val="auto"/>
        </w:rPr>
      </w:pPr>
      <w:r>
        <w:rPr>
          <w:rFonts w:ascii="Arial" w:cs="Arial" w:eastAsia="Arial" w:hAnsi="Arial"/>
          <w:sz w:val="17"/>
          <w:szCs w:val="17"/>
          <w:color w:val="auto"/>
        </w:rPr>
        <w:t>The cost of preparing and submitting an NDA is substantial. Under federal law, NDAs are subject to substantial application user fees and the sponsor of an approved NDA is also subject to annual product and establishment user fees. Under the Prescription Drug User Fee Act, or PDUFA, as amended, each NDA must be accompanied by a user fee. The FDA adjusts the PDUFA user fees on an annual basis. According to the FDA’s fee schedule, effective through September 30, 2017, the user fee for each NDA application requiring clinical data is $2,038,100. PDUFA also imposes an annual product fee for drugs ($97,750), and an annual establishment fee ($512,200)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3" w:lineRule="exact"/>
        <w:rPr>
          <w:sz w:val="20"/>
          <w:szCs w:val="20"/>
          <w:color w:val="auto"/>
        </w:rPr>
      </w:pPr>
    </w:p>
    <w:p>
      <w:pPr>
        <w:ind w:right="280" w:firstLine="312"/>
        <w:spacing w:after="0" w:line="277" w:lineRule="auto"/>
        <w:rPr>
          <w:sz w:val="20"/>
          <w:szCs w:val="20"/>
          <w:color w:val="auto"/>
        </w:rPr>
      </w:pPr>
      <w:r>
        <w:rPr>
          <w:rFonts w:ascii="Arial" w:cs="Arial" w:eastAsia="Arial" w:hAnsi="Arial"/>
          <w:sz w:val="16"/>
          <w:szCs w:val="16"/>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70" w:lineRule="exact"/>
        <w:rPr>
          <w:sz w:val="20"/>
          <w:szCs w:val="20"/>
          <w:color w:val="auto"/>
        </w:rPr>
      </w:pPr>
    </w:p>
    <w:p>
      <w:pPr>
        <w:ind w:right="40" w:firstLine="312"/>
        <w:spacing w:after="0" w:line="296" w:lineRule="auto"/>
        <w:rPr>
          <w:sz w:val="20"/>
          <w:szCs w:val="20"/>
          <w:color w:val="auto"/>
        </w:rPr>
      </w:pPr>
      <w:r>
        <w:rPr>
          <w:rFonts w:ascii="Arial" w:cs="Arial" w:eastAsia="Arial" w:hAnsi="Arial"/>
          <w:sz w:val="15"/>
          <w:szCs w:val="15"/>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Special Protocol Assessment</w:t>
      </w:r>
    </w:p>
    <w:p>
      <w:pPr>
        <w:spacing w:after="0" w:line="221" w:lineRule="exact"/>
        <w:rPr>
          <w:sz w:val="20"/>
          <w:szCs w:val="20"/>
          <w:color w:val="auto"/>
        </w:rPr>
      </w:pPr>
    </w:p>
    <w:p>
      <w:pPr>
        <w:ind w:firstLine="312"/>
        <w:spacing w:after="0" w:line="297" w:lineRule="auto"/>
        <w:rPr>
          <w:sz w:val="20"/>
          <w:szCs w:val="20"/>
          <w:color w:val="auto"/>
        </w:rPr>
      </w:pPr>
      <w:r>
        <w:rPr>
          <w:rFonts w:ascii="Arial" w:cs="Arial" w:eastAsia="Arial" w:hAnsi="Arial"/>
          <w:sz w:val="15"/>
          <w:szCs w:val="15"/>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90" w:name="page91"/>
    <w:bookmarkEnd w:id="90"/>
    <w:p>
      <w:pPr>
        <w:ind w:left="16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221" w:lineRule="exact"/>
        <w:rPr>
          <w:sz w:val="20"/>
          <w:szCs w:val="20"/>
          <w:color w:val="auto"/>
        </w:rPr>
      </w:pPr>
    </w:p>
    <w:p>
      <w:pPr>
        <w:ind w:right="60" w:firstLine="312"/>
        <w:spacing w:after="0" w:line="261"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1" w:lineRule="exact"/>
        <w:rPr>
          <w:sz w:val="20"/>
          <w:szCs w:val="20"/>
          <w:color w:val="auto"/>
        </w:rPr>
      </w:pPr>
    </w:p>
    <w:p>
      <w:pPr>
        <w:ind w:firstLine="312"/>
        <w:spacing w:after="0" w:line="258"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Disclosure of Clinical Trial Information</w:t>
      </w:r>
    </w:p>
    <w:p>
      <w:pPr>
        <w:spacing w:after="0" w:line="221" w:lineRule="exact"/>
        <w:rPr>
          <w:sz w:val="20"/>
          <w:szCs w:val="20"/>
          <w:color w:val="auto"/>
        </w:rPr>
      </w:pPr>
    </w:p>
    <w:p>
      <w:pPr>
        <w:ind w:right="160" w:firstLine="312"/>
        <w:spacing w:after="0" w:line="278"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221" w:lineRule="exact"/>
        <w:rPr>
          <w:sz w:val="20"/>
          <w:szCs w:val="20"/>
          <w:color w:val="auto"/>
        </w:rPr>
      </w:pPr>
    </w:p>
    <w:p>
      <w:pPr>
        <w:ind w:right="60" w:firstLine="312"/>
        <w:spacing w:after="0" w:line="263"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8"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91" w:name="page92"/>
    <w:bookmarkEnd w:id="91"/>
    <w:p>
      <w:pPr>
        <w:ind w:right="180" w:firstLine="312"/>
        <w:spacing w:after="0" w:line="263"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178" w:lineRule="exact"/>
        <w:rPr>
          <w:sz w:val="20"/>
          <w:szCs w:val="20"/>
          <w:color w:val="auto"/>
        </w:rPr>
      </w:pPr>
    </w:p>
    <w:p>
      <w:pPr>
        <w:ind w:left="620" w:hanging="304"/>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studies;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1" w:lineRule="exact"/>
        <w:rPr>
          <w:sz w:val="20"/>
          <w:szCs w:val="20"/>
          <w:color w:val="auto"/>
        </w:rPr>
      </w:pPr>
    </w:p>
    <w:p>
      <w:pPr>
        <w:ind w:firstLine="312"/>
        <w:spacing w:after="0" w:line="295"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Patent Term Restoration and Marketing Exclusivity</w:t>
      </w:r>
    </w:p>
    <w:p>
      <w:pPr>
        <w:spacing w:after="0" w:line="221" w:lineRule="exact"/>
        <w:rPr>
          <w:sz w:val="20"/>
          <w:szCs w:val="20"/>
          <w:color w:val="auto"/>
        </w:rPr>
      </w:pPr>
    </w:p>
    <w:p>
      <w:pPr>
        <w:ind w:right="40" w:firstLine="312"/>
        <w:spacing w:after="0" w:line="258"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86" w:lineRule="exact"/>
        <w:rPr>
          <w:sz w:val="20"/>
          <w:szCs w:val="20"/>
          <w:color w:val="auto"/>
        </w:rPr>
      </w:pPr>
    </w:p>
    <w:p>
      <w:pPr>
        <w:ind w:right="80" w:firstLine="312"/>
        <w:spacing w:after="0" w:line="270" w:lineRule="auto"/>
        <w:rPr>
          <w:sz w:val="20"/>
          <w:szCs w:val="20"/>
          <w:color w:val="auto"/>
        </w:rPr>
      </w:pPr>
      <w:r>
        <w:rPr>
          <w:rFonts w:ascii="Arial" w:cs="Arial" w:eastAsia="Arial" w:hAnsi="Arial"/>
          <w:sz w:val="17"/>
          <w:szCs w:val="17"/>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73" w:lineRule="exact"/>
        <w:rPr>
          <w:sz w:val="20"/>
          <w:szCs w:val="20"/>
          <w:color w:val="auto"/>
        </w:rPr>
      </w:pPr>
    </w:p>
    <w:p>
      <w:pPr>
        <w:ind w:right="200" w:firstLine="312"/>
        <w:spacing w:after="0" w:line="260" w:lineRule="auto"/>
        <w:rPr>
          <w:sz w:val="20"/>
          <w:szCs w:val="20"/>
          <w:color w:val="auto"/>
        </w:rPr>
      </w:pPr>
      <w:r>
        <w:rPr>
          <w:rFonts w:ascii="Arial" w:cs="Arial" w:eastAsia="Arial" w:hAnsi="Arial"/>
          <w:sz w:val="17"/>
          <w:szCs w:val="17"/>
          <w:color w:val="auto"/>
        </w:rPr>
        <w:t>The Biologics Price Competition and Innovation Act of 2009 provides up to twelve years of non-patent data exclusivity within the United States to the first applicant to gain approval of a BLA for a new biologic product that has not previously been approved by the FDA, which we refer to as a reference product. This twelve-year data exclusivity may prohibit the FDA from approving a biosimilar or interchangeable product of such reference product until twelve years after the licensure of such reference product. In addition, the FDA will not accept a biosimilar or interchangeable product application for review until four years after the date of first licensure of such reference product. Moreover, pediatric exclusivity, if granted, may add six months of exclusivity if the reference product has been studied with respect to a pediatric indication in accordance with certain regulatory requirements. A reference product may also be granted seven years of orphan-drug exclusivity for the treatment of a rare disease or condition</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under section 527(a) of FDCA, which would run in parallel with the twelve years of data exclusivity of the reference product, if applicable.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Non-U.S. Regulation</w:t>
      </w:r>
    </w:p>
    <w:p>
      <w:pPr>
        <w:spacing w:after="0" w:line="221" w:lineRule="exact"/>
        <w:rPr>
          <w:sz w:val="20"/>
          <w:szCs w:val="20"/>
          <w:color w:val="auto"/>
        </w:rPr>
      </w:pPr>
    </w:p>
    <w:p>
      <w:pPr>
        <w:ind w:right="120" w:firstLine="312"/>
        <w:spacing w:after="0" w:line="259"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European Union Drug Review Approval</w:t>
      </w:r>
    </w:p>
    <w:p>
      <w:pPr>
        <w:spacing w:after="0" w:line="221" w:lineRule="exact"/>
        <w:rPr>
          <w:sz w:val="20"/>
          <w:szCs w:val="20"/>
          <w:color w:val="auto"/>
        </w:rPr>
      </w:pPr>
    </w:p>
    <w:p>
      <w:pPr>
        <w:ind w:firstLine="312"/>
        <w:spacing w:after="0" w:line="283" w:lineRule="auto"/>
        <w:rPr>
          <w:sz w:val="20"/>
          <w:szCs w:val="20"/>
          <w:color w:val="auto"/>
        </w:rPr>
      </w:pPr>
      <w:r>
        <w:rPr>
          <w:rFonts w:ascii="Arial" w:cs="Arial" w:eastAsia="Arial" w:hAnsi="Arial"/>
          <w:sz w:val="16"/>
          <w:szCs w:val="16"/>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64" w:lineRule="exact"/>
        <w:rPr>
          <w:sz w:val="20"/>
          <w:szCs w:val="20"/>
          <w:color w:val="auto"/>
        </w:rPr>
      </w:pPr>
    </w:p>
    <w:p>
      <w:pPr>
        <w:ind w:right="20" w:firstLine="312"/>
        <w:spacing w:after="0" w:line="295" w:lineRule="auto"/>
        <w:rPr>
          <w:sz w:val="20"/>
          <w:szCs w:val="20"/>
          <w:color w:val="auto"/>
        </w:rPr>
      </w:pPr>
      <w:r>
        <w:rPr>
          <w:rFonts w:ascii="Arial" w:cs="Arial" w:eastAsia="Arial" w:hAnsi="Arial"/>
          <w:sz w:val="15"/>
          <w:szCs w:val="15"/>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Regulation in the European Union</w:t>
      </w:r>
    </w:p>
    <w:p>
      <w:pPr>
        <w:spacing w:after="0" w:line="221" w:lineRule="exact"/>
        <w:rPr>
          <w:sz w:val="20"/>
          <w:szCs w:val="20"/>
          <w:color w:val="auto"/>
        </w:rPr>
      </w:pPr>
    </w:p>
    <w:p>
      <w:pPr>
        <w:ind w:right="120" w:firstLine="312"/>
        <w:spacing w:after="0" w:line="295"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93" w:name="page94"/>
    <w:bookmarkEnd w:id="93"/>
    <w:p>
      <w:pPr>
        <w:ind w:left="160"/>
        <w:spacing w:after="0"/>
        <w:rPr>
          <w:sz w:val="20"/>
          <w:szCs w:val="20"/>
          <w:color w:val="auto"/>
        </w:rPr>
      </w:pPr>
      <w:r>
        <w:rPr>
          <w:rFonts w:ascii="Arial" w:cs="Arial" w:eastAsia="Arial" w:hAnsi="Arial"/>
          <w:sz w:val="17"/>
          <w:szCs w:val="17"/>
          <w:b w:val="1"/>
          <w:bCs w:val="1"/>
          <w:i w:val="1"/>
          <w:iCs w:val="1"/>
          <w:color w:val="auto"/>
        </w:rPr>
        <w:t>Clinical Studies</w:t>
      </w:r>
    </w:p>
    <w:p>
      <w:pPr>
        <w:spacing w:after="0" w:line="221" w:lineRule="exact"/>
        <w:rPr>
          <w:sz w:val="20"/>
          <w:szCs w:val="20"/>
          <w:color w:val="auto"/>
        </w:rPr>
      </w:pPr>
    </w:p>
    <w:p>
      <w:pPr>
        <w:ind w:firstLine="312"/>
        <w:spacing w:after="0" w:line="276" w:lineRule="auto"/>
        <w:rPr>
          <w:sz w:val="20"/>
          <w:szCs w:val="20"/>
          <w:color w:val="auto"/>
        </w:rPr>
      </w:pPr>
      <w:r>
        <w:rPr>
          <w:rFonts w:ascii="Arial" w:cs="Arial" w:eastAsia="Arial" w:hAnsi="Arial"/>
          <w:sz w:val="16"/>
          <w:szCs w:val="16"/>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Marketing Approval</w:t>
      </w:r>
    </w:p>
    <w:p>
      <w:pPr>
        <w:spacing w:after="0" w:line="221" w:lineRule="exact"/>
        <w:rPr>
          <w:sz w:val="20"/>
          <w:szCs w:val="20"/>
          <w:color w:val="auto"/>
        </w:rPr>
      </w:pPr>
    </w:p>
    <w:p>
      <w:pPr>
        <w:ind w:right="20" w:firstLine="312"/>
        <w:spacing w:after="0" w:line="270" w:lineRule="auto"/>
        <w:rPr>
          <w:sz w:val="20"/>
          <w:szCs w:val="20"/>
          <w:color w:val="auto"/>
        </w:rPr>
      </w:pPr>
      <w:r>
        <w:rPr>
          <w:rFonts w:ascii="Arial" w:cs="Arial" w:eastAsia="Arial" w:hAnsi="Arial"/>
          <w:sz w:val="17"/>
          <w:szCs w:val="17"/>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73"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8" w:lineRule="exact"/>
        <w:rPr>
          <w:sz w:val="20"/>
          <w:szCs w:val="20"/>
          <w:color w:val="auto"/>
        </w:rPr>
      </w:pPr>
    </w:p>
    <w:p>
      <w:pPr>
        <w:ind w:right="100" w:firstLine="312"/>
        <w:spacing w:after="0" w:line="265" w:lineRule="auto"/>
        <w:rPr>
          <w:sz w:val="20"/>
          <w:szCs w:val="20"/>
          <w:color w:val="auto"/>
        </w:rPr>
      </w:pPr>
      <w:r>
        <w:rPr>
          <w:rFonts w:ascii="Arial" w:cs="Arial" w:eastAsia="Arial" w:hAnsi="Arial"/>
          <w:sz w:val="17"/>
          <w:szCs w:val="17"/>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77" w:lineRule="exact"/>
        <w:rPr>
          <w:sz w:val="20"/>
          <w:szCs w:val="20"/>
          <w:color w:val="auto"/>
        </w:rPr>
      </w:pPr>
    </w:p>
    <w:p>
      <w:pPr>
        <w:ind w:right="20" w:firstLine="312"/>
        <w:spacing w:after="0" w:line="283" w:lineRule="auto"/>
        <w:rPr>
          <w:sz w:val="20"/>
          <w:szCs w:val="20"/>
          <w:color w:val="auto"/>
        </w:rPr>
      </w:pPr>
      <w:r>
        <w:rPr>
          <w:rFonts w:ascii="Arial" w:cs="Arial" w:eastAsia="Arial" w:hAnsi="Arial"/>
          <w:sz w:val="16"/>
          <w:szCs w:val="16"/>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64" w:lineRule="exact"/>
        <w:rPr>
          <w:sz w:val="20"/>
          <w:szCs w:val="20"/>
          <w:color w:val="auto"/>
        </w:rPr>
      </w:pPr>
    </w:p>
    <w:p>
      <w:pPr>
        <w:ind w:right="60" w:firstLine="312"/>
        <w:spacing w:after="0" w:line="280" w:lineRule="auto"/>
        <w:rPr>
          <w:sz w:val="20"/>
          <w:szCs w:val="20"/>
          <w:color w:val="auto"/>
        </w:rPr>
      </w:pPr>
      <w:r>
        <w:rPr>
          <w:rFonts w:ascii="Arial" w:cs="Arial" w:eastAsia="Arial" w:hAnsi="Arial"/>
          <w:sz w:val="16"/>
          <w:szCs w:val="16"/>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69" w:lineRule="exact"/>
        <w:rPr>
          <w:sz w:val="20"/>
          <w:szCs w:val="20"/>
          <w:color w:val="auto"/>
        </w:rPr>
      </w:pPr>
    </w:p>
    <w:p>
      <w:pPr>
        <w:ind w:right="400" w:firstLine="312"/>
        <w:spacing w:after="0" w:line="286" w:lineRule="auto"/>
        <w:rPr>
          <w:sz w:val="20"/>
          <w:szCs w:val="20"/>
          <w:color w:val="auto"/>
        </w:rPr>
      </w:pPr>
      <w:r>
        <w:rPr>
          <w:rFonts w:ascii="Arial" w:cs="Arial" w:eastAsia="Arial" w:hAnsi="Arial"/>
          <w:sz w:val="17"/>
          <w:szCs w:val="17"/>
          <w:color w:val="auto"/>
        </w:rPr>
        <w:t>If the CHMP concludes that the quality, safety and efficacy of the product are sufficiently proven, it adopts a positive opinion. This is sent to the European Commission which drafts a decision. After consulting with the</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94" w:name="page95"/>
    <w:bookmarkEnd w:id="94"/>
    <w:p>
      <w:pPr>
        <w:jc w:val="both"/>
        <w:ind w:right="60"/>
        <w:spacing w:after="0" w:line="270" w:lineRule="auto"/>
        <w:rPr>
          <w:sz w:val="20"/>
          <w:szCs w:val="20"/>
          <w:color w:val="auto"/>
        </w:rPr>
      </w:pPr>
      <w:r>
        <w:rPr>
          <w:rFonts w:ascii="Arial" w:cs="Arial" w:eastAsia="Arial" w:hAnsi="Arial"/>
          <w:sz w:val="17"/>
          <w:szCs w:val="17"/>
          <w:color w:val="auto"/>
        </w:rPr>
        <w:t>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73" w:lineRule="exact"/>
        <w:rPr>
          <w:sz w:val="20"/>
          <w:szCs w:val="20"/>
          <w:color w:val="auto"/>
        </w:rPr>
      </w:pPr>
    </w:p>
    <w:p>
      <w:pPr>
        <w:ind w:firstLine="312"/>
        <w:spacing w:after="0" w:line="275" w:lineRule="auto"/>
        <w:rPr>
          <w:sz w:val="20"/>
          <w:szCs w:val="20"/>
          <w:color w:val="auto"/>
        </w:rPr>
      </w:pPr>
      <w:r>
        <w:rPr>
          <w:rFonts w:ascii="Arial" w:cs="Arial" w:eastAsia="Arial" w:hAnsi="Arial"/>
          <w:sz w:val="16"/>
          <w:szCs w:val="16"/>
          <w:color w:val="auto"/>
        </w:rPr>
        <w:t>European Union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70" w:lineRule="exact"/>
        <w:rPr>
          <w:sz w:val="20"/>
          <w:szCs w:val="20"/>
          <w:color w:val="auto"/>
        </w:rPr>
      </w:pPr>
    </w:p>
    <w:p>
      <w:pPr>
        <w:ind w:right="60" w:firstLine="312"/>
        <w:spacing w:after="0" w:line="263" w:lineRule="auto"/>
        <w:rPr>
          <w:sz w:val="20"/>
          <w:szCs w:val="20"/>
          <w:color w:val="auto"/>
        </w:rPr>
      </w:pPr>
      <w:r>
        <w:rPr>
          <w:rFonts w:ascii="Arial" w:cs="Arial" w:eastAsia="Arial" w:hAnsi="Arial"/>
          <w:sz w:val="17"/>
          <w:szCs w:val="17"/>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Orphan Drug Regulation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232" w:lineRule="exact"/>
        <w:rPr>
          <w:sz w:val="20"/>
          <w:szCs w:val="20"/>
          <w:color w:val="auto"/>
        </w:rPr>
      </w:pPr>
    </w:p>
    <w:p>
      <w:pPr>
        <w:ind w:left="620" w:right="40" w:hanging="304"/>
        <w:spacing w:after="0" w:line="265" w:lineRule="auto"/>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177" w:lineRule="exact"/>
        <w:rPr>
          <w:rFonts w:ascii="Arial" w:cs="Arial" w:eastAsia="Arial" w:hAnsi="Arial"/>
          <w:sz w:val="17"/>
          <w:szCs w:val="17"/>
          <w:color w:val="auto"/>
        </w:rPr>
      </w:pPr>
    </w:p>
    <w:p>
      <w:pPr>
        <w:ind w:left="620" w:right="180" w:hanging="304"/>
        <w:spacing w:after="0" w:line="286" w:lineRule="auto"/>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58" w:lineRule="exact"/>
        <w:rPr>
          <w:sz w:val="20"/>
          <w:szCs w:val="20"/>
          <w:color w:val="auto"/>
        </w:rPr>
      </w:pPr>
    </w:p>
    <w:p>
      <w:pPr>
        <w:ind w:right="100" w:firstLine="312"/>
        <w:spacing w:after="0" w:line="319" w:lineRule="auto"/>
        <w:rPr>
          <w:sz w:val="20"/>
          <w:szCs w:val="20"/>
          <w:color w:val="auto"/>
        </w:rPr>
      </w:pPr>
      <w:r>
        <w:rPr>
          <w:rFonts w:ascii="Arial" w:cs="Arial" w:eastAsia="Arial" w:hAnsi="Arial"/>
          <w:sz w:val="16"/>
          <w:szCs w:val="16"/>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35"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95" w:name="page96"/>
    <w:bookmarkEnd w:id="95"/>
    <w:p>
      <w:pPr>
        <w:ind w:right="280"/>
        <w:spacing w:after="0" w:line="270" w:lineRule="auto"/>
        <w:rPr>
          <w:sz w:val="20"/>
          <w:szCs w:val="20"/>
          <w:color w:val="auto"/>
        </w:rPr>
      </w:pPr>
      <w:r>
        <w:rPr>
          <w:rFonts w:ascii="Arial" w:cs="Arial" w:eastAsia="Arial" w:hAnsi="Arial"/>
          <w:sz w:val="17"/>
          <w:szCs w:val="17"/>
          <w:color w:val="auto"/>
        </w:rPr>
        <w:t>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173" w:lineRule="exact"/>
        <w:rPr>
          <w:sz w:val="20"/>
          <w:szCs w:val="20"/>
          <w:color w:val="auto"/>
        </w:rPr>
      </w:pPr>
    </w:p>
    <w:p>
      <w:pPr>
        <w:ind w:left="620" w:hanging="304"/>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holder of the marketing authorization for the original orphan drug has given its consent to the second applicant;</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holder of the marketing authorization for the original orphan drug is unable to supply sufficient quantities of the drug; or</w:t>
      </w:r>
    </w:p>
    <w:p>
      <w:pPr>
        <w:spacing w:after="0" w:line="220" w:lineRule="exact"/>
        <w:rPr>
          <w:rFonts w:ascii="Arial" w:cs="Arial" w:eastAsia="Arial" w:hAnsi="Arial"/>
          <w:sz w:val="17"/>
          <w:szCs w:val="17"/>
          <w:color w:val="auto"/>
        </w:rPr>
      </w:pPr>
    </w:p>
    <w:p>
      <w:pPr>
        <w:ind w:left="620" w:right="40" w:hanging="304"/>
        <w:spacing w:after="0" w:line="286" w:lineRule="auto"/>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second applicant can establish in the application that the second drug, although similar to the orphan drug already authorized, is safer, more effective or otherwise clinically superior.</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incentives available to orphan drugs in the European Union include financial incentives such as a reduction of fees or fee waivers and protocol assistance.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Orphan drug designation does not shorten the duration of the regulatory review and approval process.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Manufacturing and Manufacturers’ License</w:t>
      </w:r>
    </w:p>
    <w:p>
      <w:pPr>
        <w:spacing w:after="0" w:line="221" w:lineRule="exact"/>
        <w:rPr>
          <w:sz w:val="20"/>
          <w:szCs w:val="20"/>
          <w:color w:val="auto"/>
        </w:rPr>
      </w:pPr>
    </w:p>
    <w:p>
      <w:pPr>
        <w:ind w:right="40" w:firstLine="312"/>
        <w:spacing w:after="0" w:line="299" w:lineRule="auto"/>
        <w:rPr>
          <w:sz w:val="20"/>
          <w:szCs w:val="20"/>
          <w:color w:val="auto"/>
        </w:rPr>
      </w:pPr>
      <w:r>
        <w:rPr>
          <w:rFonts w:ascii="Arial" w:cs="Arial" w:eastAsia="Arial" w:hAnsi="Arial"/>
          <w:sz w:val="15"/>
          <w:szCs w:val="15"/>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Wholesale Distribution and License</w:t>
      </w:r>
    </w:p>
    <w:p>
      <w:pPr>
        <w:spacing w:after="0" w:line="221" w:lineRule="exact"/>
        <w:rPr>
          <w:sz w:val="20"/>
          <w:szCs w:val="20"/>
          <w:color w:val="auto"/>
        </w:rPr>
      </w:pPr>
    </w:p>
    <w:p>
      <w:pPr>
        <w:ind w:right="120" w:firstLine="312"/>
        <w:spacing w:after="0" w:line="295"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Advertising</w:t>
      </w:r>
    </w:p>
    <w:p>
      <w:pPr>
        <w:spacing w:after="0" w:line="221" w:lineRule="exact"/>
        <w:rPr>
          <w:sz w:val="20"/>
          <w:szCs w:val="20"/>
          <w:color w:val="auto"/>
        </w:rPr>
      </w:pPr>
    </w:p>
    <w:p>
      <w:pPr>
        <w:ind w:right="160" w:firstLine="312"/>
        <w:spacing w:after="0" w:line="263"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Other Regulatory Requirements</w:t>
      </w:r>
    </w:p>
    <w:p>
      <w:pPr>
        <w:spacing w:after="0" w:line="221" w:lineRule="exact"/>
        <w:rPr>
          <w:sz w:val="20"/>
          <w:szCs w:val="20"/>
          <w:color w:val="auto"/>
        </w:rPr>
      </w:pPr>
    </w:p>
    <w:p>
      <w:pPr>
        <w:ind w:right="160" w:firstLine="312"/>
        <w:spacing w:after="0" w:line="270" w:lineRule="auto"/>
        <w:rPr>
          <w:sz w:val="20"/>
          <w:szCs w:val="20"/>
          <w:color w:val="auto"/>
        </w:rPr>
      </w:pPr>
      <w:r>
        <w:rPr>
          <w:rFonts w:ascii="Arial" w:cs="Arial" w:eastAsia="Arial" w:hAnsi="Arial"/>
          <w:sz w:val="17"/>
          <w:szCs w:val="17"/>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96" w:name="page97"/>
    <w:bookmarkEnd w:id="96"/>
    <w:p>
      <w:pPr>
        <w:ind w:left="320"/>
        <w:spacing w:after="0"/>
        <w:rPr>
          <w:sz w:val="20"/>
          <w:szCs w:val="20"/>
          <w:color w:val="auto"/>
        </w:rPr>
      </w:pPr>
      <w:r>
        <w:rPr>
          <w:rFonts w:ascii="Arial" w:cs="Arial" w:eastAsia="Arial" w:hAnsi="Arial"/>
          <w:sz w:val="17"/>
          <w:szCs w:val="17"/>
          <w:i w:val="1"/>
          <w:iCs w:val="1"/>
          <w:color w:val="auto"/>
        </w:rPr>
        <w:t>The obligations of an MAH include:</w:t>
      </w:r>
    </w:p>
    <w:p>
      <w:pPr>
        <w:spacing w:after="0" w:line="221" w:lineRule="exact"/>
        <w:rPr>
          <w:sz w:val="20"/>
          <w:szCs w:val="20"/>
          <w:color w:val="auto"/>
        </w:rPr>
      </w:pPr>
    </w:p>
    <w:p>
      <w:pPr>
        <w:ind w:left="620" w:right="20" w:hanging="304"/>
        <w:spacing w:after="0" w:line="270"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Manufacturing and batch release</w:t>
      </w:r>
      <w:r>
        <w:rPr>
          <w:rFonts w:ascii="Arial" w:cs="Arial" w:eastAsia="Arial" w:hAnsi="Arial"/>
          <w:sz w:val="17"/>
          <w:szCs w:val="17"/>
          <w:color w:val="auto"/>
        </w:rPr>
        <w:t>—MAHs should guarantee that all manufacturing operations comply with relevant laws and regulations, applicable good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practices, with the product specifications and manufacturing conditions set out in the marketing authorization and that each batch of product is subject to appropriate release formalities.</w:t>
      </w:r>
    </w:p>
    <w:p>
      <w:pPr>
        <w:spacing w:after="0" w:line="172" w:lineRule="exact"/>
        <w:rPr>
          <w:rFonts w:ascii="Arial" w:cs="Arial" w:eastAsia="Arial" w:hAnsi="Arial"/>
          <w:sz w:val="17"/>
          <w:szCs w:val="17"/>
          <w:color w:val="auto"/>
        </w:rPr>
      </w:pPr>
    </w:p>
    <w:p>
      <w:pPr>
        <w:ind w:left="620" w:right="180" w:hanging="304"/>
        <w:spacing w:after="0" w:line="265"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Availability and continuous supply</w:t>
      </w:r>
      <w:r>
        <w:rPr>
          <w:rFonts w:ascii="Arial" w:cs="Arial" w:eastAsia="Arial" w:hAnsi="Arial"/>
          <w:sz w:val="17"/>
          <w:szCs w:val="17"/>
          <w:color w:val="auto"/>
        </w:rPr>
        <w:t>—Pursuant to Directive 2001/83/EC, as transposed into the national laws of the Member States, the MAH for a</w:t>
      </w:r>
      <w:r>
        <w:rPr>
          <w:rFonts w:ascii="Arial" w:cs="Arial" w:eastAsia="Arial" w:hAnsi="Arial"/>
          <w:sz w:val="17"/>
          <w:szCs w:val="17"/>
          <w:i w:val="1"/>
          <w:iCs w:val="1"/>
          <w:color w:val="auto"/>
        </w:rPr>
        <w:t xml:space="preserve"> </w:t>
      </w:r>
      <w:r>
        <w:rPr>
          <w:rFonts w:ascii="Arial" w:cs="Arial" w:eastAsia="Arial" w:hAnsi="Arial"/>
          <w:sz w:val="17"/>
          <w:szCs w:val="17"/>
          <w:color w:val="auto"/>
        </w:rPr>
        <w:t>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177" w:lineRule="exact"/>
        <w:rPr>
          <w:rFonts w:ascii="Arial" w:cs="Arial" w:eastAsia="Arial" w:hAnsi="Arial"/>
          <w:sz w:val="17"/>
          <w:szCs w:val="17"/>
          <w:color w:val="auto"/>
        </w:rPr>
      </w:pPr>
    </w:p>
    <w:p>
      <w:pPr>
        <w:ind w:left="620" w:right="360" w:hanging="304"/>
        <w:spacing w:after="0" w:line="286"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Pharmacovigilance</w:t>
      </w:r>
      <w:r>
        <w:rPr>
          <w:rFonts w:ascii="Arial" w:cs="Arial" w:eastAsia="Arial" w:hAnsi="Arial"/>
          <w:sz w:val="17"/>
          <w:szCs w:val="17"/>
          <w:color w:val="auto"/>
        </w:rPr>
        <w:t>—MAHs are obliged to establish and maintain a pharmacovigilance system, including a qualified person responsible for oversight,</w:t>
      </w:r>
      <w:r>
        <w:rPr>
          <w:rFonts w:ascii="Arial" w:cs="Arial" w:eastAsia="Arial" w:hAnsi="Arial"/>
          <w:sz w:val="17"/>
          <w:szCs w:val="17"/>
          <w:i w:val="1"/>
          <w:iCs w:val="1"/>
          <w:color w:val="auto"/>
        </w:rPr>
        <w:t xml:space="preserve"> </w:t>
      </w:r>
      <w:r>
        <w:rPr>
          <w:rFonts w:ascii="Arial" w:cs="Arial" w:eastAsia="Arial" w:hAnsi="Arial"/>
          <w:sz w:val="17"/>
          <w:szCs w:val="17"/>
          <w:color w:val="auto"/>
        </w:rPr>
        <w:t>submit safety reports to the regulators and comply with the good pharmacovigilance practice guidelines adopted by the EMA.</w:t>
      </w:r>
    </w:p>
    <w:p>
      <w:pPr>
        <w:spacing w:after="0" w:line="158" w:lineRule="exact"/>
        <w:rPr>
          <w:rFonts w:ascii="Arial" w:cs="Arial" w:eastAsia="Arial" w:hAnsi="Arial"/>
          <w:sz w:val="17"/>
          <w:szCs w:val="17"/>
          <w:color w:val="auto"/>
        </w:rPr>
      </w:pPr>
    </w:p>
    <w:p>
      <w:pPr>
        <w:ind w:left="620" w:right="220" w:hanging="304"/>
        <w:spacing w:after="0" w:line="265"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Advertising and promotion</w:t>
      </w:r>
      <w:r>
        <w:rPr>
          <w:rFonts w:ascii="Arial" w:cs="Arial" w:eastAsia="Arial" w:hAnsi="Arial"/>
          <w:sz w:val="17"/>
          <w:szCs w:val="17"/>
          <w:color w:val="auto"/>
        </w:rPr>
        <w:t>—MAHs remain responsible for all advertising and promotion of its products, including promotional activities by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177" w:lineRule="exact"/>
        <w:rPr>
          <w:rFonts w:ascii="Arial" w:cs="Arial" w:eastAsia="Arial" w:hAnsi="Arial"/>
          <w:sz w:val="17"/>
          <w:szCs w:val="17"/>
          <w:color w:val="auto"/>
        </w:rPr>
      </w:pPr>
    </w:p>
    <w:p>
      <w:pPr>
        <w:ind w:left="620" w:right="600" w:hanging="304"/>
        <w:spacing w:after="0" w:line="270"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Medical affairs/scientific service</w:t>
      </w:r>
      <w:r>
        <w:rPr>
          <w:rFonts w:ascii="Arial" w:cs="Arial" w:eastAsia="Arial" w:hAnsi="Arial"/>
          <w:sz w:val="17"/>
          <w:szCs w:val="17"/>
          <w:color w:val="auto"/>
        </w:rPr>
        <w:t>—MAHs are required to disseminate scientific and medical information on its medicinal products to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professionals, regulators and patients. Legal representation and distributor issues. MAHs are responsible for regulatory actions or inactions of their distributors and agents.</w:t>
      </w:r>
    </w:p>
    <w:p>
      <w:pPr>
        <w:spacing w:after="0" w:line="172" w:lineRule="exact"/>
        <w:rPr>
          <w:rFonts w:ascii="Arial" w:cs="Arial" w:eastAsia="Arial" w:hAnsi="Arial"/>
          <w:sz w:val="17"/>
          <w:szCs w:val="17"/>
          <w:color w:val="auto"/>
        </w:rPr>
      </w:pPr>
    </w:p>
    <w:p>
      <w:pPr>
        <w:ind w:left="620" w:right="100" w:hanging="304"/>
        <w:spacing w:after="0" w:line="263"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Preparation, filing and maintenance of the application and subsequent marketing authorization</w:t>
      </w:r>
      <w:r>
        <w:rPr>
          <w:rFonts w:ascii="Arial" w:cs="Arial" w:eastAsia="Arial" w:hAnsi="Arial"/>
          <w:sz w:val="17"/>
          <w:szCs w:val="17"/>
          <w:color w:val="auto"/>
        </w:rPr>
        <w:t>— MAHs must maintain appropriate records, comply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Price and Reimbursement</w:t>
      </w:r>
    </w:p>
    <w:p>
      <w:pPr>
        <w:spacing w:after="0" w:line="221" w:lineRule="exact"/>
        <w:rPr>
          <w:sz w:val="20"/>
          <w:szCs w:val="20"/>
          <w:color w:val="auto"/>
        </w:rPr>
      </w:pPr>
    </w:p>
    <w:p>
      <w:pPr>
        <w:ind w:firstLine="312"/>
        <w:spacing w:after="0" w:line="276"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21" w:lineRule="exact"/>
        <w:rPr>
          <w:sz w:val="20"/>
          <w:szCs w:val="20"/>
          <w:color w:val="auto"/>
        </w:rPr>
      </w:pPr>
    </w:p>
    <w:p>
      <w:pPr>
        <w:ind w:right="700" w:firstLine="312"/>
        <w:spacing w:after="0" w:line="270" w:lineRule="auto"/>
        <w:rPr>
          <w:sz w:val="20"/>
          <w:szCs w:val="20"/>
          <w:color w:val="auto"/>
        </w:rPr>
      </w:pPr>
      <w:r>
        <w:rPr>
          <w:rFonts w:ascii="Arial" w:cs="Arial" w:eastAsia="Arial" w:hAnsi="Arial"/>
          <w:sz w:val="17"/>
          <w:szCs w:val="17"/>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97" w:name="page98"/>
    <w:bookmarkEnd w:id="97"/>
    <w:p>
      <w:pPr>
        <w:ind w:right="60" w:firstLine="312"/>
        <w:spacing w:after="0" w:line="274"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1" w:lineRule="exact"/>
        <w:rPr>
          <w:sz w:val="20"/>
          <w:szCs w:val="20"/>
          <w:color w:val="auto"/>
        </w:rPr>
      </w:pPr>
    </w:p>
    <w:p>
      <w:pPr>
        <w:ind w:firstLine="312"/>
        <w:spacing w:after="0" w:line="276"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73" w:lineRule="exact"/>
        <w:rPr>
          <w:sz w:val="20"/>
          <w:szCs w:val="20"/>
          <w:color w:val="auto"/>
        </w:rPr>
      </w:pPr>
    </w:p>
    <w:p>
      <w:pPr>
        <w:ind w:right="40" w:firstLine="312"/>
        <w:spacing w:after="0" w:line="277"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70" w:lineRule="exact"/>
        <w:rPr>
          <w:sz w:val="20"/>
          <w:szCs w:val="20"/>
          <w:color w:val="auto"/>
        </w:rPr>
      </w:pPr>
    </w:p>
    <w:p>
      <w:pPr>
        <w:ind w:right="160" w:firstLine="312"/>
        <w:spacing w:after="0" w:line="286" w:lineRule="auto"/>
        <w:rPr>
          <w:sz w:val="20"/>
          <w:szCs w:val="20"/>
          <w:color w:val="auto"/>
        </w:rPr>
      </w:pPr>
      <w:r>
        <w:rPr>
          <w:rFonts w:ascii="Arial" w:cs="Arial" w:eastAsia="Arial" w:hAnsi="Arial"/>
          <w:sz w:val="17"/>
          <w:szCs w:val="17"/>
          <w:color w:val="auto"/>
        </w:rPr>
        <w:t>Additionally, the PPACA also included the federal Physician Payments Sunshine Act, which requires that certain manufacturers of drugs, devices, biologicals and medical supplies for which payment is available under</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98" w:name="page99"/>
    <w:bookmarkEnd w:id="98"/>
    <w:p>
      <w:pPr>
        <w:ind w:right="80"/>
        <w:spacing w:after="0" w:line="295" w:lineRule="auto"/>
        <w:rPr>
          <w:sz w:val="20"/>
          <w:szCs w:val="20"/>
          <w:color w:val="auto"/>
        </w:rPr>
      </w:pPr>
      <w:r>
        <w:rPr>
          <w:rFonts w:ascii="Arial" w:cs="Arial" w:eastAsia="Arial" w:hAnsi="Arial"/>
          <w:sz w:val="16"/>
          <w:szCs w:val="16"/>
          <w:color w:val="auto"/>
        </w:rPr>
        <w:t>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54" w:lineRule="exact"/>
        <w:rPr>
          <w:sz w:val="20"/>
          <w:szCs w:val="20"/>
          <w:color w:val="auto"/>
        </w:rPr>
      </w:pPr>
    </w:p>
    <w:p>
      <w:pPr>
        <w:ind w:right="20" w:firstLine="312"/>
        <w:spacing w:after="0" w:line="296" w:lineRule="auto"/>
        <w:rPr>
          <w:sz w:val="20"/>
          <w:szCs w:val="20"/>
          <w:color w:val="auto"/>
        </w:rPr>
      </w:pPr>
      <w:r>
        <w:rPr>
          <w:rFonts w:ascii="Arial" w:cs="Arial" w:eastAsia="Arial" w:hAnsi="Arial"/>
          <w:sz w:val="15"/>
          <w:szCs w:val="15"/>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Pharmaceutical Coverage, Pricing and Reimbursement</w:t>
      </w:r>
    </w:p>
    <w:p>
      <w:pPr>
        <w:spacing w:after="0" w:line="227"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83" w:lineRule="exact"/>
        <w:rPr>
          <w:sz w:val="20"/>
          <w:szCs w:val="20"/>
          <w:color w:val="auto"/>
        </w:rPr>
      </w:pPr>
    </w:p>
    <w:p>
      <w:pPr>
        <w:ind w:right="20" w:firstLine="312"/>
        <w:spacing w:after="0" w:line="294" w:lineRule="auto"/>
        <w:rPr>
          <w:sz w:val="20"/>
          <w:szCs w:val="20"/>
          <w:color w:val="auto"/>
        </w:rPr>
      </w:pPr>
      <w:r>
        <w:rPr>
          <w:rFonts w:ascii="Arial" w:cs="Arial" w:eastAsia="Arial" w:hAnsi="Arial"/>
          <w:sz w:val="15"/>
          <w:szCs w:val="15"/>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 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64" w:lineRule="exact"/>
        <w:rPr>
          <w:sz w:val="20"/>
          <w:szCs w:val="20"/>
          <w:color w:val="auto"/>
        </w:rPr>
      </w:pPr>
    </w:p>
    <w:p>
      <w:pPr>
        <w:ind w:right="60" w:firstLine="312"/>
        <w:spacing w:after="0" w:line="295" w:lineRule="auto"/>
        <w:rPr>
          <w:sz w:val="20"/>
          <w:szCs w:val="20"/>
          <w:color w:val="auto"/>
        </w:rPr>
      </w:pPr>
      <w:r>
        <w:rPr>
          <w:rFonts w:ascii="Arial" w:cs="Arial" w:eastAsia="Arial" w:hAnsi="Arial"/>
          <w:sz w:val="16"/>
          <w:szCs w:val="16"/>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99" w:name="page100"/>
    <w:bookmarkEnd w:id="99"/>
    <w:p>
      <w:pPr>
        <w:ind w:right="100"/>
        <w:spacing w:after="0" w:line="263" w:lineRule="auto"/>
        <w:rPr>
          <w:sz w:val="20"/>
          <w:szCs w:val="20"/>
          <w:color w:val="auto"/>
        </w:rPr>
      </w:pPr>
      <w:r>
        <w:rPr>
          <w:rFonts w:ascii="Arial" w:cs="Arial" w:eastAsia="Arial" w:hAnsi="Arial"/>
          <w:sz w:val="17"/>
          <w:szCs w:val="17"/>
          <w:color w:val="auto"/>
        </w:rPr>
        <w:t>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Healthcare Reform</w:t>
      </w:r>
    </w:p>
    <w:p>
      <w:pPr>
        <w:spacing w:after="0" w:line="227" w:lineRule="exact"/>
        <w:rPr>
          <w:sz w:val="20"/>
          <w:szCs w:val="20"/>
          <w:color w:val="auto"/>
        </w:rPr>
      </w:pPr>
    </w:p>
    <w:p>
      <w:pPr>
        <w:ind w:right="380" w:firstLine="312"/>
        <w:spacing w:after="0" w:line="286"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58" w:lineRule="exact"/>
        <w:rPr>
          <w:sz w:val="20"/>
          <w:szCs w:val="20"/>
          <w:color w:val="auto"/>
        </w:rPr>
      </w:pPr>
    </w:p>
    <w:p>
      <w:pPr>
        <w:ind w:right="220" w:firstLine="312"/>
        <w:spacing w:after="0" w:line="261" w:lineRule="auto"/>
        <w:rPr>
          <w:sz w:val="20"/>
          <w:szCs w:val="20"/>
          <w:color w:val="auto"/>
        </w:rPr>
      </w:pPr>
      <w:r>
        <w:rPr>
          <w:rFonts w:ascii="Arial" w:cs="Arial" w:eastAsia="Arial" w:hAnsi="Arial"/>
          <w:sz w:val="17"/>
          <w:szCs w:val="17"/>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81" w:lineRule="exact"/>
        <w:rPr>
          <w:sz w:val="20"/>
          <w:szCs w:val="20"/>
          <w:color w:val="auto"/>
        </w:rPr>
      </w:pPr>
    </w:p>
    <w:p>
      <w:pPr>
        <w:ind w:right="60" w:firstLine="312"/>
        <w:spacing w:after="0" w:line="27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or collectively, the Health Care Reform Law was signed into law. The Health Care Reform Law has the potential to substantially change the way healthcare is financed by both governmental and private insurers. The Health Care Reform Law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73" w:lineRule="exact"/>
        <w:rPr>
          <w:sz w:val="20"/>
          <w:szCs w:val="20"/>
          <w:color w:val="auto"/>
        </w:rPr>
      </w:pPr>
    </w:p>
    <w:p>
      <w:pPr>
        <w:ind w:right="60" w:firstLine="312"/>
        <w:spacing w:after="0" w:line="261" w:lineRule="auto"/>
        <w:rPr>
          <w:sz w:val="20"/>
          <w:szCs w:val="20"/>
          <w:color w:val="auto"/>
        </w:rPr>
      </w:pPr>
      <w:r>
        <w:rPr>
          <w:rFonts w:ascii="Arial" w:cs="Arial" w:eastAsia="Arial" w:hAnsi="Arial"/>
          <w:sz w:val="17"/>
          <w:szCs w:val="17"/>
          <w:color w:val="auto"/>
        </w:rPr>
        <w:t>The future of the Health Care Reform Law remains uncertain. In January 2017, Congress voted to adopt a budget resolution for fiscal year 2017, or the Budget Resolution, that authorizes the implementation of legislation that would repeal portions of the Health Care Reform Law. Further, on January 20, 2017, President Trump signed an Executive Order directing federal agencies with authorities and responsibilities under the Health Care Reform Law to waive, defer, grant exemptions from, or delay the implementation of any provision of the Health Care Reform Law that would impose a fiscal or regulatory burden on states, individuals, healthcare providers, health insurers, or manufacturers of pharmaceuticals or medical devices. Congress also could consider subsequent legislation to replace elements of the Health Care Reform Law that are repealed.</w:t>
      </w:r>
    </w:p>
    <w:p>
      <w:pPr>
        <w:spacing w:after="0" w:line="181" w:lineRule="exact"/>
        <w:rPr>
          <w:sz w:val="20"/>
          <w:szCs w:val="20"/>
          <w:color w:val="auto"/>
        </w:rPr>
      </w:pPr>
    </w:p>
    <w:p>
      <w:pPr>
        <w:ind w:firstLine="312"/>
        <w:spacing w:after="0" w:line="259" w:lineRule="auto"/>
        <w:rPr>
          <w:sz w:val="20"/>
          <w:szCs w:val="20"/>
          <w:color w:val="auto"/>
        </w:rPr>
      </w:pPr>
      <w:r>
        <w:rPr>
          <w:rFonts w:ascii="Arial" w:cs="Arial" w:eastAsia="Arial" w:hAnsi="Arial"/>
          <w:sz w:val="17"/>
          <w:szCs w:val="17"/>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00" w:name="page101"/>
    <w:bookmarkEnd w:id="100"/>
    <w:p>
      <w:pPr>
        <w:ind w:right="60" w:firstLine="312"/>
        <w:spacing w:after="0" w:line="280" w:lineRule="auto"/>
        <w:rPr>
          <w:sz w:val="20"/>
          <w:szCs w:val="20"/>
          <w:color w:val="auto"/>
        </w:rPr>
      </w:pPr>
      <w:r>
        <w:rPr>
          <w:rFonts w:ascii="Arial" w:cs="Arial" w:eastAsia="Arial" w:hAnsi="Arial"/>
          <w:sz w:val="16"/>
          <w:szCs w:val="16"/>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Physician Payment Sunshine Act</w:t>
      </w:r>
    </w:p>
    <w:p>
      <w:pPr>
        <w:spacing w:after="0" w:line="221" w:lineRule="exact"/>
        <w:rPr>
          <w:sz w:val="20"/>
          <w:szCs w:val="20"/>
          <w:color w:val="auto"/>
        </w:rPr>
      </w:pPr>
    </w:p>
    <w:p>
      <w:pPr>
        <w:ind w:right="40" w:firstLine="312"/>
        <w:spacing w:after="0" w:line="261" w:lineRule="auto"/>
        <w:rPr>
          <w:sz w:val="20"/>
          <w:szCs w:val="20"/>
          <w:color w:val="auto"/>
        </w:rPr>
      </w:pPr>
      <w:r>
        <w:rPr>
          <w:rFonts w:ascii="Arial" w:cs="Arial" w:eastAsia="Arial" w:hAnsi="Arial"/>
          <w:sz w:val="17"/>
          <w:szCs w:val="17"/>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Health and Safety Laws and Regulations</w:t>
      </w:r>
    </w:p>
    <w:p>
      <w:pPr>
        <w:spacing w:after="0" w:line="227" w:lineRule="exact"/>
        <w:rPr>
          <w:sz w:val="20"/>
          <w:szCs w:val="20"/>
          <w:color w:val="auto"/>
        </w:rPr>
      </w:pPr>
    </w:p>
    <w:p>
      <w:pPr>
        <w:ind w:right="220" w:firstLine="312"/>
        <w:spacing w:after="0" w:line="260"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5"/>
          <w:szCs w:val="15"/>
          <w:b w:val="1"/>
          <w:bCs w:val="1"/>
          <w:color w:val="auto"/>
        </w:rPr>
        <w:t>Organizational structure</w:t>
      </w:r>
    </w:p>
    <w:p>
      <w:pPr>
        <w:spacing w:after="0" w:line="227" w:lineRule="exact"/>
        <w:rPr>
          <w:sz w:val="20"/>
          <w:szCs w:val="20"/>
          <w:color w:val="auto"/>
        </w:rPr>
      </w:pPr>
    </w:p>
    <w:p>
      <w:pPr>
        <w:ind w:right="100" w:firstLine="312"/>
        <w:spacing w:after="0" w:line="283" w:lineRule="auto"/>
        <w:rPr>
          <w:sz w:val="20"/>
          <w:szCs w:val="20"/>
          <w:color w:val="auto"/>
        </w:rPr>
      </w:pPr>
      <w:r>
        <w:rPr>
          <w:rFonts w:ascii="Arial" w:cs="Arial" w:eastAsia="Arial" w:hAnsi="Arial"/>
          <w:sz w:val="16"/>
          <w:szCs w:val="16"/>
          <w:color w:val="auto"/>
        </w:rPr>
        <w:t>We are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Switzerland. We were formed as a Swiss limited liability company (</w:t>
      </w:r>
      <w:r>
        <w:rPr>
          <w:rFonts w:ascii="Arial" w:cs="Arial" w:eastAsia="Arial" w:hAnsi="Arial"/>
          <w:sz w:val="16"/>
          <w:szCs w:val="16"/>
          <w:i w:val="1"/>
          <w:iCs w:val="1"/>
          <w:color w:val="auto"/>
        </w:rPr>
        <w:t>société à</w:t>
      </w:r>
      <w:r>
        <w:rPr>
          <w:rFonts w:ascii="Arial" w:cs="Arial" w:eastAsia="Arial" w:hAnsi="Arial"/>
          <w:sz w:val="16"/>
          <w:szCs w:val="16"/>
          <w:color w:val="auto"/>
        </w:rPr>
        <w:t xml:space="preserve"> </w:t>
      </w:r>
      <w:r>
        <w:rPr>
          <w:rFonts w:ascii="Arial" w:cs="Arial" w:eastAsia="Arial" w:hAnsi="Arial"/>
          <w:sz w:val="16"/>
          <w:szCs w:val="16"/>
          <w:i w:val="1"/>
          <w:iCs w:val="1"/>
          <w:color w:val="auto"/>
        </w:rPr>
        <w:t>responsabilité limitée</w:t>
      </w:r>
      <w:r>
        <w:rPr>
          <w:rFonts w:ascii="Arial" w:cs="Arial" w:eastAsia="Arial" w:hAnsi="Arial"/>
          <w:sz w:val="16"/>
          <w:szCs w:val="16"/>
          <w:color w:val="auto"/>
        </w:rPr>
        <w:t>) on February 13, 2003 with our registered office and domicile in Basel, Switzerland. We converted 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under the laws of Switzerland on August 25, 2003. Prior to our initial public offering, we were a privately owned company. Our domicile and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office is in Ecublens, near Lausanne, Canton of Vaud, Switzerland. Our registered and principal executive offices are located at EPFL Innovation Park, Building B, 1015 Lausanne, Switzerland, our general telephone number is (41) 21 345 91 21 and our internet address is www.acimmune.com.</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did not have any subsidiaries as of December 31, 2016.</w:t>
      </w:r>
    </w:p>
    <w:p>
      <w:pPr>
        <w:spacing w:after="0" w:line="215" w:lineRule="exact"/>
        <w:rPr>
          <w:sz w:val="20"/>
          <w:szCs w:val="20"/>
          <w:color w:val="auto"/>
        </w:rPr>
      </w:pPr>
    </w:p>
    <w:p>
      <w:pPr>
        <w:ind w:right="8820" w:firstLine="4"/>
        <w:spacing w:after="0" w:line="514" w:lineRule="auto"/>
        <w:tabs>
          <w:tab w:leader="none" w:pos="312"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 Facilities</w:t>
      </w:r>
    </w:p>
    <w:p>
      <w:pPr>
        <w:spacing w:after="0" w:line="1" w:lineRule="exact"/>
        <w:rPr>
          <w:sz w:val="20"/>
          <w:szCs w:val="20"/>
          <w:color w:val="auto"/>
        </w:rPr>
      </w:pPr>
    </w:p>
    <w:p>
      <w:pPr>
        <w:ind w:firstLine="312"/>
        <w:spacing w:after="0" w:line="306" w:lineRule="auto"/>
        <w:rPr>
          <w:sz w:val="20"/>
          <w:szCs w:val="20"/>
          <w:color w:val="auto"/>
        </w:rPr>
      </w:pPr>
      <w:r>
        <w:rPr>
          <w:rFonts w:ascii="Arial" w:cs="Arial" w:eastAsia="Arial" w:hAnsi="Arial"/>
          <w:sz w:val="15"/>
          <w:szCs w:val="15"/>
          <w:color w:val="auto"/>
        </w:rPr>
        <w:t>We lease approximately 13,200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Due to the expansion of our research and development team and addition of scientists, we have entered into discussions with EPFL to lease additional space in the Innovation Park by the end of 2017. We believe that once we have this additional space, our existing facilities will be sufficient to meet our current needs.</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ITEM 4A. UNRESOLVED STAFF COMMENTS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OPERATING AND FINANCIAL REVIEW AND PROSPECTS</w:t>
      </w:r>
    </w:p>
    <w:p>
      <w:pPr>
        <w:spacing w:after="0" w:line="227" w:lineRule="exact"/>
        <w:rPr>
          <w:sz w:val="20"/>
          <w:szCs w:val="20"/>
          <w:color w:val="auto"/>
        </w:rPr>
      </w:pPr>
    </w:p>
    <w:p>
      <w:pPr>
        <w:ind w:right="160" w:firstLine="312"/>
        <w:spacing w:after="0" w:line="280"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together with the information under “Item 3. Key Information—A. Selected Financial Data” and our consolidated audited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63" w:lineRule="exact"/>
        <w:rPr>
          <w:sz w:val="20"/>
          <w:szCs w:val="20"/>
          <w:color w:val="auto"/>
        </w:rPr>
      </w:pPr>
    </w:p>
    <w:p>
      <w:pPr>
        <w:ind w:right="9780" w:firstLine="4"/>
        <w:spacing w:after="0" w:line="514" w:lineRule="auto"/>
        <w:tabs>
          <w:tab w:leader="none" w:pos="312"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results Overview</w:t>
      </w:r>
    </w:p>
    <w:p>
      <w:pPr>
        <w:spacing w:after="0" w:line="1" w:lineRule="exact"/>
        <w:rPr>
          <w:sz w:val="20"/>
          <w:szCs w:val="20"/>
          <w:color w:val="auto"/>
        </w:rPr>
      </w:pPr>
    </w:p>
    <w:p>
      <w:pPr>
        <w:ind w:right="180" w:firstLine="312"/>
        <w:spacing w:after="0" w:line="279"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8" w:lineRule="exact"/>
        <w:rPr>
          <w:sz w:val="20"/>
          <w:szCs w:val="20"/>
          <w:color w:val="auto"/>
        </w:rPr>
      </w:pPr>
    </w:p>
    <w:p>
      <w:pPr>
        <w:ind w:right="640" w:firstLine="312"/>
        <w:spacing w:after="0" w:line="286" w:lineRule="auto"/>
        <w:rPr>
          <w:sz w:val="20"/>
          <w:szCs w:val="20"/>
          <w:color w:val="auto"/>
        </w:rPr>
      </w:pPr>
      <w:r>
        <w:rPr>
          <w:rFonts w:ascii="Arial" w:cs="Arial" w:eastAsia="Arial" w:hAnsi="Arial"/>
          <w:sz w:val="17"/>
          <w:szCs w:val="17"/>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158" w:lineRule="exact"/>
        <w:rPr>
          <w:sz w:val="20"/>
          <w:szCs w:val="20"/>
          <w:color w:val="auto"/>
        </w:rPr>
      </w:pPr>
    </w:p>
    <w:p>
      <w:pPr>
        <w:ind w:left="620" w:hanging="304"/>
        <w:spacing w:after="0" w:line="265" w:lineRule="auto"/>
        <w:tabs>
          <w:tab w:leader="none" w:pos="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currently in a Phase 1/2a study. While the analysis of the immune response as well as further treatment of the highest dose cohort 4 is still ongoing the preparation of the Phase 2 clinical protocol is planned to be completed in the second half of fiscal 2017. ACI-24 is also being studied in a Phase 1 clinical study in people with Down syndrome, a population that is at high risk for developing AD-like symptoms.</w:t>
      </w:r>
    </w:p>
    <w:p>
      <w:pPr>
        <w:spacing w:after="0" w:line="177" w:lineRule="exact"/>
        <w:rPr>
          <w:rFonts w:ascii="Arial" w:cs="Arial" w:eastAsia="Arial" w:hAnsi="Arial"/>
          <w:sz w:val="17"/>
          <w:szCs w:val="17"/>
          <w:color w:val="auto"/>
        </w:rPr>
      </w:pPr>
    </w:p>
    <w:p>
      <w:pPr>
        <w:ind w:left="620" w:hanging="304"/>
        <w:spacing w:after="0" w:line="265" w:lineRule="auto"/>
        <w:tabs>
          <w:tab w:leader="none" w:pos="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We and Janssen are co-developing ACI-35 through the ongoing Phase 1b clinical study. Further results, which we expect to have completed in the second half of fiscal year 2017, will be the basis for the program’s future development. Janssen is expected to assume responsibility for the clinical development of phase 2 and beyond as well as regulatory approval, manufacturing and commercialization of ACI-35.</w:t>
      </w:r>
    </w:p>
    <w:p>
      <w:pPr>
        <w:spacing w:after="0" w:line="177" w:lineRule="exact"/>
        <w:rPr>
          <w:sz w:val="20"/>
          <w:szCs w:val="20"/>
          <w:color w:val="auto"/>
        </w:rPr>
      </w:pPr>
    </w:p>
    <w:p>
      <w:pPr>
        <w:ind w:right="20" w:firstLine="312"/>
        <w:spacing w:after="0" w:line="286" w:lineRule="auto"/>
        <w:rPr>
          <w:sz w:val="20"/>
          <w:szCs w:val="20"/>
          <w:color w:val="auto"/>
        </w:rPr>
      </w:pPr>
      <w:r>
        <w:rPr>
          <w:rFonts w:ascii="Arial" w:cs="Arial" w:eastAsia="Arial" w:hAnsi="Arial"/>
          <w:sz w:val="17"/>
          <w:szCs w:val="17"/>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158" w:lineRule="exact"/>
        <w:rPr>
          <w:sz w:val="20"/>
          <w:szCs w:val="20"/>
          <w:color w:val="auto"/>
        </w:rPr>
      </w:pPr>
    </w:p>
    <w:p>
      <w:pPr>
        <w:ind w:right="160" w:firstLine="312"/>
        <w:spacing w:after="0" w:line="286"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58" w:lineRule="exact"/>
        <w:rPr>
          <w:sz w:val="20"/>
          <w:szCs w:val="20"/>
          <w:color w:val="auto"/>
        </w:rPr>
      </w:pPr>
    </w:p>
    <w:p>
      <w:pPr>
        <w:ind w:right="20" w:firstLine="312"/>
        <w:spacing w:after="0" w:line="295" w:lineRule="auto"/>
        <w:rPr>
          <w:sz w:val="20"/>
          <w:szCs w:val="20"/>
          <w:color w:val="auto"/>
        </w:rPr>
      </w:pPr>
      <w:r>
        <w:rPr>
          <w:rFonts w:ascii="Arial" w:cs="Arial" w:eastAsia="Arial" w:hAnsi="Arial"/>
          <w:sz w:val="16"/>
          <w:szCs w:val="16"/>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misfolded proteins and normally-folded proteins. All of our product candidates and our development programs have been derived from our proprietary platforms.</w:t>
      </w:r>
    </w:p>
    <w:p>
      <w:pPr>
        <w:spacing w:after="0" w:line="232" w:lineRule="exact"/>
        <w:rPr>
          <w:sz w:val="20"/>
          <w:szCs w:val="20"/>
          <w:color w:val="auto"/>
        </w:rPr>
      </w:pPr>
    </w:p>
    <w:p>
      <w:pPr>
        <w:ind w:firstLine="312"/>
        <w:spacing w:after="0" w:line="302" w:lineRule="auto"/>
        <w:rPr>
          <w:sz w:val="20"/>
          <w:szCs w:val="20"/>
          <w:color w:val="auto"/>
        </w:rPr>
      </w:pPr>
      <w:r>
        <w:rPr>
          <w:rFonts w:ascii="Arial" w:cs="Arial" w:eastAsia="Arial" w:hAnsi="Arial"/>
          <w:sz w:val="15"/>
          <w:szCs w:val="15"/>
          <w:color w:val="auto"/>
        </w:rPr>
        <w:t>To date, we have primarily financed our operations through the proceeds from our initial public offering, private placements of preferred securities, and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For example, we incurred net losses of CHF 7.1 million for the fiscal year ended December 31, 2016.</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Collaborations and Licensing Agreements</w:t>
      </w:r>
    </w:p>
    <w:p>
      <w:pPr>
        <w:spacing w:after="0" w:line="227" w:lineRule="exact"/>
        <w:rPr>
          <w:sz w:val="20"/>
          <w:szCs w:val="20"/>
          <w:color w:val="auto"/>
        </w:rPr>
      </w:pPr>
    </w:p>
    <w:p>
      <w:pPr>
        <w:ind w:firstLine="312"/>
        <w:spacing w:after="0" w:line="277"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70" w:lineRule="exact"/>
        <w:rPr>
          <w:sz w:val="20"/>
          <w:szCs w:val="20"/>
          <w:color w:val="auto"/>
        </w:rPr>
      </w:pPr>
    </w:p>
    <w:p>
      <w:pPr>
        <w:ind w:right="100" w:firstLine="312"/>
        <w:spacing w:after="0" w:line="270" w:lineRule="auto"/>
        <w:rPr>
          <w:sz w:val="20"/>
          <w:szCs w:val="20"/>
          <w:color w:val="auto"/>
        </w:rPr>
      </w:pPr>
      <w:r>
        <w:rPr>
          <w:rFonts w:ascii="Arial" w:cs="Arial" w:eastAsia="Arial" w:hAnsi="Arial"/>
          <w:sz w:val="17"/>
          <w:szCs w:val="17"/>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Crenezumab—Collaboration with Genentech</w:t>
      </w:r>
    </w:p>
    <w:p>
      <w:pPr>
        <w:spacing w:after="0" w:line="221" w:lineRule="exact"/>
        <w:rPr>
          <w:sz w:val="20"/>
          <w:szCs w:val="20"/>
          <w:color w:val="auto"/>
        </w:rPr>
      </w:pPr>
    </w:p>
    <w:p>
      <w:pPr>
        <w:ind w:right="180" w:firstLine="312"/>
        <w:spacing w:after="0" w:line="260"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3" w:lineRule="exact"/>
        <w:rPr>
          <w:sz w:val="20"/>
          <w:szCs w:val="20"/>
          <w:color w:val="auto"/>
        </w:rPr>
      </w:pPr>
    </w:p>
    <w:p>
      <w:pPr>
        <w:ind w:right="320" w:firstLine="312"/>
        <w:spacing w:after="0" w:line="265" w:lineRule="auto"/>
        <w:rPr>
          <w:sz w:val="20"/>
          <w:szCs w:val="20"/>
          <w:color w:val="auto"/>
        </w:rPr>
      </w:pPr>
      <w:r>
        <w:rPr>
          <w:rFonts w:ascii="Arial" w:cs="Arial" w:eastAsia="Arial" w:hAnsi="Arial"/>
          <w:sz w:val="17"/>
          <w:szCs w:val="17"/>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Anti-Tau Antibodies—Collaboration with Genentech</w:t>
      </w:r>
    </w:p>
    <w:p>
      <w:pPr>
        <w:spacing w:after="0" w:line="221" w:lineRule="exact"/>
        <w:rPr>
          <w:sz w:val="20"/>
          <w:szCs w:val="20"/>
          <w:color w:val="auto"/>
        </w:rPr>
      </w:pPr>
    </w:p>
    <w:p>
      <w:pPr>
        <w:ind w:right="60" w:firstLine="312"/>
        <w:spacing w:after="0" w:line="265"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45 million from Genentech including a milestone payment of CHF 14 million recognized in the second quarter of 2016 and received in July 2016, upon the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03" w:name="page104"/>
    <w:bookmarkEnd w:id="103"/>
    <w:p>
      <w:pPr>
        <w:ind w:right="180"/>
        <w:spacing w:after="0" w:line="286" w:lineRule="auto"/>
        <w:rPr>
          <w:sz w:val="20"/>
          <w:szCs w:val="20"/>
          <w:color w:val="auto"/>
        </w:rPr>
      </w:pPr>
      <w:r>
        <w:rPr>
          <w:rFonts w:ascii="Arial" w:cs="Arial" w:eastAsia="Arial" w:hAnsi="Arial"/>
          <w:sz w:val="17"/>
          <w:szCs w:val="17"/>
          <w:color w:val="auto"/>
        </w:rPr>
        <w:t>commencement of the Phase 1 clinical study. In addition to milestones, we will be eligible to receive royalties on sales at a percentage rate ranging from the mid-single digits to low double digits.</w:t>
      </w:r>
    </w:p>
    <w:p>
      <w:pPr>
        <w:spacing w:after="0" w:line="158" w:lineRule="exact"/>
        <w:rPr>
          <w:sz w:val="20"/>
          <w:szCs w:val="20"/>
          <w:color w:val="auto"/>
        </w:rPr>
      </w:pPr>
    </w:p>
    <w:p>
      <w:pPr>
        <w:ind w:right="360" w:firstLine="312"/>
        <w:spacing w:after="0" w:line="295"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Tau PET Imaging Tracer—Collaboration with Piramal Imaging</w:t>
      </w:r>
    </w:p>
    <w:p>
      <w:pPr>
        <w:spacing w:after="0" w:line="221" w:lineRule="exact"/>
        <w:rPr>
          <w:sz w:val="20"/>
          <w:szCs w:val="20"/>
          <w:color w:val="auto"/>
        </w:rPr>
      </w:pPr>
    </w:p>
    <w:p>
      <w:pPr>
        <w:ind w:right="40" w:firstLine="312"/>
        <w:spacing w:after="0" w:line="270" w:lineRule="auto"/>
        <w:rPr>
          <w:sz w:val="20"/>
          <w:szCs w:val="20"/>
          <w:color w:val="auto"/>
        </w:rPr>
      </w:pPr>
      <w:r>
        <w:rPr>
          <w:rFonts w:ascii="Arial" w:cs="Arial" w:eastAsia="Arial" w:hAnsi="Arial"/>
          <w:sz w:val="17"/>
          <w:szCs w:val="17"/>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ACI-35—Collaboration with Janssen</w:t>
      </w:r>
    </w:p>
    <w:p>
      <w:pPr>
        <w:spacing w:after="0" w:line="221"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and a research contribution of CHF 1.5 million and a CHF 4.9 million clinical milestone payment. The total future payments that we would be entitled to under the agreement for clinical milestones amounts to CHF 78.6 million.</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Alpha-synuclein and TDP-43 PET Imaging Tracers—Collaboration with Biogen</w:t>
      </w:r>
    </w:p>
    <w:p>
      <w:pPr>
        <w:spacing w:after="0" w:line="221"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were entitled to a technology access fee and receive funding from Biogen towards FTE and research and development activities on both PET imaging programs. The CHF 1.5 million technology access fee is being deferred and recognized over a twelve month period. We will retain all intellectual property rights to any PET product developed for further commercialization.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w:t>
      </w:r>
    </w:p>
    <w:p>
      <w:pPr>
        <w:spacing w:after="0" w:line="227" w:lineRule="exact"/>
        <w:rPr>
          <w:sz w:val="20"/>
          <w:szCs w:val="20"/>
          <w:color w:val="auto"/>
        </w:rPr>
      </w:pPr>
    </w:p>
    <w:p>
      <w:pPr>
        <w:ind w:firstLine="312"/>
        <w:spacing w:after="0" w:line="295"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covered research and development work over a 1.5 year period. We recognized revenues from this grant on a straight line basis over the life of the grant.</w:t>
      </w:r>
    </w:p>
    <w:p>
      <w:pPr>
        <w:spacing w:after="0" w:line="154" w:lineRule="exact"/>
        <w:rPr>
          <w:sz w:val="20"/>
          <w:szCs w:val="20"/>
          <w:color w:val="auto"/>
        </w:rPr>
      </w:pPr>
    </w:p>
    <w:p>
      <w:pPr>
        <w:ind w:right="500" w:firstLine="624"/>
        <w:spacing w:after="0" w:line="286" w:lineRule="auto"/>
        <w:rPr>
          <w:sz w:val="20"/>
          <w:szCs w:val="20"/>
          <w:color w:val="auto"/>
        </w:rPr>
      </w:pPr>
      <w:r>
        <w:rPr>
          <w:rFonts w:ascii="Arial" w:cs="Arial" w:eastAsia="Arial" w:hAnsi="Arial"/>
          <w:sz w:val="17"/>
          <w:szCs w:val="17"/>
          <w:color w:val="auto"/>
        </w:rPr>
        <w:t>In January 2016, we were awarded a grant from the LuMind Research Down Syndrome Foundation to support our ACI-24 Phase 1 clinical study in patients with Down Syndrome. We recognized revenues from this grant on a straight line basis over the annual grant life period.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27" w:lineRule="exact"/>
        <w:rPr>
          <w:sz w:val="20"/>
          <w:szCs w:val="20"/>
          <w:color w:val="auto"/>
        </w:rPr>
      </w:pPr>
    </w:p>
    <w:p>
      <w:pPr>
        <w:ind w:firstLine="312"/>
        <w:spacing w:after="0" w:line="287" w:lineRule="auto"/>
        <w:rPr>
          <w:sz w:val="20"/>
          <w:szCs w:val="20"/>
          <w:color w:val="auto"/>
        </w:rPr>
      </w:pPr>
      <w:r>
        <w:rPr>
          <w:rFonts w:ascii="Arial" w:cs="Arial" w:eastAsia="Arial" w:hAnsi="Arial"/>
          <w:sz w:val="16"/>
          <w:szCs w:val="16"/>
          <w:color w:val="auto"/>
        </w:rPr>
        <w:t>In preparing our financial statements as of and for the years ended December 31, 2014, 2015 and 2016,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in the process of implementing improvements and remedial measures in response to these assessments and recommendations, including:</w:t>
      </w:r>
    </w:p>
    <w:p>
      <w:pPr>
        <w:spacing w:after="0" w:line="221" w:lineRule="exact"/>
        <w:rPr>
          <w:sz w:val="20"/>
          <w:szCs w:val="20"/>
          <w:color w:val="auto"/>
        </w:rPr>
      </w:pPr>
    </w:p>
    <w:p>
      <w:pPr>
        <w:ind w:left="780" w:right="20" w:hanging="308"/>
        <w:spacing w:after="0" w:line="286" w:lineRule="auto"/>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assembling a team from our finance department to be responsible for the preparation of financial statements under U.S. Securities laws, including hiring additional qualified personnel as necessary; and</w:t>
      </w:r>
    </w:p>
    <w:p>
      <w:pPr>
        <w:spacing w:after="0" w:line="158" w:lineRule="exact"/>
        <w:rPr>
          <w:rFonts w:ascii="Arial" w:cs="Arial" w:eastAsia="Arial" w:hAnsi="Arial"/>
          <w:sz w:val="17"/>
          <w:szCs w:val="17"/>
          <w:color w:val="auto"/>
        </w:rPr>
      </w:pPr>
    </w:p>
    <w:p>
      <w:pPr>
        <w:ind w:left="780" w:right="120" w:hanging="308"/>
        <w:spacing w:after="0" w:line="286" w:lineRule="auto"/>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setting up an internal audit department to review our internal control processes, policies and procedures to ensure compliance with the Sarbanes-Oxley Act.</w:t>
      </w:r>
    </w:p>
    <w:p>
      <w:pPr>
        <w:spacing w:after="0" w:line="158" w:lineRule="exact"/>
        <w:rPr>
          <w:sz w:val="20"/>
          <w:szCs w:val="20"/>
          <w:color w:val="auto"/>
        </w:rPr>
      </w:pPr>
    </w:p>
    <w:p>
      <w:pPr>
        <w:ind w:right="60" w:firstLine="312"/>
        <w:spacing w:after="0" w:line="356" w:lineRule="auto"/>
        <w:rPr>
          <w:sz w:val="20"/>
          <w:szCs w:val="20"/>
          <w:color w:val="auto"/>
        </w:rPr>
      </w:pPr>
      <w:r>
        <w:rPr>
          <w:rFonts w:ascii="Arial" w:cs="Arial" w:eastAsia="Arial" w:hAnsi="Arial"/>
          <w:sz w:val="15"/>
          <w:szCs w:val="15"/>
          <w:color w:val="auto"/>
        </w:rPr>
        <w:t>Although we have been implementing these measures,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1"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9" w:right="299" w:bottom="1440" w:gutter="0" w:footer="0" w:header="0"/>
        </w:sectPr>
      </w:pPr>
    </w:p>
    <w:bookmarkStart w:id="104" w:name="page105"/>
    <w:bookmarkEnd w:id="104"/>
    <w:p>
      <w:pPr>
        <w:ind w:right="80" w:firstLine="312"/>
        <w:spacing w:after="0" w:line="298" w:lineRule="auto"/>
        <w:rPr>
          <w:sz w:val="20"/>
          <w:szCs w:val="20"/>
          <w:color w:val="auto"/>
        </w:rPr>
      </w:pPr>
      <w:r>
        <w:rPr>
          <w:rFonts w:ascii="Arial" w:cs="Arial" w:eastAsia="Arial" w:hAnsi="Arial"/>
          <w:sz w:val="15"/>
          <w:szCs w:val="15"/>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w:t>
      </w:r>
    </w:p>
    <w:p>
      <w:pPr>
        <w:ind w:right="20" w:firstLine="4"/>
        <w:spacing w:after="0" w:line="259" w:lineRule="auto"/>
        <w:tabs>
          <w:tab w:leader="none" w:pos="2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2" w:lineRule="exact"/>
        <w:rPr>
          <w:sz w:val="20"/>
          <w:szCs w:val="20"/>
          <w:color w:val="auto"/>
        </w:rPr>
      </w:pPr>
    </w:p>
    <w:p>
      <w:pPr>
        <w:ind w:right="240" w:firstLine="312"/>
        <w:spacing w:after="0" w:line="286"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58" w:lineRule="exact"/>
        <w:rPr>
          <w:sz w:val="20"/>
          <w:szCs w:val="20"/>
          <w:color w:val="auto"/>
        </w:rPr>
      </w:pPr>
    </w:p>
    <w:p>
      <w:pPr>
        <w:ind w:right="20" w:firstLine="312"/>
        <w:spacing w:after="0" w:line="260" w:lineRule="auto"/>
        <w:rPr>
          <w:sz w:val="20"/>
          <w:szCs w:val="20"/>
          <w:color w:val="auto"/>
        </w:rPr>
      </w:pPr>
      <w:r>
        <w:rPr>
          <w:rFonts w:ascii="Arial" w:cs="Arial" w:eastAsia="Arial" w:hAnsi="Arial"/>
          <w:sz w:val="17"/>
          <w:szCs w:val="17"/>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83" w:lineRule="exact"/>
        <w:rPr>
          <w:sz w:val="20"/>
          <w:szCs w:val="20"/>
          <w:color w:val="auto"/>
        </w:rPr>
      </w:pPr>
    </w:p>
    <w:p>
      <w:pPr>
        <w:ind w:right="160" w:firstLine="312"/>
        <w:spacing w:after="0" w:line="322" w:lineRule="auto"/>
        <w:rPr>
          <w:sz w:val="20"/>
          <w:szCs w:val="20"/>
          <w:color w:val="auto"/>
        </w:rPr>
      </w:pPr>
      <w:r>
        <w:rPr>
          <w:rFonts w:ascii="Arial" w:cs="Arial" w:eastAsia="Arial" w:hAnsi="Arial"/>
          <w:sz w:val="15"/>
          <w:szCs w:val="15"/>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Accrued Research and Development Costs</w:t>
      </w:r>
    </w:p>
    <w:p>
      <w:pPr>
        <w:spacing w:after="0" w:line="221" w:lineRule="exact"/>
        <w:rPr>
          <w:sz w:val="20"/>
          <w:szCs w:val="20"/>
          <w:color w:val="auto"/>
        </w:rPr>
      </w:pPr>
    </w:p>
    <w:p>
      <w:pPr>
        <w:ind w:right="40" w:firstLine="312"/>
        <w:spacing w:after="0" w:line="261"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81"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1" w:lineRule="exact"/>
        <w:rPr>
          <w:sz w:val="20"/>
          <w:szCs w:val="20"/>
          <w:color w:val="auto"/>
        </w:rPr>
      </w:pPr>
    </w:p>
    <w:p>
      <w:pPr>
        <w:ind w:right="80" w:firstLine="312"/>
        <w:spacing w:after="0" w:line="295" w:lineRule="auto"/>
        <w:rPr>
          <w:sz w:val="20"/>
          <w:szCs w:val="20"/>
          <w:color w:val="auto"/>
        </w:rPr>
      </w:pPr>
      <w:r>
        <w:rPr>
          <w:rFonts w:ascii="Arial" w:cs="Arial" w:eastAsia="Arial" w:hAnsi="Arial"/>
          <w:sz w:val="16"/>
          <w:szCs w:val="16"/>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05" w:name="page106"/>
    <w:bookmarkEnd w:id="105"/>
    <w:p>
      <w:pPr>
        <w:jc w:val="both"/>
        <w:ind w:right="20"/>
        <w:spacing w:after="0" w:line="270" w:lineRule="auto"/>
        <w:rPr>
          <w:sz w:val="20"/>
          <w:szCs w:val="20"/>
          <w:color w:val="auto"/>
        </w:rPr>
      </w:pPr>
      <w:r>
        <w:rPr>
          <w:rFonts w:ascii="Arial" w:cs="Arial" w:eastAsia="Arial" w:hAnsi="Arial"/>
          <w:sz w:val="17"/>
          <w:szCs w:val="17"/>
          <w:color w:val="auto"/>
        </w:rPr>
        <w:t>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Key assumptions in determining the fair value of share options granted utilizing the Black-Scholes valuation method include the following:</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Expected Term</w:t>
      </w:r>
    </w:p>
    <w:p>
      <w:pPr>
        <w:spacing w:after="0" w:line="221"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Expected Volatility</w:t>
      </w:r>
    </w:p>
    <w:p>
      <w:pPr>
        <w:spacing w:after="0" w:line="221" w:lineRule="exact"/>
        <w:rPr>
          <w:sz w:val="20"/>
          <w:szCs w:val="20"/>
          <w:color w:val="auto"/>
        </w:rPr>
      </w:pPr>
    </w:p>
    <w:p>
      <w:pPr>
        <w:jc w:val="both"/>
        <w:ind w:right="180" w:firstLine="312"/>
        <w:spacing w:after="0" w:line="287" w:lineRule="auto"/>
        <w:rPr>
          <w:sz w:val="20"/>
          <w:szCs w:val="20"/>
          <w:color w:val="auto"/>
        </w:rPr>
      </w:pPr>
      <w:r>
        <w:rPr>
          <w:rFonts w:ascii="Arial" w:cs="Arial" w:eastAsia="Arial" w:hAnsi="Arial"/>
          <w:sz w:val="16"/>
          <w:szCs w:val="16"/>
          <w:color w:val="auto"/>
        </w:rPr>
        <w:t>For grants issued prior to being a public company we did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Risk-Free Interest Rate</w:t>
      </w:r>
    </w:p>
    <w:p>
      <w:pPr>
        <w:spacing w:after="0" w:line="221" w:lineRule="exact"/>
        <w:rPr>
          <w:sz w:val="20"/>
          <w:szCs w:val="20"/>
          <w:color w:val="auto"/>
        </w:rPr>
      </w:pPr>
    </w:p>
    <w:p>
      <w:pPr>
        <w:ind w:right="580" w:firstLine="312"/>
        <w:spacing w:after="0" w:line="286" w:lineRule="auto"/>
        <w:rPr>
          <w:sz w:val="20"/>
          <w:szCs w:val="20"/>
          <w:color w:val="auto"/>
        </w:rPr>
      </w:pPr>
      <w:r>
        <w:rPr>
          <w:rFonts w:ascii="Arial" w:cs="Arial" w:eastAsia="Arial" w:hAnsi="Arial"/>
          <w:sz w:val="17"/>
          <w:szCs w:val="17"/>
          <w:color w:val="auto"/>
        </w:rPr>
        <w:t>The risk-free rate is based on long dated Swiss government zero coupon bond issues in effect at the time of the grant for periods corresponding with the expected term of the option.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Expected Dividends</w:t>
      </w:r>
    </w:p>
    <w:p>
      <w:pPr>
        <w:spacing w:after="0" w:line="221" w:lineRule="exact"/>
        <w:rPr>
          <w:sz w:val="20"/>
          <w:szCs w:val="20"/>
          <w:color w:val="auto"/>
        </w:rPr>
      </w:pPr>
    </w:p>
    <w:p>
      <w:pPr>
        <w:ind w:right="360" w:firstLine="312"/>
        <w:spacing w:after="0" w:line="286" w:lineRule="auto"/>
        <w:rPr>
          <w:sz w:val="20"/>
          <w:szCs w:val="20"/>
          <w:color w:val="auto"/>
        </w:rPr>
      </w:pPr>
      <w:r>
        <w:rPr>
          <w:rFonts w:ascii="Arial" w:cs="Arial" w:eastAsia="Arial" w:hAnsi="Arial"/>
          <w:sz w:val="17"/>
          <w:szCs w:val="17"/>
          <w:color w:val="auto"/>
        </w:rPr>
        <w:t>We have never paid dividends on our common shares and have no plans to pay dividends on our common shares. Therefore, we used an expected dividend yield of zero percent.</w:t>
      </w:r>
    </w:p>
    <w:p>
      <w:pPr>
        <w:spacing w:after="0" w:line="158" w:lineRule="exact"/>
        <w:rPr>
          <w:sz w:val="20"/>
          <w:szCs w:val="20"/>
          <w:color w:val="auto"/>
        </w:rPr>
      </w:pPr>
    </w:p>
    <w:p>
      <w:pPr>
        <w:ind w:firstLine="312"/>
        <w:spacing w:after="0" w:line="265" w:lineRule="auto"/>
        <w:rPr>
          <w:sz w:val="20"/>
          <w:szCs w:val="20"/>
          <w:color w:val="auto"/>
        </w:rPr>
      </w:pPr>
      <w:r>
        <w:rPr>
          <w:rFonts w:ascii="Arial" w:cs="Arial" w:eastAsia="Arial" w:hAnsi="Arial"/>
          <w:sz w:val="17"/>
          <w:szCs w:val="17"/>
          <w:color w:val="auto"/>
        </w:rPr>
        <w:t>In addition to Black-Scholes assumptions, we estimate our forfeiture rate based on our actual and expected forfeitures and we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77" w:lineRule="exact"/>
        <w:rPr>
          <w:sz w:val="20"/>
          <w:szCs w:val="20"/>
          <w:color w:val="auto"/>
        </w:rPr>
      </w:pPr>
    </w:p>
    <w:p>
      <w:pPr>
        <w:ind w:right="140" w:firstLine="312"/>
        <w:spacing w:after="0" w:line="278" w:lineRule="auto"/>
        <w:rPr>
          <w:sz w:val="20"/>
          <w:szCs w:val="20"/>
          <w:color w:val="auto"/>
        </w:rPr>
      </w:pPr>
      <w:r>
        <w:rPr>
          <w:rFonts w:ascii="Arial" w:cs="Arial" w:eastAsia="Arial" w:hAnsi="Arial"/>
          <w:sz w:val="16"/>
          <w:szCs w:val="16"/>
          <w:color w:val="auto"/>
        </w:rPr>
        <w:t>Historically, for all periods prior to the IPO,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Amendment of 2015 Option Plan</w:t>
      </w:r>
    </w:p>
    <w:p>
      <w:pPr>
        <w:spacing w:after="0" w:line="221" w:lineRule="exact"/>
        <w:rPr>
          <w:sz w:val="20"/>
          <w:szCs w:val="20"/>
          <w:color w:val="auto"/>
        </w:rPr>
      </w:pPr>
    </w:p>
    <w:p>
      <w:pPr>
        <w:ind w:right="60" w:firstLine="425"/>
        <w:spacing w:after="0" w:line="295" w:lineRule="auto"/>
        <w:rPr>
          <w:sz w:val="20"/>
          <w:szCs w:val="20"/>
          <w:color w:val="auto"/>
        </w:rPr>
      </w:pPr>
      <w:r>
        <w:rPr>
          <w:rFonts w:ascii="Arial" w:cs="Arial" w:eastAsia="Arial" w:hAnsi="Arial"/>
          <w:sz w:val="15"/>
          <w:szCs w:val="15"/>
          <w:color w:val="auto"/>
        </w:rPr>
        <w:t>We grant options at the outset of the award period with the options vesting over a four year period. In line with IFRS accounting principles for option awards, we are using the graded methodology to expense the fair value of the awards on a straight line basis over the four year vesting period of the options. Specifically, the accounting rules require us to recognize that four separate options with four separate option periods were issued. Consequently, in year one, we need to expense</w:t>
      </w:r>
    </w:p>
    <w:p>
      <w:pPr>
        <w:spacing w:after="0" w:line="1" w:lineRule="exact"/>
        <w:rPr>
          <w:sz w:val="20"/>
          <w:szCs w:val="20"/>
          <w:color w:val="auto"/>
        </w:rPr>
      </w:pPr>
    </w:p>
    <w:p>
      <w:pPr>
        <w:ind w:firstLine="4"/>
        <w:spacing w:after="0" w:line="271" w:lineRule="auto"/>
        <w:tabs>
          <w:tab w:leader="none" w:pos="207"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fair value of the awards issued in the first year, (ii) one half of the fair value of the awards to be issued in year two, (iii) one third of the value of the awards to be issued in year three and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06" w:name="page107"/>
    <w:bookmarkEnd w:id="106"/>
    <w:p>
      <w:pPr>
        <w:ind w:right="100" w:firstLine="4"/>
        <w:spacing w:after="0" w:line="270" w:lineRule="auto"/>
        <w:tabs>
          <w:tab w:leader="none" w:pos="294" w:val="left"/>
        </w:tabs>
        <w:numPr>
          <w:ilvl w:val="0"/>
          <w:numId w:val="78"/>
        </w:numPr>
        <w:rPr>
          <w:rFonts w:ascii="Arial" w:cs="Arial" w:eastAsia="Arial" w:hAnsi="Arial"/>
          <w:sz w:val="17"/>
          <w:szCs w:val="17"/>
          <w:color w:val="auto"/>
        </w:rPr>
      </w:pPr>
      <w:r>
        <w:rPr>
          <w:rFonts w:ascii="Arial" w:cs="Arial" w:eastAsia="Arial" w:hAnsi="Arial"/>
          <w:sz w:val="17"/>
          <w:szCs w:val="17"/>
          <w:color w:val="auto"/>
        </w:rPr>
        <w:t>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Amendment of Plan A Stock Option Plan</w:t>
      </w:r>
    </w:p>
    <w:p>
      <w:pPr>
        <w:spacing w:after="0" w:line="221" w:lineRule="exact"/>
        <w:rPr>
          <w:sz w:val="20"/>
          <w:szCs w:val="20"/>
          <w:color w:val="auto"/>
        </w:rPr>
      </w:pPr>
    </w:p>
    <w:p>
      <w:pPr>
        <w:ind w:right="100" w:firstLine="312"/>
        <w:spacing w:after="0" w:line="261" w:lineRule="auto"/>
        <w:rPr>
          <w:sz w:val="20"/>
          <w:szCs w:val="20"/>
          <w:color w:val="auto"/>
        </w:rPr>
      </w:pPr>
      <w:r>
        <w:rPr>
          <w:rFonts w:ascii="Arial" w:cs="Arial" w:eastAsia="Arial" w:hAnsi="Arial"/>
          <w:sz w:val="17"/>
          <w:szCs w:val="17"/>
          <w:color w:val="auto"/>
        </w:rPr>
        <w:t>In 2015, we amended the Plan A stock option plan that we established in 2004. Two key amendments were made to the program: (i) the duration of the stock option plan was increased by two years from 10.5 to 12.5 years and (ii) the split adjusted strike price of the option was reduced from CHF 0.93188 to a split adjusted strike price of CHF 0.14548. The lengthening of the plan’s term and lowering of the strike price was effected to bring the plan in line with our other plans, and resulted in a material increase in the value of the options to the option holders and required us to recognize the increase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Acceleration of Options</w:t>
      </w:r>
    </w:p>
    <w:p>
      <w:pPr>
        <w:spacing w:after="0" w:line="221" w:lineRule="exact"/>
        <w:rPr>
          <w:sz w:val="20"/>
          <w:szCs w:val="20"/>
          <w:color w:val="auto"/>
        </w:rPr>
      </w:pPr>
    </w:p>
    <w:p>
      <w:pPr>
        <w:ind w:right="40" w:firstLine="312"/>
        <w:spacing w:after="0" w:line="287" w:lineRule="auto"/>
        <w:rPr>
          <w:sz w:val="20"/>
          <w:szCs w:val="20"/>
          <w:color w:val="auto"/>
        </w:rPr>
      </w:pPr>
      <w:r>
        <w:rPr>
          <w:rFonts w:ascii="Arial" w:cs="Arial" w:eastAsia="Arial" w:hAnsi="Arial"/>
          <w:sz w:val="16"/>
          <w:szCs w:val="16"/>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had the right, but not the obligation, to have their unvested options accelerated such that they vest immediately. Accordingly, a total of 1,250 options were accelerated as a result of AC Immune’s IPO in September 2016.</w:t>
      </w:r>
    </w:p>
    <w:p>
      <w:pPr>
        <w:spacing w:after="0" w:line="160" w:lineRule="exact"/>
        <w:rPr>
          <w:sz w:val="20"/>
          <w:szCs w:val="20"/>
          <w:color w:val="auto"/>
        </w:rPr>
      </w:pPr>
    </w:p>
    <w:p>
      <w:pPr>
        <w:ind w:right="60" w:firstLine="312"/>
        <w:spacing w:after="0" w:line="270" w:lineRule="auto"/>
        <w:rPr>
          <w:sz w:val="20"/>
          <w:szCs w:val="20"/>
          <w:color w:val="auto"/>
        </w:rPr>
      </w:pPr>
      <w:r>
        <w:rPr>
          <w:rFonts w:ascii="Arial" w:cs="Arial" w:eastAsia="Arial" w:hAnsi="Arial"/>
          <w:sz w:val="17"/>
          <w:szCs w:val="17"/>
          <w:color w:val="auto"/>
        </w:rPr>
        <w:t>Our board of directors had the authority to accelerate the vesting of all outstanding unvested options granted to employees prior to July 2014, in the event of an initial public offering. Pursuant to a board decision on September 18, 2015, 76,000 options previously granted to directors and executive officers were accelerated upon consummation of AC Immune’s IPO in September 2016.</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Revenue</w:t>
      </w:r>
    </w:p>
    <w:p>
      <w:pPr>
        <w:spacing w:after="0" w:line="221" w:lineRule="exact"/>
        <w:rPr>
          <w:sz w:val="20"/>
          <w:szCs w:val="20"/>
          <w:color w:val="auto"/>
        </w:rPr>
      </w:pPr>
    </w:p>
    <w:p>
      <w:pPr>
        <w:ind w:firstLine="312"/>
        <w:spacing w:after="0" w:line="293" w:lineRule="auto"/>
        <w:rPr>
          <w:sz w:val="20"/>
          <w:szCs w:val="20"/>
          <w:color w:val="auto"/>
        </w:rPr>
      </w:pPr>
      <w:r>
        <w:rPr>
          <w:rFonts w:ascii="Arial" w:cs="Arial" w:eastAsia="Arial" w:hAnsi="Arial"/>
          <w:sz w:val="15"/>
          <w:szCs w:val="15"/>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w:t>
      </w:r>
    </w:p>
    <w:p>
      <w:pPr>
        <w:spacing w:after="0" w:line="3" w:lineRule="exact"/>
        <w:rPr>
          <w:sz w:val="20"/>
          <w:szCs w:val="20"/>
          <w:color w:val="auto"/>
        </w:rPr>
      </w:pPr>
    </w:p>
    <w:p>
      <w:pPr>
        <w:ind w:right="120" w:firstLine="4"/>
        <w:spacing w:after="0" w:line="275" w:lineRule="auto"/>
        <w:tabs>
          <w:tab w:leader="none" w:pos="255" w:val="left"/>
        </w:tabs>
        <w:numPr>
          <w:ilvl w:val="0"/>
          <w:numId w:val="79"/>
        </w:numPr>
        <w:rPr>
          <w:rFonts w:ascii="Arial" w:cs="Arial" w:eastAsia="Arial" w:hAnsi="Arial"/>
          <w:sz w:val="16"/>
          <w:szCs w:val="16"/>
          <w:color w:val="auto"/>
        </w:rPr>
      </w:pPr>
      <w:r>
        <w:rPr>
          <w:rFonts w:ascii="Arial" w:cs="Arial" w:eastAsia="Arial" w:hAnsi="Arial"/>
          <w:sz w:val="16"/>
          <w:szCs w:val="16"/>
          <w:color w:val="auto"/>
        </w:rPr>
        <w:t>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74" w:lineRule="exact"/>
        <w:rPr>
          <w:sz w:val="20"/>
          <w:szCs w:val="20"/>
          <w:color w:val="auto"/>
        </w:rPr>
      </w:pPr>
    </w:p>
    <w:p>
      <w:pPr>
        <w:ind w:right="40" w:firstLine="312"/>
        <w:spacing w:after="0" w:line="265" w:lineRule="auto"/>
        <w:rPr>
          <w:sz w:val="20"/>
          <w:szCs w:val="20"/>
          <w:color w:val="auto"/>
        </w:rPr>
      </w:pPr>
      <w:r>
        <w:rPr>
          <w:rFonts w:ascii="Arial" w:cs="Arial" w:eastAsia="Arial" w:hAnsi="Arial"/>
          <w:sz w:val="17"/>
          <w:szCs w:val="17"/>
          <w:color w:val="auto"/>
        </w:rPr>
        <w:t>Our revenues have experienced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other current or future collaboration partners will fluctuate from year to year as a result of the timing and amount of milestones and other payments.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07" w:name="page108"/>
    <w:bookmarkEnd w:id="107"/>
    <w:p>
      <w:pPr>
        <w:ind w:left="1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21" w:lineRule="exact"/>
        <w:rPr>
          <w:sz w:val="20"/>
          <w:szCs w:val="20"/>
          <w:color w:val="auto"/>
        </w:rPr>
      </w:pPr>
    </w:p>
    <w:p>
      <w:pPr>
        <w:ind w:right="380" w:firstLine="312"/>
        <w:spacing w:after="0" w:line="306" w:lineRule="auto"/>
        <w:rPr>
          <w:sz w:val="20"/>
          <w:szCs w:val="20"/>
          <w:color w:val="auto"/>
        </w:rPr>
      </w:pPr>
      <w:r>
        <w:rPr>
          <w:rFonts w:ascii="Arial" w:cs="Arial" w:eastAsia="Arial" w:hAnsi="Arial"/>
          <w:sz w:val="15"/>
          <w:szCs w:val="15"/>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49"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183" w:lineRule="exact"/>
        <w:rPr>
          <w:sz w:val="20"/>
          <w:szCs w:val="20"/>
          <w:color w:val="auto"/>
        </w:rPr>
      </w:pPr>
    </w:p>
    <w:p>
      <w:pPr>
        <w:ind w:left="620" w:hanging="304"/>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AD therapies;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Non-AD therapies that are not neuro-orphans therapies;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Neuro-orphan disease therapies;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Diagnostics;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New discovery projects.</w:t>
      </w:r>
    </w:p>
    <w:p>
      <w:pPr>
        <w:spacing w:after="0" w:line="221" w:lineRule="exact"/>
        <w:rPr>
          <w:sz w:val="20"/>
          <w:szCs w:val="20"/>
          <w:color w:val="auto"/>
        </w:rPr>
      </w:pPr>
    </w:p>
    <w:p>
      <w:pPr>
        <w:ind w:right="180" w:firstLine="312"/>
        <w:spacing w:after="0" w:line="270" w:lineRule="auto"/>
        <w:rPr>
          <w:sz w:val="20"/>
          <w:szCs w:val="20"/>
          <w:color w:val="auto"/>
        </w:rPr>
      </w:pPr>
      <w:r>
        <w:rPr>
          <w:rFonts w:ascii="Arial" w:cs="Arial" w:eastAsia="Arial" w:hAnsi="Arial"/>
          <w:sz w:val="17"/>
          <w:szCs w:val="17"/>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173" w:lineRule="exact"/>
        <w:rPr>
          <w:sz w:val="20"/>
          <w:szCs w:val="20"/>
          <w:color w:val="auto"/>
        </w:rPr>
      </w:pPr>
    </w:p>
    <w:p>
      <w:pPr>
        <w:ind w:right="280" w:firstLine="316"/>
        <w:spacing w:after="0" w:line="286" w:lineRule="auto"/>
        <w:tabs>
          <w:tab w:leader="none" w:pos="693"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expect to undertake later-stage research and development of our product candidates and, if approved, to take some of those product candidates into commercialization;</w:t>
      </w:r>
    </w:p>
    <w:p>
      <w:pPr>
        <w:spacing w:after="0" w:line="158" w:lineRule="exact"/>
        <w:rPr>
          <w:rFonts w:ascii="Arial" w:cs="Arial" w:eastAsia="Arial" w:hAnsi="Arial"/>
          <w:sz w:val="17"/>
          <w:szCs w:val="17"/>
          <w:color w:val="auto"/>
        </w:rPr>
      </w:pPr>
    </w:p>
    <w:p>
      <w:pPr>
        <w:ind w:left="700" w:hanging="384"/>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will allocate more funding to existing programs to advance the development of these programs;</w:t>
      </w:r>
    </w:p>
    <w:p>
      <w:pPr>
        <w:spacing w:after="0" w:line="220" w:lineRule="exact"/>
        <w:rPr>
          <w:rFonts w:ascii="Arial" w:cs="Arial" w:eastAsia="Arial" w:hAnsi="Arial"/>
          <w:sz w:val="17"/>
          <w:szCs w:val="17"/>
          <w:color w:val="auto"/>
        </w:rPr>
      </w:pPr>
    </w:p>
    <w:p>
      <w:pPr>
        <w:ind w:left="700" w:hanging="384"/>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will increase our research and development efforts on non-AD indications including neuro-orphans; and</w:t>
      </w:r>
    </w:p>
    <w:p>
      <w:pPr>
        <w:spacing w:after="0" w:line="220" w:lineRule="exact"/>
        <w:rPr>
          <w:rFonts w:ascii="Arial" w:cs="Arial" w:eastAsia="Arial" w:hAnsi="Arial"/>
          <w:sz w:val="17"/>
          <w:szCs w:val="17"/>
          <w:color w:val="auto"/>
        </w:rPr>
      </w:pPr>
    </w:p>
    <w:p>
      <w:pPr>
        <w:ind w:left="700" w:hanging="384"/>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will initiate a number of new research initiatives that are complementary to our existing and planned research initiatives.</w:t>
      </w:r>
    </w:p>
    <w:p>
      <w:pPr>
        <w:spacing w:after="0" w:line="221" w:lineRule="exact"/>
        <w:rPr>
          <w:sz w:val="20"/>
          <w:szCs w:val="20"/>
          <w:color w:val="auto"/>
        </w:rPr>
      </w:pPr>
    </w:p>
    <w:p>
      <w:pPr>
        <w:ind w:right="260" w:firstLine="312"/>
        <w:spacing w:after="0" w:line="286"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58" w:lineRule="exact"/>
        <w:rPr>
          <w:sz w:val="20"/>
          <w:szCs w:val="20"/>
          <w:color w:val="auto"/>
        </w:rPr>
      </w:pPr>
    </w:p>
    <w:p>
      <w:pPr>
        <w:ind w:right="20" w:firstLine="312"/>
        <w:spacing w:after="0" w:line="300" w:lineRule="auto"/>
        <w:rPr>
          <w:sz w:val="20"/>
          <w:szCs w:val="20"/>
          <w:color w:val="auto"/>
        </w:rPr>
      </w:pPr>
      <w:r>
        <w:rPr>
          <w:rFonts w:ascii="Arial" w:cs="Arial" w:eastAsia="Arial" w:hAnsi="Arial"/>
          <w:sz w:val="15"/>
          <w:szCs w:val="15"/>
          <w:color w:val="auto"/>
        </w:rPr>
        <w:t>The table below provides a breakdown of our research and development costs, including direct research and development costs and manufacturing costs related to research and development, by major development program for the periods covered by this Annual Report. These research and development costs exclude employment costs, regulatory, quality assurance and intellectual property costs. With the exception of ACI-35, research costs that are subject to collaboration agreements typically have a limited amount of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were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08" w:name="page109"/>
    <w:bookmarkEnd w:id="108"/>
    <w:p>
      <w:pPr>
        <w:ind w:right="380"/>
        <w:spacing w:after="0" w:line="286" w:lineRule="auto"/>
        <w:rPr>
          <w:sz w:val="20"/>
          <w:szCs w:val="20"/>
          <w:color w:val="auto"/>
        </w:rPr>
      </w:pPr>
      <w:r>
        <w:rPr>
          <w:rFonts w:ascii="Arial" w:cs="Arial" w:eastAsia="Arial" w:hAnsi="Arial"/>
          <w:sz w:val="17"/>
          <w:szCs w:val="17"/>
          <w:color w:val="auto"/>
        </w:rPr>
        <w:t>Down syndrome, respectively. Research and development costs for our alpha-synuclein PET tracer diagnostics program and other new discovery areas are also likely to rise substantially in the coming years.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Detailed Research and Development Expenditures by Major Development Program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tcPr>
          <w:p>
            <w:pPr>
              <w:spacing w:after="0"/>
              <w:rPr>
                <w:sz w:val="19"/>
                <w:szCs w:val="19"/>
                <w:color w:val="auto"/>
              </w:rPr>
            </w:pPr>
          </w:p>
        </w:tc>
        <w:tc>
          <w:tcPr>
            <w:tcW w:w="2700" w:type="dxa"/>
            <w:vAlign w:val="bottom"/>
            <w:gridSpan w:val="6"/>
          </w:tcPr>
          <w:p>
            <w:pPr>
              <w:ind w:left="260"/>
              <w:spacing w:after="0"/>
              <w:rPr>
                <w:sz w:val="20"/>
                <w:szCs w:val="20"/>
                <w:color w:val="auto"/>
              </w:rPr>
            </w:pPr>
            <w:r>
              <w:rPr>
                <w:rFonts w:ascii="Arial" w:cs="Arial" w:eastAsia="Arial" w:hAnsi="Arial"/>
                <w:sz w:val="17"/>
                <w:szCs w:val="17"/>
                <w:b w:val="1"/>
                <w:bCs w:val="1"/>
                <w:color w:val="auto"/>
              </w:rPr>
              <w:t>Year ended December 31,</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6"/>
          </w:tcPr>
          <w:p>
            <w:pPr>
              <w:ind w:left="220"/>
              <w:spacing w:after="0"/>
              <w:rPr>
                <w:sz w:val="20"/>
                <w:szCs w:val="20"/>
                <w:color w:val="auto"/>
              </w:rPr>
            </w:pPr>
            <w:r>
              <w:rPr>
                <w:rFonts w:ascii="Arial" w:cs="Arial" w:eastAsia="Arial" w:hAnsi="Arial"/>
                <w:sz w:val="17"/>
                <w:szCs w:val="17"/>
                <w:b w:val="1"/>
                <w:bCs w:val="1"/>
                <w:color w:val="auto"/>
              </w:rPr>
              <w:t>Year Ended December 31,</w:t>
            </w:r>
          </w:p>
        </w:tc>
        <w:tc>
          <w:tcPr>
            <w:tcW w:w="940" w:type="dxa"/>
            <w:vAlign w:val="bottom"/>
          </w:tcPr>
          <w:p>
            <w:pPr>
              <w:spacing w:after="0"/>
              <w:rPr>
                <w:sz w:val="19"/>
                <w:szCs w:val="19"/>
                <w:color w:val="auto"/>
              </w:rPr>
            </w:pPr>
          </w:p>
        </w:tc>
      </w:tr>
      <w:tr>
        <w:trPr>
          <w:trHeight w:val="214"/>
        </w:trPr>
        <w:tc>
          <w:tcPr>
            <w:tcW w:w="4020" w:type="dxa"/>
            <w:vAlign w:val="bottom"/>
          </w:tcPr>
          <w:p>
            <w:pPr>
              <w:spacing w:after="0"/>
              <w:rPr>
                <w:sz w:val="18"/>
                <w:szCs w:val="18"/>
                <w:color w:val="auto"/>
              </w:rPr>
            </w:pPr>
          </w:p>
        </w:tc>
        <w:tc>
          <w:tcPr>
            <w:tcW w:w="108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2016</w:t>
            </w:r>
          </w:p>
        </w:tc>
        <w:tc>
          <w:tcPr>
            <w:tcW w:w="1340" w:type="dxa"/>
            <w:vAlign w:val="bottom"/>
            <w:tcBorders>
              <w:top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040" w:type="dxa"/>
            <w:vAlign w:val="bottom"/>
            <w:tcBorders>
              <w:top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2015</w:t>
            </w:r>
          </w:p>
        </w:tc>
        <w:tc>
          <w:tcPr>
            <w:tcW w:w="1320" w:type="dxa"/>
            <w:vAlign w:val="bottom"/>
            <w:tcBorders>
              <w:top w:val="single" w:sz="8" w:color="auto"/>
            </w:tcBorders>
            <w:gridSpan w:val="3"/>
          </w:tcPr>
          <w:p>
            <w:pPr>
              <w:jc w:val="right"/>
              <w:ind w:right="293"/>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201"/>
        </w:trPr>
        <w:tc>
          <w:tcPr>
            <w:tcW w:w="40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5"/>
          </w:tcPr>
          <w:p>
            <w:pPr>
              <w:ind w:left="40"/>
              <w:spacing w:after="0"/>
              <w:rPr>
                <w:sz w:val="20"/>
                <w:szCs w:val="20"/>
                <w:color w:val="auto"/>
              </w:rPr>
            </w:pPr>
            <w:r>
              <w:rPr>
                <w:rFonts w:ascii="Arial" w:cs="Arial" w:eastAsia="Arial" w:hAnsi="Arial"/>
                <w:sz w:val="17"/>
                <w:szCs w:val="17"/>
                <w:b w:val="1"/>
                <w:bCs w:val="1"/>
                <w:color w:val="auto"/>
                <w:w w:val="99"/>
              </w:rPr>
              <w:t>(in CHF thousands)</w:t>
            </w: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5"/>
          </w:tcPr>
          <w:p>
            <w:pPr>
              <w:ind w:left="20"/>
              <w:spacing w:after="0"/>
              <w:rPr>
                <w:sz w:val="20"/>
                <w:szCs w:val="20"/>
                <w:color w:val="auto"/>
              </w:rPr>
            </w:pPr>
            <w:r>
              <w:rPr>
                <w:rFonts w:ascii="Arial" w:cs="Arial" w:eastAsia="Arial" w:hAnsi="Arial"/>
                <w:sz w:val="17"/>
                <w:szCs w:val="17"/>
                <w:b w:val="1"/>
                <w:bCs w:val="1"/>
                <w:color w:val="auto"/>
                <w:w w:val="99"/>
              </w:rPr>
              <w:t>(in CHF thousands)</w:t>
            </w:r>
          </w:p>
        </w:tc>
        <w:tc>
          <w:tcPr>
            <w:tcW w:w="940" w:type="dxa"/>
            <w:vAlign w:val="bottom"/>
            <w:tcBorders>
              <w:top w:val="single" w:sz="8" w:color="auto"/>
            </w:tcBorders>
          </w:tcPr>
          <w:p>
            <w:pPr>
              <w:spacing w:after="0"/>
              <w:rPr>
                <w:sz w:val="17"/>
                <w:szCs w:val="17"/>
                <w:color w:val="auto"/>
              </w:rPr>
            </w:pPr>
          </w:p>
        </w:tc>
      </w:tr>
      <w:tr>
        <w:trPr>
          <w:trHeight w:val="208"/>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Programs subject to collaboration agreements(1)</w:t>
            </w:r>
          </w:p>
        </w:tc>
        <w:tc>
          <w:tcPr>
            <w:tcW w:w="10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1,439</w:t>
            </w:r>
          </w:p>
        </w:tc>
        <w:tc>
          <w:tcPr>
            <w:tcW w:w="1340" w:type="dxa"/>
            <w:vAlign w:val="bottom"/>
            <w:gridSpan w:val="3"/>
            <w:shd w:val="clear" w:color="auto" w:fill="D5EAEA"/>
          </w:tcPr>
          <w:p>
            <w:pPr>
              <w:jc w:val="right"/>
              <w:ind w:right="33"/>
              <w:spacing w:after="0"/>
              <w:rPr>
                <w:sz w:val="20"/>
                <w:szCs w:val="20"/>
                <w:color w:val="auto"/>
              </w:rPr>
            </w:pPr>
            <w:r>
              <w:rPr>
                <w:rFonts w:ascii="Arial" w:cs="Arial" w:eastAsia="Arial" w:hAnsi="Arial"/>
                <w:sz w:val="17"/>
                <w:szCs w:val="17"/>
                <w:color w:val="auto"/>
              </w:rPr>
              <w:t>1,292</w:t>
            </w:r>
          </w:p>
        </w:tc>
        <w:tc>
          <w:tcPr>
            <w:tcW w:w="12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1,292</w:t>
            </w:r>
          </w:p>
        </w:tc>
        <w:tc>
          <w:tcPr>
            <w:tcW w:w="132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1,269</w:t>
            </w:r>
          </w:p>
        </w:tc>
        <w:tc>
          <w:tcPr>
            <w:tcW w:w="1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9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23</w:t>
            </w:r>
          </w:p>
        </w:tc>
      </w:tr>
      <w:tr>
        <w:trPr>
          <w:trHeight w:val="208"/>
        </w:trPr>
        <w:tc>
          <w:tcPr>
            <w:tcW w:w="4020" w:type="dxa"/>
            <w:vAlign w:val="bottom"/>
          </w:tcPr>
          <w:p>
            <w:pPr>
              <w:spacing w:after="0"/>
              <w:rPr>
                <w:sz w:val="20"/>
                <w:szCs w:val="20"/>
                <w:color w:val="auto"/>
              </w:rPr>
            </w:pPr>
            <w:r>
              <w:rPr>
                <w:rFonts w:ascii="Arial" w:cs="Arial" w:eastAsia="Arial" w:hAnsi="Arial"/>
                <w:sz w:val="17"/>
                <w:szCs w:val="17"/>
                <w:color w:val="auto"/>
              </w:rPr>
              <w:t>ACI-35</w:t>
            </w:r>
          </w:p>
        </w:tc>
        <w:tc>
          <w:tcPr>
            <w:tcW w:w="1080" w:type="dxa"/>
            <w:vAlign w:val="bottom"/>
          </w:tcPr>
          <w:p>
            <w:pPr>
              <w:jc w:val="right"/>
              <w:spacing w:after="0"/>
              <w:rPr>
                <w:sz w:val="20"/>
                <w:szCs w:val="20"/>
                <w:color w:val="auto"/>
              </w:rPr>
            </w:pPr>
            <w:r>
              <w:rPr>
                <w:rFonts w:ascii="Arial" w:cs="Arial" w:eastAsia="Arial" w:hAnsi="Arial"/>
                <w:sz w:val="17"/>
                <w:szCs w:val="17"/>
                <w:color w:val="auto"/>
              </w:rPr>
              <w:t>4,642</w:t>
            </w:r>
          </w:p>
        </w:tc>
        <w:tc>
          <w:tcPr>
            <w:tcW w:w="1340" w:type="dxa"/>
            <w:vAlign w:val="bottom"/>
            <w:gridSpan w:val="3"/>
          </w:tcPr>
          <w:p>
            <w:pPr>
              <w:jc w:val="right"/>
              <w:ind w:right="33"/>
              <w:spacing w:after="0"/>
              <w:rPr>
                <w:sz w:val="20"/>
                <w:szCs w:val="20"/>
                <w:color w:val="auto"/>
              </w:rPr>
            </w:pPr>
            <w:r>
              <w:rPr>
                <w:rFonts w:ascii="Arial" w:cs="Arial" w:eastAsia="Arial" w:hAnsi="Arial"/>
                <w:sz w:val="17"/>
                <w:szCs w:val="17"/>
                <w:color w:val="auto"/>
              </w:rPr>
              <w:t>3,611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1,031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3,611</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2,389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1,222</w:t>
            </w:r>
          </w:p>
        </w:tc>
      </w:tr>
      <w:tr>
        <w:trPr>
          <w:trHeight w:val="208"/>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ACI-24 (for AD and Down syndrome)</w:t>
            </w:r>
          </w:p>
        </w:tc>
        <w:tc>
          <w:tcPr>
            <w:tcW w:w="10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5,124</w:t>
            </w:r>
          </w:p>
        </w:tc>
        <w:tc>
          <w:tcPr>
            <w:tcW w:w="1340" w:type="dxa"/>
            <w:vAlign w:val="bottom"/>
            <w:gridSpan w:val="3"/>
            <w:shd w:val="clear" w:color="auto" w:fill="D5EAEA"/>
          </w:tcPr>
          <w:p>
            <w:pPr>
              <w:jc w:val="right"/>
              <w:ind w:right="33"/>
              <w:spacing w:after="0"/>
              <w:rPr>
                <w:sz w:val="20"/>
                <w:szCs w:val="20"/>
                <w:color w:val="auto"/>
              </w:rPr>
            </w:pPr>
            <w:r>
              <w:rPr>
                <w:rFonts w:ascii="Arial" w:cs="Arial" w:eastAsia="Arial" w:hAnsi="Arial"/>
                <w:sz w:val="17"/>
                <w:szCs w:val="17"/>
                <w:color w:val="auto"/>
              </w:rPr>
              <w:t>1,495</w:t>
            </w:r>
          </w:p>
        </w:tc>
        <w:tc>
          <w:tcPr>
            <w:tcW w:w="12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3,629</w:t>
            </w: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1,495</w:t>
            </w:r>
          </w:p>
        </w:tc>
        <w:tc>
          <w:tcPr>
            <w:tcW w:w="132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1,918</w:t>
            </w:r>
          </w:p>
        </w:tc>
        <w:tc>
          <w:tcPr>
            <w:tcW w:w="1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9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(423)</w:t>
            </w:r>
          </w:p>
        </w:tc>
      </w:tr>
      <w:tr>
        <w:trPr>
          <w:trHeight w:val="208"/>
        </w:trPr>
        <w:tc>
          <w:tcPr>
            <w:tcW w:w="4020" w:type="dxa"/>
            <w:vAlign w:val="bottom"/>
          </w:tcPr>
          <w:p>
            <w:pPr>
              <w:spacing w:after="0"/>
              <w:rPr>
                <w:sz w:val="20"/>
                <w:szCs w:val="20"/>
                <w:color w:val="auto"/>
              </w:rPr>
            </w:pPr>
            <w:r>
              <w:rPr>
                <w:rFonts w:ascii="Arial" w:cs="Arial" w:eastAsia="Arial" w:hAnsi="Arial"/>
                <w:sz w:val="17"/>
                <w:szCs w:val="17"/>
                <w:color w:val="auto"/>
              </w:rPr>
              <w:t>PD (therapeutics and diagnostics)</w:t>
            </w:r>
          </w:p>
        </w:tc>
        <w:tc>
          <w:tcPr>
            <w:tcW w:w="1080" w:type="dxa"/>
            <w:vAlign w:val="bottom"/>
          </w:tcPr>
          <w:p>
            <w:pPr>
              <w:jc w:val="right"/>
              <w:spacing w:after="0"/>
              <w:rPr>
                <w:sz w:val="20"/>
                <w:szCs w:val="20"/>
                <w:color w:val="auto"/>
              </w:rPr>
            </w:pPr>
            <w:r>
              <w:rPr>
                <w:rFonts w:ascii="Arial" w:cs="Arial" w:eastAsia="Arial" w:hAnsi="Arial"/>
                <w:sz w:val="17"/>
                <w:szCs w:val="17"/>
                <w:color w:val="auto"/>
              </w:rPr>
              <w:t>1,551</w:t>
            </w:r>
          </w:p>
        </w:tc>
        <w:tc>
          <w:tcPr>
            <w:tcW w:w="1340" w:type="dxa"/>
            <w:vAlign w:val="bottom"/>
            <w:gridSpan w:val="3"/>
          </w:tcPr>
          <w:p>
            <w:pPr>
              <w:jc w:val="right"/>
              <w:ind w:right="33"/>
              <w:spacing w:after="0"/>
              <w:rPr>
                <w:sz w:val="20"/>
                <w:szCs w:val="20"/>
                <w:color w:val="auto"/>
              </w:rPr>
            </w:pPr>
            <w:r>
              <w:rPr>
                <w:rFonts w:ascii="Arial" w:cs="Arial" w:eastAsia="Arial" w:hAnsi="Arial"/>
                <w:sz w:val="17"/>
                <w:szCs w:val="17"/>
                <w:color w:val="auto"/>
              </w:rPr>
              <w:t>757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794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757</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72</w:t>
            </w:r>
          </w:p>
        </w:tc>
      </w:tr>
      <w:tr>
        <w:trPr>
          <w:trHeight w:val="221"/>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New discovery programs</w:t>
            </w:r>
          </w:p>
        </w:tc>
        <w:tc>
          <w:tcPr>
            <w:tcW w:w="10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3,925</w:t>
            </w:r>
          </w:p>
        </w:tc>
        <w:tc>
          <w:tcPr>
            <w:tcW w:w="6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1,315</w:t>
            </w:r>
          </w:p>
        </w:tc>
        <w:tc>
          <w:tcPr>
            <w:tcW w:w="12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100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2,610</w:t>
            </w:r>
          </w:p>
        </w:tc>
        <w:tc>
          <w:tcPr>
            <w:tcW w:w="120" w:type="dxa"/>
            <w:vAlign w:val="bottom"/>
            <w:shd w:val="clear" w:color="auto" w:fill="D5EAEA"/>
          </w:tcPr>
          <w:p>
            <w:pPr>
              <w:spacing w:after="0"/>
              <w:rPr>
                <w:sz w:val="19"/>
                <w:szCs w:val="19"/>
                <w:color w:val="auto"/>
              </w:rPr>
            </w:pPr>
          </w:p>
        </w:tc>
        <w:tc>
          <w:tcPr>
            <w:tcW w:w="10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1,315</w:t>
            </w:r>
          </w:p>
        </w:tc>
        <w:tc>
          <w:tcPr>
            <w:tcW w:w="100" w:type="dxa"/>
            <w:vAlign w:val="bottom"/>
            <w:tcBorders>
              <w:bottom w:val="single" w:sz="8" w:color="auto"/>
            </w:tcBorders>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2,064</w:t>
            </w:r>
          </w:p>
        </w:tc>
        <w:tc>
          <w:tcPr>
            <w:tcW w:w="100" w:type="dxa"/>
            <w:vAlign w:val="bottom"/>
            <w:shd w:val="clear" w:color="auto" w:fill="D5EAEA"/>
          </w:tcPr>
          <w:p>
            <w:pPr>
              <w:spacing w:after="0"/>
              <w:rPr>
                <w:sz w:val="19"/>
                <w:szCs w:val="19"/>
                <w:color w:val="auto"/>
              </w:rPr>
            </w:pPr>
          </w:p>
        </w:tc>
        <w:tc>
          <w:tcPr>
            <w:tcW w:w="180" w:type="dxa"/>
            <w:vAlign w:val="bottom"/>
            <w:tcBorders>
              <w:bottom w:val="single" w:sz="8" w:color="auto"/>
            </w:tcBorders>
            <w:shd w:val="clear" w:color="auto" w:fill="D5EAEA"/>
          </w:tcPr>
          <w:p>
            <w:pPr>
              <w:spacing w:after="0"/>
              <w:rPr>
                <w:sz w:val="19"/>
                <w:szCs w:val="19"/>
                <w:color w:val="auto"/>
              </w:rPr>
            </w:pPr>
          </w:p>
        </w:tc>
        <w:tc>
          <w:tcPr>
            <w:tcW w:w="9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(749)</w:t>
            </w:r>
          </w:p>
        </w:tc>
      </w:tr>
      <w:tr>
        <w:trPr>
          <w:trHeight w:val="214"/>
        </w:trPr>
        <w:tc>
          <w:tcPr>
            <w:tcW w:w="4020" w:type="dxa"/>
            <w:vAlign w:val="bottom"/>
          </w:tcPr>
          <w:p>
            <w:pPr>
              <w:spacing w:after="0"/>
              <w:rPr>
                <w:sz w:val="20"/>
                <w:szCs w:val="20"/>
                <w:color w:val="auto"/>
              </w:rPr>
            </w:pPr>
            <w:r>
              <w:rPr>
                <w:rFonts w:ascii="Arial" w:cs="Arial" w:eastAsia="Arial" w:hAnsi="Arial"/>
                <w:sz w:val="17"/>
                <w:szCs w:val="17"/>
                <w:color w:val="auto"/>
              </w:rPr>
              <w:t>Total</w:t>
            </w:r>
          </w:p>
        </w:tc>
        <w:tc>
          <w:tcPr>
            <w:tcW w:w="1080" w:type="dxa"/>
            <w:vAlign w:val="bottom"/>
          </w:tcPr>
          <w:p>
            <w:pPr>
              <w:jc w:val="right"/>
              <w:spacing w:after="0"/>
              <w:rPr>
                <w:sz w:val="20"/>
                <w:szCs w:val="20"/>
                <w:color w:val="auto"/>
              </w:rPr>
            </w:pPr>
            <w:r>
              <w:rPr>
                <w:rFonts w:ascii="Arial" w:cs="Arial" w:eastAsia="Arial" w:hAnsi="Arial"/>
                <w:sz w:val="17"/>
                <w:szCs w:val="17"/>
                <w:color w:val="auto"/>
              </w:rPr>
              <w:t>16,681</w:t>
            </w:r>
          </w:p>
        </w:tc>
        <w:tc>
          <w:tcPr>
            <w:tcW w:w="1340" w:type="dxa"/>
            <w:vAlign w:val="bottom"/>
            <w:gridSpan w:val="3"/>
          </w:tcPr>
          <w:p>
            <w:pPr>
              <w:jc w:val="right"/>
              <w:ind w:right="33"/>
              <w:spacing w:after="0"/>
              <w:rPr>
                <w:sz w:val="20"/>
                <w:szCs w:val="20"/>
                <w:color w:val="auto"/>
              </w:rPr>
            </w:pPr>
            <w:r>
              <w:rPr>
                <w:rFonts w:ascii="Arial" w:cs="Arial" w:eastAsia="Arial" w:hAnsi="Arial"/>
                <w:sz w:val="17"/>
                <w:szCs w:val="17"/>
                <w:color w:val="auto"/>
              </w:rPr>
              <w:t>8,470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8,211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8,470</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8,325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145</w:t>
            </w:r>
          </w:p>
        </w:tc>
      </w:tr>
      <w:tr>
        <w:trPr>
          <w:trHeight w:val="20"/>
        </w:trPr>
        <w:tc>
          <w:tcPr>
            <w:tcW w:w="4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8167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16735" cy="8255"/>
                    </a:xfrm>
                    <a:prstGeom prst="rect">
                      <a:avLst/>
                    </a:prstGeom>
                    <a:noFill/>
                  </pic:spPr>
                </pic:pic>
              </a:graphicData>
            </a:graphic>
          </wp:anchor>
        </w:drawing>
      </w:r>
    </w:p>
    <w:p>
      <w:pPr>
        <w:spacing w:after="0" w:line="332" w:lineRule="exact"/>
        <w:rPr>
          <w:sz w:val="20"/>
          <w:szCs w:val="20"/>
          <w:color w:val="auto"/>
        </w:rPr>
      </w:pPr>
    </w:p>
    <w:p>
      <w:pPr>
        <w:ind w:left="320" w:right="180" w:hanging="316"/>
        <w:spacing w:after="0" w:line="286" w:lineRule="auto"/>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research and development expenditures for crenezumab, anti-tau antibodies and tau PET imaging tracer. Does not include research and development expenditures for ACI-35.</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21" w:lineRule="exact"/>
        <w:rPr>
          <w:sz w:val="20"/>
          <w:szCs w:val="20"/>
          <w:color w:val="auto"/>
        </w:rPr>
      </w:pPr>
    </w:p>
    <w:p>
      <w:pPr>
        <w:ind w:right="100" w:firstLine="312"/>
        <w:spacing w:after="0" w:line="261"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Financial Income and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expenses are bank fees associated with charges levied by banks on foreign payments and foreign exchange transactions.</w:t>
      </w:r>
    </w:p>
    <w:p>
      <w:pPr>
        <w:spacing w:after="0" w:line="221" w:lineRule="exact"/>
        <w:rPr>
          <w:sz w:val="20"/>
          <w:szCs w:val="20"/>
          <w:color w:val="auto"/>
        </w:rPr>
      </w:pPr>
    </w:p>
    <w:p>
      <w:pPr>
        <w:ind w:right="40" w:firstLine="312"/>
        <w:spacing w:after="0" w:line="295"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Genentech and Piramal Imaging are in currencies other than Swiss Francs, and selected purchases, which we effect in foreign currencies.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Taxation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subject to corporate taxation in Switzerland.</w:t>
      </w:r>
    </w:p>
    <w:p>
      <w:pPr>
        <w:spacing w:after="0" w:line="221" w:lineRule="exact"/>
        <w:rPr>
          <w:sz w:val="20"/>
          <w:szCs w:val="20"/>
          <w:color w:val="auto"/>
        </w:rPr>
      </w:pPr>
    </w:p>
    <w:p>
      <w:pPr>
        <w:jc w:val="both"/>
        <w:ind w:right="200" w:firstLine="312"/>
        <w:spacing w:after="0" w:line="270" w:lineRule="auto"/>
        <w:rPr>
          <w:sz w:val="20"/>
          <w:szCs w:val="20"/>
          <w:color w:val="auto"/>
        </w:rPr>
      </w:pPr>
      <w:r>
        <w:rPr>
          <w:rFonts w:ascii="Arial" w:cs="Arial" w:eastAsia="Arial" w:hAnsi="Arial"/>
          <w:sz w:val="17"/>
          <w:szCs w:val="17"/>
          <w:color w:val="auto"/>
        </w:rPr>
        <w:t>We are also entitled under Swiss laws to carry forward any losses incurred for a period of seven years and can offset our losses carried forward against future taxes. As of December 31, 2016, we had tax loss carryforwards totaling CHF 36.7 million. There is no certainty that we will make sufficient profits to be able to utilize these tax loss carryforwards.</w:t>
      </w:r>
    </w:p>
    <w:p>
      <w:pPr>
        <w:spacing w:after="0" w:line="173" w:lineRule="exact"/>
        <w:rPr>
          <w:sz w:val="20"/>
          <w:szCs w:val="20"/>
          <w:color w:val="auto"/>
        </w:rPr>
      </w:pPr>
    </w:p>
    <w:p>
      <w:pPr>
        <w:ind w:right="20" w:firstLine="312"/>
        <w:spacing w:after="0" w:line="283" w:lineRule="auto"/>
        <w:rPr>
          <w:sz w:val="20"/>
          <w:szCs w:val="20"/>
          <w:color w:val="auto"/>
        </w:rPr>
      </w:pPr>
      <w:r>
        <w:rPr>
          <w:rFonts w:ascii="Arial" w:cs="Arial" w:eastAsia="Arial" w:hAnsi="Arial"/>
          <w:sz w:val="16"/>
          <w:szCs w:val="16"/>
          <w:color w:val="auto"/>
        </w:rPr>
        <w:t>The corporate tax rate in the Canton of Vaud where we are domiciled is currently 21.2%.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 The Swiss Federal government has recently proposed changes to align Swiss corporate taxation with international recommendations but voters in Switzerland voted against such proposals in a national referendum on February 12, 2017. As a result, uncertainty will continue about the future level of Swiss corporate income taxes that may apply to us until revised proposals are put forward and gain acceptance.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251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09" w:name="page110"/>
    <w:bookmarkEnd w:id="109"/>
    <w:p>
      <w:pPr>
        <w:jc w:val="both"/>
        <w:ind w:right="520" w:firstLine="312"/>
        <w:spacing w:after="0" w:line="270" w:lineRule="auto"/>
        <w:rPr>
          <w:sz w:val="20"/>
          <w:szCs w:val="20"/>
          <w:color w:val="auto"/>
        </w:rPr>
      </w:pPr>
      <w:r>
        <w:rPr>
          <w:rFonts w:ascii="Arial" w:cs="Arial" w:eastAsia="Arial" w:hAnsi="Arial"/>
          <w:sz w:val="17"/>
          <w:szCs w:val="17"/>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7" w:lineRule="exact"/>
        <w:rPr>
          <w:sz w:val="20"/>
          <w:szCs w:val="20"/>
          <w:color w:val="auto"/>
        </w:rPr>
      </w:pPr>
    </w:p>
    <w:p>
      <w:pPr>
        <w:ind w:right="120" w:firstLine="312"/>
        <w:spacing w:after="0" w:line="286" w:lineRule="auto"/>
        <w:rPr>
          <w:sz w:val="20"/>
          <w:szCs w:val="20"/>
          <w:color w:val="auto"/>
        </w:rPr>
      </w:pPr>
      <w:r>
        <w:rPr>
          <w:rFonts w:ascii="Arial" w:cs="Arial" w:eastAsia="Arial" w:hAnsi="Arial"/>
          <w:sz w:val="17"/>
          <w:szCs w:val="17"/>
          <w:color w:val="auto"/>
        </w:rPr>
        <w:t>The numbers below have been derived from our audited financial statements included elsewhere herein. The discussion below should be read along with these condensed financial statements and it is qualified in its entirety by reference to them.</w:t>
      </w:r>
    </w:p>
    <w:p>
      <w:pPr>
        <w:sectPr>
          <w:pgSz w:w="11900" w:h="16838" w:orient="portrait"/>
          <w:cols w:equalWidth="0" w:num="1">
            <w:col w:w="11420"/>
          </w:cols>
          <w:pgMar w:left="240" w:top="569"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2016 and 2015</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Revenue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our revenues during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Collaboration and license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1320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1700" cy="13208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Grant revenue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251700" cy="140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68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3"/>
              </w:rPr>
              <w:t>For the Years Ended</w:t>
            </w:r>
          </w:p>
        </w:tc>
        <w:tc>
          <w:tcPr>
            <w:tcW w:w="960" w:type="dxa"/>
            <w:vAlign w:val="bottom"/>
          </w:tcPr>
          <w:p>
            <w:pPr>
              <w:spacing w:after="0"/>
              <w:rPr>
                <w:sz w:val="18"/>
                <w:szCs w:val="18"/>
                <w:color w:val="auto"/>
              </w:rPr>
            </w:pPr>
          </w:p>
        </w:tc>
      </w:tr>
      <w:tr>
        <w:trPr>
          <w:trHeight w:val="226"/>
        </w:trPr>
        <w:tc>
          <w:tcPr>
            <w:tcW w:w="268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2"/>
              </w:rPr>
              <w:t>December 31,</w:t>
            </w:r>
          </w:p>
        </w:tc>
        <w:tc>
          <w:tcPr>
            <w:tcW w:w="960" w:type="dxa"/>
            <w:vAlign w:val="bottom"/>
          </w:tcPr>
          <w:p>
            <w:pPr>
              <w:spacing w:after="0"/>
              <w:rPr>
                <w:sz w:val="19"/>
                <w:szCs w:val="19"/>
                <w:color w:val="auto"/>
              </w:rPr>
            </w:pPr>
          </w:p>
        </w:tc>
      </w:tr>
      <w:tr>
        <w:trPr>
          <w:trHeight w:val="214"/>
        </w:trPr>
        <w:tc>
          <w:tcPr>
            <w:tcW w:w="10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2016</w:t>
            </w:r>
          </w:p>
        </w:tc>
        <w:tc>
          <w:tcPr>
            <w:tcW w:w="1360" w:type="dxa"/>
            <w:vAlign w:val="bottom"/>
            <w:tcBorders>
              <w:top w:val="single" w:sz="8" w:color="auto"/>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189"/>
        </w:trPr>
        <w:tc>
          <w:tcPr>
            <w:tcW w:w="1060" w:type="dxa"/>
            <w:vAlign w:val="bottom"/>
          </w:tcPr>
          <w:p>
            <w:pPr>
              <w:spacing w:after="0"/>
              <w:rPr>
                <w:sz w:val="16"/>
                <w:szCs w:val="16"/>
                <w:color w:val="auto"/>
              </w:rPr>
            </w:pPr>
          </w:p>
        </w:tc>
        <w:tc>
          <w:tcPr>
            <w:tcW w:w="1620" w:type="dxa"/>
            <w:vAlign w:val="bottom"/>
            <w:gridSpan w:val="5"/>
          </w:tcPr>
          <w:p>
            <w:pPr>
              <w:ind w:left="40"/>
              <w:spacing w:after="0" w:line="189" w:lineRule="exact"/>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6"/>
                <w:szCs w:val="16"/>
                <w:color w:val="auto"/>
              </w:rPr>
            </w:pPr>
          </w:p>
        </w:tc>
      </w:tr>
      <w:tr>
        <w:trPr>
          <w:trHeight w:val="208"/>
        </w:trPr>
        <w:tc>
          <w:tcPr>
            <w:tcW w:w="1060" w:type="dxa"/>
            <w:vAlign w:val="bottom"/>
          </w:tcPr>
          <w:p>
            <w:pPr>
              <w:jc w:val="right"/>
              <w:spacing w:after="0"/>
              <w:rPr>
                <w:sz w:val="20"/>
                <w:szCs w:val="20"/>
                <w:color w:val="auto"/>
              </w:rPr>
            </w:pPr>
            <w:r>
              <w:rPr>
                <w:rFonts w:ascii="Arial" w:cs="Arial" w:eastAsia="Arial" w:hAnsi="Arial"/>
                <w:sz w:val="17"/>
                <w:szCs w:val="17"/>
                <w:color w:val="auto"/>
              </w:rPr>
              <w:t>22,737</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38,745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(16,008)</w:t>
            </w:r>
          </w:p>
        </w:tc>
      </w:tr>
      <w:tr>
        <w:trPr>
          <w:trHeight w:val="220"/>
        </w:trPr>
        <w:tc>
          <w:tcPr>
            <w:tcW w:w="1060" w:type="dxa"/>
            <w:vAlign w:val="bottom"/>
          </w:tcPr>
          <w:p>
            <w:pPr>
              <w:jc w:val="right"/>
              <w:spacing w:after="0"/>
              <w:rPr>
                <w:sz w:val="20"/>
                <w:szCs w:val="20"/>
                <w:color w:val="auto"/>
              </w:rPr>
            </w:pPr>
            <w:r>
              <w:rPr>
                <w:rFonts w:ascii="Arial" w:cs="Arial" w:eastAsia="Arial" w:hAnsi="Arial"/>
                <w:sz w:val="17"/>
                <w:szCs w:val="17"/>
                <w:color w:val="auto"/>
              </w:rPr>
              <w:t>469</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153</w:t>
            </w:r>
          </w:p>
        </w:tc>
      </w:tr>
      <w:tr>
        <w:trPr>
          <w:trHeight w:val="221"/>
        </w:trPr>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14"/>
        </w:trPr>
        <w:tc>
          <w:tcPr>
            <w:tcW w:w="1060" w:type="dxa"/>
            <w:vAlign w:val="bottom"/>
          </w:tcPr>
          <w:p>
            <w:pPr>
              <w:jc w:val="right"/>
              <w:spacing w:after="0"/>
              <w:rPr>
                <w:sz w:val="20"/>
                <w:szCs w:val="20"/>
                <w:color w:val="auto"/>
              </w:rPr>
            </w:pPr>
            <w:r>
              <w:rPr>
                <w:rFonts w:ascii="Arial" w:cs="Arial" w:eastAsia="Arial" w:hAnsi="Arial"/>
                <w:sz w:val="17"/>
                <w:szCs w:val="17"/>
                <w:color w:val="auto"/>
              </w:rPr>
              <w:t>23,214</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39,090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(15,876)</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240" w:space="540"/>
            <w:col w:w="3640"/>
          </w:cols>
          <w:pgMar w:left="240" w:top="569" w:right="239" w:bottom="1440" w:gutter="0" w:footer="0" w:header="0"/>
          <w:type w:val="continuous"/>
        </w:sectPr>
      </w:pPr>
    </w:p>
    <w:p>
      <w:pPr>
        <w:ind w:right="20" w:firstLine="312"/>
        <w:spacing w:after="0" w:line="260" w:lineRule="auto"/>
        <w:rPr>
          <w:sz w:val="20"/>
          <w:szCs w:val="20"/>
          <w:color w:val="auto"/>
        </w:rPr>
      </w:pPr>
      <w:r>
        <w:rPr>
          <w:rFonts w:ascii="Arial" w:cs="Arial" w:eastAsia="Arial" w:hAnsi="Arial"/>
          <w:sz w:val="17"/>
          <w:szCs w:val="17"/>
          <w:color w:val="auto"/>
        </w:rPr>
        <w:t>Our revenues experience fluctuations as a result of securing new collaboration agreements, the timing of milestone achievements and the size of each milestone payment. The decline in revenues in 2016 compared to the same period in 2015 is primarily related to the timing and size of clinical milestones recognized in each of those periods. Revenues in 2016 resulted from the recognition of a CHF 4.9 million clinical milestone and CHF 1.5 million recognized for research contributions received related to ACI-35 pursuant to our collaboration agreement with Janssen, the recognition of a CHF 14 million milestone payment for commencement of phase 1 clinical studies for the anti-tau antibody under collaboration with Genentech, the recognition of an approximate CHF 1.0 million share of the Biogen upfront payment received in April 2016 that we are recognizing over a twelve month period and CHF 1.1 million in research contribution revenues related to the Biogen collaboration.</w:t>
      </w:r>
    </w:p>
    <w:p>
      <w:pPr>
        <w:spacing w:after="0" w:line="183" w:lineRule="exact"/>
        <w:rPr>
          <w:sz w:val="20"/>
          <w:szCs w:val="20"/>
          <w:color w:val="auto"/>
        </w:rPr>
      </w:pPr>
    </w:p>
    <w:p>
      <w:pPr>
        <w:ind w:right="40" w:firstLine="312"/>
        <w:spacing w:after="0" w:line="270" w:lineRule="auto"/>
        <w:rPr>
          <w:sz w:val="20"/>
          <w:szCs w:val="20"/>
          <w:color w:val="auto"/>
        </w:rPr>
      </w:pPr>
      <w:r>
        <w:rPr>
          <w:rFonts w:ascii="Arial" w:cs="Arial" w:eastAsia="Arial" w:hAnsi="Arial"/>
          <w:sz w:val="17"/>
          <w:szCs w:val="17"/>
          <w:color w:val="auto"/>
        </w:rPr>
        <w:t>In 2015, we recognized revenue from two collaboration agreements, including a $25 million (CHF 24.3 million) milestone payment related to our collaboration with Genentech for crenezumab and a CHF 14 million milestone payment associated with the Genentech collaboration agreement for our anti-tau antibody candidate.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research and development expenses during the years ended December 31, 2016 and 2015:</w:t>
      </w:r>
    </w:p>
    <w:p>
      <w:pPr>
        <w:sectPr>
          <w:pgSz w:w="11900" w:h="16838" w:orient="portrait"/>
          <w:cols w:equalWidth="0" w:num="1">
            <w:col w:w="11420"/>
          </w:cols>
          <w:pgMar w:left="240" w:top="56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Salaries and related costs (1)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Depreciation of tangible fixed assets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28905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052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(1)  Includes share-based compensation.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680" w:type="dxa"/>
            <w:vAlign w:val="bottom"/>
            <w:gridSpan w:val="6"/>
          </w:tcPr>
          <w:p>
            <w:pPr>
              <w:ind w:left="60"/>
              <w:spacing w:after="0"/>
              <w:rPr>
                <w:sz w:val="20"/>
                <w:szCs w:val="20"/>
                <w:color w:val="auto"/>
              </w:rPr>
            </w:pPr>
            <w:r>
              <w:rPr>
                <w:rFonts w:ascii="Arial" w:cs="Arial" w:eastAsia="Arial" w:hAnsi="Arial"/>
                <w:sz w:val="17"/>
                <w:szCs w:val="17"/>
                <w:b w:val="1"/>
                <w:bCs w:val="1"/>
                <w:color w:val="auto"/>
              </w:rPr>
              <w:t>For the Years Ended December</w:t>
            </w:r>
          </w:p>
        </w:tc>
        <w:tc>
          <w:tcPr>
            <w:tcW w:w="960" w:type="dxa"/>
            <w:vAlign w:val="bottom"/>
          </w:tcPr>
          <w:p>
            <w:pPr>
              <w:spacing w:after="0"/>
              <w:rPr>
                <w:sz w:val="18"/>
                <w:szCs w:val="18"/>
                <w:color w:val="auto"/>
              </w:rPr>
            </w:pPr>
          </w:p>
        </w:tc>
      </w:tr>
      <w:tr>
        <w:trPr>
          <w:trHeight w:val="226"/>
        </w:trPr>
        <w:tc>
          <w:tcPr>
            <w:tcW w:w="10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7"/>
                <w:szCs w:val="17"/>
                <w:b w:val="1"/>
                <w:bCs w:val="1"/>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4"/>
        </w:trPr>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2016</w:t>
            </w:r>
          </w:p>
        </w:tc>
        <w:tc>
          <w:tcPr>
            <w:tcW w:w="136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189"/>
        </w:trPr>
        <w:tc>
          <w:tcPr>
            <w:tcW w:w="1060" w:type="dxa"/>
            <w:vAlign w:val="bottom"/>
          </w:tcPr>
          <w:p>
            <w:pPr>
              <w:spacing w:after="0"/>
              <w:rPr>
                <w:sz w:val="16"/>
                <w:szCs w:val="16"/>
                <w:color w:val="auto"/>
              </w:rPr>
            </w:pPr>
          </w:p>
        </w:tc>
        <w:tc>
          <w:tcPr>
            <w:tcW w:w="1620" w:type="dxa"/>
            <w:vAlign w:val="bottom"/>
            <w:gridSpan w:val="5"/>
          </w:tcPr>
          <w:p>
            <w:pPr>
              <w:ind w:left="40"/>
              <w:spacing w:after="0" w:line="189" w:lineRule="exact"/>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6"/>
                <w:szCs w:val="16"/>
                <w:color w:val="auto"/>
              </w:rPr>
            </w:pPr>
          </w:p>
        </w:tc>
      </w:tr>
      <w:tr>
        <w:trPr>
          <w:trHeight w:val="208"/>
        </w:trPr>
        <w:tc>
          <w:tcPr>
            <w:tcW w:w="1060" w:type="dxa"/>
            <w:vAlign w:val="bottom"/>
          </w:tcPr>
          <w:p>
            <w:pPr>
              <w:jc w:val="right"/>
              <w:spacing w:after="0"/>
              <w:rPr>
                <w:sz w:val="20"/>
                <w:szCs w:val="20"/>
                <w:color w:val="auto"/>
              </w:rPr>
            </w:pPr>
            <w:r>
              <w:rPr>
                <w:rFonts w:ascii="Arial" w:cs="Arial" w:eastAsia="Arial" w:hAnsi="Arial"/>
                <w:sz w:val="17"/>
                <w:szCs w:val="17"/>
                <w:color w:val="auto"/>
              </w:rPr>
              <w:t>18,489</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10,476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8,013</w:t>
            </w:r>
          </w:p>
        </w:tc>
      </w:tr>
      <w:tr>
        <w:trPr>
          <w:trHeight w:val="220"/>
        </w:trPr>
        <w:tc>
          <w:tcPr>
            <w:tcW w:w="1060" w:type="dxa"/>
            <w:vAlign w:val="bottom"/>
          </w:tcPr>
          <w:p>
            <w:pPr>
              <w:jc w:val="right"/>
              <w:spacing w:after="0"/>
              <w:rPr>
                <w:sz w:val="20"/>
                <w:szCs w:val="20"/>
                <w:color w:val="auto"/>
              </w:rPr>
            </w:pPr>
            <w:r>
              <w:rPr>
                <w:rFonts w:ascii="Arial" w:cs="Arial" w:eastAsia="Arial" w:hAnsi="Arial"/>
                <w:sz w:val="17"/>
                <w:szCs w:val="17"/>
                <w:color w:val="auto"/>
              </w:rPr>
              <w:t>7,007</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6,286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721</w:t>
            </w:r>
          </w:p>
        </w:tc>
      </w:tr>
      <w:tr>
        <w:trPr>
          <w:trHeight w:val="221"/>
        </w:trPr>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14"/>
        </w:trPr>
        <w:tc>
          <w:tcPr>
            <w:tcW w:w="1060" w:type="dxa"/>
            <w:vAlign w:val="bottom"/>
          </w:tcPr>
          <w:p>
            <w:pPr>
              <w:jc w:val="right"/>
              <w:spacing w:after="0"/>
              <w:rPr>
                <w:sz w:val="20"/>
                <w:szCs w:val="20"/>
                <w:color w:val="auto"/>
              </w:rPr>
            </w:pPr>
            <w:r>
              <w:rPr>
                <w:rFonts w:ascii="Arial" w:cs="Arial" w:eastAsia="Arial" w:hAnsi="Arial"/>
                <w:sz w:val="17"/>
                <w:szCs w:val="17"/>
                <w:color w:val="auto"/>
              </w:rPr>
              <w:t>25,774</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17,049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8,725</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-577215</wp:posOffset>
            </wp:positionV>
            <wp:extent cx="7251700" cy="132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700" cy="13208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-313055</wp:posOffset>
            </wp:positionV>
            <wp:extent cx="7251700" cy="140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pacing w:after="0" w:line="412" w:lineRule="exact"/>
        <w:rPr>
          <w:sz w:val="20"/>
          <w:szCs w:val="20"/>
          <w:color w:val="auto"/>
        </w:rPr>
      </w:pPr>
    </w:p>
    <w:p>
      <w:pPr>
        <w:sectPr>
          <w:pgSz w:w="11900" w:h="16838" w:orient="portrait"/>
          <w:cols w:equalWidth="0" w:num="2">
            <w:col w:w="7060" w:space="720"/>
            <w:col w:w="3640"/>
          </w:cols>
          <w:pgMar w:left="240" w:top="569" w:right="239" w:bottom="1440" w:gutter="0" w:footer="0" w:header="0"/>
          <w:type w:val="continuous"/>
        </w:sectPr>
      </w:pPr>
    </w:p>
    <w:p>
      <w:pPr>
        <w:spacing w:after="0" w:line="44" w:lineRule="exact"/>
        <w:rPr>
          <w:sz w:val="20"/>
          <w:szCs w:val="20"/>
          <w:color w:val="auto"/>
        </w:rPr>
      </w:pPr>
    </w:p>
    <w:p>
      <w:pPr>
        <w:ind w:right="340" w:firstLine="312"/>
        <w:spacing w:after="0" w:line="286" w:lineRule="auto"/>
        <w:rPr>
          <w:sz w:val="20"/>
          <w:szCs w:val="20"/>
          <w:color w:val="auto"/>
        </w:rPr>
      </w:pPr>
      <w:r>
        <w:rPr>
          <w:rFonts w:ascii="Arial" w:cs="Arial" w:eastAsia="Arial" w:hAnsi="Arial"/>
          <w:sz w:val="17"/>
          <w:szCs w:val="17"/>
          <w:color w:val="auto"/>
        </w:rPr>
        <w:t>Our research and development expenses increased to CHF 25.8 million for the year ended December 31, 2016, from CHF 17.0 million, an increase of CHF 8.8 million, as compared to year ended December 31, 2015.</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251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type w:val="continuous"/>
        </w:sectPr>
      </w:pPr>
    </w:p>
    <w:bookmarkStart w:id="110" w:name="page111"/>
    <w:bookmarkEnd w:id="110"/>
    <w:p>
      <w:pPr>
        <w:ind w:right="120" w:firstLine="312"/>
        <w:spacing w:after="0" w:line="311" w:lineRule="auto"/>
        <w:rPr>
          <w:sz w:val="20"/>
          <w:szCs w:val="20"/>
          <w:color w:val="auto"/>
        </w:rPr>
      </w:pPr>
      <w:r>
        <w:rPr>
          <w:rFonts w:ascii="Arial" w:cs="Arial" w:eastAsia="Arial" w:hAnsi="Arial"/>
          <w:sz w:val="15"/>
          <w:szCs w:val="15"/>
          <w:color w:val="auto"/>
        </w:rPr>
        <w:t>The increase in research and development spending in 2016 was driven by a CHF 1.0 million increase for research and development expenses related to ACI-35, a CHF 3.6 million increase in the outlays related to the two ACI-24 programs driven principally by investment in manufacturing, a CHF 0.8 million increase in Parkinson’s disease focused program including the alpha synuclein PET imaging collaboration with Biogen, and a CHF 2.6 million increase in total research and development expenses for new discovery projects that we believe will help us to maintain a scientific leadership position in neurodegenerative diseases.</w:t>
      </w:r>
    </w:p>
    <w:p>
      <w:pPr>
        <w:spacing w:after="0" w:line="146" w:lineRule="exact"/>
        <w:rPr>
          <w:sz w:val="20"/>
          <w:szCs w:val="20"/>
          <w:color w:val="auto"/>
        </w:rPr>
      </w:pPr>
    </w:p>
    <w:p>
      <w:pPr>
        <w:ind w:right="160" w:firstLine="312"/>
        <w:spacing w:after="0" w:line="270" w:lineRule="auto"/>
        <w:rPr>
          <w:sz w:val="20"/>
          <w:szCs w:val="20"/>
          <w:color w:val="auto"/>
        </w:rPr>
      </w:pPr>
      <w:r>
        <w:rPr>
          <w:rFonts w:ascii="Arial" w:cs="Arial" w:eastAsia="Arial" w:hAnsi="Arial"/>
          <w:sz w:val="17"/>
          <w:szCs w:val="17"/>
          <w:color w:val="auto"/>
        </w:rPr>
        <w:t>Our salaries and costs related to our research and development activities rose by CHF 0.7 million to CHF 7.0 million for the year ended December 31, 2016 from CHF 6.3 million for the year ended December 31, 2015. The increase is primarily due to growth of the Company’s research and development organization to accelerate the development of its proprietary and partnered pipeline candidates.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general and administrative expenses during the years ended December 31, 2016 and 2015:</w:t>
      </w:r>
    </w:p>
    <w:p>
      <w:pPr>
        <w:sectPr>
          <w:pgSz w:w="11900" w:h="16838" w:orient="portrait"/>
          <w:cols w:equalWidth="0" w:num="1">
            <w:col w:w="11420"/>
          </w:cols>
          <w:pgMar w:left="240" w:top="5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Salaries and related costs (1)</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Total general and administrative expenses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(1)  Includes share-based compensation.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68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3"/>
              </w:rPr>
              <w:t>For the Years Ended</w:t>
            </w:r>
          </w:p>
        </w:tc>
        <w:tc>
          <w:tcPr>
            <w:tcW w:w="960" w:type="dxa"/>
            <w:vAlign w:val="bottom"/>
          </w:tcPr>
          <w:p>
            <w:pPr>
              <w:spacing w:after="0"/>
              <w:rPr>
                <w:sz w:val="18"/>
                <w:szCs w:val="18"/>
                <w:color w:val="auto"/>
              </w:rPr>
            </w:pPr>
          </w:p>
        </w:tc>
      </w:tr>
      <w:tr>
        <w:trPr>
          <w:trHeight w:val="226"/>
        </w:trPr>
        <w:tc>
          <w:tcPr>
            <w:tcW w:w="268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2"/>
              </w:rPr>
              <w:t>December 31,</w:t>
            </w:r>
          </w:p>
        </w:tc>
        <w:tc>
          <w:tcPr>
            <w:tcW w:w="960" w:type="dxa"/>
            <w:vAlign w:val="bottom"/>
          </w:tcPr>
          <w:p>
            <w:pPr>
              <w:spacing w:after="0"/>
              <w:rPr>
                <w:sz w:val="19"/>
                <w:szCs w:val="19"/>
                <w:color w:val="auto"/>
              </w:rPr>
            </w:pPr>
          </w:p>
        </w:tc>
      </w:tr>
      <w:tr>
        <w:trPr>
          <w:trHeight w:val="214"/>
        </w:trPr>
        <w:tc>
          <w:tcPr>
            <w:tcW w:w="10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2016</w:t>
            </w:r>
          </w:p>
        </w:tc>
        <w:tc>
          <w:tcPr>
            <w:tcW w:w="1360" w:type="dxa"/>
            <w:vAlign w:val="bottom"/>
            <w:tcBorders>
              <w:top w:val="single" w:sz="8" w:color="auto"/>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189"/>
        </w:trPr>
        <w:tc>
          <w:tcPr>
            <w:tcW w:w="1060" w:type="dxa"/>
            <w:vAlign w:val="bottom"/>
          </w:tcPr>
          <w:p>
            <w:pPr>
              <w:spacing w:after="0"/>
              <w:rPr>
                <w:sz w:val="16"/>
                <w:szCs w:val="16"/>
                <w:color w:val="auto"/>
              </w:rPr>
            </w:pPr>
          </w:p>
        </w:tc>
        <w:tc>
          <w:tcPr>
            <w:tcW w:w="1620" w:type="dxa"/>
            <w:vAlign w:val="bottom"/>
            <w:gridSpan w:val="5"/>
          </w:tcPr>
          <w:p>
            <w:pPr>
              <w:ind w:left="40"/>
              <w:spacing w:after="0" w:line="189" w:lineRule="exact"/>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6"/>
                <w:szCs w:val="16"/>
                <w:color w:val="auto"/>
              </w:rPr>
            </w:pPr>
          </w:p>
        </w:tc>
      </w:tr>
      <w:tr>
        <w:trPr>
          <w:trHeight w:val="220"/>
        </w:trPr>
        <w:tc>
          <w:tcPr>
            <w:tcW w:w="1060" w:type="dxa"/>
            <w:vAlign w:val="bottom"/>
          </w:tcPr>
          <w:p>
            <w:pPr>
              <w:jc w:val="right"/>
              <w:spacing w:after="0"/>
              <w:rPr>
                <w:sz w:val="20"/>
                <w:szCs w:val="20"/>
                <w:color w:val="auto"/>
              </w:rPr>
            </w:pPr>
            <w:r>
              <w:rPr>
                <w:rFonts w:ascii="Arial" w:cs="Arial" w:eastAsia="Arial" w:hAnsi="Arial"/>
                <w:sz w:val="17"/>
                <w:szCs w:val="17"/>
                <w:color w:val="auto"/>
              </w:rPr>
              <w:t>4,728</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2,040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2,688</w:t>
            </w:r>
          </w:p>
        </w:tc>
      </w:tr>
      <w:tr>
        <w:trPr>
          <w:trHeight w:val="221"/>
        </w:trPr>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1,377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1,791</w:t>
            </w:r>
          </w:p>
        </w:tc>
      </w:tr>
      <w:tr>
        <w:trPr>
          <w:trHeight w:val="214"/>
        </w:trPr>
        <w:tc>
          <w:tcPr>
            <w:tcW w:w="1060" w:type="dxa"/>
            <w:vAlign w:val="bottom"/>
          </w:tcPr>
          <w:p>
            <w:pPr>
              <w:jc w:val="right"/>
              <w:spacing w:after="0"/>
              <w:rPr>
                <w:sz w:val="20"/>
                <w:szCs w:val="20"/>
                <w:color w:val="auto"/>
              </w:rPr>
            </w:pPr>
            <w:r>
              <w:rPr>
                <w:rFonts w:ascii="Arial" w:cs="Arial" w:eastAsia="Arial" w:hAnsi="Arial"/>
                <w:sz w:val="17"/>
                <w:szCs w:val="17"/>
                <w:color w:val="auto"/>
              </w:rPr>
              <w:t>7,896</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3,417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4,479</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-445135</wp:posOffset>
            </wp:positionV>
            <wp:extent cx="7251700" cy="1320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1700" cy="13208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-172720</wp:posOffset>
            </wp:positionV>
            <wp:extent cx="7251700" cy="156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1700" cy="15684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7060" w:space="720"/>
            <w:col w:w="3640"/>
          </w:cols>
          <w:pgMar w:left="240" w:top="569" w:right="239" w:bottom="1440" w:gutter="0" w:footer="0" w:header="0"/>
          <w:type w:val="continuous"/>
        </w:sectPr>
      </w:pPr>
    </w:p>
    <w:p>
      <w:pPr>
        <w:spacing w:after="0" w:line="32"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For the year ended December 31, 2016 our general and administrative expenses totaled CHF 7.9 million, up CHF 4.5 million from CHF 3.4 million we incurred during the year ended December 31, 2015. The increase is due to a CHF 1.8 million increase in operating expenses driven by higher professional service costs, such as legal costs, related to AC Immune becoming a public company. The remaining increase is primarily attributable to salary and benefit related costs, including higher stock based compensation expense of CHF 0.6 million relating primarily to a replacement grant issued to a departing executive officer, and 2016 bonus accruals.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Financial Income and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financial income and expenses during the years ended December 31, 2016 and 2015: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80" w:type="dxa"/>
            <w:vAlign w:val="bottom"/>
          </w:tcPr>
          <w:p>
            <w:pPr>
              <w:spacing w:after="0"/>
              <w:rPr>
                <w:sz w:val="18"/>
                <w:szCs w:val="18"/>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3"/>
              </w:rPr>
              <w:t>For the Years Ended</w:t>
            </w:r>
          </w:p>
        </w:tc>
        <w:tc>
          <w:tcPr>
            <w:tcW w:w="960" w:type="dxa"/>
            <w:vAlign w:val="bottom"/>
          </w:tcPr>
          <w:p>
            <w:pPr>
              <w:spacing w:after="0"/>
              <w:rPr>
                <w:sz w:val="18"/>
                <w:szCs w:val="18"/>
                <w:color w:val="auto"/>
              </w:rPr>
            </w:pPr>
          </w:p>
        </w:tc>
      </w:tr>
      <w:tr>
        <w:trPr>
          <w:trHeight w:val="226"/>
        </w:trPr>
        <w:tc>
          <w:tcPr>
            <w:tcW w:w="7780" w:type="dxa"/>
            <w:vAlign w:val="bottom"/>
          </w:tcPr>
          <w:p>
            <w:pPr>
              <w:spacing w:after="0"/>
              <w:rPr>
                <w:sz w:val="19"/>
                <w:szCs w:val="19"/>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2"/>
              </w:rPr>
              <w:t>December 31,</w:t>
            </w:r>
          </w:p>
        </w:tc>
        <w:tc>
          <w:tcPr>
            <w:tcW w:w="960" w:type="dxa"/>
            <w:vAlign w:val="bottom"/>
          </w:tcPr>
          <w:p>
            <w:pPr>
              <w:spacing w:after="0"/>
              <w:rPr>
                <w:sz w:val="19"/>
                <w:szCs w:val="19"/>
                <w:color w:val="auto"/>
              </w:rPr>
            </w:pPr>
          </w:p>
        </w:tc>
      </w:tr>
      <w:tr>
        <w:trPr>
          <w:trHeight w:val="214"/>
        </w:trPr>
        <w:tc>
          <w:tcPr>
            <w:tcW w:w="77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201"/>
        </w:trPr>
        <w:tc>
          <w:tcPr>
            <w:tcW w:w="7780" w:type="dxa"/>
            <w:vAlign w:val="bottom"/>
          </w:tcPr>
          <w:p>
            <w:pPr>
              <w:spacing w:after="0"/>
              <w:rPr>
                <w:sz w:val="17"/>
                <w:szCs w:val="17"/>
                <w:color w:val="auto"/>
              </w:rPr>
            </w:pPr>
          </w:p>
        </w:tc>
        <w:tc>
          <w:tcPr>
            <w:tcW w:w="2680" w:type="dxa"/>
            <w:vAlign w:val="bottom"/>
            <w:gridSpan w:val="5"/>
          </w:tcPr>
          <w:p>
            <w:pPr>
              <w:ind w:left="1100"/>
              <w:spacing w:after="0"/>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7"/>
                <w:szCs w:val="17"/>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Finance cost</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(256)</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(230)</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Interest income</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Finance income</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3,573</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1,617</w:t>
            </w:r>
          </w:p>
        </w:tc>
        <w:tc>
          <w:tcPr>
            <w:tcW w:w="10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96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1,956</w:t>
            </w:r>
          </w:p>
        </w:tc>
      </w:tr>
      <w:tr>
        <w:trPr>
          <w:trHeight w:val="214"/>
        </w:trPr>
        <w:tc>
          <w:tcPr>
            <w:tcW w:w="7780" w:type="dxa"/>
            <w:vAlign w:val="bottom"/>
          </w:tcPr>
          <w:p>
            <w:pPr>
              <w:spacing w:after="0"/>
              <w:rPr>
                <w:sz w:val="20"/>
                <w:szCs w:val="20"/>
                <w:color w:val="auto"/>
              </w:rPr>
            </w:pPr>
            <w:r>
              <w:rPr>
                <w:rFonts w:ascii="Arial" w:cs="Arial" w:eastAsia="Arial" w:hAnsi="Arial"/>
                <w:sz w:val="17"/>
                <w:szCs w:val="17"/>
                <w:color w:val="auto"/>
              </w:rPr>
              <w:t>Total financial income</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3,360</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1,646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1,714</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20" w:firstLine="312"/>
        <w:spacing w:after="0" w:line="356" w:lineRule="auto"/>
        <w:rPr>
          <w:sz w:val="20"/>
          <w:szCs w:val="20"/>
          <w:color w:val="auto"/>
        </w:rPr>
      </w:pPr>
      <w:r>
        <w:rPr>
          <w:rFonts w:ascii="Arial" w:cs="Arial" w:eastAsia="Arial" w:hAnsi="Arial"/>
          <w:sz w:val="15"/>
          <w:szCs w:val="15"/>
          <w:color w:val="auto"/>
        </w:rPr>
        <w:t>Net financial income increased to CHF 3.4 million for the year ended December 31, 2016, from CHF 1.6 million for the year ended December 31, 2015. The increase was driven by gains related to foreign exchange rates on our cash balances in U.S. dollars offset by higher bank fees during 2016 as compared to 2015.</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2015 and 2014</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Revenue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revenues during the years ended December 31, 2015 and 2014: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8"/>
        </w:trPr>
        <w:tc>
          <w:tcPr>
            <w:tcW w:w="7780" w:type="dxa"/>
            <w:vAlign w:val="bottom"/>
          </w:tcPr>
          <w:p>
            <w:pPr>
              <w:spacing w:after="0"/>
              <w:rPr>
                <w:sz w:val="18"/>
                <w:szCs w:val="18"/>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1"/>
              </w:rPr>
              <w:t>Years Ended</w:t>
            </w:r>
          </w:p>
        </w:tc>
        <w:tc>
          <w:tcPr>
            <w:tcW w:w="960" w:type="dxa"/>
            <w:vAlign w:val="bottom"/>
          </w:tcPr>
          <w:p>
            <w:pPr>
              <w:spacing w:after="0"/>
              <w:rPr>
                <w:sz w:val="18"/>
                <w:szCs w:val="18"/>
                <w:color w:val="auto"/>
              </w:rPr>
            </w:pPr>
          </w:p>
        </w:tc>
      </w:tr>
      <w:tr>
        <w:trPr>
          <w:trHeight w:val="226"/>
        </w:trPr>
        <w:tc>
          <w:tcPr>
            <w:tcW w:w="7780" w:type="dxa"/>
            <w:vAlign w:val="bottom"/>
          </w:tcPr>
          <w:p>
            <w:pPr>
              <w:spacing w:after="0"/>
              <w:rPr>
                <w:sz w:val="19"/>
                <w:szCs w:val="19"/>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2"/>
              </w:rPr>
              <w:t>December 31,</w:t>
            </w:r>
          </w:p>
        </w:tc>
        <w:tc>
          <w:tcPr>
            <w:tcW w:w="960" w:type="dxa"/>
            <w:vAlign w:val="bottom"/>
          </w:tcPr>
          <w:p>
            <w:pPr>
              <w:spacing w:after="0"/>
              <w:rPr>
                <w:sz w:val="19"/>
                <w:szCs w:val="19"/>
                <w:color w:val="auto"/>
              </w:rPr>
            </w:pPr>
          </w:p>
        </w:tc>
      </w:tr>
      <w:tr>
        <w:trPr>
          <w:trHeight w:val="214"/>
        </w:trPr>
        <w:tc>
          <w:tcPr>
            <w:tcW w:w="77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2015</w:t>
            </w:r>
          </w:p>
        </w:tc>
        <w:tc>
          <w:tcPr>
            <w:tcW w:w="1360" w:type="dxa"/>
            <w:vAlign w:val="bottom"/>
            <w:tcBorders>
              <w:top w:val="single" w:sz="8" w:color="auto"/>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201"/>
        </w:trPr>
        <w:tc>
          <w:tcPr>
            <w:tcW w:w="7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gridSpan w:val="5"/>
          </w:tcPr>
          <w:p>
            <w:pPr>
              <w:ind w:left="40"/>
              <w:spacing w:after="0"/>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7"/>
                <w:szCs w:val="17"/>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Collaboration and license revenue</w:t>
            </w:r>
          </w:p>
        </w:tc>
        <w:tc>
          <w:tcPr>
            <w:tcW w:w="10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38,745</w:t>
            </w:r>
          </w:p>
        </w:tc>
        <w:tc>
          <w:tcPr>
            <w:tcW w:w="136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30,179</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8,566</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Grant revenue</w:t>
            </w:r>
          </w:p>
        </w:tc>
        <w:tc>
          <w:tcPr>
            <w:tcW w:w="1060" w:type="dxa"/>
            <w:vAlign w:val="bottom"/>
          </w:tcPr>
          <w:p>
            <w:pPr>
              <w:jc w:val="right"/>
              <w:spacing w:after="0"/>
              <w:rPr>
                <w:sz w:val="20"/>
                <w:szCs w:val="20"/>
                <w:color w:val="auto"/>
              </w:rPr>
            </w:pPr>
            <w:r>
              <w:rPr>
                <w:rFonts w:ascii="Arial" w:cs="Arial" w:eastAsia="Arial" w:hAnsi="Arial"/>
                <w:sz w:val="17"/>
                <w:szCs w:val="17"/>
                <w:color w:val="auto"/>
              </w:rPr>
              <w:t>316</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241</w:t>
            </w:r>
          </w:p>
        </w:tc>
      </w:tr>
      <w:tr>
        <w:trPr>
          <w:trHeight w:val="22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15</w:t>
            </w:r>
          </w:p>
        </w:tc>
        <w:tc>
          <w:tcPr>
            <w:tcW w:w="10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96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14</w:t>
            </w:r>
          </w:p>
        </w:tc>
      </w:tr>
      <w:tr>
        <w:trPr>
          <w:trHeight w:val="214"/>
        </w:trPr>
        <w:tc>
          <w:tcPr>
            <w:tcW w:w="7780" w:type="dxa"/>
            <w:vAlign w:val="bottom"/>
          </w:tcPr>
          <w:p>
            <w:pPr>
              <w:spacing w:after="0"/>
              <w:rPr>
                <w:sz w:val="20"/>
                <w:szCs w:val="20"/>
                <w:color w:val="auto"/>
              </w:rPr>
            </w:pPr>
            <w:r>
              <w:rPr>
                <w:rFonts w:ascii="Arial" w:cs="Arial" w:eastAsia="Arial" w:hAnsi="Arial"/>
                <w:sz w:val="17"/>
                <w:szCs w:val="17"/>
                <w:color w:val="auto"/>
              </w:rPr>
              <w:t>Total revenues</w:t>
            </w:r>
          </w:p>
        </w:tc>
        <w:tc>
          <w:tcPr>
            <w:tcW w:w="1060" w:type="dxa"/>
            <w:vAlign w:val="bottom"/>
          </w:tcPr>
          <w:p>
            <w:pPr>
              <w:jc w:val="right"/>
              <w:spacing w:after="0"/>
              <w:rPr>
                <w:sz w:val="20"/>
                <w:szCs w:val="20"/>
                <w:color w:val="auto"/>
              </w:rPr>
            </w:pPr>
            <w:r>
              <w:rPr>
                <w:rFonts w:ascii="Arial" w:cs="Arial" w:eastAsia="Arial" w:hAnsi="Arial"/>
                <w:sz w:val="17"/>
                <w:szCs w:val="17"/>
                <w:color w:val="auto"/>
              </w:rPr>
              <w:t>39,090</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30,269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8,821</w:t>
            </w:r>
          </w:p>
        </w:tc>
      </w:tr>
      <w:tr>
        <w:trPr>
          <w:trHeight w:val="20"/>
        </w:trPr>
        <w:tc>
          <w:tcPr>
            <w:tcW w:w="7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00" w:firstLine="312"/>
        <w:spacing w:after="0" w:line="263" w:lineRule="auto"/>
        <w:rPr>
          <w:sz w:val="20"/>
          <w:szCs w:val="20"/>
          <w:color w:val="auto"/>
        </w:rPr>
      </w:pPr>
      <w:r>
        <w:rPr>
          <w:rFonts w:ascii="Arial" w:cs="Arial" w:eastAsia="Arial" w:hAnsi="Arial"/>
          <w:sz w:val="17"/>
          <w:szCs w:val="17"/>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(CHF 24.3 million) milestone payment related to our collaboration with Genentech for crenezumab and a CHF 14 million milestone payment associated with the Genentech collaboration agreement for our anti-tau antibody.</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research and development expenses during the years ended December 31, 2015 and 2014:</w:t>
      </w:r>
    </w:p>
    <w:p>
      <w:pPr>
        <w:sectPr>
          <w:pgSz w:w="11900" w:h="16838" w:orient="portrait"/>
          <w:cols w:equalWidth="0" w:num="1">
            <w:col w:w="11420"/>
          </w:cols>
          <w:pgMar w:left="240" w:top="5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Salaries and related costs(1)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Depreciation of tangible fixed assets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28905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052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(1)  Includes share-based compensation.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2680" w:type="dxa"/>
            <w:vAlign w:val="bottom"/>
            <w:gridSpan w:val="6"/>
          </w:tcPr>
          <w:p>
            <w:pPr>
              <w:ind w:left="220"/>
              <w:spacing w:after="0"/>
              <w:rPr>
                <w:sz w:val="20"/>
                <w:szCs w:val="20"/>
                <w:color w:val="auto"/>
              </w:rPr>
            </w:pPr>
            <w:r>
              <w:rPr>
                <w:rFonts w:ascii="Arial" w:cs="Arial" w:eastAsia="Arial" w:hAnsi="Arial"/>
                <w:sz w:val="17"/>
                <w:szCs w:val="17"/>
                <w:b w:val="1"/>
                <w:bCs w:val="1"/>
                <w:color w:val="auto"/>
              </w:rPr>
              <w:t>Years Ended December 31,</w:t>
            </w:r>
          </w:p>
        </w:tc>
        <w:tc>
          <w:tcPr>
            <w:tcW w:w="960" w:type="dxa"/>
            <w:vAlign w:val="bottom"/>
          </w:tcPr>
          <w:p>
            <w:pPr>
              <w:spacing w:after="0"/>
              <w:rPr>
                <w:sz w:val="19"/>
                <w:szCs w:val="19"/>
                <w:color w:val="auto"/>
              </w:rPr>
            </w:pPr>
          </w:p>
        </w:tc>
      </w:tr>
      <w:tr>
        <w:trPr>
          <w:trHeight w:val="214"/>
        </w:trPr>
        <w:tc>
          <w:tcPr>
            <w:tcW w:w="10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2015</w:t>
            </w:r>
          </w:p>
        </w:tc>
        <w:tc>
          <w:tcPr>
            <w:tcW w:w="1360" w:type="dxa"/>
            <w:vAlign w:val="bottom"/>
            <w:tcBorders>
              <w:top w:val="single" w:sz="8" w:color="auto"/>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189"/>
        </w:trPr>
        <w:tc>
          <w:tcPr>
            <w:tcW w:w="1060" w:type="dxa"/>
            <w:vAlign w:val="bottom"/>
          </w:tcPr>
          <w:p>
            <w:pPr>
              <w:spacing w:after="0"/>
              <w:rPr>
                <w:sz w:val="16"/>
                <w:szCs w:val="16"/>
                <w:color w:val="auto"/>
              </w:rPr>
            </w:pPr>
          </w:p>
        </w:tc>
        <w:tc>
          <w:tcPr>
            <w:tcW w:w="1620" w:type="dxa"/>
            <w:vAlign w:val="bottom"/>
            <w:gridSpan w:val="5"/>
          </w:tcPr>
          <w:p>
            <w:pPr>
              <w:ind w:left="40"/>
              <w:spacing w:after="0" w:line="189" w:lineRule="exact"/>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6"/>
                <w:szCs w:val="16"/>
                <w:color w:val="auto"/>
              </w:rPr>
            </w:pPr>
          </w:p>
        </w:tc>
      </w:tr>
      <w:tr>
        <w:trPr>
          <w:trHeight w:val="208"/>
        </w:trPr>
        <w:tc>
          <w:tcPr>
            <w:tcW w:w="1060" w:type="dxa"/>
            <w:vAlign w:val="bottom"/>
          </w:tcPr>
          <w:p>
            <w:pPr>
              <w:jc w:val="right"/>
              <w:spacing w:after="0"/>
              <w:rPr>
                <w:sz w:val="20"/>
                <w:szCs w:val="20"/>
                <w:color w:val="auto"/>
              </w:rPr>
            </w:pPr>
            <w:r>
              <w:rPr>
                <w:rFonts w:ascii="Arial" w:cs="Arial" w:eastAsia="Arial" w:hAnsi="Arial"/>
                <w:sz w:val="17"/>
                <w:szCs w:val="17"/>
                <w:color w:val="auto"/>
              </w:rPr>
              <w:t>10,476</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9,990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486</w:t>
            </w:r>
          </w:p>
        </w:tc>
      </w:tr>
      <w:tr>
        <w:trPr>
          <w:trHeight w:val="220"/>
        </w:trPr>
        <w:tc>
          <w:tcPr>
            <w:tcW w:w="1060" w:type="dxa"/>
            <w:vAlign w:val="bottom"/>
          </w:tcPr>
          <w:p>
            <w:pPr>
              <w:jc w:val="right"/>
              <w:spacing w:after="0"/>
              <w:rPr>
                <w:sz w:val="20"/>
                <w:szCs w:val="20"/>
                <w:color w:val="auto"/>
              </w:rPr>
            </w:pPr>
            <w:r>
              <w:rPr>
                <w:rFonts w:ascii="Arial" w:cs="Arial" w:eastAsia="Arial" w:hAnsi="Arial"/>
                <w:sz w:val="17"/>
                <w:szCs w:val="17"/>
                <w:color w:val="auto"/>
              </w:rPr>
              <w:t>6,286</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5,828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458</w:t>
            </w:r>
          </w:p>
        </w:tc>
      </w:tr>
      <w:tr>
        <w:trPr>
          <w:trHeight w:val="221"/>
        </w:trPr>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4"/>
        </w:trPr>
        <w:tc>
          <w:tcPr>
            <w:tcW w:w="1060" w:type="dxa"/>
            <w:vAlign w:val="bottom"/>
          </w:tcPr>
          <w:p>
            <w:pPr>
              <w:jc w:val="right"/>
              <w:spacing w:after="0"/>
              <w:rPr>
                <w:sz w:val="20"/>
                <w:szCs w:val="20"/>
                <w:color w:val="auto"/>
              </w:rPr>
            </w:pPr>
            <w:r>
              <w:rPr>
                <w:rFonts w:ascii="Arial" w:cs="Arial" w:eastAsia="Arial" w:hAnsi="Arial"/>
                <w:sz w:val="17"/>
                <w:szCs w:val="17"/>
                <w:color w:val="auto"/>
              </w:rPr>
              <w:t>17,049</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16,116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933</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-577215</wp:posOffset>
            </wp:positionV>
            <wp:extent cx="7251700" cy="1320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1700" cy="13208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-313055</wp:posOffset>
            </wp:positionV>
            <wp:extent cx="7251700" cy="140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pacing w:after="0" w:line="412" w:lineRule="exact"/>
        <w:rPr>
          <w:sz w:val="20"/>
          <w:szCs w:val="20"/>
          <w:color w:val="auto"/>
        </w:rPr>
      </w:pPr>
    </w:p>
    <w:p>
      <w:pPr>
        <w:sectPr>
          <w:pgSz w:w="11900" w:h="16838" w:orient="portrait"/>
          <w:cols w:equalWidth="0" w:num="2">
            <w:col w:w="7060" w:space="720"/>
            <w:col w:w="3640"/>
          </w:cols>
          <w:pgMar w:left="240" w:top="563" w:right="239" w:bottom="1440" w:gutter="0" w:footer="0" w:header="0"/>
          <w:type w:val="continuous"/>
        </w:sectPr>
      </w:pPr>
    </w:p>
    <w:p>
      <w:pPr>
        <w:spacing w:after="0" w:line="44" w:lineRule="exact"/>
        <w:rPr>
          <w:sz w:val="20"/>
          <w:szCs w:val="20"/>
          <w:color w:val="auto"/>
        </w:rPr>
      </w:pPr>
    </w:p>
    <w:p>
      <w:pPr>
        <w:ind w:right="480" w:firstLine="312"/>
        <w:spacing w:after="0" w:line="286" w:lineRule="auto"/>
        <w:rPr>
          <w:sz w:val="20"/>
          <w:szCs w:val="20"/>
          <w:color w:val="auto"/>
        </w:rPr>
      </w:pPr>
      <w:r>
        <w:rPr>
          <w:rFonts w:ascii="Arial" w:cs="Arial" w:eastAsia="Arial" w:hAnsi="Arial"/>
          <w:sz w:val="17"/>
          <w:szCs w:val="17"/>
          <w:color w:val="auto"/>
        </w:rPr>
        <w:t>Our research and development expenses rose to CHF 17.0 million for the year ended December 31, 2015 from CHF 16.1 million, an increase of CHF 0.9 million, as compared to year ended December 31, 2014.</w:t>
      </w:r>
    </w:p>
    <w:p>
      <w:pPr>
        <w:spacing w:after="0" w:line="158" w:lineRule="exact"/>
        <w:rPr>
          <w:sz w:val="20"/>
          <w:szCs w:val="20"/>
          <w:color w:val="auto"/>
        </w:rPr>
      </w:pPr>
    </w:p>
    <w:p>
      <w:pPr>
        <w:ind w:right="120" w:firstLine="312"/>
        <w:spacing w:after="0" w:line="286" w:lineRule="auto"/>
        <w:rPr>
          <w:sz w:val="20"/>
          <w:szCs w:val="20"/>
          <w:color w:val="auto"/>
        </w:rPr>
      </w:pPr>
      <w:r>
        <w:rPr>
          <w:rFonts w:ascii="Arial" w:cs="Arial" w:eastAsia="Arial" w:hAnsi="Arial"/>
          <w:sz w:val="17"/>
          <w:szCs w:val="17"/>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58" w:lineRule="exact"/>
        <w:rPr>
          <w:sz w:val="20"/>
          <w:szCs w:val="20"/>
          <w:color w:val="auto"/>
        </w:rPr>
      </w:pPr>
    </w:p>
    <w:p>
      <w:pPr>
        <w:ind w:right="60" w:firstLine="312"/>
        <w:spacing w:after="0" w:line="270" w:lineRule="auto"/>
        <w:rPr>
          <w:sz w:val="20"/>
          <w:szCs w:val="20"/>
          <w:color w:val="auto"/>
        </w:rPr>
      </w:pPr>
      <w:r>
        <w:rPr>
          <w:rFonts w:ascii="Arial" w:cs="Arial" w:eastAsia="Arial" w:hAnsi="Arial"/>
          <w:sz w:val="17"/>
          <w:szCs w:val="17"/>
          <w:color w:val="auto"/>
        </w:rPr>
        <w:t>Our salaries and related costs related to our research and development activities rose by CHF 0.5 million to CHF 6.3 million for the year ended December 31, 2015 from CHF 5.8 million for the year ended December 31, 2014. The increase is due to an average increase in the base compensation of 1.4% and the addition of two scientists to our research and development team.</w:t>
      </w:r>
    </w:p>
    <w:p>
      <w:pPr>
        <w:spacing w:after="0" w:line="173" w:lineRule="exact"/>
        <w:rPr>
          <w:sz w:val="20"/>
          <w:szCs w:val="20"/>
          <w:color w:val="auto"/>
        </w:rPr>
      </w:pPr>
    </w:p>
    <w:p>
      <w:pPr>
        <w:jc w:val="both"/>
        <w:ind w:right="140" w:firstLine="312"/>
        <w:spacing w:after="0" w:line="270" w:lineRule="auto"/>
        <w:rPr>
          <w:sz w:val="20"/>
          <w:szCs w:val="20"/>
          <w:color w:val="auto"/>
        </w:rPr>
      </w:pPr>
      <w:r>
        <w:rPr>
          <w:rFonts w:ascii="Arial" w:cs="Arial" w:eastAsia="Arial" w:hAnsi="Arial"/>
          <w:sz w:val="17"/>
          <w:szCs w:val="17"/>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general and administrative expenses during the years ended December 31, 2015 and 2014:</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251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26"/>
        </w:trPr>
        <w:tc>
          <w:tcPr>
            <w:tcW w:w="7780" w:type="dxa"/>
            <w:vAlign w:val="bottom"/>
          </w:tcPr>
          <w:p>
            <w:pPr>
              <w:spacing w:after="0"/>
              <w:rPr>
                <w:sz w:val="19"/>
                <w:szCs w:val="19"/>
                <w:color w:val="auto"/>
              </w:rPr>
            </w:pPr>
          </w:p>
        </w:tc>
        <w:tc>
          <w:tcPr>
            <w:tcW w:w="2680" w:type="dxa"/>
            <w:vAlign w:val="bottom"/>
            <w:gridSpan w:val="6"/>
          </w:tcPr>
          <w:p>
            <w:pPr>
              <w:ind w:left="220"/>
              <w:spacing w:after="0"/>
              <w:rPr>
                <w:sz w:val="20"/>
                <w:szCs w:val="20"/>
                <w:color w:val="auto"/>
              </w:rPr>
            </w:pPr>
            <w:r>
              <w:rPr>
                <w:rFonts w:ascii="Arial" w:cs="Arial" w:eastAsia="Arial" w:hAnsi="Arial"/>
                <w:sz w:val="17"/>
                <w:szCs w:val="17"/>
                <w:b w:val="1"/>
                <w:bCs w:val="1"/>
                <w:color w:val="auto"/>
              </w:rPr>
              <w:t>Years Ended December 31,</w:t>
            </w:r>
          </w:p>
        </w:tc>
        <w:tc>
          <w:tcPr>
            <w:tcW w:w="960" w:type="dxa"/>
            <w:vAlign w:val="bottom"/>
          </w:tcPr>
          <w:p>
            <w:pPr>
              <w:spacing w:after="0"/>
              <w:rPr>
                <w:sz w:val="19"/>
                <w:szCs w:val="19"/>
                <w:color w:val="auto"/>
              </w:rPr>
            </w:pPr>
          </w:p>
        </w:tc>
      </w:tr>
      <w:tr>
        <w:trPr>
          <w:trHeight w:val="214"/>
        </w:trPr>
        <w:tc>
          <w:tcPr>
            <w:tcW w:w="77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2015</w:t>
            </w:r>
          </w:p>
        </w:tc>
        <w:tc>
          <w:tcPr>
            <w:tcW w:w="1360" w:type="dxa"/>
            <w:vAlign w:val="bottom"/>
            <w:tcBorders>
              <w:top w:val="single" w:sz="8" w:color="auto"/>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201"/>
        </w:trPr>
        <w:tc>
          <w:tcPr>
            <w:tcW w:w="7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gridSpan w:val="5"/>
          </w:tcPr>
          <w:p>
            <w:pPr>
              <w:ind w:left="40"/>
              <w:spacing w:after="0"/>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7"/>
                <w:szCs w:val="17"/>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Salaries and related costs</w:t>
            </w:r>
          </w:p>
        </w:tc>
        <w:tc>
          <w:tcPr>
            <w:tcW w:w="10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2,040</w:t>
            </w:r>
          </w:p>
        </w:tc>
        <w:tc>
          <w:tcPr>
            <w:tcW w:w="136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1,999</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41</w:t>
            </w:r>
          </w:p>
        </w:tc>
      </w:tr>
      <w:tr>
        <w:trPr>
          <w:trHeight w:val="221"/>
        </w:trPr>
        <w:tc>
          <w:tcPr>
            <w:tcW w:w="778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Operating expenses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1,437</w:t>
            </w:r>
          </w:p>
        </w:tc>
        <w:tc>
          <w:tcPr>
            <w:tcW w:w="100" w:type="dxa"/>
            <w:vAlign w:val="bottom"/>
            <w:tcBorders>
              <w:bottom w:val="single" w:sz="8" w:color="D5EAE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14"/>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Total general and administrative expenses</w:t>
            </w:r>
          </w:p>
        </w:tc>
        <w:tc>
          <w:tcPr>
            <w:tcW w:w="10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3,417</w:t>
            </w:r>
          </w:p>
        </w:tc>
        <w:tc>
          <w:tcPr>
            <w:tcW w:w="136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3,436</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(19)</w:t>
            </w:r>
          </w:p>
        </w:tc>
      </w:tr>
      <w:tr>
        <w:trPr>
          <w:trHeight w:val="20"/>
        </w:trPr>
        <w:tc>
          <w:tcPr>
            <w:tcW w:w="7780" w:type="dxa"/>
            <w:vAlign w:val="bottom"/>
            <w:tcBorders>
              <w:top w:val="single" w:sz="8" w:color="D5EAEA"/>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80" w:firstLine="312"/>
        <w:spacing w:after="0" w:line="265" w:lineRule="auto"/>
        <w:rPr>
          <w:sz w:val="20"/>
          <w:szCs w:val="20"/>
          <w:color w:val="auto"/>
        </w:rPr>
      </w:pPr>
      <w:r>
        <w:rPr>
          <w:rFonts w:ascii="Arial" w:cs="Arial" w:eastAsia="Arial" w:hAnsi="Arial"/>
          <w:sz w:val="17"/>
          <w:szCs w:val="17"/>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Financial Income and Expense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financial income and expenses during the years ended December 31, 2015 and 2014: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tcPr>
          <w:p>
            <w:pPr>
              <w:spacing w:after="0"/>
              <w:rPr>
                <w:sz w:val="19"/>
                <w:szCs w:val="19"/>
                <w:color w:val="auto"/>
              </w:rPr>
            </w:pPr>
          </w:p>
        </w:tc>
        <w:tc>
          <w:tcPr>
            <w:tcW w:w="2680" w:type="dxa"/>
            <w:vAlign w:val="bottom"/>
            <w:gridSpan w:val="5"/>
          </w:tcPr>
          <w:p>
            <w:pPr>
              <w:ind w:left="220"/>
              <w:spacing w:after="0"/>
              <w:rPr>
                <w:sz w:val="20"/>
                <w:szCs w:val="20"/>
                <w:color w:val="auto"/>
              </w:rPr>
            </w:pPr>
            <w:r>
              <w:rPr>
                <w:rFonts w:ascii="Arial" w:cs="Arial" w:eastAsia="Arial" w:hAnsi="Arial"/>
                <w:sz w:val="17"/>
                <w:szCs w:val="17"/>
                <w:b w:val="1"/>
                <w:bCs w:val="1"/>
                <w:color w:val="auto"/>
              </w:rPr>
              <w:t>Years Ended December 31,</w:t>
            </w:r>
          </w:p>
        </w:tc>
        <w:tc>
          <w:tcPr>
            <w:tcW w:w="960" w:type="dxa"/>
            <w:vAlign w:val="bottom"/>
          </w:tcPr>
          <w:p>
            <w:pPr>
              <w:spacing w:after="0"/>
              <w:rPr>
                <w:sz w:val="19"/>
                <w:szCs w:val="19"/>
                <w:color w:val="auto"/>
              </w:rPr>
            </w:pPr>
          </w:p>
        </w:tc>
      </w:tr>
      <w:tr>
        <w:trPr>
          <w:trHeight w:val="214"/>
        </w:trPr>
        <w:tc>
          <w:tcPr>
            <w:tcW w:w="77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201"/>
        </w:trPr>
        <w:tc>
          <w:tcPr>
            <w:tcW w:w="7780" w:type="dxa"/>
            <w:vAlign w:val="bottom"/>
          </w:tcPr>
          <w:p>
            <w:pPr>
              <w:spacing w:after="0"/>
              <w:rPr>
                <w:sz w:val="17"/>
                <w:szCs w:val="17"/>
                <w:color w:val="auto"/>
              </w:rPr>
            </w:pPr>
          </w:p>
        </w:tc>
        <w:tc>
          <w:tcPr>
            <w:tcW w:w="2680" w:type="dxa"/>
            <w:vAlign w:val="bottom"/>
            <w:gridSpan w:val="5"/>
          </w:tcPr>
          <w:p>
            <w:pPr>
              <w:ind w:left="1100"/>
              <w:spacing w:after="0"/>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7"/>
                <w:szCs w:val="17"/>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Finance cost</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(22)</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Interest income</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33</w:t>
            </w:r>
          </w:p>
        </w:tc>
      </w:tr>
      <w:tr>
        <w:trPr>
          <w:trHeight w:val="22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Finance income</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1,617</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9</w:t>
            </w:r>
          </w:p>
        </w:tc>
        <w:tc>
          <w:tcPr>
            <w:tcW w:w="10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96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1,608</w:t>
            </w:r>
          </w:p>
        </w:tc>
      </w:tr>
      <w:tr>
        <w:trPr>
          <w:trHeight w:val="214"/>
        </w:trPr>
        <w:tc>
          <w:tcPr>
            <w:tcW w:w="7780" w:type="dxa"/>
            <w:vAlign w:val="bottom"/>
          </w:tcPr>
          <w:p>
            <w:pPr>
              <w:spacing w:after="0"/>
              <w:rPr>
                <w:sz w:val="20"/>
                <w:szCs w:val="20"/>
                <w:color w:val="auto"/>
              </w:rPr>
            </w:pPr>
            <w:r>
              <w:rPr>
                <w:rFonts w:ascii="Arial" w:cs="Arial" w:eastAsia="Arial" w:hAnsi="Arial"/>
                <w:sz w:val="17"/>
                <w:szCs w:val="17"/>
                <w:color w:val="auto"/>
              </w:rPr>
              <w:t>Total financial income</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1,646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1,619</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80" w:firstLine="312"/>
        <w:spacing w:after="0" w:line="270" w:lineRule="auto"/>
        <w:rPr>
          <w:sz w:val="20"/>
          <w:szCs w:val="20"/>
          <w:color w:val="auto"/>
        </w:rPr>
      </w:pPr>
      <w:r>
        <w:rPr>
          <w:rFonts w:ascii="Arial" w:cs="Arial" w:eastAsia="Arial" w:hAnsi="Arial"/>
          <w:sz w:val="17"/>
          <w:szCs w:val="17"/>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Liquidity and capital resources</w:t>
      </w:r>
    </w:p>
    <w:p>
      <w:pPr>
        <w:spacing w:after="0" w:line="227" w:lineRule="exact"/>
        <w:rPr>
          <w:sz w:val="20"/>
          <w:szCs w:val="20"/>
          <w:color w:val="auto"/>
        </w:rPr>
      </w:pPr>
    </w:p>
    <w:p>
      <w:pPr>
        <w:ind w:right="320" w:firstLine="312"/>
        <w:spacing w:after="0" w:line="270" w:lineRule="auto"/>
        <w:rPr>
          <w:sz w:val="20"/>
          <w:szCs w:val="20"/>
          <w:color w:val="auto"/>
        </w:rPr>
      </w:pPr>
      <w:r>
        <w:rPr>
          <w:rFonts w:ascii="Arial" w:cs="Arial" w:eastAsia="Arial" w:hAnsi="Arial"/>
          <w:sz w:val="17"/>
          <w:szCs w:val="17"/>
          <w:color w:val="auto"/>
        </w:rPr>
        <w:t>Our operations have been financed primarily by proceeds from our initial public offering in September 2016, from collaboration and license agreements we have with a number of partners, and net proceeds from the issuance of preferred shares. At December 31, 2016, we had cash and cash equivalents of CHF 152.2 million.</w:t>
      </w:r>
    </w:p>
    <w:p>
      <w:pPr>
        <w:spacing w:after="0" w:line="173" w:lineRule="exact"/>
        <w:rPr>
          <w:sz w:val="20"/>
          <w:szCs w:val="20"/>
          <w:color w:val="auto"/>
        </w:rPr>
      </w:pPr>
    </w:p>
    <w:p>
      <w:pPr>
        <w:ind w:firstLine="312"/>
        <w:spacing w:after="0" w:line="280"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 study, ACI-24 in Down syndrome, our PET imaging candidates focused on alpha-synuclein and TDP-43 which we are developing together with Biogen and a number of research initiatives focused on neurodegenerative orphan diseases other than AD.</w:t>
      </w:r>
    </w:p>
    <w:p>
      <w:pPr>
        <w:spacing w:after="0" w:line="169" w:lineRule="exact"/>
        <w:rPr>
          <w:sz w:val="20"/>
          <w:szCs w:val="20"/>
          <w:color w:val="auto"/>
        </w:rPr>
      </w:pPr>
    </w:p>
    <w:p>
      <w:pPr>
        <w:ind w:right="20" w:firstLine="312"/>
        <w:spacing w:after="0" w:line="270"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Comparison of the Years Ended December 31, 2016 and 2015</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6"/>
        </w:trPr>
        <w:tc>
          <w:tcPr>
            <w:tcW w:w="7780" w:type="dxa"/>
            <w:vAlign w:val="bottom"/>
          </w:tcPr>
          <w:p>
            <w:pPr>
              <w:spacing w:after="0"/>
              <w:rPr>
                <w:sz w:val="19"/>
                <w:szCs w:val="19"/>
                <w:color w:val="auto"/>
              </w:rPr>
            </w:pPr>
          </w:p>
        </w:tc>
        <w:tc>
          <w:tcPr>
            <w:tcW w:w="2680" w:type="dxa"/>
            <w:vAlign w:val="bottom"/>
            <w:gridSpan w:val="5"/>
          </w:tcPr>
          <w:p>
            <w:pPr>
              <w:ind w:left="220"/>
              <w:spacing w:after="0"/>
              <w:rPr>
                <w:sz w:val="20"/>
                <w:szCs w:val="20"/>
                <w:color w:val="auto"/>
              </w:rPr>
            </w:pPr>
            <w:r>
              <w:rPr>
                <w:rFonts w:ascii="Arial" w:cs="Arial" w:eastAsia="Arial" w:hAnsi="Arial"/>
                <w:sz w:val="17"/>
                <w:szCs w:val="17"/>
                <w:b w:val="1"/>
                <w:bCs w:val="1"/>
                <w:color w:val="auto"/>
              </w:rPr>
              <w:t>Years Ended December 31,</w:t>
            </w:r>
          </w:p>
        </w:tc>
        <w:tc>
          <w:tcPr>
            <w:tcW w:w="960" w:type="dxa"/>
            <w:vAlign w:val="bottom"/>
          </w:tcPr>
          <w:p>
            <w:pPr>
              <w:spacing w:after="0"/>
              <w:rPr>
                <w:sz w:val="19"/>
                <w:szCs w:val="19"/>
                <w:color w:val="auto"/>
              </w:rPr>
            </w:pPr>
          </w:p>
        </w:tc>
      </w:tr>
      <w:tr>
        <w:trPr>
          <w:trHeight w:val="214"/>
        </w:trPr>
        <w:tc>
          <w:tcPr>
            <w:tcW w:w="77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201"/>
        </w:trPr>
        <w:tc>
          <w:tcPr>
            <w:tcW w:w="7780" w:type="dxa"/>
            <w:vAlign w:val="bottom"/>
          </w:tcPr>
          <w:p>
            <w:pPr>
              <w:spacing w:after="0"/>
              <w:rPr>
                <w:sz w:val="17"/>
                <w:szCs w:val="17"/>
                <w:color w:val="auto"/>
              </w:rPr>
            </w:pPr>
          </w:p>
        </w:tc>
        <w:tc>
          <w:tcPr>
            <w:tcW w:w="2680" w:type="dxa"/>
            <w:vAlign w:val="bottom"/>
            <w:gridSpan w:val="5"/>
          </w:tcPr>
          <w:p>
            <w:pPr>
              <w:ind w:left="1100"/>
              <w:spacing w:after="0"/>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7"/>
                <w:szCs w:val="17"/>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Net cash provided by (used in):</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r>
      <w:tr>
        <w:trPr>
          <w:trHeight w:val="208"/>
        </w:trPr>
        <w:tc>
          <w:tcPr>
            <w:tcW w:w="7780" w:type="dxa"/>
            <w:vAlign w:val="bottom"/>
          </w:tcPr>
          <w:p>
            <w:pPr>
              <w:ind w:left="180"/>
              <w:spacing w:after="0"/>
              <w:rPr>
                <w:sz w:val="20"/>
                <w:szCs w:val="20"/>
                <w:color w:val="auto"/>
              </w:rPr>
            </w:pPr>
            <w:r>
              <w:rPr>
                <w:rFonts w:ascii="Arial" w:cs="Arial" w:eastAsia="Arial" w:hAnsi="Arial"/>
                <w:sz w:val="17"/>
                <w:szCs w:val="17"/>
                <w:color w:val="auto"/>
              </w:rPr>
              <w:t>Operating activities</w:t>
            </w:r>
          </w:p>
        </w:tc>
        <w:tc>
          <w:tcPr>
            <w:tcW w:w="1160" w:type="dxa"/>
            <w:vAlign w:val="bottom"/>
          </w:tcPr>
          <w:p>
            <w:pPr>
              <w:jc w:val="right"/>
              <w:spacing w:after="0"/>
              <w:rPr>
                <w:sz w:val="20"/>
                <w:szCs w:val="20"/>
                <w:color w:val="auto"/>
              </w:rPr>
            </w:pPr>
            <w:r>
              <w:rPr>
                <w:rFonts w:ascii="Arial" w:cs="Arial" w:eastAsia="Arial" w:hAnsi="Arial"/>
                <w:sz w:val="17"/>
                <w:szCs w:val="17"/>
                <w:color w:val="auto"/>
              </w:rPr>
              <w:t>(5,646)</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44,084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(49,730)</w:t>
            </w:r>
          </w:p>
        </w:tc>
      </w:tr>
      <w:tr>
        <w:trPr>
          <w:trHeight w:val="208"/>
        </w:trPr>
        <w:tc>
          <w:tcPr>
            <w:tcW w:w="7780" w:type="dxa"/>
            <w:vAlign w:val="bottom"/>
            <w:shd w:val="clear" w:color="auto" w:fill="D5EAEA"/>
          </w:tcPr>
          <w:p>
            <w:pPr>
              <w:ind w:left="180"/>
              <w:spacing w:after="0"/>
              <w:rPr>
                <w:sz w:val="20"/>
                <w:szCs w:val="20"/>
                <w:color w:val="auto"/>
              </w:rPr>
            </w:pPr>
            <w:r>
              <w:rPr>
                <w:rFonts w:ascii="Arial" w:cs="Arial" w:eastAsia="Arial" w:hAnsi="Arial"/>
                <w:sz w:val="17"/>
                <w:szCs w:val="17"/>
                <w:color w:val="auto"/>
              </w:rPr>
              <w:t>Investing activities</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(899)</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(655)</w:t>
            </w:r>
          </w:p>
        </w:tc>
      </w:tr>
      <w:tr>
        <w:trPr>
          <w:trHeight w:val="221"/>
        </w:trPr>
        <w:tc>
          <w:tcPr>
            <w:tcW w:w="7780" w:type="dxa"/>
            <w:vAlign w:val="bottom"/>
            <w:tcBorders>
              <w:bottom w:val="single" w:sz="8" w:color="D5EAEA"/>
            </w:tcBorders>
          </w:tcPr>
          <w:p>
            <w:pPr>
              <w:ind w:left="180"/>
              <w:spacing w:after="0"/>
              <w:rPr>
                <w:sz w:val="20"/>
                <w:szCs w:val="20"/>
                <w:color w:val="auto"/>
              </w:rPr>
            </w:pPr>
            <w:r>
              <w:rPr>
                <w:rFonts w:ascii="Arial" w:cs="Arial" w:eastAsia="Arial" w:hAnsi="Arial"/>
                <w:sz w:val="17"/>
                <w:szCs w:val="17"/>
                <w:color w:val="auto"/>
              </w:rPr>
              <w:t>Financing activities</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78,790</w:t>
            </w: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27,778</w:t>
            </w:r>
          </w:p>
        </w:tc>
        <w:tc>
          <w:tcPr>
            <w:tcW w:w="100" w:type="dxa"/>
            <w:vAlign w:val="bottom"/>
            <w:tcBorders>
              <w:bottom w:val="single" w:sz="8" w:color="D5EAE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51,012</w:t>
            </w:r>
          </w:p>
        </w:tc>
      </w:tr>
      <w:tr>
        <w:trPr>
          <w:trHeight w:val="214"/>
        </w:trPr>
        <w:tc>
          <w:tcPr>
            <w:tcW w:w="77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color w:val="auto"/>
              </w:rPr>
              <w:t>Net change in cash and cash equivalents</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72,245</w:t>
            </w:r>
          </w:p>
        </w:tc>
        <w:tc>
          <w:tcPr>
            <w:tcW w:w="12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71,618</w:t>
            </w:r>
          </w:p>
        </w:tc>
        <w:tc>
          <w:tcPr>
            <w:tcW w:w="100" w:type="dxa"/>
            <w:vAlign w:val="bottom"/>
            <w:tcBorders>
              <w:bottom w:val="single" w:sz="8" w:color="D5EAEA"/>
            </w:tcBorders>
            <w:shd w:val="clear" w:color="auto" w:fill="D5EAEA"/>
          </w:tcPr>
          <w:p>
            <w:pPr>
              <w:spacing w:after="0"/>
              <w:rPr>
                <w:sz w:val="18"/>
                <w:szCs w:val="18"/>
                <w:color w:val="auto"/>
              </w:rPr>
            </w:pPr>
          </w:p>
        </w:tc>
        <w:tc>
          <w:tcPr>
            <w:tcW w:w="160" w:type="dxa"/>
            <w:vAlign w:val="bottom"/>
            <w:tcBorders>
              <w:bottom w:val="single" w:sz="8" w:color="auto"/>
            </w:tcBorders>
            <w:shd w:val="clear" w:color="auto" w:fill="D5EAEA"/>
          </w:tcPr>
          <w:p>
            <w:pPr>
              <w:spacing w:after="0"/>
              <w:rPr>
                <w:sz w:val="18"/>
                <w:szCs w:val="18"/>
                <w:color w:val="auto"/>
              </w:rPr>
            </w:pPr>
          </w:p>
        </w:tc>
        <w:tc>
          <w:tcPr>
            <w:tcW w:w="96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627</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Operating activities</w:t>
      </w:r>
    </w:p>
    <w:p>
      <w:pPr>
        <w:spacing w:after="0" w:line="221" w:lineRule="exact"/>
        <w:rPr>
          <w:sz w:val="20"/>
          <w:szCs w:val="20"/>
          <w:color w:val="auto"/>
        </w:rPr>
      </w:pPr>
    </w:p>
    <w:p>
      <w:pPr>
        <w:ind w:right="60" w:firstLine="312"/>
        <w:spacing w:after="0" w:line="283" w:lineRule="auto"/>
        <w:rPr>
          <w:sz w:val="20"/>
          <w:szCs w:val="20"/>
          <w:color w:val="auto"/>
        </w:rPr>
      </w:pPr>
      <w:r>
        <w:rPr>
          <w:rFonts w:ascii="Arial" w:cs="Arial" w:eastAsia="Arial" w:hAnsi="Arial"/>
          <w:sz w:val="16"/>
          <w:szCs w:val="16"/>
          <w:color w:val="auto"/>
        </w:rPr>
        <w:t>The net cash used in operating activities was CHF 5.6 million for the year ended December 31, 2016, compared to net cash provided by operating activities of CHF 44.1 million for the year ended December 31, 2015. The decrease in operating cash flows is driven by three factors: (i) reporting a net loss of CHF 7.1 million in 2016 compared with a CHF 20.3 million of income for 2015, (ii) no material changes in receivables balances in 2016 while in 2015 AC Immune received the CHF 25.9 million upfront payment from Janssen in connection with the ACI-35 collaboration, and (iii) offsets due to changes in working capital, for example, accounts payable and accrued expenses positively impacted cash provided by operating activities by CHF 4.2 million.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Investing activities</w:t>
      </w:r>
    </w:p>
    <w:p>
      <w:pPr>
        <w:spacing w:after="0" w:line="221" w:lineRule="exact"/>
        <w:rPr>
          <w:sz w:val="20"/>
          <w:szCs w:val="20"/>
          <w:color w:val="auto"/>
        </w:rPr>
      </w:pPr>
    </w:p>
    <w:p>
      <w:pPr>
        <w:ind w:right="80" w:firstLine="312"/>
        <w:spacing w:after="0" w:line="270" w:lineRule="auto"/>
        <w:rPr>
          <w:sz w:val="20"/>
          <w:szCs w:val="20"/>
          <w:color w:val="auto"/>
        </w:rPr>
      </w:pPr>
      <w:r>
        <w:rPr>
          <w:rFonts w:ascii="Arial" w:cs="Arial" w:eastAsia="Arial" w:hAnsi="Arial"/>
          <w:sz w:val="17"/>
          <w:szCs w:val="17"/>
          <w:color w:val="auto"/>
        </w:rPr>
        <w:t>Net cash used in investing activities was CHF 0.9 million for the year ended December 31, 2016, compared with CHF 0.2 million for the year ended December 31, 2015. The CHF 0.7 million increase in cash used in investing activities was due to an increase in investments in fixed assets, primarily for laboratory equipment.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Financing activities</w:t>
      </w:r>
    </w:p>
    <w:p>
      <w:pPr>
        <w:spacing w:after="0" w:line="221" w:lineRule="exact"/>
        <w:rPr>
          <w:sz w:val="20"/>
          <w:szCs w:val="20"/>
          <w:color w:val="auto"/>
        </w:rPr>
      </w:pPr>
    </w:p>
    <w:p>
      <w:pPr>
        <w:ind w:right="180" w:firstLine="312"/>
        <w:spacing w:after="0" w:line="265" w:lineRule="auto"/>
        <w:rPr>
          <w:sz w:val="20"/>
          <w:szCs w:val="20"/>
          <w:color w:val="auto"/>
        </w:rPr>
      </w:pPr>
      <w:r>
        <w:rPr>
          <w:rFonts w:ascii="Arial" w:cs="Arial" w:eastAsia="Arial" w:hAnsi="Arial"/>
          <w:sz w:val="17"/>
          <w:szCs w:val="17"/>
          <w:color w:val="auto"/>
        </w:rPr>
        <w:t>Net cash provided by financing activities was CHF 78.8 million for the year ended December 31, 2016, compared to CHF 27.8 million for the year ended December 31, 2015. The increase was driven primarily by the CHF 74.5 million in gross proceeds (CHF 65.3 million net underwriting fees and IPO related costs) raised from the IPO in September 2016. Additionally, there was a CHF 16.3 million reduction to Preferred Series E/D financing proceeds in 2016 as compared to 2015.</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Operating Capital Requirements and Plan of Operations</w:t>
      </w:r>
    </w:p>
    <w:p>
      <w:pPr>
        <w:spacing w:after="0" w:line="221" w:lineRule="exact"/>
        <w:rPr>
          <w:sz w:val="20"/>
          <w:szCs w:val="20"/>
          <w:color w:val="auto"/>
        </w:rPr>
      </w:pPr>
    </w:p>
    <w:p>
      <w:pPr>
        <w:ind w:right="60" w:firstLine="312"/>
        <w:spacing w:after="0" w:line="263" w:lineRule="auto"/>
        <w:rPr>
          <w:sz w:val="20"/>
          <w:szCs w:val="20"/>
          <w:color w:val="auto"/>
        </w:rPr>
      </w:pPr>
      <w:r>
        <w:rPr>
          <w:rFonts w:ascii="Arial" w:cs="Arial" w:eastAsia="Arial" w:hAnsi="Arial"/>
          <w:sz w:val="17"/>
          <w:szCs w:val="17"/>
          <w:color w:val="auto"/>
        </w:rPr>
        <w:t>We do not expect to generate revenues from royalties based on product sales unless and until our partners obtain regulatory approval of and commercialize our current or any future product candidates. There can be no certainty as to the exact timing, or in fact whether any future milestone payments will ever be made given that these milestone payments are contingent on clear milestones being reached. As of December 31, 2016 we had cash balances totaling CHF 152.2 million. The cash available for operating capital requirements and operations were primarily raised through financing activities totaling CHF 78.8 million for the year ended December 31, 2016.</w:t>
      </w:r>
    </w:p>
    <w:p>
      <w:pPr>
        <w:spacing w:after="0" w:line="178" w:lineRule="exact"/>
        <w:rPr>
          <w:sz w:val="20"/>
          <w:szCs w:val="20"/>
          <w:color w:val="auto"/>
        </w:rPr>
      </w:pPr>
    </w:p>
    <w:p>
      <w:pPr>
        <w:jc w:val="both"/>
        <w:ind w:right="680" w:firstLine="312"/>
        <w:spacing w:after="0" w:line="270" w:lineRule="auto"/>
        <w:rPr>
          <w:sz w:val="20"/>
          <w:szCs w:val="20"/>
          <w:color w:val="auto"/>
        </w:rPr>
      </w:pPr>
      <w:r>
        <w:rPr>
          <w:rFonts w:ascii="Arial" w:cs="Arial" w:eastAsia="Arial" w:hAnsi="Arial"/>
          <w:sz w:val="17"/>
          <w:szCs w:val="17"/>
          <w:color w:val="auto"/>
        </w:rPr>
        <w:t>Accordingly, assuming we do not receive further milestone payments and based on our currently contemplated research and development strategy and expenditures, we believe that our existing capital resources, not including potential milestone payments, will be sufficient to meet our projected operating requirements through at least the fourth quarter of 2018.</w:t>
      </w:r>
    </w:p>
    <w:p>
      <w:pPr>
        <w:spacing w:after="0" w:line="173"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the IPO, we incurred additional costs associated with operating a public company and we anticipate that we will need substantial additional funding in connection with our continuing operations.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future funding requirements will depend on many factors, including but not limited to the following: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4" w:name="page115"/>
    <w:bookmarkEnd w:id="114"/>
    <w:p>
      <w:pPr>
        <w:ind w:left="620" w:hanging="304"/>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scope, rate of progress, results and cost of our pre-clinical and clinical studies and other related activities;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other products we may develop;</w:t>
      </w:r>
    </w:p>
    <w:p>
      <w:pPr>
        <w:spacing w:after="0" w:line="232" w:lineRule="exact"/>
        <w:rPr>
          <w:rFonts w:ascii="Arial" w:cs="Arial" w:eastAsia="Arial" w:hAnsi="Arial"/>
          <w:sz w:val="16"/>
          <w:szCs w:val="16"/>
          <w:color w:val="auto"/>
        </w:rPr>
      </w:pPr>
    </w:p>
    <w:p>
      <w:pPr>
        <w:ind w:left="620" w:hanging="304"/>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cost, timing and outcomes of regulatory approvals;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costs and timing of establishing sales, marketing and distribution capabilities;</w:t>
      </w:r>
    </w:p>
    <w:p>
      <w:pPr>
        <w:spacing w:after="0" w:line="220" w:lineRule="exact"/>
        <w:rPr>
          <w:rFonts w:ascii="Arial" w:cs="Arial" w:eastAsia="Arial" w:hAnsi="Arial"/>
          <w:sz w:val="17"/>
          <w:szCs w:val="17"/>
          <w:color w:val="auto"/>
        </w:rPr>
      </w:pPr>
    </w:p>
    <w:p>
      <w:pPr>
        <w:ind w:left="620" w:right="40" w:hanging="304"/>
        <w:spacing w:after="0" w:line="286" w:lineRule="auto"/>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terms and timing of any collaborative, licensing and other arrangements that we may establish, including any required milestone and royalty payments thereunder;</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emergence of competing technologies or other adverse market developments;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potential cost and timing of managing and protecting our portfolio of intellectual property.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tcPr>
          <w:p>
            <w:pPr>
              <w:spacing w:after="0"/>
              <w:rPr>
                <w:sz w:val="20"/>
                <w:szCs w:val="20"/>
                <w:color w:val="auto"/>
              </w:rPr>
            </w:pPr>
            <w:r>
              <w:rPr>
                <w:rFonts w:ascii="Arial" w:cs="Arial" w:eastAsia="Arial" w:hAnsi="Arial"/>
                <w:sz w:val="17"/>
                <w:szCs w:val="17"/>
                <w:b w:val="1"/>
                <w:bCs w:val="1"/>
                <w:color w:val="auto"/>
              </w:rPr>
              <w:t>Comparison of the Years Ended December 31, 2015 and 2014</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6"/>
        </w:trPr>
        <w:tc>
          <w:tcPr>
            <w:tcW w:w="7780" w:type="dxa"/>
            <w:vAlign w:val="bottom"/>
          </w:tcPr>
          <w:p>
            <w:pPr>
              <w:ind w:left="320"/>
              <w:spacing w:after="0"/>
              <w:rPr>
                <w:sz w:val="20"/>
                <w:szCs w:val="20"/>
                <w:color w:val="auto"/>
              </w:rPr>
            </w:pPr>
            <w:r>
              <w:rPr>
                <w:rFonts w:ascii="Arial" w:cs="Arial" w:eastAsia="Arial" w:hAnsi="Arial"/>
                <w:sz w:val="17"/>
                <w:szCs w:val="17"/>
                <w:color w:val="auto"/>
              </w:rPr>
              <w:t>The following table summarizes our cash flows for the periods indicated: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29"/>
        </w:trPr>
        <w:tc>
          <w:tcPr>
            <w:tcW w:w="7780" w:type="dxa"/>
            <w:vAlign w:val="bottom"/>
          </w:tcPr>
          <w:p>
            <w:pPr>
              <w:spacing w:after="0"/>
              <w:rPr>
                <w:sz w:val="24"/>
                <w:szCs w:val="24"/>
                <w:color w:val="auto"/>
              </w:rPr>
            </w:pPr>
          </w:p>
        </w:tc>
        <w:tc>
          <w:tcPr>
            <w:tcW w:w="2680" w:type="dxa"/>
            <w:vAlign w:val="bottom"/>
            <w:gridSpan w:val="5"/>
          </w:tcPr>
          <w:p>
            <w:pPr>
              <w:ind w:left="220"/>
              <w:spacing w:after="0"/>
              <w:rPr>
                <w:sz w:val="20"/>
                <w:szCs w:val="20"/>
                <w:color w:val="auto"/>
              </w:rPr>
            </w:pPr>
            <w:r>
              <w:rPr>
                <w:rFonts w:ascii="Arial" w:cs="Arial" w:eastAsia="Arial" w:hAnsi="Arial"/>
                <w:sz w:val="17"/>
                <w:szCs w:val="17"/>
                <w:b w:val="1"/>
                <w:bCs w:val="1"/>
                <w:color w:val="auto"/>
              </w:rPr>
              <w:t>Years Ended December 31,</w:t>
            </w:r>
          </w:p>
        </w:tc>
        <w:tc>
          <w:tcPr>
            <w:tcW w:w="960" w:type="dxa"/>
            <w:vAlign w:val="bottom"/>
          </w:tcPr>
          <w:p>
            <w:pPr>
              <w:spacing w:after="0"/>
              <w:rPr>
                <w:sz w:val="24"/>
                <w:szCs w:val="24"/>
                <w:color w:val="auto"/>
              </w:rPr>
            </w:pPr>
          </w:p>
        </w:tc>
      </w:tr>
      <w:tr>
        <w:trPr>
          <w:trHeight w:val="214"/>
        </w:trPr>
        <w:tc>
          <w:tcPr>
            <w:tcW w:w="77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Change</w:t>
            </w:r>
          </w:p>
        </w:tc>
      </w:tr>
      <w:tr>
        <w:trPr>
          <w:trHeight w:val="201"/>
        </w:trPr>
        <w:tc>
          <w:tcPr>
            <w:tcW w:w="7780" w:type="dxa"/>
            <w:vAlign w:val="bottom"/>
          </w:tcPr>
          <w:p>
            <w:pPr>
              <w:spacing w:after="0"/>
              <w:rPr>
                <w:sz w:val="17"/>
                <w:szCs w:val="17"/>
                <w:color w:val="auto"/>
              </w:rPr>
            </w:pPr>
          </w:p>
        </w:tc>
        <w:tc>
          <w:tcPr>
            <w:tcW w:w="2680" w:type="dxa"/>
            <w:vAlign w:val="bottom"/>
            <w:gridSpan w:val="5"/>
          </w:tcPr>
          <w:p>
            <w:pPr>
              <w:ind w:left="1100"/>
              <w:spacing w:after="0"/>
              <w:rPr>
                <w:sz w:val="20"/>
                <w:szCs w:val="20"/>
                <w:color w:val="auto"/>
              </w:rPr>
            </w:pPr>
            <w:r>
              <w:rPr>
                <w:rFonts w:ascii="Arial" w:cs="Arial" w:eastAsia="Arial" w:hAnsi="Arial"/>
                <w:sz w:val="17"/>
                <w:szCs w:val="17"/>
                <w:b w:val="1"/>
                <w:bCs w:val="1"/>
                <w:color w:val="auto"/>
                <w:w w:val="99"/>
              </w:rPr>
              <w:t>(in CHF thousands)</w:t>
            </w:r>
          </w:p>
        </w:tc>
        <w:tc>
          <w:tcPr>
            <w:tcW w:w="960" w:type="dxa"/>
            <w:vAlign w:val="bottom"/>
          </w:tcPr>
          <w:p>
            <w:pPr>
              <w:spacing w:after="0"/>
              <w:rPr>
                <w:sz w:val="17"/>
                <w:szCs w:val="17"/>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Net cash provided by (used in):</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r>
      <w:tr>
        <w:trPr>
          <w:trHeight w:val="208"/>
        </w:trPr>
        <w:tc>
          <w:tcPr>
            <w:tcW w:w="7780" w:type="dxa"/>
            <w:vAlign w:val="bottom"/>
          </w:tcPr>
          <w:p>
            <w:pPr>
              <w:ind w:left="180"/>
              <w:spacing w:after="0"/>
              <w:rPr>
                <w:sz w:val="20"/>
                <w:szCs w:val="20"/>
                <w:color w:val="auto"/>
              </w:rPr>
            </w:pPr>
            <w:r>
              <w:rPr>
                <w:rFonts w:ascii="Arial" w:cs="Arial" w:eastAsia="Arial" w:hAnsi="Arial"/>
                <w:sz w:val="17"/>
                <w:szCs w:val="17"/>
                <w:color w:val="auto"/>
              </w:rPr>
              <w:t>Operating activities</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44,084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61,708</w:t>
            </w:r>
          </w:p>
        </w:tc>
      </w:tr>
      <w:tr>
        <w:trPr>
          <w:trHeight w:val="208"/>
        </w:trPr>
        <w:tc>
          <w:tcPr>
            <w:tcW w:w="7780" w:type="dxa"/>
            <w:vAlign w:val="bottom"/>
            <w:shd w:val="clear" w:color="auto" w:fill="D5EAEA"/>
          </w:tcPr>
          <w:p>
            <w:pPr>
              <w:ind w:left="180"/>
              <w:spacing w:after="0"/>
              <w:rPr>
                <w:sz w:val="20"/>
                <w:szCs w:val="20"/>
                <w:color w:val="auto"/>
              </w:rPr>
            </w:pPr>
            <w:r>
              <w:rPr>
                <w:rFonts w:ascii="Arial" w:cs="Arial" w:eastAsia="Arial" w:hAnsi="Arial"/>
                <w:sz w:val="17"/>
                <w:szCs w:val="17"/>
                <w:color w:val="auto"/>
              </w:rPr>
              <w:t>Investing activities</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(113)</w:t>
            </w:r>
          </w:p>
        </w:tc>
      </w:tr>
      <w:tr>
        <w:trPr>
          <w:trHeight w:val="221"/>
        </w:trPr>
        <w:tc>
          <w:tcPr>
            <w:tcW w:w="7780" w:type="dxa"/>
            <w:vAlign w:val="bottom"/>
            <w:tcBorders>
              <w:bottom w:val="single" w:sz="8" w:color="D5EAEA"/>
            </w:tcBorders>
          </w:tcPr>
          <w:p>
            <w:pPr>
              <w:ind w:left="180"/>
              <w:spacing w:after="0"/>
              <w:rPr>
                <w:sz w:val="20"/>
                <w:szCs w:val="20"/>
                <w:color w:val="auto"/>
              </w:rPr>
            </w:pPr>
            <w:r>
              <w:rPr>
                <w:rFonts w:ascii="Arial" w:cs="Arial" w:eastAsia="Arial" w:hAnsi="Arial"/>
                <w:sz w:val="17"/>
                <w:szCs w:val="17"/>
                <w:color w:val="auto"/>
              </w:rPr>
              <w:t>Financing activities</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27,778</w:t>
            </w: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9,801</w:t>
            </w:r>
          </w:p>
        </w:tc>
        <w:tc>
          <w:tcPr>
            <w:tcW w:w="100" w:type="dxa"/>
            <w:vAlign w:val="bottom"/>
            <w:tcBorders>
              <w:bottom w:val="single" w:sz="8" w:color="D5EAE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17,977</w:t>
            </w:r>
          </w:p>
        </w:tc>
      </w:tr>
      <w:tr>
        <w:trPr>
          <w:trHeight w:val="214"/>
        </w:trPr>
        <w:tc>
          <w:tcPr>
            <w:tcW w:w="77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color w:val="auto"/>
              </w:rPr>
              <w:t>Net change in cash and cash equivalents</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71,618</w:t>
            </w:r>
          </w:p>
        </w:tc>
        <w:tc>
          <w:tcPr>
            <w:tcW w:w="12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(7,954)</w:t>
            </w:r>
          </w:p>
        </w:tc>
        <w:tc>
          <w:tcPr>
            <w:tcW w:w="100" w:type="dxa"/>
            <w:vAlign w:val="bottom"/>
            <w:tcBorders>
              <w:bottom w:val="single" w:sz="8" w:color="D5EAEA"/>
            </w:tcBorders>
            <w:shd w:val="clear" w:color="auto" w:fill="D5EAEA"/>
          </w:tcPr>
          <w:p>
            <w:pPr>
              <w:spacing w:after="0"/>
              <w:rPr>
                <w:sz w:val="18"/>
                <w:szCs w:val="18"/>
                <w:color w:val="auto"/>
              </w:rPr>
            </w:pPr>
          </w:p>
        </w:tc>
        <w:tc>
          <w:tcPr>
            <w:tcW w:w="160" w:type="dxa"/>
            <w:vAlign w:val="bottom"/>
            <w:tcBorders>
              <w:bottom w:val="single" w:sz="8" w:color="auto"/>
            </w:tcBorders>
            <w:shd w:val="clear" w:color="auto" w:fill="D5EAEA"/>
          </w:tcPr>
          <w:p>
            <w:pPr>
              <w:spacing w:after="0"/>
              <w:rPr>
                <w:sz w:val="18"/>
                <w:szCs w:val="18"/>
                <w:color w:val="auto"/>
              </w:rPr>
            </w:pPr>
          </w:p>
        </w:tc>
        <w:tc>
          <w:tcPr>
            <w:tcW w:w="96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79,572</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Operating activities</w:t>
      </w:r>
    </w:p>
    <w:p>
      <w:pPr>
        <w:spacing w:after="0" w:line="221" w:lineRule="exact"/>
        <w:rPr>
          <w:sz w:val="20"/>
          <w:szCs w:val="20"/>
          <w:color w:val="auto"/>
        </w:rPr>
      </w:pPr>
    </w:p>
    <w:p>
      <w:pPr>
        <w:ind w:firstLine="312"/>
        <w:spacing w:after="0" w:line="280" w:lineRule="auto"/>
        <w:rPr>
          <w:sz w:val="20"/>
          <w:szCs w:val="20"/>
          <w:color w:val="auto"/>
        </w:rPr>
      </w:pPr>
      <w:r>
        <w:rPr>
          <w:rFonts w:ascii="Arial" w:cs="Arial" w:eastAsia="Arial" w:hAnsi="Arial"/>
          <w:sz w:val="16"/>
          <w:szCs w:val="16"/>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Investing activities</w:t>
      </w:r>
    </w:p>
    <w:p>
      <w:pPr>
        <w:spacing w:after="0" w:line="221" w:lineRule="exact"/>
        <w:rPr>
          <w:sz w:val="20"/>
          <w:szCs w:val="20"/>
          <w:color w:val="auto"/>
        </w:rPr>
      </w:pPr>
    </w:p>
    <w:p>
      <w:pPr>
        <w:ind w:right="60" w:firstLine="312"/>
        <w:spacing w:after="0" w:line="286"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Financing activities</w:t>
      </w:r>
    </w:p>
    <w:p>
      <w:pPr>
        <w:spacing w:after="0" w:line="221" w:lineRule="exact"/>
        <w:rPr>
          <w:sz w:val="20"/>
          <w:szCs w:val="20"/>
          <w:color w:val="auto"/>
        </w:rPr>
      </w:pPr>
    </w:p>
    <w:p>
      <w:pPr>
        <w:ind w:right="280" w:firstLine="312"/>
        <w:spacing w:after="0" w:line="356" w:lineRule="auto"/>
        <w:rPr>
          <w:sz w:val="20"/>
          <w:szCs w:val="20"/>
          <w:color w:val="auto"/>
        </w:rPr>
      </w:pPr>
      <w:r>
        <w:rPr>
          <w:rFonts w:ascii="Arial" w:cs="Arial" w:eastAsia="Arial" w:hAnsi="Arial"/>
          <w:sz w:val="15"/>
          <w:szCs w:val="15"/>
          <w:color w:val="auto"/>
        </w:rPr>
        <w:t>Net cash provided by financing activities was CHF 27.8 million for the year ended December 31, 2015, compared to CHF 9.8 million for the year ended December 31, 2014. The increase was driven primarily by the $30 million (CHF 29.4 million) Series E Private Placement which we completed in October 2015.</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7" w:lineRule="exact"/>
        <w:rPr>
          <w:sz w:val="20"/>
          <w:szCs w:val="20"/>
          <w:color w:val="auto"/>
        </w:rPr>
      </w:pPr>
    </w:p>
    <w:p>
      <w:pPr>
        <w:ind w:right="540" w:firstLine="312"/>
        <w:spacing w:after="0" w:line="286" w:lineRule="auto"/>
        <w:rPr>
          <w:sz w:val="20"/>
          <w:szCs w:val="20"/>
          <w:color w:val="auto"/>
        </w:rPr>
      </w:pPr>
      <w:r>
        <w:rPr>
          <w:rFonts w:ascii="Arial" w:cs="Arial" w:eastAsia="Arial" w:hAnsi="Arial"/>
          <w:sz w:val="17"/>
          <w:szCs w:val="17"/>
          <w:color w:val="auto"/>
        </w:rPr>
        <w:t>See “Item 4. Information on the Company – B. Business Overview” and Item 5. Operating and Financial Review and Prospects –A. Operating Results – Results of Operations.”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15" w:name="page116"/>
    <w:bookmarkEnd w:id="115"/>
    <w:p>
      <w:pPr>
        <w:ind w:left="320" w:hanging="316"/>
        <w:spacing w:after="0"/>
        <w:tabs>
          <w:tab w:leader="none" w:pos="32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Trend information</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See “Item 5. Operating and Financial Review and Prospects”.</w:t>
      </w:r>
    </w:p>
    <w:p>
      <w:pPr>
        <w:spacing w:after="0" w:line="214" w:lineRule="exact"/>
        <w:rPr>
          <w:rFonts w:ascii="Arial" w:cs="Arial" w:eastAsia="Arial" w:hAnsi="Arial"/>
          <w:sz w:val="17"/>
          <w:szCs w:val="17"/>
          <w:b w:val="1"/>
          <w:bCs w:val="1"/>
          <w:color w:val="auto"/>
        </w:rPr>
      </w:pPr>
    </w:p>
    <w:p>
      <w:pPr>
        <w:ind w:left="320" w:hanging="316"/>
        <w:spacing w:after="0"/>
        <w:tabs>
          <w:tab w:leader="none" w:pos="32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Off-balance sheet arrangements</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We do not have any material off-balance sheet arrangements or commitments.</w:t>
      </w:r>
    </w:p>
    <w:p>
      <w:pPr>
        <w:spacing w:after="0" w:line="214" w:lineRule="exact"/>
        <w:rPr>
          <w:rFonts w:ascii="Arial" w:cs="Arial" w:eastAsia="Arial" w:hAnsi="Arial"/>
          <w:sz w:val="17"/>
          <w:szCs w:val="17"/>
          <w:b w:val="1"/>
          <w:bCs w:val="1"/>
          <w:color w:val="auto"/>
        </w:rPr>
      </w:pPr>
    </w:p>
    <w:p>
      <w:pPr>
        <w:ind w:left="320" w:hanging="316"/>
        <w:spacing w:after="0"/>
        <w:tabs>
          <w:tab w:leader="none" w:pos="32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Tabular disclosure of contractual obligations</w:t>
      </w:r>
    </w:p>
    <w:p>
      <w:pPr>
        <w:spacing w:after="0" w:line="227" w:lineRule="exact"/>
        <w:rPr>
          <w:sz w:val="20"/>
          <w:szCs w:val="20"/>
          <w:color w:val="auto"/>
        </w:rPr>
      </w:pPr>
    </w:p>
    <w:p>
      <w:pPr>
        <w:ind w:right="20" w:firstLine="312"/>
        <w:spacing w:after="0" w:line="270" w:lineRule="auto"/>
        <w:rPr>
          <w:sz w:val="20"/>
          <w:szCs w:val="20"/>
          <w:color w:val="auto"/>
        </w:rPr>
      </w:pPr>
      <w:r>
        <w:rPr>
          <w:rFonts w:ascii="Arial" w:cs="Arial" w:eastAsia="Arial" w:hAnsi="Arial"/>
          <w:sz w:val="17"/>
          <w:szCs w:val="17"/>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80" w:type="dxa"/>
            <w:vAlign w:val="bottom"/>
          </w:tcPr>
          <w:p>
            <w:pPr>
              <w:ind w:left="320"/>
              <w:spacing w:after="0"/>
              <w:rPr>
                <w:sz w:val="20"/>
                <w:szCs w:val="20"/>
                <w:color w:val="auto"/>
              </w:rPr>
            </w:pPr>
            <w:r>
              <w:rPr>
                <w:rFonts w:ascii="Arial" w:cs="Arial" w:eastAsia="Arial" w:hAnsi="Arial"/>
                <w:sz w:val="17"/>
                <w:szCs w:val="17"/>
                <w:color w:val="auto"/>
                <w:w w:val="94"/>
              </w:rPr>
              <w:t>The following table presents information relating to our contractual obligations as of December 31, 2016:</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29"/>
        </w:trPr>
        <w:tc>
          <w:tcPr>
            <w:tcW w:w="7780" w:type="dxa"/>
            <w:vAlign w:val="bottom"/>
          </w:tcPr>
          <w:p>
            <w:pPr>
              <w:spacing w:after="0"/>
              <w:rPr>
                <w:sz w:val="24"/>
                <w:szCs w:val="24"/>
                <w:color w:val="auto"/>
              </w:rPr>
            </w:pPr>
          </w:p>
        </w:tc>
        <w:tc>
          <w:tcPr>
            <w:tcW w:w="2820" w:type="dxa"/>
            <w:vAlign w:val="bottom"/>
            <w:tcBorders>
              <w:bottom w:val="single" w:sz="8" w:color="auto"/>
            </w:tcBorders>
            <w:gridSpan w:val="5"/>
          </w:tcPr>
          <w:p>
            <w:pPr>
              <w:jc w:val="center"/>
              <w:ind w:left="753"/>
              <w:spacing w:after="0"/>
              <w:rPr>
                <w:sz w:val="20"/>
                <w:szCs w:val="20"/>
                <w:color w:val="auto"/>
              </w:rPr>
            </w:pPr>
            <w:r>
              <w:rPr>
                <w:rFonts w:ascii="Arial" w:cs="Arial" w:eastAsia="Arial" w:hAnsi="Arial"/>
                <w:sz w:val="17"/>
                <w:szCs w:val="17"/>
                <w:b w:val="1"/>
                <w:bCs w:val="1"/>
                <w:color w:val="auto"/>
                <w:w w:val="91"/>
              </w:rPr>
              <w:t>Payments Due by Period</w:t>
            </w:r>
          </w:p>
        </w:tc>
        <w:tc>
          <w:tcPr>
            <w:tcW w:w="820" w:type="dxa"/>
            <w:vAlign w:val="bottom"/>
            <w:tcBorders>
              <w:bottom w:val="single" w:sz="8" w:color="auto"/>
            </w:tcBorders>
          </w:tcPr>
          <w:p>
            <w:pPr>
              <w:spacing w:after="0"/>
              <w:rPr>
                <w:sz w:val="24"/>
                <w:szCs w:val="24"/>
                <w:color w:val="auto"/>
              </w:rPr>
            </w:pPr>
          </w:p>
        </w:tc>
      </w:tr>
      <w:tr>
        <w:trPr>
          <w:trHeight w:val="183"/>
        </w:trPr>
        <w:tc>
          <w:tcPr>
            <w:tcW w:w="7780" w:type="dxa"/>
            <w:vAlign w:val="bottom"/>
          </w:tcPr>
          <w:p>
            <w:pPr>
              <w:spacing w:after="0"/>
              <w:rPr>
                <w:sz w:val="15"/>
                <w:szCs w:val="15"/>
                <w:color w:val="auto"/>
              </w:rPr>
            </w:pPr>
          </w:p>
        </w:tc>
        <w:tc>
          <w:tcPr>
            <w:tcW w:w="1280" w:type="dxa"/>
            <w:vAlign w:val="bottom"/>
            <w:gridSpan w:val="2"/>
          </w:tcPr>
          <w:p>
            <w:pPr>
              <w:jc w:val="center"/>
              <w:ind w:right="120"/>
              <w:spacing w:after="0" w:line="183" w:lineRule="exact"/>
              <w:rPr>
                <w:sz w:val="20"/>
                <w:szCs w:val="20"/>
                <w:color w:val="auto"/>
              </w:rPr>
            </w:pPr>
            <w:r>
              <w:rPr>
                <w:rFonts w:ascii="Arial" w:cs="Arial" w:eastAsia="Arial" w:hAnsi="Arial"/>
                <w:sz w:val="17"/>
                <w:szCs w:val="17"/>
                <w:b w:val="1"/>
                <w:bCs w:val="1"/>
                <w:color w:val="auto"/>
                <w:w w:val="89"/>
              </w:rPr>
              <w:t>Less Than 1</w:t>
            </w:r>
          </w:p>
        </w:tc>
        <w:tc>
          <w:tcPr>
            <w:tcW w:w="1540" w:type="dxa"/>
            <w:vAlign w:val="bottom"/>
            <w:gridSpan w:val="3"/>
          </w:tcPr>
          <w:p>
            <w:pPr>
              <w:jc w:val="center"/>
              <w:ind w:right="420"/>
              <w:spacing w:after="0" w:line="183" w:lineRule="exact"/>
              <w:rPr>
                <w:sz w:val="20"/>
                <w:szCs w:val="20"/>
                <w:color w:val="auto"/>
              </w:rPr>
            </w:pPr>
            <w:r>
              <w:rPr>
                <w:rFonts w:ascii="Arial" w:cs="Arial" w:eastAsia="Arial" w:hAnsi="Arial"/>
                <w:sz w:val="17"/>
                <w:szCs w:val="17"/>
                <w:b w:val="1"/>
                <w:bCs w:val="1"/>
                <w:color w:val="auto"/>
                <w:w w:val="90"/>
              </w:rPr>
              <w:t>Between 1 and</w:t>
            </w:r>
          </w:p>
        </w:tc>
        <w:tc>
          <w:tcPr>
            <w:tcW w:w="820" w:type="dxa"/>
            <w:vAlign w:val="bottom"/>
          </w:tcPr>
          <w:p>
            <w:pPr>
              <w:spacing w:after="0"/>
              <w:rPr>
                <w:sz w:val="15"/>
                <w:szCs w:val="15"/>
                <w:color w:val="auto"/>
              </w:rPr>
            </w:pPr>
          </w:p>
        </w:tc>
      </w:tr>
      <w:tr>
        <w:trPr>
          <w:trHeight w:val="226"/>
        </w:trPr>
        <w:tc>
          <w:tcPr>
            <w:tcW w:w="7780" w:type="dxa"/>
            <w:vAlign w:val="bottom"/>
          </w:tcPr>
          <w:p>
            <w:pPr>
              <w:spacing w:after="0"/>
              <w:rPr>
                <w:sz w:val="19"/>
                <w:szCs w:val="19"/>
                <w:color w:val="auto"/>
              </w:rPr>
            </w:pPr>
          </w:p>
        </w:tc>
        <w:tc>
          <w:tcPr>
            <w:tcW w:w="12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b w:val="1"/>
                <w:bCs w:val="1"/>
                <w:color w:val="auto"/>
                <w:w w:val="97"/>
              </w:rPr>
              <w:t>Year</w:t>
            </w:r>
          </w:p>
        </w:tc>
        <w:tc>
          <w:tcPr>
            <w:tcW w:w="15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7"/>
                <w:szCs w:val="17"/>
                <w:b w:val="1"/>
                <w:bCs w:val="1"/>
                <w:color w:val="auto"/>
                <w:w w:val="89"/>
              </w:rPr>
              <w:t>5 Years</w:t>
            </w: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r>
      <w:tr>
        <w:trPr>
          <w:trHeight w:val="201"/>
        </w:trPr>
        <w:tc>
          <w:tcPr>
            <w:tcW w:w="7780" w:type="dxa"/>
            <w:vAlign w:val="bottom"/>
          </w:tcPr>
          <w:p>
            <w:pPr>
              <w:spacing w:after="0"/>
              <w:rPr>
                <w:sz w:val="17"/>
                <w:szCs w:val="17"/>
                <w:color w:val="auto"/>
              </w:rPr>
            </w:pPr>
          </w:p>
        </w:tc>
        <w:tc>
          <w:tcPr>
            <w:tcW w:w="2820" w:type="dxa"/>
            <w:vAlign w:val="bottom"/>
            <w:gridSpan w:val="5"/>
          </w:tcPr>
          <w:p>
            <w:pPr>
              <w:jc w:val="center"/>
              <w:ind w:left="733"/>
              <w:spacing w:after="0"/>
              <w:rPr>
                <w:sz w:val="20"/>
                <w:szCs w:val="20"/>
                <w:color w:val="auto"/>
              </w:rPr>
            </w:pPr>
            <w:r>
              <w:rPr>
                <w:rFonts w:ascii="Arial" w:cs="Arial" w:eastAsia="Arial" w:hAnsi="Arial"/>
                <w:sz w:val="17"/>
                <w:szCs w:val="17"/>
                <w:b w:val="1"/>
                <w:bCs w:val="1"/>
                <w:color w:val="auto"/>
                <w:w w:val="92"/>
              </w:rPr>
              <w:t>(in thousands of CHF)</w:t>
            </w:r>
          </w:p>
        </w:tc>
        <w:tc>
          <w:tcPr>
            <w:tcW w:w="820" w:type="dxa"/>
            <w:vAlign w:val="bottom"/>
          </w:tcPr>
          <w:p>
            <w:pPr>
              <w:spacing w:after="0"/>
              <w:rPr>
                <w:sz w:val="17"/>
                <w:szCs w:val="17"/>
                <w:color w:val="auto"/>
              </w:rPr>
            </w:pPr>
          </w:p>
        </w:tc>
      </w:tr>
      <w:tr>
        <w:trPr>
          <w:trHeight w:val="22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Operating lease obligations</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255</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8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255</w:t>
            </w:r>
          </w:p>
        </w:tc>
      </w:tr>
      <w:tr>
        <w:trPr>
          <w:trHeight w:val="214"/>
        </w:trPr>
        <w:tc>
          <w:tcPr>
            <w:tcW w:w="7780" w:type="dxa"/>
            <w:vAlign w:val="bottom"/>
          </w:tcPr>
          <w:p>
            <w:pPr>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255</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has a contractual obligation that require the payment of royalties to a third party, which is associated with the achievement of program milestones. As of December 31, 2016, the Company’s contractual obligation associated with this agreement was CHF 494 thousand.</w:t>
      </w:r>
    </w:p>
    <w:p>
      <w:pPr>
        <w:spacing w:after="0" w:line="152" w:lineRule="exact"/>
        <w:rPr>
          <w:sz w:val="20"/>
          <w:szCs w:val="20"/>
          <w:color w:val="auto"/>
        </w:rPr>
      </w:pPr>
    </w:p>
    <w:p>
      <w:pPr>
        <w:ind w:left="320" w:hanging="316"/>
        <w:spacing w:after="0"/>
        <w:tabs>
          <w:tab w:leader="none" w:pos="32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Safe harbor</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See “Forward-Looking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DIRECTORS, SENIOR MANAGEMENT AND EMPLOYEES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5"/>
          <w:szCs w:val="15"/>
          <w:b w:val="1"/>
          <w:bCs w:val="1"/>
          <w:color w:val="auto"/>
        </w:rPr>
        <w:t>Directors and senior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Other Key Employees and Board of Directors</w:t>
      </w:r>
    </w:p>
    <w:p>
      <w:pPr>
        <w:spacing w:after="0" w:line="227" w:lineRule="exact"/>
        <w:rPr>
          <w:sz w:val="20"/>
          <w:szCs w:val="20"/>
          <w:color w:val="auto"/>
        </w:rPr>
      </w:pPr>
    </w:p>
    <w:p>
      <w:pPr>
        <w:jc w:val="both"/>
        <w:ind w:right="320" w:firstLine="312"/>
        <w:spacing w:after="0" w:line="356" w:lineRule="auto"/>
        <w:rPr>
          <w:sz w:val="20"/>
          <w:szCs w:val="20"/>
          <w:color w:val="auto"/>
        </w:rPr>
      </w:pPr>
      <w:r>
        <w:rPr>
          <w:rFonts w:ascii="Arial" w:cs="Arial" w:eastAsia="Arial" w:hAnsi="Arial"/>
          <w:sz w:val="15"/>
          <w:szCs w:val="15"/>
          <w:color w:val="auto"/>
        </w:rPr>
        <w:t>The following table presents information about our executive officers, other key employees and, directors and director nominees, including their ages, as of December 31, 2016. The term of each of our directors is one year and, accordingly, will expire at our 2017 annual shareholder meeting to be held in May 2017.</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b w:val="1"/>
                <w:bCs w:val="1"/>
                <w:color w:val="auto"/>
                <w:w w:val="95"/>
              </w:rPr>
              <w:t>Initial Year of</w:t>
            </w:r>
          </w:p>
        </w:tc>
      </w:tr>
      <w:tr>
        <w:trPr>
          <w:trHeight w:val="226"/>
        </w:trPr>
        <w:tc>
          <w:tcPr>
            <w:tcW w:w="20" w:type="dxa"/>
            <w:vAlign w:val="bottom"/>
          </w:tcPr>
          <w:p>
            <w:pPr>
              <w:spacing w:after="0"/>
              <w:rPr>
                <w:sz w:val="19"/>
                <w:szCs w:val="19"/>
                <w:color w:val="auto"/>
              </w:rPr>
            </w:pPr>
          </w:p>
        </w:tc>
        <w:tc>
          <w:tcPr>
            <w:tcW w:w="3560" w:type="dxa"/>
            <w:vAlign w:val="bottom"/>
            <w:tcBorders>
              <w:bottom w:val="single" w:sz="8" w:color="auto"/>
            </w:tcBorders>
          </w:tcPr>
          <w:p>
            <w:pPr>
              <w:ind w:left="1560"/>
              <w:spacing w:after="0"/>
              <w:rPr>
                <w:sz w:val="20"/>
                <w:szCs w:val="20"/>
                <w:color w:val="auto"/>
              </w:rPr>
            </w:pPr>
            <w:r>
              <w:rPr>
                <w:rFonts w:ascii="Arial" w:cs="Arial" w:eastAsia="Arial" w:hAnsi="Arial"/>
                <w:sz w:val="17"/>
                <w:szCs w:val="17"/>
                <w:b w:val="1"/>
                <w:bCs w:val="1"/>
                <w:color w:val="auto"/>
              </w:rPr>
              <w:t>Name</w:t>
            </w:r>
          </w:p>
        </w:tc>
        <w:tc>
          <w:tcPr>
            <w:tcW w:w="80" w:type="dxa"/>
            <w:vAlign w:val="bottom"/>
          </w:tcPr>
          <w:p>
            <w:pPr>
              <w:spacing w:after="0"/>
              <w:rPr>
                <w:sz w:val="19"/>
                <w:szCs w:val="19"/>
                <w:color w:val="auto"/>
              </w:rPr>
            </w:pPr>
          </w:p>
        </w:tc>
        <w:tc>
          <w:tcPr>
            <w:tcW w:w="5180" w:type="dxa"/>
            <w:vAlign w:val="bottom"/>
            <w:tcBorders>
              <w:bottom w:val="single" w:sz="8" w:color="auto"/>
            </w:tcBorders>
          </w:tcPr>
          <w:p>
            <w:pPr>
              <w:ind w:left="2280"/>
              <w:spacing w:after="0"/>
              <w:rPr>
                <w:sz w:val="20"/>
                <w:szCs w:val="20"/>
                <w:color w:val="auto"/>
              </w:rPr>
            </w:pPr>
            <w:r>
              <w:rPr>
                <w:rFonts w:ascii="Arial" w:cs="Arial" w:eastAsia="Arial" w:hAnsi="Arial"/>
                <w:sz w:val="17"/>
                <w:szCs w:val="17"/>
                <w:b w:val="1"/>
                <w:bCs w:val="1"/>
                <w:color w:val="auto"/>
              </w:rPr>
              <w:t>Position</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Age</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Appointment</w:t>
            </w: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7"/>
                <w:szCs w:val="17"/>
                <w:b w:val="1"/>
                <w:bCs w:val="1"/>
                <w:color w:val="auto"/>
              </w:rPr>
              <w:t>Executive Officers</w:t>
            </w:r>
          </w:p>
        </w:tc>
        <w:tc>
          <w:tcPr>
            <w:tcW w:w="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Andrea Pfeifer, Ph.D.</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Chief Executive Officer and Director Nominee</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59</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2003</w:t>
            </w:r>
          </w:p>
        </w:tc>
      </w:tr>
      <w:tr>
        <w:trPr>
          <w:trHeight w:val="208"/>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Andreas Muhs, Ph.D.</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Chief Scientific Officer</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55</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2005</w:t>
            </w:r>
          </w:p>
        </w:tc>
      </w:tr>
      <w:tr>
        <w:trPr>
          <w:trHeight w:val="202"/>
        </w:trPr>
        <w:tc>
          <w:tcPr>
            <w:tcW w:w="20" w:type="dxa"/>
            <w:vAlign w:val="bottom"/>
          </w:tcPr>
          <w:p>
            <w:pPr>
              <w:spacing w:after="0"/>
              <w:rPr>
                <w:sz w:val="17"/>
                <w:szCs w:val="17"/>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Jean-Fabien Monin</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Chief Administrative Officer</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46</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2009</w:t>
            </w:r>
          </w:p>
        </w:tc>
      </w:tr>
      <w:tr>
        <w:trPr>
          <w:trHeight w:val="214"/>
        </w:trPr>
        <w:tc>
          <w:tcPr>
            <w:tcW w:w="3580" w:type="dxa"/>
            <w:vAlign w:val="bottom"/>
            <w:gridSpan w:val="2"/>
          </w:tcPr>
          <w:p>
            <w:pPr>
              <w:spacing w:after="0"/>
              <w:rPr>
                <w:sz w:val="20"/>
                <w:szCs w:val="20"/>
                <w:color w:val="auto"/>
              </w:rPr>
            </w:pPr>
            <w:r>
              <w:rPr>
                <w:rFonts w:ascii="Arial" w:cs="Arial" w:eastAsia="Arial" w:hAnsi="Arial"/>
                <w:sz w:val="17"/>
                <w:szCs w:val="17"/>
                <w:b w:val="1"/>
                <w:bCs w:val="1"/>
                <w:color w:val="auto"/>
              </w:rPr>
              <w:t>Other Key Employees</w:t>
            </w:r>
          </w:p>
        </w:tc>
        <w:tc>
          <w:tcPr>
            <w:tcW w:w="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Wolfgang Barth, Ph.D.</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Director of Development</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63</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2010</w:t>
            </w:r>
          </w:p>
        </w:tc>
      </w:tr>
      <w:tr>
        <w:trPr>
          <w:trHeight w:val="208"/>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David A. Lowe, Ph.D.</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Innovation Fellow</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70</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2014</w:t>
            </w:r>
          </w:p>
        </w:tc>
      </w:tr>
      <w:tr>
        <w:trPr>
          <w:trHeight w:val="208"/>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Joseph Wettstein, Ph.D.</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Chief Scientific Officer, Deputy and Head of Non-AD Proteinopathies</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62</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2016</w:t>
            </w:r>
          </w:p>
        </w:tc>
      </w:tr>
      <w:tr>
        <w:trPr>
          <w:trHeight w:val="202"/>
        </w:trPr>
        <w:tc>
          <w:tcPr>
            <w:tcW w:w="20" w:type="dxa"/>
            <w:vAlign w:val="bottom"/>
          </w:tcPr>
          <w:p>
            <w:pPr>
              <w:spacing w:after="0"/>
              <w:rPr>
                <w:sz w:val="17"/>
                <w:szCs w:val="17"/>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Julian Gray, M.D., Ph.D.</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Clinical Advisor</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60</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2007</w:t>
            </w:r>
          </w:p>
        </w:tc>
      </w:tr>
      <w:tr>
        <w:trPr>
          <w:trHeight w:val="214"/>
        </w:trPr>
        <w:tc>
          <w:tcPr>
            <w:tcW w:w="3580" w:type="dxa"/>
            <w:vAlign w:val="bottom"/>
            <w:gridSpan w:val="2"/>
          </w:tcPr>
          <w:p>
            <w:pPr>
              <w:spacing w:after="0"/>
              <w:rPr>
                <w:sz w:val="20"/>
                <w:szCs w:val="20"/>
                <w:color w:val="auto"/>
              </w:rPr>
            </w:pPr>
            <w:r>
              <w:rPr>
                <w:rFonts w:ascii="Arial" w:cs="Arial" w:eastAsia="Arial" w:hAnsi="Arial"/>
                <w:sz w:val="17"/>
                <w:szCs w:val="17"/>
                <w:b w:val="1"/>
                <w:bCs w:val="1"/>
                <w:color w:val="auto"/>
              </w:rPr>
              <w:t>Non-Executive Directors</w:t>
            </w:r>
          </w:p>
        </w:tc>
        <w:tc>
          <w:tcPr>
            <w:tcW w:w="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Martin Velasco</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Chairman and Director</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62</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2003</w:t>
            </w:r>
          </w:p>
        </w:tc>
      </w:tr>
      <w:tr>
        <w:trPr>
          <w:trHeight w:val="208"/>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Detlev Riesner, Ph.D.</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Director</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75</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2004</w:t>
            </w:r>
          </w:p>
        </w:tc>
      </w:tr>
      <w:tr>
        <w:trPr>
          <w:trHeight w:val="208"/>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Friedrich von Bohlen und Halbach, Ph.D.</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Director</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54</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2015</w:t>
            </w:r>
          </w:p>
        </w:tc>
      </w:tr>
      <w:tr>
        <w:trPr>
          <w:trHeight w:val="208"/>
        </w:trPr>
        <w:tc>
          <w:tcPr>
            <w:tcW w:w="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Peter Bollmann, Ph.D.</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Director</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63</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2015</w:t>
            </w:r>
          </w:p>
        </w:tc>
      </w:tr>
      <w:tr>
        <w:trPr>
          <w:trHeight w:val="220"/>
        </w:trPr>
        <w:tc>
          <w:tcPr>
            <w:tcW w:w="2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7"/>
                <w:szCs w:val="17"/>
                <w:color w:val="auto"/>
              </w:rPr>
              <w:t>Thomas Graney(1)</w:t>
            </w:r>
          </w:p>
        </w:tc>
        <w:tc>
          <w:tcPr>
            <w:tcW w:w="5260" w:type="dxa"/>
            <w:vAlign w:val="bottom"/>
            <w:gridSpan w:val="2"/>
          </w:tcPr>
          <w:p>
            <w:pPr>
              <w:ind w:left="80"/>
              <w:spacing w:after="0"/>
              <w:rPr>
                <w:sz w:val="20"/>
                <w:szCs w:val="20"/>
                <w:color w:val="auto"/>
              </w:rPr>
            </w:pPr>
            <w:r>
              <w:rPr>
                <w:rFonts w:ascii="Arial" w:cs="Arial" w:eastAsia="Arial" w:hAnsi="Arial"/>
                <w:sz w:val="17"/>
                <w:szCs w:val="17"/>
                <w:color w:val="auto"/>
              </w:rPr>
              <w:t>Director</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w w:val="84"/>
              </w:rPr>
              <w:t>52</w:t>
            </w:r>
          </w:p>
        </w:tc>
        <w:tc>
          <w:tcPr>
            <w:tcW w:w="1700" w:type="dxa"/>
            <w:vAlign w:val="bottom"/>
            <w:gridSpan w:val="2"/>
          </w:tcPr>
          <w:p>
            <w:pPr>
              <w:jc w:val="center"/>
              <w:spacing w:after="0"/>
              <w:rPr>
                <w:sz w:val="20"/>
                <w:szCs w:val="20"/>
                <w:color w:val="auto"/>
              </w:rPr>
            </w:pPr>
            <w:r>
              <w:rPr>
                <w:rFonts w:ascii="Arial" w:cs="Arial" w:eastAsia="Arial" w:hAnsi="Arial"/>
                <w:sz w:val="17"/>
                <w:szCs w:val="17"/>
                <w:color w:val="auto"/>
                <w:w w:val="89"/>
              </w:rPr>
              <w:t>2016</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369570</wp:posOffset>
            </wp:positionV>
            <wp:extent cx="28905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0520" cy="8255"/>
                    </a:xfrm>
                    <a:prstGeom prst="rect">
                      <a:avLst/>
                    </a:prstGeom>
                    <a:noFill/>
                  </pic:spPr>
                </pic:pic>
              </a:graphicData>
            </a:graphic>
          </wp:anchor>
        </w:drawing>
        <w:t>(1)  Thomas Graney was appointed as non-executive director on November 15, 2016 at the Annual General Meeting of the Company.</w:t>
      </w:r>
    </w:p>
    <w:p>
      <w:pPr>
        <w:spacing w:after="0" w:line="221" w:lineRule="exact"/>
        <w:rPr>
          <w:sz w:val="20"/>
          <w:szCs w:val="20"/>
          <w:color w:val="auto"/>
        </w:rPr>
      </w:pPr>
    </w:p>
    <w:p>
      <w:pPr>
        <w:ind w:right="380" w:firstLine="312"/>
        <w:spacing w:after="0" w:line="286" w:lineRule="auto"/>
        <w:rPr>
          <w:sz w:val="20"/>
          <w:szCs w:val="20"/>
          <w:color w:val="auto"/>
        </w:rPr>
      </w:pPr>
      <w:r>
        <w:rPr>
          <w:rFonts w:ascii="Arial" w:cs="Arial" w:eastAsia="Arial" w:hAnsi="Arial"/>
          <w:sz w:val="17"/>
          <w:szCs w:val="17"/>
          <w:color w:val="auto"/>
        </w:rPr>
        <w:t>The current business addresses for our executive officers, other key employees, directors and director nominee is AC Immune SA, EPFL Innovation Park, Building B, 1015 Lausanne, Switzerland.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21"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b w:val="1"/>
          <w:bCs w:val="1"/>
          <w:color w:val="auto"/>
        </w:rPr>
        <w:t xml:space="preserve">Andrea Pfeifer, Ph.D., Co-Founder, Chief Executive Officer and Director: </w:t>
      </w:r>
      <w:r>
        <w:rPr>
          <w:rFonts w:ascii="Arial" w:cs="Arial" w:eastAsia="Arial" w:hAnsi="Arial"/>
          <w:sz w:val="17"/>
          <w:szCs w:val="17"/>
          <w:color w:val="auto"/>
        </w:rPr>
        <w:t>Dr. Pfeifer co-founded AC Immune in April 2003, and has agreed to serve as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on our board effective upon completion of the IPO.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78" w:lineRule="exact"/>
        <w:rPr>
          <w:sz w:val="20"/>
          <w:szCs w:val="20"/>
          <w:color w:val="auto"/>
        </w:rPr>
      </w:pPr>
    </w:p>
    <w:p>
      <w:pPr>
        <w:ind w:right="140" w:firstLine="312"/>
        <w:spacing w:after="0" w:line="265" w:lineRule="auto"/>
        <w:rPr>
          <w:sz w:val="20"/>
          <w:szCs w:val="20"/>
          <w:color w:val="auto"/>
        </w:rPr>
      </w:pPr>
      <w:r>
        <w:rPr>
          <w:rFonts w:ascii="Arial" w:cs="Arial" w:eastAsia="Arial" w:hAnsi="Arial"/>
          <w:sz w:val="17"/>
          <w:szCs w:val="17"/>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École Polytechnique Fédérale de Lausanne (EPFL).</w:t>
      </w:r>
    </w:p>
    <w:p>
      <w:pPr>
        <w:spacing w:after="0" w:line="171" w:lineRule="exact"/>
        <w:rPr>
          <w:sz w:val="20"/>
          <w:szCs w:val="20"/>
          <w:color w:val="auto"/>
        </w:rPr>
      </w:pPr>
    </w:p>
    <w:p>
      <w:pPr>
        <w:ind w:right="20" w:firstLine="312"/>
        <w:spacing w:after="0" w:line="308" w:lineRule="auto"/>
        <w:rPr>
          <w:sz w:val="20"/>
          <w:szCs w:val="20"/>
          <w:color w:val="auto"/>
        </w:rPr>
      </w:pPr>
      <w:r>
        <w:rPr>
          <w:rFonts w:ascii="Arial" w:cs="Arial" w:eastAsia="Arial" w:hAnsi="Arial"/>
          <w:sz w:val="15"/>
          <w:szCs w:val="15"/>
          <w:b w:val="1"/>
          <w:bCs w:val="1"/>
          <w:color w:val="auto"/>
        </w:rPr>
        <w:t xml:space="preserve">Andreas Muhs, Ph.D., Chief Scientific Officer: </w:t>
      </w:r>
      <w:r>
        <w:rPr>
          <w:rFonts w:ascii="Arial" w:cs="Arial" w:eastAsia="Arial" w:hAnsi="Arial"/>
          <w:sz w:val="15"/>
          <w:szCs w:val="15"/>
          <w:color w:val="auto"/>
        </w:rPr>
        <w:t>Dr. Muhs has served as our Chief Scientific Officer since 2005. Prior to joining AC Immune in 2005, he was</w:t>
      </w:r>
      <w:r>
        <w:rPr>
          <w:rFonts w:ascii="Arial" w:cs="Arial" w:eastAsia="Arial" w:hAnsi="Arial"/>
          <w:sz w:val="15"/>
          <w:szCs w:val="15"/>
          <w:b w:val="1"/>
          <w:bCs w:val="1"/>
          <w:color w:val="auto"/>
        </w:rPr>
        <w:t xml:space="preserve"> </w:t>
      </w:r>
      <w:r>
        <w:rPr>
          <w:rFonts w:ascii="Arial" w:cs="Arial" w:eastAsia="Arial" w:hAnsi="Arial"/>
          <w:sz w:val="15"/>
          <w:szCs w:val="15"/>
          <w:color w:val="auto"/>
        </w:rPr>
        <w:t>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 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42" w:lineRule="exact"/>
        <w:rPr>
          <w:sz w:val="20"/>
          <w:szCs w:val="20"/>
          <w:color w:val="auto"/>
        </w:rPr>
      </w:pPr>
    </w:p>
    <w:p>
      <w:pPr>
        <w:ind w:right="20" w:firstLine="312"/>
        <w:spacing w:after="0" w:line="314" w:lineRule="auto"/>
        <w:rPr>
          <w:sz w:val="20"/>
          <w:szCs w:val="20"/>
          <w:color w:val="auto"/>
        </w:rPr>
      </w:pPr>
      <w:r>
        <w:rPr>
          <w:rFonts w:ascii="Arial" w:cs="Arial" w:eastAsia="Arial" w:hAnsi="Arial"/>
          <w:sz w:val="15"/>
          <w:szCs w:val="15"/>
          <w:b w:val="1"/>
          <w:bCs w:val="1"/>
          <w:color w:val="auto"/>
        </w:rPr>
        <w:t xml:space="preserve">Jean-Fabien Monin, Chief Administrative Officer: </w:t>
      </w:r>
      <w:r>
        <w:rPr>
          <w:rFonts w:ascii="Arial" w:cs="Arial" w:eastAsia="Arial" w:hAnsi="Arial"/>
          <w:sz w:val="15"/>
          <w:szCs w:val="15"/>
          <w:color w:val="auto"/>
        </w:rPr>
        <w:t>Mr. Monin was nominated Chief Administrative Officer in July 2015 following his role as our Chief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Financial Officer from March 2009 to July 2015. Prior to AC Immune, he held several positions during his tenure of 14 years at bioMérieux, a leading international </w:t>
      </w:r>
      <w:r>
        <w:rPr>
          <w:rFonts w:ascii="Arial" w:cs="Arial" w:eastAsia="Arial" w:hAnsi="Arial"/>
          <w:sz w:val="15"/>
          <w:szCs w:val="15"/>
          <w:i w:val="1"/>
          <w:iCs w:val="1"/>
          <w:color w:val="auto"/>
        </w:rPr>
        <w:t xml:space="preserve">in vitro </w:t>
      </w:r>
      <w:r>
        <w:rPr>
          <w:rFonts w:ascii="Arial" w:cs="Arial" w:eastAsia="Arial" w:hAnsi="Arial"/>
          <w:sz w:val="15"/>
          <w:szCs w:val="15"/>
          <w:color w:val="auto"/>
        </w:rPr>
        <w:t>diagnostics group, culminating in his nomination as Chief Financial Officer. His last position was CFO of bioMérieux Central Europe based in Vienna,</w:t>
      </w:r>
      <w:r>
        <w:rPr>
          <w:rFonts w:ascii="Arial" w:cs="Arial" w:eastAsia="Arial" w:hAnsi="Arial"/>
          <w:sz w:val="15"/>
          <w:szCs w:val="15"/>
          <w:i w:val="1"/>
          <w:iCs w:val="1"/>
          <w:color w:val="auto"/>
        </w:rPr>
        <w:t xml:space="preserve"> </w:t>
      </w:r>
      <w:r>
        <w:rPr>
          <w:rFonts w:ascii="Arial" w:cs="Arial" w:eastAsia="Arial" w:hAnsi="Arial"/>
          <w:sz w:val="15"/>
          <w:szCs w:val="15"/>
          <w:color w:val="auto"/>
        </w:rPr>
        <w:t>Austria from December 2006 to March 2009. Mr. Monin holds a Masters in Finance and International Business from the University of Paris-Dauphine, France.</w:t>
      </w:r>
    </w:p>
    <w:p>
      <w:pPr>
        <w:spacing w:after="0" w:line="138" w:lineRule="exact"/>
        <w:rPr>
          <w:sz w:val="20"/>
          <w:szCs w:val="20"/>
          <w:color w:val="auto"/>
        </w:rPr>
      </w:pPr>
    </w:p>
    <w:p>
      <w:pPr>
        <w:ind w:right="100" w:firstLine="312"/>
        <w:spacing w:after="0" w:line="274" w:lineRule="auto"/>
        <w:rPr>
          <w:sz w:val="20"/>
          <w:szCs w:val="20"/>
          <w:color w:val="auto"/>
        </w:rPr>
      </w:pPr>
      <w:r>
        <w:rPr>
          <w:rFonts w:ascii="Arial" w:cs="Arial" w:eastAsia="Arial" w:hAnsi="Arial"/>
          <w:sz w:val="17"/>
          <w:szCs w:val="17"/>
          <w:color w:val="auto"/>
        </w:rPr>
        <w:t xml:space="preserve">In addition, we announced on November 23, 2016 that we had appointed </w:t>
      </w:r>
      <w:r>
        <w:rPr>
          <w:rFonts w:ascii="Arial" w:cs="Arial" w:eastAsia="Arial" w:hAnsi="Arial"/>
          <w:sz w:val="17"/>
          <w:szCs w:val="17"/>
          <w:b w:val="1"/>
          <w:bCs w:val="1"/>
          <w:color w:val="auto"/>
        </w:rPr>
        <w:t>Mr. Joerg Hornstein as Chief Financial Officer</w:t>
      </w:r>
      <w:r>
        <w:rPr>
          <w:rFonts w:ascii="Arial" w:cs="Arial" w:eastAsia="Arial" w:hAnsi="Arial"/>
          <w:sz w:val="17"/>
          <w:szCs w:val="17"/>
          <w:color w:val="auto"/>
        </w:rPr>
        <w:t xml:space="preserve"> to replace Mr. George Pavey, who left the Company after the initial public offering. Mr. Hornstein is expected to begin his role as Chief Financial Officer on April 1, 2017. In the meantime, Mr. Monin is acting as our interim principal financial officer.</w:t>
      </w:r>
    </w:p>
    <w:p>
      <w:pPr>
        <w:spacing w:after="0" w:line="169" w:lineRule="exact"/>
        <w:rPr>
          <w:sz w:val="20"/>
          <w:szCs w:val="20"/>
          <w:color w:val="auto"/>
        </w:rPr>
      </w:pPr>
    </w:p>
    <w:p>
      <w:pPr>
        <w:ind w:right="80" w:firstLine="312"/>
        <w:spacing w:after="0" w:line="261" w:lineRule="auto"/>
        <w:rPr>
          <w:sz w:val="20"/>
          <w:szCs w:val="20"/>
          <w:color w:val="auto"/>
        </w:rPr>
      </w:pPr>
      <w:r>
        <w:rPr>
          <w:rFonts w:ascii="Arial" w:cs="Arial" w:eastAsia="Arial" w:hAnsi="Arial"/>
          <w:sz w:val="17"/>
          <w:szCs w:val="17"/>
          <w:color w:val="auto"/>
        </w:rPr>
        <w:t>Prior to joining AC Immune, Mr. Hornstein served as Senior Vice President Group Controlling for Unternehmensgruppe Theo Müller based in Luxembourg from January 2014 to March 2017. Between 2002 and 2013 he worked for Merck KGaA, a leading science and technology company in healthcare, life science and performance materials, where he held various senior finance roles. Amongst others, he was CFO for Merck’s operations in Indonesia and Merck Serono’s operations in China. Furthermore, he served as Vice President Group Controlling for Merck Group Headquarters in Germany and as Divisional CFO for Merck Millipore in the U.S. Mr. Hornstein holds an MBA with Distinction from London Business School, UK, and a Bachelor of Business Administration from Baylor University in the U.S.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608" w:right="27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t>Other Key Employees</w:t>
      </w:r>
    </w:p>
    <w:p>
      <w:pPr>
        <w:spacing w:after="0" w:line="221" w:lineRule="exact"/>
        <w:rPr>
          <w:sz w:val="20"/>
          <w:szCs w:val="20"/>
          <w:color w:val="auto"/>
        </w:rPr>
      </w:pPr>
    </w:p>
    <w:p>
      <w:pPr>
        <w:ind w:right="100" w:firstLine="312"/>
        <w:spacing w:after="0" w:line="265" w:lineRule="auto"/>
        <w:rPr>
          <w:sz w:val="20"/>
          <w:szCs w:val="20"/>
          <w:color w:val="auto"/>
        </w:rPr>
      </w:pPr>
      <w:r>
        <w:rPr>
          <w:rFonts w:ascii="Arial" w:cs="Arial" w:eastAsia="Arial" w:hAnsi="Arial"/>
          <w:sz w:val="17"/>
          <w:szCs w:val="17"/>
          <w:b w:val="1"/>
          <w:bCs w:val="1"/>
          <w:color w:val="auto"/>
        </w:rPr>
        <w:t xml:space="preserve">Wolfgang Barth, Ph.D., Director of Development: </w:t>
      </w:r>
      <w:r>
        <w:rPr>
          <w:rFonts w:ascii="Arial" w:cs="Arial" w:eastAsia="Arial" w:hAnsi="Arial"/>
          <w:sz w:val="17"/>
          <w:szCs w:val="17"/>
          <w:color w:val="auto"/>
        </w:rPr>
        <w:t>Dr. Barth has served as our Director of Development since June 2010. Prior to joining AC Immune, he</w:t>
      </w:r>
      <w:r>
        <w:rPr>
          <w:rFonts w:ascii="Arial" w:cs="Arial" w:eastAsia="Arial" w:hAnsi="Arial"/>
          <w:sz w:val="17"/>
          <w:szCs w:val="17"/>
          <w:b w:val="1"/>
          <w:bCs w:val="1"/>
          <w:color w:val="auto"/>
        </w:rPr>
        <w:t xml:space="preserve"> </w:t>
      </w:r>
      <w:r>
        <w:rPr>
          <w:rFonts w:ascii="Arial" w:cs="Arial" w:eastAsia="Arial" w:hAnsi="Arial"/>
          <w:sz w:val="17"/>
          <w:szCs w:val="17"/>
          <w:color w:val="auto"/>
        </w:rPr>
        <w:t>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69" w:lineRule="exact"/>
        <w:rPr>
          <w:sz w:val="20"/>
          <w:szCs w:val="20"/>
          <w:color w:val="auto"/>
        </w:rPr>
      </w:pPr>
    </w:p>
    <w:p>
      <w:pPr>
        <w:ind w:right="60" w:firstLine="312"/>
        <w:spacing w:after="0" w:line="282"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 January</w:t>
      </w:r>
      <w:r>
        <w:rPr>
          <w:rFonts w:ascii="Arial" w:cs="Arial" w:eastAsia="Arial" w:hAnsi="Arial"/>
          <w:sz w:val="16"/>
          <w:szCs w:val="16"/>
          <w:b w:val="1"/>
          <w:bCs w:val="1"/>
          <w:color w:val="auto"/>
        </w:rPr>
        <w:t xml:space="preserve"> </w:t>
      </w:r>
      <w:r>
        <w:rPr>
          <w:rFonts w:ascii="Arial" w:cs="Arial" w:eastAsia="Arial" w:hAnsi="Arial"/>
          <w:sz w:val="16"/>
          <w:szCs w:val="16"/>
          <w:color w:val="auto"/>
        </w:rPr>
        <w:t>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60" w:lineRule="exact"/>
        <w:rPr>
          <w:sz w:val="20"/>
          <w:szCs w:val="20"/>
          <w:color w:val="auto"/>
        </w:rPr>
      </w:pPr>
    </w:p>
    <w:p>
      <w:pPr>
        <w:ind w:right="80" w:firstLine="312"/>
        <w:spacing w:after="0" w:line="294" w:lineRule="auto"/>
        <w:rPr>
          <w:sz w:val="20"/>
          <w:szCs w:val="20"/>
          <w:color w:val="auto"/>
        </w:rPr>
      </w:pPr>
      <w:r>
        <w:rPr>
          <w:rFonts w:ascii="Arial" w:cs="Arial" w:eastAsia="Arial" w:hAnsi="Arial"/>
          <w:sz w:val="15"/>
          <w:szCs w:val="15"/>
          <w:b w:val="1"/>
          <w:bCs w:val="1"/>
          <w:color w:val="auto"/>
        </w:rPr>
        <w:t xml:space="preserve">Joseph G. Wettstein, Ph.D., Chief Scientific Officer Deputy and Department Head of non-AD Proteinopathies: </w:t>
      </w:r>
      <w:r>
        <w:rPr>
          <w:rFonts w:ascii="Arial" w:cs="Arial" w:eastAsia="Arial" w:hAnsi="Arial"/>
          <w:sz w:val="15"/>
          <w:szCs w:val="15"/>
          <w:color w:val="auto"/>
        </w:rPr>
        <w:t>Dr. Wettstein has served as our Chief</w:t>
      </w:r>
      <w:r>
        <w:rPr>
          <w:rFonts w:ascii="Arial" w:cs="Arial" w:eastAsia="Arial" w:hAnsi="Arial"/>
          <w:sz w:val="15"/>
          <w:szCs w:val="15"/>
          <w:b w:val="1"/>
          <w:bCs w:val="1"/>
          <w:color w:val="auto"/>
        </w:rPr>
        <w:t xml:space="preserve"> </w:t>
      </w:r>
      <w:r>
        <w:rPr>
          <w:rFonts w:ascii="Arial" w:cs="Arial" w:eastAsia="Arial" w:hAnsi="Arial"/>
          <w:sz w:val="15"/>
          <w:szCs w:val="15"/>
          <w:color w:val="auto"/>
        </w:rPr>
        <w:t>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6"/>
          <w:szCs w:val="16"/>
          <w:color w:val="auto"/>
        </w:rPr>
        <w:t xml:space="preserve">CNS Research at Aventis, he played a critical role in the discovery of the immunomodulatory drug teriflunomide (Aubagio </w:t>
      </w:r>
      <w:r>
        <w:rPr>
          <w:rFonts w:ascii="Arial" w:cs="Arial" w:eastAsia="Arial" w:hAnsi="Arial"/>
          <w:sz w:val="26"/>
          <w:szCs w:val="26"/>
          <w:color w:val="auto"/>
          <w:vertAlign w:val="superscript"/>
        </w:rPr>
        <w:t>®</w:t>
      </w:r>
      <w:r>
        <w:rPr>
          <w:rFonts w:ascii="Arial" w:cs="Arial" w:eastAsia="Arial" w:hAnsi="Arial"/>
          <w:sz w:val="16"/>
          <w:szCs w:val="16"/>
          <w:color w:val="auto"/>
        </w:rPr>
        <w:t>) for multiple sclerosis. Dr. Wettstein holds a Ph.D. from the College of Medicine at the University of Kentucky and was a Postdoctoral Fellow then instructor at Harvard Medical School.</w:t>
      </w:r>
    </w:p>
    <w:p>
      <w:pPr>
        <w:spacing w:after="0" w:line="190" w:lineRule="exact"/>
        <w:rPr>
          <w:sz w:val="20"/>
          <w:szCs w:val="20"/>
          <w:color w:val="auto"/>
        </w:rPr>
      </w:pPr>
    </w:p>
    <w:p>
      <w:pPr>
        <w:ind w:right="100" w:firstLine="312"/>
        <w:spacing w:after="0" w:line="261" w:lineRule="auto"/>
        <w:rPr>
          <w:sz w:val="20"/>
          <w:szCs w:val="20"/>
          <w:color w:val="auto"/>
        </w:rPr>
      </w:pPr>
      <w:r>
        <w:rPr>
          <w:rFonts w:ascii="Arial" w:cs="Arial" w:eastAsia="Arial" w:hAnsi="Arial"/>
          <w:sz w:val="17"/>
          <w:szCs w:val="17"/>
          <w:b w:val="1"/>
          <w:bCs w:val="1"/>
          <w:color w:val="auto"/>
        </w:rPr>
        <w:t>Julian Gray, M.D., Ph.D., Clinical Advisor</w:t>
      </w:r>
      <w:r>
        <w:rPr>
          <w:rFonts w:ascii="Arial" w:cs="Arial" w:eastAsia="Arial" w:hAnsi="Arial"/>
          <w:sz w:val="17"/>
          <w:szCs w:val="17"/>
          <w:color w:val="auto"/>
        </w:rPr>
        <w:t>: Dr. Gray has served as Clinical Advisor to our programs in neurodegenerative diseases since January 2007 and</w:t>
      </w:r>
      <w:r>
        <w:rPr>
          <w:rFonts w:ascii="Arial" w:cs="Arial" w:eastAsia="Arial" w:hAnsi="Arial"/>
          <w:sz w:val="17"/>
          <w:szCs w:val="17"/>
          <w:b w:val="1"/>
          <w:bCs w:val="1"/>
          <w:color w:val="auto"/>
        </w:rPr>
        <w:t xml:space="preserve"> </w:t>
      </w:r>
      <w:r>
        <w:rPr>
          <w:rFonts w:ascii="Arial" w:cs="Arial" w:eastAsia="Arial" w:hAnsi="Arial"/>
          <w:sz w:val="17"/>
          <w:szCs w:val="17"/>
          <w:color w:val="auto"/>
        </w:rPr>
        <w:t>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 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the Oxford Brookes University.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Directors</w:t>
      </w:r>
    </w:p>
    <w:p>
      <w:pPr>
        <w:spacing w:after="0" w:line="221" w:lineRule="exact"/>
        <w:rPr>
          <w:sz w:val="20"/>
          <w:szCs w:val="20"/>
          <w:color w:val="auto"/>
        </w:rPr>
      </w:pPr>
    </w:p>
    <w:p>
      <w:pPr>
        <w:ind w:right="140" w:firstLine="312"/>
        <w:spacing w:after="0" w:line="279"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 </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162"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b w:val="1"/>
          <w:bCs w:val="1"/>
          <w:color w:val="auto"/>
        </w:rPr>
        <w:t xml:space="preserve">Detlev H. Riesner, Ph.D., Director: </w:t>
      </w:r>
      <w:r>
        <w:rPr>
          <w:rFonts w:ascii="Arial" w:cs="Arial" w:eastAsia="Arial" w:hAnsi="Arial"/>
          <w:sz w:val="17"/>
          <w:szCs w:val="17"/>
          <w:color w:val="auto"/>
        </w:rPr>
        <w:t>Prof. Riesner has served on our board since 2004. He held the Chair of Biophysics at the Heinrich-Heine-University in</w:t>
      </w:r>
      <w:r>
        <w:rPr>
          <w:rFonts w:ascii="Arial" w:cs="Arial" w:eastAsia="Arial" w:hAnsi="Arial"/>
          <w:sz w:val="17"/>
          <w:szCs w:val="17"/>
          <w:b w:val="1"/>
          <w:bCs w:val="1"/>
          <w:color w:val="auto"/>
        </w:rPr>
        <w:t xml:space="preserve"> </w:t>
      </w:r>
      <w:r>
        <w:rPr>
          <w:rFonts w:ascii="Arial" w:cs="Arial" w:eastAsia="Arial" w:hAnsi="Arial"/>
          <w:sz w:val="17"/>
          <w:szCs w:val="17"/>
          <w:color w:val="auto"/>
        </w:rPr>
        <w:t>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Currently, he is the chairman of the Advisory Board of Evoxx Technologies GmbH, Monheim am Rhein.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8" w:name="page119"/>
    <w:bookmarkEnd w:id="118"/>
    <w:p>
      <w:pPr>
        <w:ind w:right="20" w:firstLine="312"/>
        <w:spacing w:after="0" w:line="265" w:lineRule="auto"/>
        <w:rPr>
          <w:sz w:val="20"/>
          <w:szCs w:val="20"/>
          <w:color w:val="auto"/>
        </w:rPr>
      </w:pPr>
      <w:r>
        <w:rPr>
          <w:rFonts w:ascii="Arial" w:cs="Arial" w:eastAsia="Arial" w:hAnsi="Arial"/>
          <w:sz w:val="17"/>
          <w:szCs w:val="17"/>
          <w:b w:val="1"/>
          <w:bCs w:val="1"/>
          <w:color w:val="auto"/>
        </w:rPr>
        <w:t xml:space="preserve">Friedrich von Bohlen und Halbach, Ph.D., Director: </w:t>
      </w:r>
      <w:r>
        <w:rPr>
          <w:rFonts w:ascii="Arial" w:cs="Arial" w:eastAsia="Arial" w:hAnsi="Arial"/>
          <w:sz w:val="17"/>
          <w:szCs w:val="17"/>
          <w:color w:val="auto"/>
        </w:rPr>
        <w:t>Dr. von Bohlen has served on our board since October 2015. He is co-founder and managing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Novaliq GmbH. He holds a PhD in Neurobiology from the Swiss Federal Institute of Technology in Zurich, Switzerland.</w:t>
      </w:r>
    </w:p>
    <w:p>
      <w:pPr>
        <w:spacing w:after="0" w:line="169" w:lineRule="exact"/>
        <w:rPr>
          <w:sz w:val="20"/>
          <w:szCs w:val="20"/>
          <w:color w:val="auto"/>
        </w:rPr>
      </w:pPr>
    </w:p>
    <w:p>
      <w:pPr>
        <w:jc w:val="both"/>
        <w:ind w:right="20" w:firstLine="312"/>
        <w:spacing w:after="0" w:line="274" w:lineRule="auto"/>
        <w:rPr>
          <w:sz w:val="20"/>
          <w:szCs w:val="20"/>
          <w:color w:val="auto"/>
        </w:rPr>
      </w:pPr>
      <w:r>
        <w:rPr>
          <w:rFonts w:ascii="Arial" w:cs="Arial" w:eastAsia="Arial" w:hAnsi="Arial"/>
          <w:sz w:val="17"/>
          <w:szCs w:val="17"/>
          <w:b w:val="1"/>
          <w:bCs w:val="1"/>
          <w:color w:val="auto"/>
        </w:rPr>
        <w:t xml:space="preserve">Peter Bollmann, Ph.D., Director: </w:t>
      </w:r>
      <w:r>
        <w:rPr>
          <w:rFonts w:ascii="Arial" w:cs="Arial" w:eastAsia="Arial" w:hAnsi="Arial"/>
          <w:sz w:val="17"/>
          <w:szCs w:val="17"/>
          <w:color w:val="auto"/>
        </w:rPr>
        <w:t>Dr. Bollmann has joined our board in December 2015. He has extensive management and finance experience in Switzerland</w:t>
      </w:r>
      <w:r>
        <w:rPr>
          <w:rFonts w:ascii="Arial" w:cs="Arial" w:eastAsia="Arial" w:hAnsi="Arial"/>
          <w:sz w:val="17"/>
          <w:szCs w:val="17"/>
          <w:b w:val="1"/>
          <w:bCs w:val="1"/>
          <w:color w:val="auto"/>
        </w:rPr>
        <w:t xml:space="preserve"> </w:t>
      </w:r>
      <w:r>
        <w:rPr>
          <w:rFonts w:ascii="Arial" w:cs="Arial" w:eastAsia="Arial" w:hAnsi="Arial"/>
          <w:sz w:val="17"/>
          <w:szCs w:val="17"/>
          <w:color w:val="auto"/>
        </w:rPr>
        <w:t>and abroad as CEO, CFO and member of the board. His broad industry experience embraces biotechnology and medical technology firms including previous Board positions with Cytos Biotechnology and Prionics.</w:t>
      </w:r>
    </w:p>
    <w:p>
      <w:pPr>
        <w:spacing w:after="0" w:line="163" w:lineRule="exact"/>
        <w:rPr>
          <w:sz w:val="20"/>
          <w:szCs w:val="20"/>
          <w:color w:val="auto"/>
        </w:rPr>
      </w:pPr>
    </w:p>
    <w:p>
      <w:pPr>
        <w:ind w:right="100" w:firstLine="312"/>
        <w:spacing w:after="0" w:line="263" w:lineRule="auto"/>
        <w:rPr>
          <w:sz w:val="20"/>
          <w:szCs w:val="20"/>
          <w:color w:val="auto"/>
        </w:rPr>
      </w:pPr>
      <w:r>
        <w:rPr>
          <w:rFonts w:ascii="Arial" w:cs="Arial" w:eastAsia="Arial" w:hAnsi="Arial"/>
          <w:sz w:val="17"/>
          <w:szCs w:val="17"/>
          <w:b w:val="1"/>
          <w:bCs w:val="1"/>
          <w:color w:val="auto"/>
        </w:rPr>
        <w:t xml:space="preserve">Thomas Graney, Director: </w:t>
      </w:r>
      <w:r>
        <w:rPr>
          <w:rFonts w:ascii="Arial" w:cs="Arial" w:eastAsia="Arial" w:hAnsi="Arial"/>
          <w:sz w:val="17"/>
          <w:szCs w:val="17"/>
          <w:color w:val="auto"/>
        </w:rPr>
        <w:t>Mr. Thomas Graney joined our board in November 2016. He has been the Chief Financial Officer and Senior Vice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&amp; Corporate Strategy at Ironwood Pharmaceuticals, Inc. since September 2014. Mr. Graney spent 20 years working with J&amp;J and its affiliates, serving for four years as worldwide Vice President of Finance and Chief Financial Officer of Ethicon. In addition, Mr. Graney has extensive global experience that spans corporate development, commercial strategy, portfolio management and supply chain management. A Chartered Financial Analyst charterholder, Mr. Graney holds a B.S. in Accounting from the University of Delaware and an M.B.A. in Marketing Finance and International Business from the Leonard N. Stern School of Business at New York University.</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 and Executive Officers</w:t>
      </w:r>
    </w:p>
    <w:p>
      <w:pPr>
        <w:spacing w:after="0" w:line="227" w:lineRule="exact"/>
        <w:rPr>
          <w:sz w:val="20"/>
          <w:szCs w:val="20"/>
          <w:color w:val="auto"/>
        </w:rPr>
      </w:pPr>
    </w:p>
    <w:p>
      <w:pPr>
        <w:ind w:right="320" w:firstLine="312"/>
        <w:spacing w:after="0" w:line="286" w:lineRule="auto"/>
        <w:rPr>
          <w:sz w:val="20"/>
          <w:szCs w:val="20"/>
          <w:color w:val="auto"/>
        </w:rPr>
      </w:pPr>
      <w:r>
        <w:rPr>
          <w:rFonts w:ascii="Arial" w:cs="Arial" w:eastAsia="Arial" w:hAnsi="Arial"/>
          <w:sz w:val="17"/>
          <w:szCs w:val="17"/>
          <w:color w:val="auto"/>
        </w:rPr>
        <w:t>For the year ended December 31, 2016, the aggregate compensation accrued or paid to the members of our board of directors and our executive officers for services in all capacities was CHF 2.3 million.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the year ended December 31, 2016, the total fair value of stock options granted to directors and executive officers was CHF 674 thousand.</w:t>
      </w:r>
    </w:p>
    <w:p>
      <w:pPr>
        <w:spacing w:after="0" w:line="2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amount set aside or accrued by us to provide pension, retirement or similar benefits to members of our board of directors or executive officers amounted to a total of CHF 154,000 in the year ended December 31, 2016.</w:t>
      </w:r>
    </w:p>
    <w:p>
      <w:pPr>
        <w:spacing w:after="0" w:line="158" w:lineRule="exact"/>
        <w:rPr>
          <w:sz w:val="20"/>
          <w:szCs w:val="20"/>
          <w:color w:val="auto"/>
        </w:rPr>
      </w:pPr>
    </w:p>
    <w:p>
      <w:pPr>
        <w:ind w:right="1060" w:firstLine="312"/>
        <w:spacing w:after="0" w:line="286" w:lineRule="auto"/>
        <w:rPr>
          <w:sz w:val="20"/>
          <w:szCs w:val="20"/>
          <w:color w:val="auto"/>
        </w:rPr>
      </w:pPr>
      <w:r>
        <w:rPr>
          <w:rFonts w:ascii="Arial" w:cs="Arial" w:eastAsia="Arial" w:hAnsi="Arial"/>
          <w:sz w:val="17"/>
          <w:szCs w:val="17"/>
          <w:color w:val="auto"/>
        </w:rPr>
        <w:t>We incorporate by reference into this Annual Report the information in “Item 1.C—2015 Board Compensation” and “Item 2.C—2015 Executive Compensation” of Exhibit 99.4 to our report on Form 6-K filed with the SEC on March 17, 2017.</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227" w:lineRule="exact"/>
        <w:rPr>
          <w:sz w:val="20"/>
          <w:szCs w:val="20"/>
          <w:color w:val="auto"/>
        </w:rPr>
      </w:pPr>
    </w:p>
    <w:p>
      <w:pPr>
        <w:ind w:right="100" w:firstLine="312"/>
        <w:spacing w:after="0" w:line="286" w:lineRule="auto"/>
        <w:rPr>
          <w:sz w:val="20"/>
          <w:szCs w:val="20"/>
          <w:color w:val="auto"/>
        </w:rPr>
      </w:pPr>
      <w:r>
        <w:rPr>
          <w:rFonts w:ascii="Arial" w:cs="Arial" w:eastAsia="Arial" w:hAnsi="Arial"/>
          <w:sz w:val="17"/>
          <w:szCs w:val="17"/>
          <w:color w:val="auto"/>
        </w:rPr>
        <w:t>We ceased issuing new grants under our existing equity incentive plans, which we refer to as the Prior Plans, and adopted a new omnibus equity incentive plan under which we have the discretion to grant a broad range of equity-based awards to eligible participants.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Prior Plans</w:t>
      </w:r>
    </w:p>
    <w:p>
      <w:pPr>
        <w:spacing w:after="0" w:line="221"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Since our inception in 2003, we have had four separate Prior Plans: Plan A, which were established in 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of December 31, 2016, there were 403,375 and 1,284,525 common shares underlying outstanding unvested options and vested options granted pursuant to our Prior Plans, respectively.</w:t>
      </w:r>
    </w:p>
    <w:p>
      <w:pPr>
        <w:spacing w:after="0" w:line="178"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Furthermore, pursuant to a board resolution on October 13, 2015 all options which were granted to directors and executive officers in connection with IPO were accelerated upon consummation of the IPO. This resulted in the acceleration of a total of 76,000 unvested options.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9" w:name="page120"/>
    <w:bookmarkEnd w:id="119"/>
    <w:p>
      <w:pPr>
        <w:ind w:firstLine="312"/>
        <w:spacing w:after="0" w:line="319"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 an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signed by the participant to indicate his or her acceptance of the option subject to the terms and conditions of the applicable Prior Plan.</w:t>
      </w:r>
    </w:p>
    <w:p>
      <w:pPr>
        <w:spacing w:after="0" w:line="135" w:lineRule="exact"/>
        <w:rPr>
          <w:sz w:val="20"/>
          <w:szCs w:val="20"/>
          <w:color w:val="auto"/>
        </w:rPr>
      </w:pPr>
    </w:p>
    <w:p>
      <w:pPr>
        <w:ind w:right="400" w:firstLine="312"/>
        <w:spacing w:after="0" w:line="356"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Under Plans A, B and C1, options were granted to our directors, employees, advisors and agents. Under Plan C2, options were granted only to</w:t>
      </w:r>
      <w:r>
        <w:rPr>
          <w:rFonts w:ascii="Arial" w:cs="Arial" w:eastAsia="Arial" w:hAnsi="Arial"/>
          <w:sz w:val="15"/>
          <w:szCs w:val="15"/>
          <w:i w:val="1"/>
          <w:iCs w:val="1"/>
          <w:color w:val="auto"/>
        </w:rPr>
        <w:t xml:space="preserve"> </w:t>
      </w:r>
      <w:r>
        <w:rPr>
          <w:rFonts w:ascii="Arial" w:cs="Arial" w:eastAsia="Arial" w:hAnsi="Arial"/>
          <w:sz w:val="15"/>
          <w:szCs w:val="15"/>
          <w:color w:val="auto"/>
        </w:rPr>
        <w:t>selected members of our board of directors. Under the Equity Incentive Plan 2013, options were granted to our director, employees, advisors and agents.</w:t>
      </w:r>
    </w:p>
    <w:p>
      <w:pPr>
        <w:spacing w:after="0" w:line="113" w:lineRule="exact"/>
        <w:rPr>
          <w:sz w:val="20"/>
          <w:szCs w:val="20"/>
          <w:color w:val="auto"/>
        </w:rPr>
      </w:pPr>
    </w:p>
    <w:p>
      <w:pPr>
        <w:jc w:val="both"/>
        <w:ind w:right="80" w:firstLine="312"/>
        <w:spacing w:after="0" w:line="295"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0.14548. The original exercise price</w:t>
      </w:r>
      <w:r>
        <w:rPr>
          <w:rFonts w:ascii="Arial" w:cs="Arial" w:eastAsia="Arial" w:hAnsi="Arial"/>
          <w:sz w:val="16"/>
          <w:szCs w:val="16"/>
          <w:i w:val="1"/>
          <w:iCs w:val="1"/>
          <w:color w:val="auto"/>
        </w:rPr>
        <w:t xml:space="preserve"> </w:t>
      </w:r>
      <w:r>
        <w:rPr>
          <w:rFonts w:ascii="Arial" w:cs="Arial" w:eastAsia="Arial" w:hAnsi="Arial"/>
          <w:sz w:val="16"/>
          <w:szCs w:val="16"/>
          <w:color w:val="auto"/>
        </w:rPr>
        <w:t>for options issued under Plan A was CHF 0.93186. However, this exercise price was amended in June 2015 with the approval of our board of directors to be CHF 0.14548. As a result, as of December 31, 2016, all options outstanding under our Prior Plans have an exercise price of CHF 0.14548.</w:t>
      </w:r>
    </w:p>
    <w:p>
      <w:pPr>
        <w:spacing w:after="0" w:line="154"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Our board of directors has the authority to amend each of the Prior Plans.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2016 Stock Option and Incentive Plan</w:t>
      </w:r>
    </w:p>
    <w:p>
      <w:pPr>
        <w:spacing w:after="0" w:line="221" w:lineRule="exact"/>
        <w:rPr>
          <w:sz w:val="20"/>
          <w:szCs w:val="20"/>
          <w:color w:val="auto"/>
        </w:rPr>
      </w:pPr>
    </w:p>
    <w:p>
      <w:pPr>
        <w:ind w:right="420" w:firstLine="624"/>
        <w:spacing w:after="0" w:line="286" w:lineRule="auto"/>
        <w:rPr>
          <w:sz w:val="20"/>
          <w:szCs w:val="20"/>
          <w:color w:val="auto"/>
        </w:rPr>
      </w:pPr>
      <w:r>
        <w:rPr>
          <w:rFonts w:ascii="Arial" w:cs="Arial" w:eastAsia="Arial" w:hAnsi="Arial"/>
          <w:sz w:val="17"/>
          <w:szCs w:val="17"/>
          <w:color w:val="auto"/>
        </w:rPr>
        <w:t>At the November 15, 2016 AGM of the Company our board of directors approved the 2016 Stock Option and Incentive Plan (the “2016 Plan”). The maximum number of shares available for issuance under the 2016 Plan is 2,057,740 common shares.</w:t>
      </w:r>
    </w:p>
    <w:p>
      <w:pPr>
        <w:spacing w:after="0" w:line="158" w:lineRule="exact"/>
        <w:rPr>
          <w:sz w:val="20"/>
          <w:szCs w:val="20"/>
          <w:color w:val="auto"/>
        </w:rPr>
      </w:pPr>
    </w:p>
    <w:p>
      <w:pPr>
        <w:ind w:right="400" w:firstLine="624"/>
        <w:spacing w:after="0" w:line="295"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2016 Plan is administered by the either our board of directors or the compensation committee, or a similar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performing the functions of the compensation committee. Approval of the plan administrator is required for all grants of awards under the 2016 Plan, but the administer may delegate to our Chief Executive Officer the authority to grant awards, subject to certain limitations set forth on the plan.</w:t>
      </w:r>
    </w:p>
    <w:p>
      <w:pPr>
        <w:spacing w:after="0" w:line="154" w:lineRule="exact"/>
        <w:rPr>
          <w:sz w:val="20"/>
          <w:szCs w:val="20"/>
          <w:color w:val="auto"/>
        </w:rPr>
      </w:pPr>
    </w:p>
    <w:p>
      <w:pPr>
        <w:ind w:right="480" w:firstLine="624"/>
        <w:spacing w:after="0" w:line="286"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Awards may be granted in the form of incentive stock options, non-qualified stock options, stock appreciation rights, 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awards, unrestricted stock awards, performance share awards and dividend equivalent rights.</w:t>
      </w:r>
    </w:p>
    <w:p>
      <w:pPr>
        <w:spacing w:after="0" w:line="158" w:lineRule="exact"/>
        <w:rPr>
          <w:sz w:val="20"/>
          <w:szCs w:val="20"/>
          <w:color w:val="auto"/>
        </w:rPr>
      </w:pPr>
    </w:p>
    <w:p>
      <w:pPr>
        <w:ind w:right="780" w:firstLine="624"/>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Under the 2016 Plan, full or part-time officers and other employees, non-employee directors and consultants of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who are selected by the administrator are eligible to participate in the plan.</w:t>
      </w:r>
    </w:p>
    <w:p>
      <w:pPr>
        <w:spacing w:after="0" w:line="158" w:lineRule="exact"/>
        <w:rPr>
          <w:sz w:val="20"/>
          <w:szCs w:val="20"/>
          <w:color w:val="auto"/>
        </w:rPr>
      </w:pPr>
    </w:p>
    <w:p>
      <w:pPr>
        <w:ind w:right="40" w:firstLine="624"/>
        <w:spacing w:after="0" w:line="270" w:lineRule="auto"/>
        <w:rPr>
          <w:sz w:val="20"/>
          <w:szCs w:val="20"/>
          <w:color w:val="auto"/>
        </w:rPr>
      </w:pPr>
      <w:r>
        <w:rPr>
          <w:rFonts w:ascii="Arial" w:cs="Arial" w:eastAsia="Arial" w:hAnsi="Arial"/>
          <w:sz w:val="17"/>
          <w:szCs w:val="17"/>
          <w:i w:val="1"/>
          <w:iCs w:val="1"/>
          <w:color w:val="auto"/>
        </w:rPr>
        <w:t xml:space="preserve">Option Exercise Price. </w:t>
      </w:r>
      <w:r>
        <w:rPr>
          <w:rFonts w:ascii="Arial" w:cs="Arial" w:eastAsia="Arial" w:hAnsi="Arial"/>
          <w:sz w:val="17"/>
          <w:szCs w:val="17"/>
          <w:color w:val="auto"/>
        </w:rPr>
        <w:t>Under the 2016 Plan, the option exercise price is determined by the plan administrator at the time of grant, but will not be less than</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(as defined in the 2016 Plan) on the grant date, and for incentive stock options granted to any employee who is a 10 percent owner in the Company, will not be less than 110 percent of the fair market value on the grant date.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 xml:space="preserve">Vesting Period.  </w:t>
      </w:r>
      <w:r>
        <w:rPr>
          <w:rFonts w:ascii="Arial" w:cs="Arial" w:eastAsia="Arial" w:hAnsi="Arial"/>
          <w:sz w:val="16"/>
          <w:szCs w:val="16"/>
          <w:color w:val="auto"/>
        </w:rPr>
        <w:t>Vesting conditions are determined by the administrator at the time of grant and are specified in the applicable award certificate.</w:t>
      </w:r>
    </w:p>
    <w:p>
      <w:pPr>
        <w:spacing w:after="0" w:line="232" w:lineRule="exact"/>
        <w:rPr>
          <w:sz w:val="20"/>
          <w:szCs w:val="20"/>
          <w:color w:val="auto"/>
        </w:rPr>
      </w:pPr>
    </w:p>
    <w:p>
      <w:pPr>
        <w:ind w:right="400" w:firstLine="624"/>
        <w:spacing w:after="0" w:line="286" w:lineRule="auto"/>
        <w:rPr>
          <w:sz w:val="20"/>
          <w:szCs w:val="20"/>
          <w:color w:val="auto"/>
        </w:rPr>
      </w:pPr>
      <w:r>
        <w:rPr>
          <w:rFonts w:ascii="Arial" w:cs="Arial" w:eastAsia="Arial" w:hAnsi="Arial"/>
          <w:sz w:val="17"/>
          <w:szCs w:val="17"/>
          <w:i w:val="1"/>
          <w:iCs w:val="1"/>
          <w:color w:val="auto"/>
        </w:rPr>
        <w:t xml:space="preserve">Accelerated Vesting. </w:t>
      </w:r>
      <w:r>
        <w:rPr>
          <w:rFonts w:ascii="Arial" w:cs="Arial" w:eastAsia="Arial" w:hAnsi="Arial"/>
          <w:sz w:val="17"/>
          <w:szCs w:val="17"/>
          <w:color w:val="auto"/>
        </w:rPr>
        <w:t>The administrator may accelerate the exercisability or vesting of all or any portion of any award in circumstances involving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grantee’s death, disability, retirement or termination of employment, or a change in control.</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Our board of directors has the authority to amend the 2016 Plan.</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9" w:right="29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221" w:lineRule="exact"/>
        <w:rPr>
          <w:sz w:val="20"/>
          <w:szCs w:val="20"/>
          <w:color w:val="auto"/>
        </w:rPr>
      </w:pPr>
    </w:p>
    <w:p>
      <w:pPr>
        <w:ind w:right="160" w:firstLine="312"/>
        <w:spacing w:after="0" w:line="287" w:lineRule="auto"/>
        <w:rPr>
          <w:sz w:val="20"/>
          <w:szCs w:val="20"/>
          <w:color w:val="auto"/>
        </w:rPr>
      </w:pPr>
      <w:r>
        <w:rPr>
          <w:rFonts w:ascii="Arial" w:cs="Arial" w:eastAsia="Arial" w:hAnsi="Arial"/>
          <w:sz w:val="16"/>
          <w:szCs w:val="16"/>
          <w:color w:val="auto"/>
        </w:rPr>
        <w:t>Since the beginning of the fiscal year ended December 31, 2016, we have granted our executive officers, in the aggregate, options for the right to acquire 98,500 shares at a price of CHF 0.14548 per share, that vest over a four year period with 25% vesting on each of July 14, 2017, July 14, 2018, July 2019, and July 14, 2020. In connection with his departure in the fourth quarter of 2016, the Chief Financial Officer forfeited his initial 2016 grant (included in the aggregate total above), and in its place was awarded 49,250 options at an exercise price of CHF 0.14548, which will expire on March 31, 2019.</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5"/>
          <w:szCs w:val="15"/>
          <w:b w:val="1"/>
          <w:bCs w:val="1"/>
          <w:color w:val="auto"/>
        </w:rPr>
        <w:t>Board practices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227" w:lineRule="exact"/>
        <w:rPr>
          <w:sz w:val="20"/>
          <w:szCs w:val="20"/>
          <w:color w:val="auto"/>
        </w:rPr>
      </w:pPr>
    </w:p>
    <w:p>
      <w:pPr>
        <w:ind w:right="80" w:firstLine="312"/>
        <w:spacing w:after="0" w:line="286" w:lineRule="auto"/>
        <w:rPr>
          <w:sz w:val="20"/>
          <w:szCs w:val="20"/>
          <w:color w:val="auto"/>
        </w:rPr>
      </w:pPr>
      <w:r>
        <w:rPr>
          <w:rFonts w:ascii="Arial" w:cs="Arial" w:eastAsia="Arial" w:hAnsi="Arial"/>
          <w:sz w:val="17"/>
          <w:szCs w:val="17"/>
          <w:color w:val="auto"/>
        </w:rPr>
        <w:t>Our board of directors is composed of six directors. Each director is elected for a one-year term. The current members of our board of directors were appointed at a shareholders’ meeting held on November 15, 2016 to serve until the 2017 shareholders’ meeting to be held in May 2017.</w:t>
      </w:r>
    </w:p>
    <w:p>
      <w:pPr>
        <w:spacing w:after="0" w:line="158" w:lineRule="exact"/>
        <w:rPr>
          <w:sz w:val="20"/>
          <w:szCs w:val="20"/>
          <w:color w:val="auto"/>
        </w:rPr>
      </w:pPr>
    </w:p>
    <w:p>
      <w:pPr>
        <w:ind w:right="300" w:firstLine="312"/>
        <w:spacing w:after="0" w:line="270" w:lineRule="auto"/>
        <w:rPr>
          <w:sz w:val="20"/>
          <w:szCs w:val="20"/>
          <w:color w:val="auto"/>
        </w:rPr>
      </w:pPr>
      <w:r>
        <w:rPr>
          <w:rFonts w:ascii="Arial" w:cs="Arial" w:eastAsia="Arial" w:hAnsi="Arial"/>
          <w:sz w:val="17"/>
          <w:szCs w:val="17"/>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w:t>
      </w:r>
    </w:p>
    <w:p>
      <w:pPr>
        <w:spacing w:after="0" w:line="227" w:lineRule="exact"/>
        <w:rPr>
          <w:sz w:val="20"/>
          <w:szCs w:val="20"/>
          <w:color w:val="auto"/>
        </w:rPr>
      </w:pPr>
    </w:p>
    <w:p>
      <w:pPr>
        <w:ind w:right="40" w:firstLine="624"/>
        <w:spacing w:after="0" w:line="270" w:lineRule="auto"/>
        <w:rPr>
          <w:sz w:val="20"/>
          <w:szCs w:val="20"/>
          <w:color w:val="auto"/>
        </w:rPr>
      </w:pPr>
      <w:r>
        <w:rPr>
          <w:rFonts w:ascii="Arial" w:cs="Arial" w:eastAsia="Arial" w:hAnsi="Arial"/>
          <w:sz w:val="17"/>
          <w:szCs w:val="17"/>
          <w:color w:val="auto"/>
        </w:rPr>
        <w:t>Our Board of Directors held in 2016 five physical meetings and several additional meetings by conference call. The Board discussed and analyzed the scientific, business, financial and organizational risks of the Company based on the external factors and internal changes impacting the risks for the Company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7"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account any applicable committee independence standards, Martin Velasco, Detlev Riesner , Friedrich von Bohlen Und Halbach, Peter Bollmann and Thomas Graney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board of directors established two separate committees: an audit and finance committee and a compensation, nomination and governance committee.</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Audit and Finance Committee</w:t>
      </w:r>
    </w:p>
    <w:p>
      <w:pPr>
        <w:spacing w:after="0" w:line="221" w:lineRule="exact"/>
        <w:rPr>
          <w:sz w:val="20"/>
          <w:szCs w:val="20"/>
          <w:color w:val="auto"/>
        </w:rPr>
      </w:pPr>
    </w:p>
    <w:p>
      <w:pPr>
        <w:ind w:firstLine="312"/>
        <w:spacing w:after="0" w:line="280" w:lineRule="auto"/>
        <w:rPr>
          <w:sz w:val="20"/>
          <w:szCs w:val="20"/>
          <w:color w:val="auto"/>
        </w:rPr>
      </w:pPr>
      <w:r>
        <w:rPr>
          <w:rFonts w:ascii="Arial" w:cs="Arial" w:eastAsia="Arial" w:hAnsi="Arial"/>
          <w:sz w:val="16"/>
          <w:szCs w:val="16"/>
          <w:color w:val="auto"/>
        </w:rPr>
        <w:t>The audit and finance committee, which consists of Peter Bollmann, Thomas Graney and Martin Velasco, assists our board of directors in overseeing our accounting and financial reporting processes and the audits of our financial statements. In addition, the audit and finance committee is directly responsible for the appointment, compensation, retention and oversight of the work of our independent registered public accounting firm. Peter Bollmann serves as Chairman of the committee. The audit and finance committee consists exclusively of members of our supervisory board who are financially literate, and Peter Bollmann and Thomas Graney are considered to be “audit committee financial experts” as defined by the SEC. Our board of directors has determined that Peter Bollmann, Thomas Graney and Martin Velasco satisfy the “independence” requirements set forth in Rule 10A-3 under the Exchange Act.</w:t>
      </w:r>
    </w:p>
    <w:p>
      <w:pPr>
        <w:spacing w:after="0" w:line="169" w:lineRule="exact"/>
        <w:rPr>
          <w:sz w:val="20"/>
          <w:szCs w:val="20"/>
          <w:color w:val="auto"/>
        </w:rPr>
      </w:pPr>
    </w:p>
    <w:p>
      <w:pPr>
        <w:ind w:right="20" w:firstLine="312"/>
        <w:spacing w:after="0" w:line="286" w:lineRule="auto"/>
        <w:rPr>
          <w:sz w:val="20"/>
          <w:szCs w:val="20"/>
          <w:color w:val="auto"/>
        </w:rPr>
      </w:pPr>
      <w:r>
        <w:rPr>
          <w:rFonts w:ascii="Arial" w:cs="Arial" w:eastAsia="Arial" w:hAnsi="Arial"/>
          <w:sz w:val="17"/>
          <w:szCs w:val="17"/>
          <w:color w:val="auto"/>
        </w:rPr>
        <w:t>The audit and finance committee is governed by a charter that complies with NASDAQ rules. The audit and finance committee has the responsibility to, among other things: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21" w:name="page122"/>
    <w:bookmarkEnd w:id="121"/>
    <w:p>
      <w:pPr>
        <w:ind w:left="620" w:hanging="304"/>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 and assess the qualifications, independence, performance and effectiveness of the independent auditor;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220" w:lineRule="exact"/>
        <w:rPr>
          <w:rFonts w:ascii="Arial" w:cs="Arial" w:eastAsia="Arial" w:hAnsi="Arial"/>
          <w:sz w:val="17"/>
          <w:szCs w:val="17"/>
          <w:color w:val="auto"/>
        </w:rPr>
      </w:pPr>
    </w:p>
    <w:p>
      <w:pPr>
        <w:ind w:left="620" w:right="660" w:hanging="304"/>
        <w:spacing w:after="0" w:line="286" w:lineRule="auto"/>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be responsible for the resolution of disagreements between the management and the independent auditor;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 and evaluate the lead audit partner of the independent audit team and confirm and evaluate their rotation;</w:t>
      </w:r>
    </w:p>
    <w:p>
      <w:pPr>
        <w:spacing w:after="0" w:line="220" w:lineRule="exact"/>
        <w:rPr>
          <w:rFonts w:ascii="Arial" w:cs="Arial" w:eastAsia="Arial" w:hAnsi="Arial"/>
          <w:sz w:val="17"/>
          <w:szCs w:val="17"/>
          <w:color w:val="auto"/>
        </w:rPr>
      </w:pPr>
    </w:p>
    <w:p>
      <w:pPr>
        <w:ind w:left="620" w:right="220" w:hanging="304"/>
        <w:spacing w:after="0" w:line="265" w:lineRule="auto"/>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 (ii)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177" w:lineRule="exact"/>
        <w:rPr>
          <w:rFonts w:ascii="Arial" w:cs="Arial" w:eastAsia="Arial" w:hAnsi="Arial"/>
          <w:sz w:val="17"/>
          <w:szCs w:val="17"/>
          <w:color w:val="auto"/>
        </w:rPr>
      </w:pPr>
    </w:p>
    <w:p>
      <w:pPr>
        <w:ind w:left="620" w:right="280" w:hanging="304"/>
        <w:spacing w:after="0" w:line="287" w:lineRule="auto"/>
        <w:tabs>
          <w:tab w:leader="none" w:pos="6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160" w:lineRule="exact"/>
        <w:rPr>
          <w:rFonts w:ascii="Arial" w:cs="Arial" w:eastAsia="Arial" w:hAnsi="Arial"/>
          <w:sz w:val="16"/>
          <w:szCs w:val="16"/>
          <w:color w:val="auto"/>
        </w:rPr>
      </w:pPr>
    </w:p>
    <w:p>
      <w:pPr>
        <w:ind w:left="620" w:hanging="304"/>
        <w:spacing w:after="0"/>
        <w:tabs>
          <w:tab w:leader="none" w:pos="6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 and approve our quarterly financial statements for the first three quarters of each calendar year and the corresponding financial results releases;</w:t>
      </w:r>
    </w:p>
    <w:p>
      <w:pPr>
        <w:spacing w:after="0" w:line="232" w:lineRule="exact"/>
        <w:rPr>
          <w:rFonts w:ascii="Arial" w:cs="Arial" w:eastAsia="Arial" w:hAnsi="Arial"/>
          <w:sz w:val="16"/>
          <w:szCs w:val="16"/>
          <w:color w:val="auto"/>
        </w:rPr>
      </w:pPr>
    </w:p>
    <w:p>
      <w:pPr>
        <w:ind w:left="620" w:right="60" w:hanging="304"/>
        <w:spacing w:after="0" w:line="286" w:lineRule="auto"/>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 in cooperation with the independent auditor and the management whether the accounting principles applied are appropriate in view of our size and complexity;</w:t>
      </w:r>
    </w:p>
    <w:p>
      <w:pPr>
        <w:spacing w:after="0" w:line="158" w:lineRule="exact"/>
        <w:rPr>
          <w:rFonts w:ascii="Arial" w:cs="Arial" w:eastAsia="Arial" w:hAnsi="Arial"/>
          <w:sz w:val="17"/>
          <w:szCs w:val="17"/>
          <w:color w:val="auto"/>
        </w:rPr>
      </w:pPr>
    </w:p>
    <w:p>
      <w:pPr>
        <w:ind w:left="620" w:hanging="304"/>
        <w:spacing w:after="0" w:line="286" w:lineRule="auto"/>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158" w:lineRule="exact"/>
        <w:rPr>
          <w:rFonts w:ascii="Arial" w:cs="Arial" w:eastAsia="Arial" w:hAnsi="Arial"/>
          <w:sz w:val="17"/>
          <w:szCs w:val="17"/>
          <w:color w:val="auto"/>
        </w:rPr>
      </w:pPr>
    </w:p>
    <w:p>
      <w:pPr>
        <w:ind w:left="620" w:right="120" w:hanging="304"/>
        <w:spacing w:after="0" w:line="286" w:lineRule="auto"/>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158" w:lineRule="exact"/>
        <w:rPr>
          <w:rFonts w:ascii="Arial" w:cs="Arial" w:eastAsia="Arial" w:hAnsi="Arial"/>
          <w:sz w:val="17"/>
          <w:szCs w:val="17"/>
          <w:color w:val="auto"/>
        </w:rPr>
      </w:pPr>
    </w:p>
    <w:p>
      <w:pPr>
        <w:ind w:left="620" w:right="520" w:hanging="304"/>
        <w:spacing w:after="0" w:line="286" w:lineRule="auto"/>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158" w:lineRule="exact"/>
        <w:rPr>
          <w:rFonts w:ascii="Arial" w:cs="Arial" w:eastAsia="Arial" w:hAnsi="Arial"/>
          <w:sz w:val="17"/>
          <w:szCs w:val="17"/>
          <w:color w:val="auto"/>
        </w:rPr>
      </w:pPr>
    </w:p>
    <w:p>
      <w:pPr>
        <w:ind w:left="620" w:right="60" w:hanging="304"/>
        <w:spacing w:after="0" w:line="319" w:lineRule="auto"/>
        <w:tabs>
          <w:tab w:leader="none" w:pos="6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135" w:lineRule="exact"/>
        <w:rPr>
          <w:rFonts w:ascii="Arial" w:cs="Arial" w:eastAsia="Arial" w:hAnsi="Arial"/>
          <w:sz w:val="16"/>
          <w:szCs w:val="16"/>
          <w:color w:val="auto"/>
        </w:rPr>
      </w:pPr>
    </w:p>
    <w:p>
      <w:pPr>
        <w:ind w:left="620" w:hanging="304"/>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recommend to the board whether to approve and ratify any related person transaction in accordance with our related person transaction policy.</w:t>
      </w:r>
    </w:p>
    <w:p>
      <w:pPr>
        <w:spacing w:after="0" w:line="221" w:lineRule="exact"/>
        <w:rPr>
          <w:sz w:val="20"/>
          <w:szCs w:val="20"/>
          <w:color w:val="auto"/>
        </w:rPr>
      </w:pPr>
    </w:p>
    <w:p>
      <w:pPr>
        <w:ind w:right="40" w:firstLine="312"/>
        <w:spacing w:after="0" w:line="286" w:lineRule="auto"/>
        <w:rPr>
          <w:sz w:val="20"/>
          <w:szCs w:val="20"/>
          <w:color w:val="auto"/>
        </w:rPr>
      </w:pPr>
      <w:r>
        <w:rPr>
          <w:rFonts w:ascii="Arial" w:cs="Arial" w:eastAsia="Arial" w:hAnsi="Arial"/>
          <w:sz w:val="17"/>
          <w:szCs w:val="17"/>
          <w:color w:val="auto"/>
        </w:rPr>
        <w:t>The audit and finance committee will meet as often as it determines is appropriate to carry out its responsibilities, but in any event will meet at least four times per year.</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9" w:right="299" w:bottom="1440" w:gutter="0" w:footer="0" w:header="0"/>
        </w:sectPr>
      </w:pPr>
    </w:p>
    <w:bookmarkStart w:id="122" w:name="page123"/>
    <w:bookmarkEnd w:id="122"/>
    <w:p>
      <w:pPr>
        <w:ind w:left="160"/>
        <w:spacing w:after="0"/>
        <w:rPr>
          <w:sz w:val="20"/>
          <w:szCs w:val="20"/>
          <w:color w:val="auto"/>
        </w:rPr>
      </w:pPr>
      <w:r>
        <w:rPr>
          <w:rFonts w:ascii="Arial" w:cs="Arial" w:eastAsia="Arial" w:hAnsi="Arial"/>
          <w:sz w:val="17"/>
          <w:szCs w:val="17"/>
          <w:b w:val="1"/>
          <w:bCs w:val="1"/>
          <w:i w:val="1"/>
          <w:iCs w:val="1"/>
          <w:color w:val="auto"/>
        </w:rPr>
        <w:t>Compensation, Nomination and Governance Committee</w:t>
      </w:r>
    </w:p>
    <w:p>
      <w:pPr>
        <w:spacing w:after="0" w:line="221" w:lineRule="exact"/>
        <w:rPr>
          <w:sz w:val="20"/>
          <w:szCs w:val="20"/>
          <w:color w:val="auto"/>
        </w:rPr>
      </w:pPr>
    </w:p>
    <w:p>
      <w:pPr>
        <w:ind w:right="80" w:firstLine="312"/>
        <w:spacing w:after="0" w:line="259" w:lineRule="auto"/>
        <w:rPr>
          <w:sz w:val="20"/>
          <w:szCs w:val="20"/>
          <w:color w:val="auto"/>
        </w:rPr>
      </w:pPr>
      <w:r>
        <w:rPr>
          <w:rFonts w:ascii="Arial" w:cs="Arial" w:eastAsia="Arial" w:hAnsi="Arial"/>
          <w:sz w:val="17"/>
          <w:szCs w:val="17"/>
          <w:color w:val="auto"/>
        </w:rPr>
        <w:t>The compensation, nomination and governance committee, consists of Detlev Riesner (chair), Martin Velasco and Thomas Graney and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83"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In addition, this committee will also be responsible for director and board committee nominations as well as reviewing and amending, if required, our corporate governance framework and guidelines.</w:t>
      </w:r>
    </w:p>
    <w:p>
      <w:pPr>
        <w:spacing w:after="0" w:line="15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7" w:lineRule="exact"/>
        <w:rPr>
          <w:sz w:val="20"/>
          <w:szCs w:val="20"/>
          <w:color w:val="auto"/>
        </w:rPr>
      </w:pPr>
    </w:p>
    <w:p>
      <w:pPr>
        <w:ind w:right="100" w:firstLine="312"/>
        <w:spacing w:after="0" w:line="265" w:lineRule="auto"/>
        <w:rPr>
          <w:sz w:val="20"/>
          <w:szCs w:val="20"/>
          <w:color w:val="auto"/>
        </w:rPr>
      </w:pPr>
      <w:r>
        <w:rPr>
          <w:rFonts w:ascii="Arial" w:cs="Arial" w:eastAsia="Arial" w:hAnsi="Arial"/>
          <w:sz w:val="17"/>
          <w:szCs w:val="17"/>
          <w:color w:val="auto"/>
        </w:rPr>
        <w:t>As of December 31, 2016, we employed 67 employees, 10 of whom were part-time employees. 42 of our employees hold Ph.D. degrees and 21 hold M.Sc. degrees. Our 67 employees are from over 20 countries. The average number of employees (calculated on full time equivalents) in 2016 was 58. We have never had a work stoppage, and none of our employees are represented by a labor organization or under any collective-bargaining arrangements. We consider our employee relations to be good.</w:t>
      </w:r>
    </w:p>
    <w:p>
      <w:pPr>
        <w:spacing w:after="0" w:line="171" w:lineRule="exact"/>
        <w:rPr>
          <w:sz w:val="20"/>
          <w:szCs w:val="20"/>
          <w:color w:val="auto"/>
        </w:rPr>
      </w:pPr>
    </w:p>
    <w:p>
      <w:pPr>
        <w:ind w:left="320" w:hanging="316"/>
        <w:spacing w:after="0"/>
        <w:tabs>
          <w:tab w:leader="none" w:pos="32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Share ownership</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See “Item 7. Major Shareholders and Related Party Transactions-A. Major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MAJOR SHAREHOLDERS AND RELATED PARTY TRANSACTIONS</w:t>
      </w:r>
    </w:p>
    <w:p>
      <w:pPr>
        <w:spacing w:after="0" w:line="221" w:lineRule="exact"/>
        <w:rPr>
          <w:sz w:val="20"/>
          <w:szCs w:val="20"/>
          <w:color w:val="auto"/>
        </w:rPr>
      </w:pPr>
    </w:p>
    <w:p>
      <w:pPr>
        <w:ind w:left="320" w:hanging="316"/>
        <w:spacing w:after="0"/>
        <w:tabs>
          <w:tab w:leader="none" w:pos="32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Major shareholders</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information relating to the beneficial ownership of our common shares as of the date of this Annual Report by:</w:t>
      </w:r>
    </w:p>
    <w:p>
      <w:pPr>
        <w:spacing w:after="0" w:line="220" w:lineRule="exact"/>
        <w:rPr>
          <w:rFonts w:ascii="Arial" w:cs="Arial" w:eastAsia="Arial" w:hAnsi="Arial"/>
          <w:sz w:val="17"/>
          <w:szCs w:val="17"/>
          <w:b w:val="1"/>
          <w:bCs w:val="1"/>
          <w:color w:val="auto"/>
        </w:rPr>
      </w:pPr>
    </w:p>
    <w:p>
      <w:pPr>
        <w:ind w:left="620" w:hanging="304"/>
        <w:spacing w:after="0"/>
        <w:tabs>
          <w:tab w:leader="none" w:pos="6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own beneficially 5% or more of our outstanding common shares;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each of our executive officers and directors;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executive officers and directors as a group.</w:t>
      </w:r>
    </w:p>
    <w:p>
      <w:pPr>
        <w:spacing w:after="0" w:line="221" w:lineRule="exact"/>
        <w:rPr>
          <w:sz w:val="20"/>
          <w:szCs w:val="20"/>
          <w:color w:val="auto"/>
        </w:rPr>
      </w:pPr>
    </w:p>
    <w:p>
      <w:pPr>
        <w:ind w:right="20" w:firstLine="312"/>
        <w:spacing w:after="0" w:line="283"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 2017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64" w:lineRule="exact"/>
        <w:rPr>
          <w:sz w:val="20"/>
          <w:szCs w:val="20"/>
          <w:color w:val="auto"/>
        </w:rPr>
      </w:pPr>
    </w:p>
    <w:p>
      <w:pPr>
        <w:ind w:right="40" w:firstLine="312"/>
        <w:spacing w:after="0" w:line="263" w:lineRule="auto"/>
        <w:rPr>
          <w:sz w:val="20"/>
          <w:szCs w:val="20"/>
          <w:color w:val="auto"/>
        </w:rPr>
      </w:pPr>
      <w:r>
        <w:rPr>
          <w:rFonts w:ascii="Arial" w:cs="Arial" w:eastAsia="Arial" w:hAnsi="Arial"/>
          <w:sz w:val="17"/>
          <w:szCs w:val="17"/>
          <w:color w:val="auto"/>
        </w:rPr>
        <w:t>The percentage of outstanding common shares is computed on the basis of 56,922,242 common shares outstanding as of March 1, 2017. Common shares that a person has the right to acquire within 60 days of March 1, 2017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7"/>
                <w:szCs w:val="17"/>
                <w:b w:val="1"/>
                <w:bCs w:val="1"/>
                <w:color w:val="auto"/>
                <w:w w:val="99"/>
              </w:rPr>
              <w:t>Shares Beneficially Owned</w:t>
            </w:r>
          </w:p>
        </w:tc>
      </w:tr>
      <w:tr>
        <w:trPr>
          <w:trHeight w:val="214"/>
        </w:trPr>
        <w:tc>
          <w:tcPr>
            <w:tcW w:w="20" w:type="dxa"/>
            <w:vAlign w:val="bottom"/>
          </w:tcPr>
          <w:p>
            <w:pPr>
              <w:spacing w:after="0"/>
              <w:rPr>
                <w:sz w:val="18"/>
                <w:szCs w:val="18"/>
                <w:color w:val="auto"/>
              </w:rPr>
            </w:pPr>
          </w:p>
        </w:tc>
        <w:tc>
          <w:tcPr>
            <w:tcW w:w="9020" w:type="dxa"/>
            <w:vAlign w:val="bottom"/>
            <w:gridSpan w:val="2"/>
          </w:tcPr>
          <w:p>
            <w:pPr>
              <w:ind w:left="3980"/>
              <w:spacing w:after="0"/>
              <w:rPr>
                <w:sz w:val="20"/>
                <w:szCs w:val="20"/>
                <w:color w:val="auto"/>
              </w:rPr>
            </w:pPr>
            <w:r>
              <w:rPr>
                <w:rFonts w:ascii="Arial" w:cs="Arial" w:eastAsia="Arial" w:hAnsi="Arial"/>
                <w:sz w:val="17"/>
                <w:szCs w:val="17"/>
                <w:b w:val="1"/>
                <w:bCs w:val="1"/>
                <w:color w:val="auto"/>
              </w:rPr>
              <w:t>Shareholder</w:t>
            </w:r>
          </w:p>
        </w:tc>
        <w:tc>
          <w:tcPr>
            <w:tcW w:w="1220" w:type="dxa"/>
            <w:vAlign w:val="bottom"/>
            <w:gridSpan w:val="2"/>
          </w:tcPr>
          <w:p>
            <w:pPr>
              <w:ind w:left="240"/>
              <w:spacing w:after="0"/>
              <w:rPr>
                <w:sz w:val="20"/>
                <w:szCs w:val="20"/>
                <w:color w:val="auto"/>
              </w:rPr>
            </w:pPr>
            <w:r>
              <w:rPr>
                <w:rFonts w:ascii="Arial" w:cs="Arial" w:eastAsia="Arial" w:hAnsi="Arial"/>
                <w:sz w:val="17"/>
                <w:szCs w:val="17"/>
                <w:b w:val="1"/>
                <w:bCs w:val="1"/>
                <w:color w:val="auto"/>
              </w:rPr>
              <w:t>Number</w:t>
            </w:r>
          </w:p>
        </w:tc>
        <w:tc>
          <w:tcPr>
            <w:tcW w:w="1160" w:type="dxa"/>
            <w:vAlign w:val="bottom"/>
          </w:tcPr>
          <w:p>
            <w:pPr>
              <w:jc w:val="right"/>
              <w:ind w:right="213"/>
              <w:spacing w:after="0"/>
              <w:rPr>
                <w:sz w:val="20"/>
                <w:szCs w:val="20"/>
                <w:color w:val="auto"/>
              </w:rPr>
            </w:pPr>
            <w:r>
              <w:rPr>
                <w:rFonts w:ascii="Arial" w:cs="Arial" w:eastAsia="Arial" w:hAnsi="Arial"/>
                <w:sz w:val="17"/>
                <w:szCs w:val="17"/>
                <w:b w:val="1"/>
                <w:bCs w:val="1"/>
                <w:color w:val="auto"/>
              </w:rPr>
              <w:t>Percent</w:t>
            </w:r>
          </w:p>
        </w:tc>
      </w:tr>
      <w:tr>
        <w:trPr>
          <w:trHeight w:val="201"/>
        </w:trPr>
        <w:tc>
          <w:tcPr>
            <w:tcW w:w="20" w:type="dxa"/>
            <w:vAlign w:val="bottom"/>
          </w:tcPr>
          <w:p>
            <w:pPr>
              <w:spacing w:after="0"/>
              <w:rPr>
                <w:sz w:val="17"/>
                <w:szCs w:val="17"/>
                <w:color w:val="auto"/>
              </w:rPr>
            </w:pPr>
          </w:p>
        </w:tc>
        <w:tc>
          <w:tcPr>
            <w:tcW w:w="89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5% Shareholders</w:t>
            </w: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902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dievini Hopp BioTech holding GmbH &amp; Co KG(1)</w:t>
            </w:r>
          </w:p>
        </w:tc>
        <w:tc>
          <w:tcPr>
            <w:tcW w:w="110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18,041,000</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31.7%</w:t>
            </w:r>
          </w:p>
        </w:tc>
      </w:tr>
      <w:tr>
        <w:trPr>
          <w:trHeight w:val="208"/>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7"/>
                <w:szCs w:val="17"/>
                <w:color w:val="auto"/>
              </w:rPr>
              <w:t>Varuma AG(2)</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11,400,000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208"/>
        </w:trPr>
        <w:tc>
          <w:tcPr>
            <w:tcW w:w="20" w:type="dxa"/>
            <w:vAlign w:val="bottom"/>
          </w:tcPr>
          <w:p>
            <w:pPr>
              <w:spacing w:after="0"/>
              <w:rPr>
                <w:sz w:val="18"/>
                <w:szCs w:val="18"/>
                <w:color w:val="auto"/>
              </w:rPr>
            </w:pPr>
          </w:p>
        </w:tc>
        <w:tc>
          <w:tcPr>
            <w:tcW w:w="9020" w:type="dxa"/>
            <w:vAlign w:val="bottom"/>
            <w:gridSpan w:val="2"/>
            <w:shd w:val="clear" w:color="auto" w:fill="D5EAEA"/>
          </w:tcPr>
          <w:p>
            <w:pPr>
              <w:spacing w:after="0"/>
              <w:rPr>
                <w:sz w:val="20"/>
                <w:szCs w:val="20"/>
                <w:color w:val="auto"/>
              </w:rPr>
            </w:pPr>
            <w:r>
              <w:rPr>
                <w:rFonts w:ascii="Arial" w:cs="Arial" w:eastAsia="Arial" w:hAnsi="Arial"/>
                <w:sz w:val="17"/>
                <w:szCs w:val="17"/>
                <w:b w:val="1"/>
                <w:bCs w:val="1"/>
                <w:color w:val="auto"/>
              </w:rPr>
              <w:t>Executive Officers and Directors</w:t>
            </w: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7"/>
                <w:szCs w:val="17"/>
                <w:color w:val="auto"/>
              </w:rPr>
              <w:t>Andrea Pfeifer(3)</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3,076,500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08"/>
        </w:trPr>
        <w:tc>
          <w:tcPr>
            <w:tcW w:w="20" w:type="dxa"/>
            <w:vAlign w:val="bottom"/>
          </w:tcPr>
          <w:p>
            <w:pPr>
              <w:spacing w:after="0"/>
              <w:rPr>
                <w:sz w:val="18"/>
                <w:szCs w:val="18"/>
                <w:color w:val="auto"/>
              </w:rPr>
            </w:pPr>
          </w:p>
        </w:tc>
        <w:tc>
          <w:tcPr>
            <w:tcW w:w="902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Andreas Muhs(4)</w:t>
            </w:r>
          </w:p>
        </w:tc>
        <w:tc>
          <w:tcPr>
            <w:tcW w:w="110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898,500</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1.6%</w:t>
            </w:r>
          </w:p>
        </w:tc>
      </w:tr>
      <w:tr>
        <w:trPr>
          <w:trHeight w:val="208"/>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7"/>
                <w:szCs w:val="17"/>
                <w:color w:val="auto"/>
              </w:rPr>
              <w:t>Jean-Fabien Monin(5)</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w:t>
            </w:r>
          </w:p>
        </w:tc>
      </w:tr>
      <w:tr>
        <w:trPr>
          <w:trHeight w:val="208"/>
        </w:trPr>
        <w:tc>
          <w:tcPr>
            <w:tcW w:w="20" w:type="dxa"/>
            <w:vAlign w:val="bottom"/>
          </w:tcPr>
          <w:p>
            <w:pPr>
              <w:spacing w:after="0"/>
              <w:rPr>
                <w:sz w:val="18"/>
                <w:szCs w:val="18"/>
                <w:color w:val="auto"/>
              </w:rPr>
            </w:pPr>
          </w:p>
        </w:tc>
        <w:tc>
          <w:tcPr>
            <w:tcW w:w="902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Martin Velasco(6)</w:t>
            </w:r>
          </w:p>
        </w:tc>
        <w:tc>
          <w:tcPr>
            <w:tcW w:w="110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974,750</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1.7%</w:t>
            </w:r>
          </w:p>
        </w:tc>
      </w:tr>
      <w:tr>
        <w:trPr>
          <w:trHeight w:val="208"/>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7"/>
                <w:szCs w:val="17"/>
                <w:color w:val="auto"/>
              </w:rPr>
              <w:t>Detlev Riesner(7)</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769,000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8"/>
        </w:trPr>
        <w:tc>
          <w:tcPr>
            <w:tcW w:w="20" w:type="dxa"/>
            <w:vAlign w:val="bottom"/>
          </w:tcPr>
          <w:p>
            <w:pPr>
              <w:spacing w:after="0"/>
              <w:rPr>
                <w:sz w:val="18"/>
                <w:szCs w:val="18"/>
                <w:color w:val="auto"/>
              </w:rPr>
            </w:pPr>
          </w:p>
        </w:tc>
        <w:tc>
          <w:tcPr>
            <w:tcW w:w="902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Friedrich von Bohlen und Halbach(8)</w:t>
            </w:r>
          </w:p>
        </w:tc>
        <w:tc>
          <w:tcPr>
            <w:tcW w:w="110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73"/>
              <w:spacing w:after="0"/>
              <w:rPr>
                <w:sz w:val="20"/>
                <w:szCs w:val="20"/>
                <w:color w:val="auto"/>
              </w:rPr>
            </w:pPr>
            <w:r>
              <w:rPr>
                <w:rFonts w:ascii="Arial" w:cs="Arial" w:eastAsia="Arial" w:hAnsi="Arial"/>
                <w:sz w:val="17"/>
                <w:szCs w:val="17"/>
                <w:color w:val="auto"/>
              </w:rPr>
              <w:t>*</w:t>
            </w:r>
          </w:p>
        </w:tc>
      </w:tr>
      <w:tr>
        <w:trPr>
          <w:trHeight w:val="208"/>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7"/>
                <w:szCs w:val="17"/>
                <w:color w:val="auto"/>
              </w:rPr>
              <w:t>Peter Bollmann</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w:t>
            </w:r>
          </w:p>
        </w:tc>
      </w:tr>
      <w:tr>
        <w:trPr>
          <w:trHeight w:val="208"/>
        </w:trPr>
        <w:tc>
          <w:tcPr>
            <w:tcW w:w="20" w:type="dxa"/>
            <w:vAlign w:val="bottom"/>
          </w:tcPr>
          <w:p>
            <w:pPr>
              <w:spacing w:after="0"/>
              <w:rPr>
                <w:sz w:val="18"/>
                <w:szCs w:val="18"/>
                <w:color w:val="auto"/>
              </w:rPr>
            </w:pPr>
          </w:p>
        </w:tc>
        <w:tc>
          <w:tcPr>
            <w:tcW w:w="902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Thomas Graney</w:t>
            </w:r>
          </w:p>
        </w:tc>
        <w:tc>
          <w:tcPr>
            <w:tcW w:w="110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73"/>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7"/>
                <w:szCs w:val="17"/>
                <w:color w:val="auto"/>
              </w:rPr>
              <w:t>All executive officers and directors as a group (8 persons)</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6,125,000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28905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052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Indicates beneficial ownership of less than 1% of the total issued and outstanding common shares.</w:t>
      </w:r>
    </w:p>
    <w:p>
      <w:pPr>
        <w:spacing w:after="0" w:line="220" w:lineRule="exact"/>
        <w:rPr>
          <w:sz w:val="20"/>
          <w:szCs w:val="20"/>
          <w:color w:val="auto"/>
        </w:rPr>
      </w:pPr>
    </w:p>
    <w:p>
      <w:pPr>
        <w:ind w:left="320" w:right="60" w:hanging="316"/>
        <w:spacing w:after="0" w:line="263" w:lineRule="auto"/>
        <w:tabs>
          <w:tab w:leader="none" w:pos="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Represents 18,041,000 shares held by dievini Hopp BioTech holding CmbH &amp; Co KG. Dietmar Hopp controls the voting and investment decisions of the ultimate parent company of dievini Hopp BioTech holding CmbH &amp; Co KG. The shares registered in the name of dievini Hopp BioTech holding CmbH &amp; Co KG may also be deemed to be beneficially owned by Friedrich von Bohlen und Halbach and Matthias Hothum, each of whom is a managing director of dievini Hopp BioTech holding CmbH &amp; Co KG. The address for dievini Hopp BioTech holding CmbH &amp; Co KG, Friedrich von Bohlen und Halbach and Matthias Hothum is Johann-Jakob-Astor Str. 57, 69190 Walldorf, Germany.</w:t>
      </w:r>
    </w:p>
    <w:p>
      <w:pPr>
        <w:spacing w:after="0" w:line="177" w:lineRule="exact"/>
        <w:rPr>
          <w:rFonts w:ascii="Arial" w:cs="Arial" w:eastAsia="Arial" w:hAnsi="Arial"/>
          <w:sz w:val="17"/>
          <w:szCs w:val="17"/>
          <w:color w:val="auto"/>
        </w:rPr>
      </w:pPr>
    </w:p>
    <w:p>
      <w:pPr>
        <w:ind w:left="320" w:hanging="316"/>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address for Varuma AG is Aeschenvorstadt 55, CH-4051 Basel, Switzerland. Rudolf Maag controls the voting and investment decisions of Varuma AG.</w:t>
      </w:r>
    </w:p>
    <w:p>
      <w:pPr>
        <w:spacing w:after="0" w:line="232" w:lineRule="exact"/>
        <w:rPr>
          <w:rFonts w:ascii="Arial" w:cs="Arial" w:eastAsia="Arial" w:hAnsi="Arial"/>
          <w:sz w:val="16"/>
          <w:szCs w:val="16"/>
          <w:color w:val="auto"/>
        </w:rPr>
      </w:pPr>
    </w:p>
    <w:p>
      <w:pPr>
        <w:ind w:left="320" w:hanging="316"/>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2,908,500 of our common shares and options to purchase 168,000 of our common shares exercisable within 60 days of December 31, 2016.</w:t>
      </w:r>
    </w:p>
    <w:p>
      <w:pPr>
        <w:spacing w:after="0" w:line="232" w:lineRule="exact"/>
        <w:rPr>
          <w:rFonts w:ascii="Arial" w:cs="Arial" w:eastAsia="Arial" w:hAnsi="Arial"/>
          <w:sz w:val="16"/>
          <w:szCs w:val="16"/>
          <w:color w:val="auto"/>
        </w:rPr>
      </w:pPr>
    </w:p>
    <w:p>
      <w:pPr>
        <w:ind w:left="320" w:hanging="316"/>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581,750 of our common shares and options to purchase 316,750 of our common shares exercisable within 60 days of December 31, 2016.</w:t>
      </w:r>
    </w:p>
    <w:p>
      <w:pPr>
        <w:spacing w:after="0" w:line="232" w:lineRule="exact"/>
        <w:rPr>
          <w:rFonts w:ascii="Arial" w:cs="Arial" w:eastAsia="Arial" w:hAnsi="Arial"/>
          <w:sz w:val="16"/>
          <w:szCs w:val="16"/>
          <w:color w:val="auto"/>
        </w:rPr>
      </w:pPr>
    </w:p>
    <w:p>
      <w:pPr>
        <w:ind w:left="320" w:hanging="316"/>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265,000 of our common shares and options to purchase 62,500 of our common shares exercisable within 60 days of December 31, 2016.</w:t>
      </w:r>
    </w:p>
    <w:p>
      <w:pPr>
        <w:spacing w:after="0" w:line="232" w:lineRule="exact"/>
        <w:rPr>
          <w:rFonts w:ascii="Arial" w:cs="Arial" w:eastAsia="Arial" w:hAnsi="Arial"/>
          <w:sz w:val="16"/>
          <w:szCs w:val="16"/>
          <w:color w:val="auto"/>
        </w:rPr>
      </w:pPr>
    </w:p>
    <w:p>
      <w:pPr>
        <w:ind w:left="320" w:right="180" w:hanging="316"/>
        <w:spacing w:after="0" w:line="319" w:lineRule="auto"/>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964,500 of our common shares and options to purchase 10,250 of our common shares exercisable within 60 days of December 31, 2016. Includes shares held through an entity controlled by Mr. Velasco and, as such, Mr. Velasco has sole voting and dispositive power over such shares.</w:t>
      </w:r>
    </w:p>
    <w:p>
      <w:pPr>
        <w:spacing w:after="0" w:line="135" w:lineRule="exact"/>
        <w:rPr>
          <w:rFonts w:ascii="Arial" w:cs="Arial" w:eastAsia="Arial" w:hAnsi="Arial"/>
          <w:sz w:val="16"/>
          <w:szCs w:val="16"/>
          <w:color w:val="auto"/>
        </w:rPr>
      </w:pPr>
    </w:p>
    <w:p>
      <w:pPr>
        <w:ind w:left="320" w:right="280" w:hanging="316"/>
        <w:spacing w:after="0" w:line="319" w:lineRule="auto"/>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769,000 of our common shares and options to purchase 5,000 of our common shares exercisable within 60 days of December 31, 2016. Includes shares held through an entity controlled by Dr. Riesner and, as such, Dr. Riesner has sole voting and dispositive power over such shares.</w:t>
      </w:r>
    </w:p>
    <w:p>
      <w:pPr>
        <w:spacing w:after="0" w:line="304" w:lineRule="exact"/>
        <w:rPr>
          <w:rFonts w:ascii="Arial" w:cs="Arial" w:eastAsia="Arial" w:hAnsi="Arial"/>
          <w:sz w:val="16"/>
          <w:szCs w:val="16"/>
          <w:color w:val="auto"/>
        </w:rPr>
      </w:pPr>
    </w:p>
    <w:p>
      <w:pPr>
        <w:ind w:left="320" w:right="220" w:hanging="316"/>
        <w:spacing w:after="0" w:line="286" w:lineRule="auto"/>
        <w:tabs>
          <w:tab w:leader="none" w:pos="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78,750 of our common shares, and excludes the 18,041,000 shares registered in the name of dievini Hopp BioTech holding CmbH &amp; Co KG that may also be beneficially owned by Friedrich von Bohlen und Halbach. See note (1) above.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10, 2017, we had 195 shareholders of record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Changes in Ownership by Major Shareholders</w:t>
      </w:r>
    </w:p>
    <w:p>
      <w:pPr>
        <w:spacing w:after="0" w:line="227" w:lineRule="exact"/>
        <w:rPr>
          <w:sz w:val="20"/>
          <w:szCs w:val="20"/>
          <w:color w:val="auto"/>
        </w:rPr>
      </w:pPr>
    </w:p>
    <w:p>
      <w:pPr>
        <w:ind w:right="280" w:firstLine="312"/>
        <w:spacing w:after="0" w:line="319" w:lineRule="auto"/>
        <w:rPr>
          <w:sz w:val="20"/>
          <w:szCs w:val="20"/>
          <w:color w:val="auto"/>
        </w:rPr>
      </w:pPr>
      <w:r>
        <w:rPr>
          <w:rFonts w:ascii="Arial" w:cs="Arial" w:eastAsia="Arial" w:hAnsi="Arial"/>
          <w:sz w:val="16"/>
          <w:szCs w:val="16"/>
          <w:color w:val="auto"/>
        </w:rPr>
        <w:t>We have experienced significant changes in the percentage ownership held by major shareholders as a result of our initial public offering. Prior to our initial public offering in September 2016, our principal shareholders were dievini Hopp BioTech holding GmbH &amp; Co KG (36.5%) and Varuma AG (23.1%).</w:t>
      </w:r>
    </w:p>
    <w:p>
      <w:pPr>
        <w:spacing w:after="0" w:line="135" w:lineRule="exact"/>
        <w:rPr>
          <w:sz w:val="20"/>
          <w:szCs w:val="20"/>
          <w:color w:val="auto"/>
        </w:rPr>
      </w:pPr>
    </w:p>
    <w:p>
      <w:pPr>
        <w:ind w:right="220" w:firstLine="312"/>
        <w:spacing w:after="0" w:line="286" w:lineRule="auto"/>
        <w:rPr>
          <w:sz w:val="20"/>
          <w:szCs w:val="20"/>
          <w:color w:val="auto"/>
        </w:rPr>
      </w:pPr>
      <w:r>
        <w:rPr>
          <w:rFonts w:ascii="Arial" w:cs="Arial" w:eastAsia="Arial" w:hAnsi="Arial"/>
          <w:sz w:val="17"/>
          <w:szCs w:val="17"/>
          <w:color w:val="auto"/>
        </w:rPr>
        <w:t>In September 2016, we completed our initial public offering and listed our common shares on the NASDAQ Global Market. In the initial public offering, we issued and sold 6,900,000 common shares, including 900,000</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251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24" w:name="page125"/>
    <w:bookmarkEnd w:id="124"/>
    <w:p>
      <w:pPr>
        <w:jc w:val="both"/>
        <w:ind w:right="300"/>
        <w:spacing w:after="0" w:line="270" w:lineRule="auto"/>
        <w:rPr>
          <w:sz w:val="20"/>
          <w:szCs w:val="20"/>
          <w:color w:val="auto"/>
        </w:rPr>
      </w:pPr>
      <w:r>
        <w:rPr>
          <w:rFonts w:ascii="Arial" w:cs="Arial" w:eastAsia="Arial" w:hAnsi="Arial"/>
          <w:sz w:val="17"/>
          <w:szCs w:val="17"/>
          <w:color w:val="auto"/>
        </w:rPr>
        <w:t>common shares sold to the underwriters pursuant to the underwriters’ over-allotment option. While none of our existing shareholders sold common shares in the initial public offering, the percentage ownership held by certain shareholders decreased as a result of the issuance of the common shares sold by us in the initial public offering.</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Related party transactions</w:t>
      </w:r>
    </w:p>
    <w:p>
      <w:pPr>
        <w:spacing w:after="0" w:line="227" w:lineRule="exact"/>
        <w:rPr>
          <w:sz w:val="20"/>
          <w:szCs w:val="20"/>
          <w:color w:val="auto"/>
        </w:rPr>
      </w:pPr>
    </w:p>
    <w:p>
      <w:pPr>
        <w:ind w:firstLine="312"/>
        <w:spacing w:after="0" w:line="265" w:lineRule="auto"/>
        <w:rPr>
          <w:sz w:val="20"/>
          <w:szCs w:val="20"/>
          <w:color w:val="auto"/>
        </w:rPr>
      </w:pPr>
      <w:r>
        <w:rPr>
          <w:rFonts w:ascii="Arial" w:cs="Arial" w:eastAsia="Arial" w:hAnsi="Arial"/>
          <w:sz w:val="17"/>
          <w:szCs w:val="17"/>
          <w:color w:val="auto"/>
        </w:rPr>
        <w:t>The following discussion pertains to a Registration Rights Agreement entered by the Company, which represents the only related party transaction we have entered into since January 1, 2014 with any of our executive officers, directors and holders of more than 10% of any class of our voting securities, or any member of the immediate family of any of the foregoing persons, other than the compensation arrangements we describe under “Item 6. Directors, Senior Management and Employees–B.Compensation.”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27" w:lineRule="exact"/>
        <w:rPr>
          <w:sz w:val="20"/>
          <w:szCs w:val="20"/>
          <w:color w:val="auto"/>
        </w:rPr>
      </w:pPr>
    </w:p>
    <w:p>
      <w:pPr>
        <w:ind w:right="100" w:firstLine="312"/>
        <w:spacing w:after="0" w:line="279"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certain investors in the Series E Private Placement pursuant to which we granted them certain demand and piggyback registration rights for the resale of the common shares held by them, as described below. The shareholders party to the registration rights agreement hold an aggregate of 33,028,758 of our common shares, representing approximately 58.0% of the voting power of our common shares outstanding as of March 1, 2017. The registration rights described below will expire on the earlier to occur of (i) the fifth anniversary of the completion of our initial public offering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21" w:lineRule="exact"/>
        <w:rPr>
          <w:sz w:val="20"/>
          <w:szCs w:val="20"/>
          <w:color w:val="auto"/>
        </w:rPr>
      </w:pPr>
    </w:p>
    <w:p>
      <w:pPr>
        <w:ind w:right="140" w:firstLine="312"/>
        <w:spacing w:after="0" w:line="276"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our initial public offering,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21" w:lineRule="exact"/>
        <w:rPr>
          <w:sz w:val="20"/>
          <w:szCs w:val="20"/>
          <w:color w:val="auto"/>
        </w:rPr>
      </w:pPr>
    </w:p>
    <w:p>
      <w:pPr>
        <w:ind w:right="20" w:firstLine="312"/>
        <w:spacing w:after="0" w:line="263" w:lineRule="auto"/>
        <w:rPr>
          <w:sz w:val="20"/>
          <w:szCs w:val="20"/>
          <w:color w:val="auto"/>
        </w:rPr>
      </w:pPr>
      <w:r>
        <w:rPr>
          <w:rFonts w:ascii="Arial" w:cs="Arial" w:eastAsia="Arial" w:hAnsi="Arial"/>
          <w:sz w:val="17"/>
          <w:szCs w:val="17"/>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Shelf Registration Rights</w:t>
      </w:r>
    </w:p>
    <w:p>
      <w:pPr>
        <w:spacing w:after="0" w:line="221"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Pursuant to the terms of the registration rights agreement, at any time after the first anniversary of the completion of our initial public offering,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purposes of the number of demand registrations we are required to effect as described under “—Demand Registration Rights” above.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 Policy</w:t>
      </w:r>
    </w:p>
    <w:p>
      <w:pPr>
        <w:spacing w:after="0" w:line="227"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Prior to our initial public offering, we entered into a new related person transaction policy under which any such transaction must be approved or ratified by the audit and finance committee.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7" w:lineRule="exact"/>
        <w:rPr>
          <w:sz w:val="20"/>
          <w:szCs w:val="20"/>
          <w:color w:val="auto"/>
        </w:rPr>
      </w:pPr>
    </w:p>
    <w:p>
      <w:pPr>
        <w:ind w:right="520" w:firstLine="312"/>
        <w:spacing w:after="0" w:line="319" w:lineRule="auto"/>
        <w:rPr>
          <w:sz w:val="20"/>
          <w:szCs w:val="20"/>
          <w:color w:val="auto"/>
        </w:rPr>
      </w:pPr>
      <w:r>
        <w:rPr>
          <w:rFonts w:ascii="Arial" w:cs="Arial" w:eastAsia="Arial" w:hAnsi="Arial"/>
          <w:sz w:val="16"/>
          <w:szCs w:val="16"/>
          <w:color w:val="auto"/>
        </w:rPr>
        <w:t>In connection with our initial public offering, we entered into indemnification agreements with our executive officers and directors. The indemnification agreements and our Articles of Association require us to indemnify our executive officers and directors to the fullest extent permitted by law.</w:t>
      </w:r>
    </w:p>
    <w:p>
      <w:pPr>
        <w:spacing w:after="0" w:line="129" w:lineRule="exact"/>
        <w:rPr>
          <w:sz w:val="20"/>
          <w:szCs w:val="20"/>
          <w:color w:val="auto"/>
        </w:rPr>
      </w:pPr>
    </w:p>
    <w:p>
      <w:pPr>
        <w:ind w:left="320" w:right="8660" w:hanging="316"/>
        <w:spacing w:after="0" w:line="511" w:lineRule="auto"/>
        <w:tabs>
          <w:tab w:leader="none" w:pos="32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Interests of Experts and Counsel </w:t>
      </w:r>
      <w:r>
        <w:rPr>
          <w:rFonts w:ascii="Arial" w:cs="Arial" w:eastAsia="Arial" w:hAnsi="Arial"/>
          <w:sz w:val="17"/>
          <w:szCs w:val="17"/>
          <w:color w:val="auto"/>
        </w:rPr>
        <w:t>Not applicable.</w:t>
      </w:r>
    </w:p>
    <w:p>
      <w:pPr>
        <w:spacing w:after="0"/>
        <w:rPr>
          <w:sz w:val="20"/>
          <w:szCs w:val="20"/>
          <w:color w:val="auto"/>
        </w:rPr>
      </w:pPr>
      <w:r>
        <w:rPr>
          <w:rFonts w:ascii="Arial" w:cs="Arial" w:eastAsia="Arial" w:hAnsi="Arial"/>
          <w:sz w:val="17"/>
          <w:szCs w:val="17"/>
          <w:b w:val="1"/>
          <w:bCs w:val="1"/>
          <w:color w:val="auto"/>
        </w:rPr>
        <w:t>ITEM 8. FINANCIAL INFORMATION</w:t>
      </w:r>
    </w:p>
    <w:p>
      <w:pPr>
        <w:spacing w:after="0" w:line="221" w:lineRule="exact"/>
        <w:rPr>
          <w:sz w:val="20"/>
          <w:szCs w:val="20"/>
          <w:color w:val="auto"/>
        </w:rPr>
      </w:pPr>
    </w:p>
    <w:p>
      <w:pPr>
        <w:ind w:right="6900" w:firstLine="4"/>
        <w:spacing w:after="0" w:line="514" w:lineRule="auto"/>
        <w:tabs>
          <w:tab w:leader="none" w:pos="312"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Consolidated statements and other financial information Financial statements</w:t>
      </w:r>
    </w:p>
    <w:p>
      <w:pPr>
        <w:spacing w:after="0" w:line="1"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See “Item 18. Financial Statements,” which contains our financial statements prepared in accordance with IFRS.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7" w:lineRule="exact"/>
        <w:rPr>
          <w:sz w:val="20"/>
          <w:szCs w:val="20"/>
          <w:color w:val="auto"/>
        </w:rPr>
      </w:pPr>
    </w:p>
    <w:p>
      <w:pPr>
        <w:ind w:right="260" w:firstLine="312"/>
        <w:spacing w:after="0" w:line="265"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 and Dividend Policy</w:t>
      </w:r>
    </w:p>
    <w:p>
      <w:pPr>
        <w:spacing w:after="0" w:line="227" w:lineRule="exact"/>
        <w:rPr>
          <w:sz w:val="20"/>
          <w:szCs w:val="20"/>
          <w:color w:val="auto"/>
        </w:rPr>
      </w:pPr>
    </w:p>
    <w:p>
      <w:pPr>
        <w:ind w:right="480" w:firstLine="312"/>
        <w:spacing w:after="0" w:line="270"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73" w:lineRule="exact"/>
        <w:rPr>
          <w:sz w:val="20"/>
          <w:szCs w:val="20"/>
          <w:color w:val="auto"/>
        </w:rPr>
      </w:pPr>
    </w:p>
    <w:p>
      <w:pPr>
        <w:ind w:right="40" w:firstLine="312"/>
        <w:spacing w:after="0" w:line="260" w:lineRule="auto"/>
        <w:rPr>
          <w:sz w:val="20"/>
          <w:szCs w:val="20"/>
          <w:color w:val="auto"/>
        </w:rPr>
      </w:pPr>
      <w:r>
        <w:rPr>
          <w:rFonts w:ascii="Arial" w:cs="Arial" w:eastAsia="Arial" w:hAnsi="Arial"/>
          <w:sz w:val="17"/>
          <w:szCs w:val="17"/>
          <w:color w:val="auto"/>
        </w:rPr>
        <w:t>Under Swiss law, any dividend must be proposed by our board of directors and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 (“</w:t>
      </w:r>
      <w:r>
        <w:rPr>
          <w:rFonts w:ascii="Arial" w:cs="Arial" w:eastAsia="Arial" w:hAnsi="Arial"/>
          <w:sz w:val="17"/>
          <w:szCs w:val="17"/>
          <w:i w:val="1"/>
          <w:iCs w:val="1"/>
          <w:color w:val="auto"/>
        </w:rPr>
        <w:t>réserves à libre</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w:t>
      </w:r>
      <w:r>
        <w:rPr>
          <w:rFonts w:ascii="Arial" w:cs="Arial" w:eastAsia="Arial" w:hAnsi="Arial"/>
          <w:sz w:val="17"/>
          <w:szCs w:val="17"/>
          <w:color w:val="auto"/>
        </w:rPr>
        <w:t>”), each as evidenced by its audited standalone statutory balance sheet prepared pursuant to Swiss law and after allocations to reserves required by Swiss</w:t>
      </w:r>
      <w:r>
        <w:rPr>
          <w:rFonts w:ascii="Arial" w:cs="Arial" w:eastAsia="Arial" w:hAnsi="Arial"/>
          <w:sz w:val="17"/>
          <w:szCs w:val="17"/>
          <w:i w:val="1"/>
          <w:iCs w:val="1"/>
          <w:color w:val="auto"/>
        </w:rPr>
        <w:t xml:space="preserve"> </w:t>
      </w:r>
      <w:r>
        <w:rPr>
          <w:rFonts w:ascii="Arial" w:cs="Arial" w:eastAsia="Arial" w:hAnsi="Arial"/>
          <w:sz w:val="17"/>
          <w:szCs w:val="17"/>
          <w:color w:val="auto"/>
        </w:rPr>
        <w:t>law and its articles of association have been deducted. Distributable reserves are generally booked either as “free reserves” (“</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 nominal value of a corporation’s issued shares, may be made only by way of a share capital reduction.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Significant changes</w:t>
      </w:r>
    </w:p>
    <w:p>
      <w:pPr>
        <w:spacing w:after="0" w:line="227" w:lineRule="exact"/>
        <w:rPr>
          <w:sz w:val="20"/>
          <w:szCs w:val="20"/>
          <w:color w:val="auto"/>
        </w:rPr>
      </w:pPr>
    </w:p>
    <w:p>
      <w:pPr>
        <w:ind w:right="740" w:firstLine="312"/>
        <w:spacing w:after="0" w:line="286" w:lineRule="auto"/>
        <w:rPr>
          <w:sz w:val="20"/>
          <w:szCs w:val="20"/>
          <w:color w:val="auto"/>
        </w:rPr>
      </w:pPr>
      <w:r>
        <w:rPr>
          <w:rFonts w:ascii="Arial" w:cs="Arial" w:eastAsia="Arial" w:hAnsi="Arial"/>
          <w:sz w:val="17"/>
          <w:szCs w:val="17"/>
          <w:color w:val="auto"/>
        </w:rPr>
        <w:t>A discussion of the significant changes in our business can be found under “Item 4. Information on the Company–A. History and development of the Company” and “Item 4. Information on the Company–B. Business Overview.”</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ITEM 9. THE OFFER AND LISTING</w:t>
      </w:r>
    </w:p>
    <w:p>
      <w:pPr>
        <w:spacing w:after="0" w:line="221" w:lineRule="exact"/>
        <w:rPr>
          <w:sz w:val="20"/>
          <w:szCs w:val="20"/>
          <w:color w:val="auto"/>
        </w:rPr>
      </w:pPr>
    </w:p>
    <w:p>
      <w:pPr>
        <w:ind w:left="320" w:right="9120" w:hanging="316"/>
        <w:spacing w:after="0" w:line="579" w:lineRule="auto"/>
        <w:tabs>
          <w:tab w:leader="none" w:pos="32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Offering and listing details </w:t>
      </w:r>
      <w:r>
        <w:rPr>
          <w:rFonts w:ascii="Arial" w:cs="Arial" w:eastAsia="Arial" w:hAnsi="Arial"/>
          <w:sz w:val="15"/>
          <w:szCs w:val="15"/>
          <w:color w:val="auto"/>
        </w:rPr>
        <w:t>See “–C. Markets” below.</w:t>
      </w:r>
    </w:p>
    <w:p>
      <w:pPr>
        <w:ind w:left="320" w:right="9660" w:hanging="316"/>
        <w:spacing w:after="0" w:line="579" w:lineRule="auto"/>
        <w:tabs>
          <w:tab w:leader="none" w:pos="32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Plan of distribution </w:t>
      </w:r>
      <w:r>
        <w:rPr>
          <w:rFonts w:ascii="Arial" w:cs="Arial" w:eastAsia="Arial" w:hAnsi="Arial"/>
          <w:sz w:val="15"/>
          <w:szCs w:val="15"/>
          <w:color w:val="auto"/>
        </w:rPr>
        <w:t>Not applicable.</w:t>
      </w:r>
    </w:p>
    <w:p>
      <w:pPr>
        <w:ind w:left="320" w:hanging="316"/>
        <w:spacing w:after="0"/>
        <w:tabs>
          <w:tab w:leader="none" w:pos="32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Markets</w:t>
      </w:r>
    </w:p>
    <w:p>
      <w:pPr>
        <w:spacing w:after="0" w:line="227" w:lineRule="exact"/>
        <w:rPr>
          <w:sz w:val="20"/>
          <w:szCs w:val="20"/>
          <w:color w:val="auto"/>
        </w:rPr>
      </w:pPr>
    </w:p>
    <w:p>
      <w:pPr>
        <w:ind w:right="60" w:firstLine="312"/>
        <w:spacing w:after="0" w:line="286" w:lineRule="auto"/>
        <w:rPr>
          <w:sz w:val="20"/>
          <w:szCs w:val="20"/>
          <w:color w:val="auto"/>
        </w:rPr>
      </w:pPr>
      <w:r>
        <w:rPr>
          <w:rFonts w:ascii="Arial" w:cs="Arial" w:eastAsia="Arial" w:hAnsi="Arial"/>
          <w:sz w:val="17"/>
          <w:szCs w:val="17"/>
          <w:color w:val="auto"/>
        </w:rPr>
        <w:t>Our common shares began trading on the Nasdaq Global Market on September 23, 2016 under the symbol “ACIU”. The following table sets forth the high and low sales prices as reported in USD by NASDAQ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60" w:type="dxa"/>
            <w:vAlign w:val="bottom"/>
            <w:gridSpan w:val="2"/>
          </w:tcPr>
          <w:p>
            <w:pPr>
              <w:ind w:left="380"/>
              <w:spacing w:after="0"/>
              <w:rPr>
                <w:sz w:val="20"/>
                <w:szCs w:val="20"/>
                <w:color w:val="auto"/>
              </w:rPr>
            </w:pPr>
            <w:r>
              <w:rPr>
                <w:rFonts w:ascii="Arial" w:cs="Arial" w:eastAsia="Arial" w:hAnsi="Arial"/>
                <w:sz w:val="17"/>
                <w:szCs w:val="17"/>
                <w:b w:val="1"/>
                <w:bCs w:val="1"/>
                <w:color w:val="auto"/>
              </w:rPr>
              <w:t>High</w:t>
            </w:r>
          </w:p>
        </w:tc>
        <w:tc>
          <w:tcPr>
            <w:tcW w:w="1120" w:type="dxa"/>
            <w:vAlign w:val="bottom"/>
          </w:tcPr>
          <w:p>
            <w:pPr>
              <w:jc w:val="right"/>
              <w:ind w:right="313"/>
              <w:spacing w:after="0"/>
              <w:rPr>
                <w:sz w:val="20"/>
                <w:szCs w:val="20"/>
                <w:color w:val="auto"/>
              </w:rPr>
            </w:pPr>
            <w:r>
              <w:rPr>
                <w:rFonts w:ascii="Arial" w:cs="Arial" w:eastAsia="Arial" w:hAnsi="Arial"/>
                <w:sz w:val="17"/>
                <w:szCs w:val="17"/>
                <w:b w:val="1"/>
                <w:bCs w:val="1"/>
                <w:color w:val="auto"/>
              </w:rPr>
              <w:t>Low</w:t>
            </w:r>
          </w:p>
        </w:tc>
      </w:tr>
      <w:tr>
        <w:trPr>
          <w:trHeight w:val="201"/>
        </w:trPr>
        <w:tc>
          <w:tcPr>
            <w:tcW w:w="904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7"/>
                <w:szCs w:val="17"/>
                <w:b w:val="1"/>
                <w:bCs w:val="1"/>
                <w:color w:val="auto"/>
              </w:rPr>
              <w:t>Year Ended December 31, 2016:</w:t>
            </w:r>
          </w:p>
        </w:tc>
        <w:tc>
          <w:tcPr>
            <w:tcW w:w="114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r>
      <w:tr>
        <w:trPr>
          <w:trHeight w:val="208"/>
        </w:trPr>
        <w:tc>
          <w:tcPr>
            <w:tcW w:w="9040" w:type="dxa"/>
            <w:vAlign w:val="bottom"/>
            <w:gridSpan w:val="2"/>
          </w:tcPr>
          <w:p>
            <w:pPr>
              <w:spacing w:after="0"/>
              <w:rPr>
                <w:sz w:val="20"/>
                <w:szCs w:val="20"/>
                <w:color w:val="auto"/>
              </w:rPr>
            </w:pPr>
            <w:r>
              <w:rPr>
                <w:rFonts w:ascii="Arial" w:cs="Arial" w:eastAsia="Arial" w:hAnsi="Arial"/>
                <w:sz w:val="17"/>
                <w:szCs w:val="17"/>
                <w:color w:val="auto"/>
              </w:rPr>
              <w:t>Third Quarter</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19.97</w:t>
            </w: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14.11</w:t>
            </w:r>
          </w:p>
        </w:tc>
      </w:tr>
      <w:tr>
        <w:trPr>
          <w:trHeight w:val="208"/>
        </w:trPr>
        <w:tc>
          <w:tcPr>
            <w:tcW w:w="90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Fourth Quarter</w:t>
            </w: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18.95</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10.36</w:t>
            </w:r>
          </w:p>
        </w:tc>
      </w:tr>
      <w:tr>
        <w:trPr>
          <w:trHeight w:val="208"/>
        </w:trPr>
        <w:tc>
          <w:tcPr>
            <w:tcW w:w="9040" w:type="dxa"/>
            <w:vAlign w:val="bottom"/>
            <w:gridSpan w:val="2"/>
          </w:tcPr>
          <w:p>
            <w:pPr>
              <w:spacing w:after="0"/>
              <w:rPr>
                <w:sz w:val="20"/>
                <w:szCs w:val="20"/>
                <w:color w:val="auto"/>
              </w:rPr>
            </w:pPr>
            <w:r>
              <w:rPr>
                <w:rFonts w:ascii="Arial" w:cs="Arial" w:eastAsia="Arial" w:hAnsi="Arial"/>
                <w:sz w:val="17"/>
                <w:szCs w:val="17"/>
                <w:b w:val="1"/>
                <w:bCs w:val="1"/>
                <w:color w:val="auto"/>
              </w:rPr>
              <w:t>Month Ended: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90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September 30, 2016</w:t>
            </w: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19.97</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14.11</w:t>
            </w:r>
          </w:p>
        </w:tc>
      </w:tr>
      <w:tr>
        <w:trPr>
          <w:trHeight w:val="208"/>
        </w:trPr>
        <w:tc>
          <w:tcPr>
            <w:tcW w:w="9040" w:type="dxa"/>
            <w:vAlign w:val="bottom"/>
            <w:gridSpan w:val="2"/>
          </w:tcPr>
          <w:p>
            <w:pPr>
              <w:spacing w:after="0"/>
              <w:rPr>
                <w:sz w:val="20"/>
                <w:szCs w:val="20"/>
                <w:color w:val="auto"/>
              </w:rPr>
            </w:pPr>
            <w:r>
              <w:rPr>
                <w:rFonts w:ascii="Arial" w:cs="Arial" w:eastAsia="Arial" w:hAnsi="Arial"/>
                <w:sz w:val="17"/>
                <w:szCs w:val="17"/>
                <w:color w:val="auto"/>
              </w:rPr>
              <w:t>October 31, 2016</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18.95</w:t>
            </w: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13.01</w:t>
            </w:r>
          </w:p>
        </w:tc>
      </w:tr>
      <w:tr>
        <w:trPr>
          <w:trHeight w:val="208"/>
        </w:trPr>
        <w:tc>
          <w:tcPr>
            <w:tcW w:w="90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November 30, 2016</w:t>
            </w: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17.47</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10.36</w:t>
            </w:r>
          </w:p>
        </w:tc>
      </w:tr>
      <w:tr>
        <w:trPr>
          <w:trHeight w:val="208"/>
        </w:trPr>
        <w:tc>
          <w:tcPr>
            <w:tcW w:w="9040" w:type="dxa"/>
            <w:vAlign w:val="bottom"/>
            <w:gridSpan w:val="2"/>
          </w:tcPr>
          <w:p>
            <w:pPr>
              <w:spacing w:after="0"/>
              <w:rPr>
                <w:sz w:val="20"/>
                <w:szCs w:val="20"/>
                <w:color w:val="auto"/>
              </w:rPr>
            </w:pPr>
            <w:r>
              <w:rPr>
                <w:rFonts w:ascii="Arial" w:cs="Arial" w:eastAsia="Arial" w:hAnsi="Arial"/>
                <w:sz w:val="17"/>
                <w:szCs w:val="17"/>
                <w:color w:val="auto"/>
              </w:rPr>
              <w:t>December 31, 2016</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15.00</w:t>
            </w: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11.48</w:t>
            </w:r>
          </w:p>
        </w:tc>
      </w:tr>
      <w:tr>
        <w:trPr>
          <w:trHeight w:val="208"/>
        </w:trPr>
        <w:tc>
          <w:tcPr>
            <w:tcW w:w="90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January 31, 2017</w:t>
            </w: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14.06</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11.70</w:t>
            </w:r>
          </w:p>
        </w:tc>
      </w:tr>
      <w:tr>
        <w:trPr>
          <w:trHeight w:val="208"/>
        </w:trPr>
        <w:tc>
          <w:tcPr>
            <w:tcW w:w="9040" w:type="dxa"/>
            <w:vAlign w:val="bottom"/>
            <w:gridSpan w:val="2"/>
          </w:tcPr>
          <w:p>
            <w:pPr>
              <w:spacing w:after="0"/>
              <w:rPr>
                <w:sz w:val="20"/>
                <w:szCs w:val="20"/>
                <w:color w:val="auto"/>
              </w:rPr>
            </w:pPr>
            <w:r>
              <w:rPr>
                <w:rFonts w:ascii="Arial" w:cs="Arial" w:eastAsia="Arial" w:hAnsi="Arial"/>
                <w:sz w:val="17"/>
                <w:szCs w:val="17"/>
                <w:color w:val="auto"/>
              </w:rPr>
              <w:t>February 28, 2017</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13.67</w:t>
            </w: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11.62</w:t>
            </w:r>
          </w:p>
        </w:tc>
      </w:tr>
      <w:tr>
        <w:trPr>
          <w:trHeight w:val="208"/>
        </w:trPr>
        <w:tc>
          <w:tcPr>
            <w:tcW w:w="90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March 2017 (through March 10, 2017)</w:t>
            </w: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13.39</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11.50</w:t>
            </w:r>
          </w:p>
        </w:tc>
      </w:tr>
      <w:tr>
        <w:trPr>
          <w:trHeight w:val="416"/>
        </w:trPr>
        <w:tc>
          <w:tcPr>
            <w:tcW w:w="240" w:type="dxa"/>
            <w:vAlign w:val="bottom"/>
          </w:tcPr>
          <w:p>
            <w:pPr>
              <w:spacing w:after="0"/>
              <w:rPr>
                <w:sz w:val="20"/>
                <w:szCs w:val="20"/>
                <w:color w:val="auto"/>
              </w:rPr>
            </w:pPr>
            <w:r>
              <w:rPr>
                <w:rFonts w:ascii="Arial" w:cs="Arial" w:eastAsia="Arial" w:hAnsi="Arial"/>
                <w:sz w:val="17"/>
                <w:szCs w:val="17"/>
                <w:b w:val="1"/>
                <w:bCs w:val="1"/>
                <w:color w:val="auto"/>
              </w:rPr>
              <w:t>D.</w:t>
            </w:r>
          </w:p>
        </w:tc>
        <w:tc>
          <w:tcPr>
            <w:tcW w:w="8800" w:type="dxa"/>
            <w:vAlign w:val="bottom"/>
          </w:tcPr>
          <w:p>
            <w:pPr>
              <w:ind w:left="80"/>
              <w:spacing w:after="0"/>
              <w:rPr>
                <w:sz w:val="20"/>
                <w:szCs w:val="20"/>
                <w:color w:val="auto"/>
              </w:rPr>
            </w:pPr>
            <w:r>
              <w:rPr>
                <w:rFonts w:ascii="Arial" w:cs="Arial" w:eastAsia="Arial" w:hAnsi="Arial"/>
                <w:sz w:val="17"/>
                <w:szCs w:val="17"/>
                <w:b w:val="1"/>
                <w:bCs w:val="1"/>
                <w:color w:val="auto"/>
              </w:rPr>
              <w:t>Selling shareholders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6"/>
        </w:trPr>
        <w:tc>
          <w:tcPr>
            <w:tcW w:w="240" w:type="dxa"/>
            <w:vAlign w:val="bottom"/>
          </w:tcPr>
          <w:p>
            <w:pPr>
              <w:spacing w:after="0"/>
              <w:rPr>
                <w:sz w:val="24"/>
                <w:szCs w:val="24"/>
                <w:color w:val="auto"/>
              </w:rPr>
            </w:pPr>
          </w:p>
        </w:tc>
        <w:tc>
          <w:tcPr>
            <w:tcW w:w="8800" w:type="dxa"/>
            <w:vAlign w:val="bottom"/>
          </w:tcPr>
          <w:p>
            <w:pPr>
              <w:ind w:left="80"/>
              <w:spacing w:after="0"/>
              <w:rPr>
                <w:sz w:val="20"/>
                <w:szCs w:val="20"/>
                <w:color w:val="auto"/>
              </w:rPr>
            </w:pPr>
            <w:r>
              <w:rPr>
                <w:rFonts w:ascii="Arial" w:cs="Arial" w:eastAsia="Arial" w:hAnsi="Arial"/>
                <w:sz w:val="17"/>
                <w:szCs w:val="17"/>
                <w:color w:val="auto"/>
              </w:rPr>
              <w:t>Not applicable.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6"/>
        </w:trPr>
        <w:tc>
          <w:tcPr>
            <w:tcW w:w="240" w:type="dxa"/>
            <w:vAlign w:val="bottom"/>
          </w:tcPr>
          <w:p>
            <w:pPr>
              <w:spacing w:after="0"/>
              <w:rPr>
                <w:sz w:val="20"/>
                <w:szCs w:val="20"/>
                <w:color w:val="auto"/>
              </w:rPr>
            </w:pPr>
            <w:r>
              <w:rPr>
                <w:rFonts w:ascii="Arial" w:cs="Arial" w:eastAsia="Arial" w:hAnsi="Arial"/>
                <w:sz w:val="17"/>
                <w:szCs w:val="17"/>
                <w:b w:val="1"/>
                <w:bCs w:val="1"/>
                <w:color w:val="auto"/>
              </w:rPr>
              <w:t>E.</w:t>
            </w:r>
          </w:p>
        </w:tc>
        <w:tc>
          <w:tcPr>
            <w:tcW w:w="8800" w:type="dxa"/>
            <w:vAlign w:val="bottom"/>
          </w:tcPr>
          <w:p>
            <w:pPr>
              <w:ind w:left="80"/>
              <w:spacing w:after="0"/>
              <w:rPr>
                <w:sz w:val="20"/>
                <w:szCs w:val="20"/>
                <w:color w:val="auto"/>
              </w:rPr>
            </w:pPr>
            <w:r>
              <w:rPr>
                <w:rFonts w:ascii="Arial" w:cs="Arial" w:eastAsia="Arial" w:hAnsi="Arial"/>
                <w:sz w:val="17"/>
                <w:szCs w:val="17"/>
                <w:b w:val="1"/>
                <w:bCs w:val="1"/>
                <w:color w:val="auto"/>
              </w:rPr>
              <w:t>Dilution</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6"/>
        </w:trPr>
        <w:tc>
          <w:tcPr>
            <w:tcW w:w="240" w:type="dxa"/>
            <w:vAlign w:val="bottom"/>
          </w:tcPr>
          <w:p>
            <w:pPr>
              <w:spacing w:after="0"/>
              <w:rPr>
                <w:sz w:val="24"/>
                <w:szCs w:val="24"/>
                <w:color w:val="auto"/>
              </w:rPr>
            </w:pPr>
          </w:p>
        </w:tc>
        <w:tc>
          <w:tcPr>
            <w:tcW w:w="8800" w:type="dxa"/>
            <w:vAlign w:val="bottom"/>
          </w:tcPr>
          <w:p>
            <w:pPr>
              <w:ind w:left="80"/>
              <w:spacing w:after="0"/>
              <w:rPr>
                <w:sz w:val="20"/>
                <w:szCs w:val="20"/>
                <w:color w:val="auto"/>
              </w:rPr>
            </w:pPr>
            <w:r>
              <w:rPr>
                <w:rFonts w:ascii="Arial" w:cs="Arial" w:eastAsia="Arial" w:hAnsi="Arial"/>
                <w:sz w:val="17"/>
                <w:szCs w:val="17"/>
                <w:color w:val="auto"/>
              </w:rPr>
              <w:t>Not applicable.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F.</w:t>
      </w:r>
      <w:r>
        <w:rPr>
          <w:sz w:val="20"/>
          <w:szCs w:val="20"/>
          <w:color w:val="auto"/>
        </w:rPr>
        <w:tab/>
      </w:r>
      <w:r>
        <w:rPr>
          <w:rFonts w:ascii="Arial" w:cs="Arial" w:eastAsia="Arial" w:hAnsi="Arial"/>
          <w:sz w:val="14"/>
          <w:szCs w:val="14"/>
          <w:b w:val="1"/>
          <w:bCs w:val="1"/>
          <w:color w:val="auto"/>
        </w:rPr>
        <w:t>Expenses of the issue</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ADDITIONAL INFORMATION</w:t>
      </w:r>
    </w:p>
    <w:p>
      <w:pPr>
        <w:spacing w:after="0" w:line="221" w:lineRule="exact"/>
        <w:rPr>
          <w:sz w:val="20"/>
          <w:szCs w:val="20"/>
          <w:color w:val="auto"/>
        </w:rPr>
      </w:pPr>
    </w:p>
    <w:p>
      <w:pPr>
        <w:ind w:left="320" w:right="10040" w:hanging="316"/>
        <w:spacing w:after="0" w:line="542" w:lineRule="auto"/>
        <w:tabs>
          <w:tab w:leader="none" w:pos="32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20" w:hanging="316"/>
        <w:spacing w:after="0"/>
        <w:tabs>
          <w:tab w:leader="none" w:pos="32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Memorandum and articles of association</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On September 25, 2016, we adopted the Articles of Association filed as Exhibit 1.1 hereto.</w:t>
      </w:r>
    </w:p>
    <w:p>
      <w:pPr>
        <w:spacing w:after="0" w:line="221" w:lineRule="exact"/>
        <w:rPr>
          <w:sz w:val="20"/>
          <w:szCs w:val="20"/>
          <w:color w:val="auto"/>
        </w:rPr>
      </w:pPr>
    </w:p>
    <w:p>
      <w:pPr>
        <w:ind w:right="380" w:firstLine="312"/>
        <w:spacing w:after="0" w:line="270" w:lineRule="auto"/>
        <w:rPr>
          <w:sz w:val="20"/>
          <w:szCs w:val="20"/>
          <w:color w:val="auto"/>
        </w:rPr>
      </w:pPr>
      <w:r>
        <w:rPr>
          <w:rFonts w:ascii="Arial" w:cs="Arial" w:eastAsia="Arial" w:hAnsi="Arial"/>
          <w:sz w:val="17"/>
          <w:szCs w:val="17"/>
          <w:color w:val="auto"/>
        </w:rPr>
        <w:t>We incorporate by reference into this annual report on Form 20-F the description of our Articles of Association contained in our Registration Statement on Form F-1 (File No. 333-211714) filed with the SEC on September 23, 2016. Such description sets forth a summary of certain provisions of our articles of association as currently in effect.</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5"/>
          <w:szCs w:val="15"/>
          <w:b w:val="1"/>
          <w:bCs w:val="1"/>
          <w:color w:val="auto"/>
        </w:rPr>
        <w:t>Material contracts</w:t>
      </w:r>
    </w:p>
    <w:p>
      <w:pPr>
        <w:spacing w:after="0" w:line="227" w:lineRule="exact"/>
        <w:rPr>
          <w:sz w:val="20"/>
          <w:szCs w:val="20"/>
          <w:color w:val="auto"/>
        </w:rPr>
      </w:pPr>
    </w:p>
    <w:p>
      <w:pPr>
        <w:ind w:right="100" w:firstLine="312"/>
        <w:spacing w:after="0" w:line="286" w:lineRule="auto"/>
        <w:rPr>
          <w:sz w:val="20"/>
          <w:szCs w:val="20"/>
          <w:color w:val="auto"/>
        </w:rPr>
      </w:pPr>
      <w:r>
        <w:rPr>
          <w:rFonts w:ascii="Arial" w:cs="Arial" w:eastAsia="Arial" w:hAnsi="Arial"/>
          <w:sz w:val="17"/>
          <w:szCs w:val="17"/>
          <w:color w:val="auto"/>
        </w:rPr>
        <w:t>Except as otherwise disclosed in this Annual Report on Form 20-F (including the Exhibits), we are not currently, and have not been in the last two years, party to any material contract, other than contracts entered into in the ordinary course of business.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7" w:name="page128"/>
    <w:bookmarkEnd w:id="127"/>
    <w:p>
      <w:pPr>
        <w:spacing w:after="0"/>
        <w:tabs>
          <w:tab w:leader="none" w:pos="300" w:val="left"/>
        </w:tabs>
        <w:rPr>
          <w:sz w:val="20"/>
          <w:szCs w:val="20"/>
          <w:color w:val="auto"/>
        </w:rPr>
      </w:pPr>
      <w:r>
        <w:rPr>
          <w:rFonts w:ascii="Arial" w:cs="Arial" w:eastAsia="Arial" w:hAnsi="Arial"/>
          <w:sz w:val="17"/>
          <w:szCs w:val="17"/>
          <w:b w:val="1"/>
          <w:bCs w:val="1"/>
          <w:color w:val="auto"/>
        </w:rPr>
        <w:t>D.</w:t>
      </w:r>
      <w:r>
        <w:rPr>
          <w:sz w:val="20"/>
          <w:szCs w:val="20"/>
          <w:color w:val="auto"/>
        </w:rPr>
        <w:tab/>
      </w:r>
      <w:r>
        <w:rPr>
          <w:rFonts w:ascii="Arial" w:cs="Arial" w:eastAsia="Arial" w:hAnsi="Arial"/>
          <w:sz w:val="15"/>
          <w:szCs w:val="15"/>
          <w:b w:val="1"/>
          <w:bCs w:val="1"/>
          <w:color w:val="auto"/>
        </w:rPr>
        <w:t>Exchange controls</w:t>
      </w:r>
    </w:p>
    <w:p>
      <w:pPr>
        <w:spacing w:after="0" w:line="227" w:lineRule="exact"/>
        <w:rPr>
          <w:sz w:val="20"/>
          <w:szCs w:val="20"/>
          <w:color w:val="auto"/>
        </w:rPr>
      </w:pPr>
    </w:p>
    <w:p>
      <w:pPr>
        <w:jc w:val="both"/>
        <w:ind w:right="340" w:firstLine="312"/>
        <w:spacing w:after="0" w:line="270" w:lineRule="auto"/>
        <w:rPr>
          <w:sz w:val="20"/>
          <w:szCs w:val="20"/>
          <w:color w:val="auto"/>
        </w:rPr>
      </w:pPr>
      <w:r>
        <w:rPr>
          <w:rFonts w:ascii="Arial" w:cs="Arial" w:eastAsia="Arial" w:hAnsi="Arial"/>
          <w:sz w:val="17"/>
          <w:szCs w:val="17"/>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E.</w:t>
      </w:r>
      <w:r>
        <w:rPr>
          <w:sz w:val="20"/>
          <w:szCs w:val="20"/>
          <w:color w:val="auto"/>
        </w:rPr>
        <w:tab/>
      </w:r>
      <w:r>
        <w:rPr>
          <w:rFonts w:ascii="Arial" w:cs="Arial" w:eastAsia="Arial" w:hAnsi="Arial"/>
          <w:sz w:val="15"/>
          <w:szCs w:val="15"/>
          <w:b w:val="1"/>
          <w:bCs w:val="1"/>
          <w:color w:val="auto"/>
        </w:rPr>
        <w:t>Taxation</w:t>
      </w:r>
    </w:p>
    <w:p>
      <w:pPr>
        <w:spacing w:after="0" w:line="227" w:lineRule="exact"/>
        <w:rPr>
          <w:sz w:val="20"/>
          <w:szCs w:val="20"/>
          <w:color w:val="auto"/>
        </w:rPr>
      </w:pPr>
    </w:p>
    <w:p>
      <w:pPr>
        <w:ind w:right="60" w:firstLine="312"/>
        <w:spacing w:after="0" w:line="265" w:lineRule="auto"/>
        <w:rPr>
          <w:sz w:val="20"/>
          <w:szCs w:val="20"/>
          <w:color w:val="auto"/>
        </w:rPr>
      </w:pPr>
      <w:r>
        <w:rPr>
          <w:rFonts w:ascii="Arial" w:cs="Arial" w:eastAsia="Arial" w:hAnsi="Arial"/>
          <w:sz w:val="17"/>
          <w:szCs w:val="17"/>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United States and regulations thereunder as of the date hereof, which are subject to change.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AC Immune SA</w:t>
      </w:r>
    </w:p>
    <w:p>
      <w:pPr>
        <w:spacing w:after="0" w:line="227"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As disclosed in Note 14 of the financial statements, the Company has tax losses which are subject to expiration. These tax losses represent potential value to the Company to the extent that the Company is able to create taxable profits before the expiry period of these tax losses.</w:t>
      </w:r>
    </w:p>
    <w:p>
      <w:pPr>
        <w:spacing w:after="0" w:line="158" w:lineRule="exact"/>
        <w:rPr>
          <w:sz w:val="20"/>
          <w:szCs w:val="20"/>
          <w:color w:val="auto"/>
        </w:rPr>
      </w:pPr>
    </w:p>
    <w:p>
      <w:pPr>
        <w:ind w:right="580" w:firstLine="312"/>
        <w:spacing w:after="0" w:line="286" w:lineRule="auto"/>
        <w:rPr>
          <w:sz w:val="20"/>
          <w:szCs w:val="20"/>
          <w:color w:val="auto"/>
        </w:rPr>
      </w:pPr>
      <w:r>
        <w:rPr>
          <w:rFonts w:ascii="Arial" w:cs="Arial" w:eastAsia="Arial" w:hAnsi="Arial"/>
          <w:sz w:val="17"/>
          <w:szCs w:val="17"/>
          <w:color w:val="auto"/>
        </w:rPr>
        <w:t>Consistent with prior years, the Company has not recognized any deferred tax asset relating to tax losses available for offset against future profits as the recognition criteria have not been met as of the balance sheet date.</w:t>
      </w:r>
    </w:p>
    <w:p>
      <w:pPr>
        <w:spacing w:after="0" w:line="158" w:lineRule="exact"/>
        <w:rPr>
          <w:sz w:val="20"/>
          <w:szCs w:val="20"/>
          <w:color w:val="auto"/>
        </w:rPr>
      </w:pPr>
    </w:p>
    <w:p>
      <w:pPr>
        <w:ind w:right="180" w:firstLine="312"/>
        <w:spacing w:after="0" w:line="263" w:lineRule="auto"/>
        <w:rPr>
          <w:sz w:val="20"/>
          <w:szCs w:val="20"/>
          <w:color w:val="auto"/>
        </w:rPr>
      </w:pPr>
      <w:r>
        <w:rPr>
          <w:rFonts w:ascii="Arial" w:cs="Arial" w:eastAsia="Arial" w:hAnsi="Arial"/>
          <w:sz w:val="17"/>
          <w:szCs w:val="17"/>
          <w:color w:val="auto"/>
        </w:rPr>
        <w:t>Switzerland is currently in the process of reforming certain elements of its corporate tax law (Swiss Corporate Tax Reform III, “CTR III”) to align Swiss corporate taxation with international recommendations. The recent dispatch of CTR III included proposed changes which may impact the taxation of AC Immune SA (including the abolition of the holding taxation at cantonal level). Voters in Switzerland rejected a CTR III tax reform proposed by the Swiss Federal government in a national referendum on February 12, 2017. As a result, uncertainty will continue regarding the future level of Swiss corporate income taxes that may apply to us until revised proposals are put forward and gain acceptance.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Swiss Tax Considerations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Swiss federal, cantonal and communal individual income tax and corporate income tax</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Non-Resident Shareholders</w:t>
      </w:r>
    </w:p>
    <w:p>
      <w:pPr>
        <w:spacing w:after="0" w:line="221" w:lineRule="exact"/>
        <w:rPr>
          <w:sz w:val="20"/>
          <w:szCs w:val="20"/>
          <w:color w:val="auto"/>
        </w:rPr>
      </w:pPr>
    </w:p>
    <w:p>
      <w:pPr>
        <w:ind w:right="140" w:firstLine="312"/>
        <w:spacing w:after="0" w:line="259"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xml:space="preserve"> )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wiss Federal Withholding Tax”</w:t>
      </w:r>
      <w:r>
        <w:rPr>
          <w:rFonts w:ascii="Arial" w:cs="Arial" w:eastAsia="Arial" w:hAnsi="Arial"/>
          <w:sz w:val="17"/>
          <w:szCs w:val="17"/>
          <w:color w:val="auto"/>
        </w:rPr>
        <w:t xml:space="preserve"> below for a summary of Swiss federal withholding tax on Dividends, and “—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Resident Private Shareholders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remboursements liés à la réduction de la valeur nominale des actions</w:t>
      </w:r>
      <w:r>
        <w:rPr>
          <w:rFonts w:ascii="Arial" w:cs="Arial" w:eastAsia="Arial" w:hAnsi="Arial"/>
          <w:sz w:val="15"/>
          <w:szCs w:val="15"/>
          <w:color w:val="auto"/>
        </w:rPr>
        <w:t>) and reserves paid out of capital contributions (</w:t>
      </w:r>
      <w:r>
        <w:rPr>
          <w:rFonts w:ascii="Arial" w:cs="Arial" w:eastAsia="Arial" w:hAnsi="Arial"/>
          <w:sz w:val="15"/>
          <w:szCs w:val="15"/>
          <w:i w:val="1"/>
          <w:iCs w:val="1"/>
          <w:color w:val="auto"/>
        </w:rPr>
        <w:t>Apports de capital</w:t>
      </w:r>
      <w:r>
        <w:rPr>
          <w:rFonts w:ascii="Arial" w:cs="Arial" w:eastAsia="Arial" w:hAnsi="Arial"/>
          <w:sz w:val="15"/>
          <w:szCs w:val="15"/>
          <w:color w:val="auto"/>
        </w:rPr>
        <w:t>), in their personal income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tax return and are subject to Swiss federal, cantonal and communal income tax on any net taxable income for the relevant taxation period, including the Dividends,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income tax, and conversely, capital losses are not tax-deductible for Resident Private Shareholders (the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8" w:name="page129"/>
    <w:bookmarkEnd w:id="128"/>
    <w:p>
      <w:pPr>
        <w:ind w:right="20"/>
        <w:spacing w:after="0" w:line="319" w:lineRule="auto"/>
        <w:rPr>
          <w:sz w:val="20"/>
          <w:szCs w:val="20"/>
          <w:color w:val="auto"/>
        </w:rPr>
      </w:pPr>
      <w:r>
        <w:rPr>
          <w:rFonts w:ascii="Arial" w:cs="Arial" w:eastAsia="Arial" w:hAnsi="Arial"/>
          <w:sz w:val="16"/>
          <w:szCs w:val="16"/>
          <w:color w:val="auto"/>
        </w:rPr>
        <w:t xml:space="preserve">shareholders referred to in this paragraph for the purposes of this section, “Resident Private Shareholders”). See “—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Domestic Commercial Shareholders</w:t>
      </w:r>
    </w:p>
    <w:p>
      <w:pPr>
        <w:spacing w:after="0" w:line="221" w:lineRule="exact"/>
        <w:rPr>
          <w:sz w:val="20"/>
          <w:szCs w:val="20"/>
          <w:color w:val="auto"/>
        </w:rPr>
      </w:pPr>
    </w:p>
    <w:p>
      <w:pPr>
        <w:ind w:right="120" w:firstLine="312"/>
        <w:spacing w:after="0" w:line="275"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w:t>
      </w:r>
      <w:r>
        <w:rPr>
          <w:rFonts w:ascii="Arial" w:cs="Arial" w:eastAsia="Arial" w:hAnsi="Arial"/>
          <w:sz w:val="16"/>
          <w:szCs w:val="16"/>
          <w:color w:val="auto"/>
        </w:rPr>
        <w:t xml:space="preserve"> </w:t>
      </w:r>
      <w:r>
        <w:rPr>
          <w:rFonts w:ascii="Arial" w:cs="Arial" w:eastAsia="Arial" w:hAnsi="Arial"/>
          <w:sz w:val="16"/>
          <w:szCs w:val="16"/>
          <w:i w:val="1"/>
          <w:iCs w:val="1"/>
          <w:color w:val="auto"/>
        </w:rPr>
        <w:t>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the Shares held by them as part of a Swiss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have an aggregate market value of at least CHF 1 million.</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Swiss cantonal and communal private wealth tax and capital tax</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Non-Resident Shareholders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Non-Resident Shareholders, in principle, are not subject to Swiss cantonal and communal private wealth tax or capital tax.</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Resident Private Shareholders and Domestic Commercial Shareholders</w:t>
      </w:r>
    </w:p>
    <w:p>
      <w:pPr>
        <w:spacing w:after="0" w:line="221" w:lineRule="exact"/>
        <w:rPr>
          <w:sz w:val="20"/>
          <w:szCs w:val="20"/>
          <w:color w:val="auto"/>
        </w:rPr>
      </w:pPr>
    </w:p>
    <w:p>
      <w:pPr>
        <w:ind w:right="80" w:firstLine="312"/>
        <w:spacing w:after="0" w:line="311" w:lineRule="auto"/>
        <w:rPr>
          <w:sz w:val="20"/>
          <w:szCs w:val="20"/>
          <w:color w:val="auto"/>
        </w:rPr>
      </w:pPr>
      <w:r>
        <w:rPr>
          <w:rFonts w:ascii="Arial" w:cs="Arial" w:eastAsia="Arial" w:hAnsi="Arial"/>
          <w:sz w:val="15"/>
          <w:szCs w:val="15"/>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Swiss Federal Withholding Tax</w:t>
      </w:r>
    </w:p>
    <w:p>
      <w:pPr>
        <w:spacing w:after="0" w:line="221" w:lineRule="exact"/>
        <w:rPr>
          <w:sz w:val="20"/>
          <w:szCs w:val="20"/>
          <w:color w:val="auto"/>
        </w:rPr>
      </w:pPr>
    </w:p>
    <w:p>
      <w:pPr>
        <w:ind w:right="220" w:firstLine="312"/>
        <w:spacing w:after="0" w:line="265" w:lineRule="auto"/>
        <w:rPr>
          <w:sz w:val="20"/>
          <w:szCs w:val="20"/>
          <w:color w:val="auto"/>
        </w:rPr>
      </w:pPr>
      <w:r>
        <w:rPr>
          <w:rFonts w:ascii="Arial" w:cs="Arial" w:eastAsia="Arial" w:hAnsi="Arial"/>
          <w:sz w:val="17"/>
          <w:szCs w:val="17"/>
          <w:color w:val="auto"/>
        </w:rPr>
        <w:t xml:space="preserve">Dividends that the Company pays on the Shares are subject to Swiss Federal withholding tax </w:t>
      </w:r>
      <w:r>
        <w:rPr>
          <w:rFonts w:ascii="Arial" w:cs="Arial" w:eastAsia="Arial" w:hAnsi="Arial"/>
          <w:sz w:val="17"/>
          <w:szCs w:val="17"/>
          <w:i w:val="1"/>
          <w:iCs w:val="1"/>
          <w:color w:val="auto"/>
        </w:rPr>
        <w:t>(impôt anticipé)</w:t>
      </w:r>
      <w:r>
        <w:rPr>
          <w:rFonts w:ascii="Arial" w:cs="Arial" w:eastAsia="Arial" w:hAnsi="Arial"/>
          <w:sz w:val="17"/>
          <w:szCs w:val="17"/>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are not subject to Swiss federal withholding tax.</w:t>
      </w:r>
    </w:p>
    <w:p>
      <w:pPr>
        <w:spacing w:after="0" w:line="177" w:lineRule="exact"/>
        <w:rPr>
          <w:sz w:val="20"/>
          <w:szCs w:val="20"/>
          <w:color w:val="auto"/>
        </w:rPr>
      </w:pPr>
    </w:p>
    <w:p>
      <w:pPr>
        <w:jc w:val="both"/>
        <w:ind w:right="60" w:firstLine="312"/>
        <w:spacing w:after="0" w:line="270" w:lineRule="auto"/>
        <w:rPr>
          <w:sz w:val="20"/>
          <w:szCs w:val="20"/>
          <w:color w:val="auto"/>
        </w:rPr>
      </w:pPr>
      <w:r>
        <w:rPr>
          <w:rFonts w:ascii="Arial" w:cs="Arial" w:eastAsia="Arial" w:hAnsi="Arial"/>
          <w:sz w:val="17"/>
          <w:szCs w:val="17"/>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as a condition to a refund, duly reports the Dividend in his individual income tax return as income or recognizes the Dividend in his income statement as earnings, as applicable.</w:t>
      </w:r>
    </w:p>
    <w:p>
      <w:pPr>
        <w:spacing w:after="0" w:line="173" w:lineRule="exact"/>
        <w:rPr>
          <w:sz w:val="20"/>
          <w:szCs w:val="20"/>
          <w:color w:val="auto"/>
        </w:rPr>
      </w:pPr>
    </w:p>
    <w:p>
      <w:pPr>
        <w:ind w:firstLine="312"/>
        <w:spacing w:after="0" w:line="306" w:lineRule="auto"/>
        <w:rPr>
          <w:sz w:val="20"/>
          <w:szCs w:val="20"/>
          <w:color w:val="auto"/>
        </w:rPr>
      </w:pPr>
      <w:r>
        <w:rPr>
          <w:rFonts w:ascii="Arial" w:cs="Arial" w:eastAsia="Arial" w:hAnsi="Arial"/>
          <w:sz w:val="15"/>
          <w:szCs w:val="15"/>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29" w:name="page130"/>
    <w:bookmarkEnd w:id="129"/>
    <w:p>
      <w:pPr>
        <w:ind w:right="80"/>
        <w:spacing w:after="0" w:line="263" w:lineRule="auto"/>
        <w:rPr>
          <w:sz w:val="20"/>
          <w:szCs w:val="20"/>
          <w:color w:val="auto"/>
        </w:rPr>
      </w:pPr>
      <w:r>
        <w:rPr>
          <w:rFonts w:ascii="Arial" w:cs="Arial" w:eastAsia="Arial" w:hAnsi="Arial"/>
          <w:sz w:val="17"/>
          <w:szCs w:val="17"/>
          <w:color w:val="auto"/>
        </w:rPr>
        <w:t>owner of the Dividends; (ii) holds,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Swiss Federal Stamp Taxes</w:t>
      </w:r>
    </w:p>
    <w:p>
      <w:pPr>
        <w:spacing w:after="0" w:line="221" w:lineRule="exact"/>
        <w:rPr>
          <w:sz w:val="20"/>
          <w:szCs w:val="20"/>
          <w:color w:val="auto"/>
        </w:rPr>
      </w:pPr>
    </w:p>
    <w:p>
      <w:pPr>
        <w:jc w:val="both"/>
        <w:ind w:right="540" w:firstLine="312"/>
        <w:spacing w:after="0" w:line="295" w:lineRule="auto"/>
        <w:rPr>
          <w:sz w:val="20"/>
          <w:szCs w:val="20"/>
          <w:color w:val="auto"/>
        </w:rPr>
      </w:pPr>
      <w:r>
        <w:rPr>
          <w:rFonts w:ascii="Arial" w:cs="Arial" w:eastAsia="Arial" w:hAnsi="Arial"/>
          <w:sz w:val="16"/>
          <w:szCs w:val="16"/>
          <w:color w:val="auto"/>
        </w:rPr>
        <w:t>The Company will be subject to and pay to the Swiss Federal Tax Administration a 1% Swiss federal issuance stamp tax (</w:t>
      </w:r>
      <w:r>
        <w:rPr>
          <w:rFonts w:ascii="Arial" w:cs="Arial" w:eastAsia="Arial" w:hAnsi="Arial"/>
          <w:sz w:val="16"/>
          <w:szCs w:val="16"/>
          <w:i w:val="1"/>
          <w:iCs w:val="1"/>
          <w:color w:val="auto"/>
        </w:rPr>
        <w:t>taxe sur les émissions</w:t>
      </w:r>
      <w:r>
        <w:rPr>
          <w:rFonts w:ascii="Arial" w:cs="Arial" w:eastAsia="Arial" w:hAnsi="Arial"/>
          <w:sz w:val="16"/>
          <w:szCs w:val="16"/>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6"/>
          <w:szCs w:val="16"/>
          <w:i w:val="1"/>
          <w:iCs w:val="1"/>
          <w:color w:val="auto"/>
        </w:rPr>
        <w:t>droit de timbre de négociation</w:t>
      </w:r>
      <w:r>
        <w:rPr>
          <w:rFonts w:ascii="Arial" w:cs="Arial" w:eastAsia="Arial" w:hAnsi="Arial"/>
          <w:sz w:val="16"/>
          <w:szCs w:val="16"/>
          <w:color w:val="auto"/>
        </w:rPr>
        <w:t>).</w:t>
      </w:r>
    </w:p>
    <w:p>
      <w:pPr>
        <w:spacing w:after="0" w:line="154" w:lineRule="exact"/>
        <w:rPr>
          <w:sz w:val="20"/>
          <w:szCs w:val="20"/>
          <w:color w:val="auto"/>
        </w:rPr>
      </w:pPr>
    </w:p>
    <w:p>
      <w:pPr>
        <w:ind w:right="360" w:firstLine="312"/>
        <w:spacing w:after="0" w:line="270" w:lineRule="auto"/>
        <w:rPr>
          <w:sz w:val="20"/>
          <w:szCs w:val="20"/>
          <w:color w:val="auto"/>
        </w:rPr>
      </w:pPr>
      <w:r>
        <w:rPr>
          <w:rFonts w:ascii="Arial" w:cs="Arial" w:eastAsia="Arial" w:hAnsi="Arial"/>
          <w:sz w:val="17"/>
          <w:szCs w:val="17"/>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Foreign Final Withholding Tax</w:t>
      </w:r>
    </w:p>
    <w:p>
      <w:pPr>
        <w:spacing w:after="0" w:line="221" w:lineRule="exact"/>
        <w:rPr>
          <w:sz w:val="20"/>
          <w:szCs w:val="20"/>
          <w:color w:val="auto"/>
        </w:rPr>
      </w:pPr>
    </w:p>
    <w:p>
      <w:pPr>
        <w:ind w:right="60" w:firstLine="312"/>
        <w:spacing w:after="0" w:line="293" w:lineRule="auto"/>
        <w:rPr>
          <w:sz w:val="20"/>
          <w:szCs w:val="20"/>
          <w:color w:val="auto"/>
        </w:rPr>
      </w:pPr>
      <w:r>
        <w:rPr>
          <w:rFonts w:ascii="Arial" w:cs="Arial" w:eastAsia="Arial" w:hAnsi="Arial"/>
          <w:sz w:val="15"/>
          <w:szCs w:val="15"/>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5"/>
          <w:szCs w:val="15"/>
          <w:i w:val="1"/>
          <w:iCs w:val="1"/>
          <w:color w:val="auto"/>
        </w:rPr>
        <w:t>impôt libératoire</w:t>
      </w:r>
      <w:r>
        <w:rPr>
          <w:rFonts w:ascii="Arial" w:cs="Arial" w:eastAsia="Arial" w:hAnsi="Arial"/>
          <w:sz w:val="15"/>
          <w:szCs w:val="15"/>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w:t>
      </w:r>
    </w:p>
    <w:p>
      <w:pPr>
        <w:spacing w:after="0" w:line="3" w:lineRule="exact"/>
        <w:rPr>
          <w:sz w:val="20"/>
          <w:szCs w:val="20"/>
          <w:color w:val="auto"/>
        </w:rPr>
      </w:pPr>
    </w:p>
    <w:p>
      <w:pPr>
        <w:ind w:firstLine="4"/>
        <w:spacing w:after="0" w:line="296" w:lineRule="auto"/>
        <w:tabs>
          <w:tab w:leader="none" w:pos="101"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 xml:space="preserve">société de domicile </w:t>
      </w:r>
      <w:r>
        <w:rPr>
          <w:rFonts w:ascii="Arial" w:cs="Arial" w:eastAsia="Arial" w:hAnsi="Arial"/>
          <w:sz w:val="15"/>
          <w:szCs w:val="15"/>
          <w:color w:val="auto"/>
        </w:rPr>
        <w:t>), an insurance company in connection with a so-called insurance wrapper (</w:t>
      </w:r>
      <w:r>
        <w:rPr>
          <w:rFonts w:ascii="Arial" w:cs="Arial" w:eastAsia="Arial" w:hAnsi="Arial"/>
          <w:sz w:val="15"/>
          <w:szCs w:val="15"/>
          <w:i w:val="1"/>
          <w:iCs w:val="1"/>
          <w:color w:val="auto"/>
        </w:rPr>
        <w:t>contrat d’assurance vie utilisé comme enveloppe</w:t>
      </w:r>
      <w:r>
        <w:rPr>
          <w:rFonts w:ascii="Arial" w:cs="Arial" w:eastAsia="Arial" w:hAnsi="Arial"/>
          <w:sz w:val="15"/>
          <w:szCs w:val="15"/>
          <w:color w:val="auto"/>
        </w:rPr>
        <w:t>)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individuals if the beneficial owner is an individual resident in a Contracting State. The flat-rate tax withheld substitutes the ordinary 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U.S. Federal Income Tax Considerations for U.S. Holders</w:t>
      </w:r>
    </w:p>
    <w:p>
      <w:pPr>
        <w:spacing w:after="0" w:line="227" w:lineRule="exact"/>
        <w:rPr>
          <w:sz w:val="20"/>
          <w:szCs w:val="20"/>
          <w:color w:val="auto"/>
        </w:rPr>
      </w:pPr>
    </w:p>
    <w:p>
      <w:pPr>
        <w:ind w:right="180" w:firstLine="312"/>
        <w:spacing w:after="0" w:line="286" w:lineRule="auto"/>
        <w:rPr>
          <w:sz w:val="20"/>
          <w:szCs w:val="20"/>
          <w:color w:val="auto"/>
        </w:rPr>
      </w:pPr>
      <w:r>
        <w:rPr>
          <w:rFonts w:ascii="Arial" w:cs="Arial" w:eastAsia="Arial" w:hAnsi="Arial"/>
          <w:sz w:val="17"/>
          <w:szCs w:val="17"/>
          <w:color w:val="auto"/>
        </w:rPr>
        <w:t>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58" w:lineRule="exact"/>
        <w:rPr>
          <w:sz w:val="20"/>
          <w:szCs w:val="20"/>
          <w:color w:val="auto"/>
        </w:rPr>
      </w:pPr>
    </w:p>
    <w:p>
      <w:pPr>
        <w:ind w:right="100" w:firstLine="312"/>
        <w:spacing w:after="0" w:line="265" w:lineRule="auto"/>
        <w:rPr>
          <w:sz w:val="20"/>
          <w:szCs w:val="20"/>
          <w:color w:val="auto"/>
        </w:rPr>
      </w:pPr>
      <w:r>
        <w:rPr>
          <w:rFonts w:ascii="Arial" w:cs="Arial" w:eastAsia="Arial" w:hAnsi="Arial"/>
          <w:sz w:val="17"/>
          <w:szCs w:val="17"/>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77" w:lineRule="exact"/>
        <w:rPr>
          <w:sz w:val="20"/>
          <w:szCs w:val="20"/>
          <w:color w:val="auto"/>
        </w:rPr>
      </w:pPr>
    </w:p>
    <w:p>
      <w:pPr>
        <w:ind w:left="620" w:hanging="304"/>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certain financial institutions;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dealers or traders in securities who use a mark-to-market method of tax accounting;</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30" w:name="page131"/>
    <w:bookmarkEnd w:id="130"/>
    <w:p>
      <w:pPr>
        <w:ind w:left="620" w:right="360" w:hanging="304"/>
        <w:spacing w:after="0" w:line="286" w:lineRule="auto"/>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persons holding common shares as part of a hedging transaction, straddle, wash sale, conversion transaction or other integrated transaction or persons entering into a constructive sale with respect to the common shares;</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U.S. Holder whose functional currency for U.S. federal income tax purposes is not the U.S. dollar;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entities classified as partnerships for U.S. federal income tax purposes;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tax-exempt entities, including an “individual retirement account” or “Roth IRA”;</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persons that own or are deemed to own ten percent or more of our voting shares; 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persons holding common shares in connection with a trade or business conducted outside of the United States.</w:t>
      </w:r>
    </w:p>
    <w:p>
      <w:pPr>
        <w:spacing w:after="0" w:line="221" w:lineRule="exact"/>
        <w:rPr>
          <w:sz w:val="20"/>
          <w:szCs w:val="20"/>
          <w:color w:val="auto"/>
        </w:rPr>
      </w:pPr>
    </w:p>
    <w:p>
      <w:pPr>
        <w:ind w:right="20" w:firstLine="312"/>
        <w:spacing w:after="0" w:line="295"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54" w:lineRule="exact"/>
        <w:rPr>
          <w:sz w:val="20"/>
          <w:szCs w:val="20"/>
          <w:color w:val="auto"/>
        </w:rPr>
      </w:pPr>
    </w:p>
    <w:p>
      <w:pPr>
        <w:jc w:val="both"/>
        <w:ind w:right="80" w:firstLine="312"/>
        <w:spacing w:after="0" w:line="270" w:lineRule="auto"/>
        <w:rPr>
          <w:sz w:val="20"/>
          <w:szCs w:val="20"/>
          <w:color w:val="auto"/>
        </w:rPr>
      </w:pPr>
      <w:r>
        <w:rPr>
          <w:rFonts w:ascii="Arial" w:cs="Arial" w:eastAsia="Arial" w:hAnsi="Arial"/>
          <w:sz w:val="17"/>
          <w:szCs w:val="17"/>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73" w:lineRule="exact"/>
        <w:rPr>
          <w:sz w:val="20"/>
          <w:szCs w:val="20"/>
          <w:color w:val="auto"/>
        </w:rPr>
      </w:pPr>
    </w:p>
    <w:p>
      <w:pPr>
        <w:ind w:right="180" w:firstLine="312"/>
        <w:spacing w:after="0" w:line="286" w:lineRule="auto"/>
        <w:rPr>
          <w:sz w:val="20"/>
          <w:szCs w:val="20"/>
          <w:color w:val="auto"/>
        </w:rPr>
      </w:pPr>
      <w:r>
        <w:rPr>
          <w:rFonts w:ascii="Arial" w:cs="Arial" w:eastAsia="Arial" w:hAnsi="Arial"/>
          <w:sz w:val="17"/>
          <w:szCs w:val="17"/>
          <w:color w:val="auto"/>
        </w:rPr>
        <w:t>A “U.S. Holder” is a holder who, for U.S. federal income tax purposes, is a beneficial owner of common shares, who is eligible for the benefits of the Treaty and who is:</w:t>
      </w:r>
    </w:p>
    <w:p>
      <w:pPr>
        <w:spacing w:after="0" w:line="158" w:lineRule="exact"/>
        <w:rPr>
          <w:sz w:val="20"/>
          <w:szCs w:val="20"/>
          <w:color w:val="auto"/>
        </w:rPr>
      </w:pPr>
    </w:p>
    <w:p>
      <w:pPr>
        <w:ind w:left="620" w:hanging="304"/>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citizen or individual resident of the United States;</w:t>
      </w:r>
    </w:p>
    <w:p>
      <w:pPr>
        <w:spacing w:after="0" w:line="220" w:lineRule="exact"/>
        <w:rPr>
          <w:rFonts w:ascii="Arial" w:cs="Arial" w:eastAsia="Arial" w:hAnsi="Arial"/>
          <w:sz w:val="17"/>
          <w:szCs w:val="17"/>
          <w:color w:val="auto"/>
        </w:rPr>
      </w:pPr>
    </w:p>
    <w:p>
      <w:pPr>
        <w:ind w:left="620" w:right="300" w:hanging="304"/>
        <w:spacing w:after="0" w:line="286" w:lineRule="auto"/>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or under the laws of the United States, any state therein or the District of Columbia; or</w:t>
      </w:r>
    </w:p>
    <w:p>
      <w:pPr>
        <w:spacing w:after="0" w:line="158" w:lineRule="exact"/>
        <w:rPr>
          <w:rFonts w:ascii="Arial" w:cs="Arial" w:eastAsia="Arial" w:hAnsi="Arial"/>
          <w:sz w:val="17"/>
          <w:szCs w:val="17"/>
          <w:color w:val="auto"/>
        </w:rPr>
      </w:pPr>
    </w:p>
    <w:p>
      <w:pPr>
        <w:ind w:left="620" w:hanging="304"/>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estate or trust the income of which is subject to U.S. federal income taxation regardless of its source.</w:t>
      </w:r>
    </w:p>
    <w:p>
      <w:pPr>
        <w:spacing w:after="0" w:line="221" w:lineRule="exact"/>
        <w:rPr>
          <w:sz w:val="20"/>
          <w:szCs w:val="20"/>
          <w:color w:val="auto"/>
        </w:rPr>
      </w:pPr>
    </w:p>
    <w:p>
      <w:pPr>
        <w:ind w:right="280" w:firstLine="312"/>
        <w:spacing w:after="0" w:line="286" w:lineRule="auto"/>
        <w:rPr>
          <w:sz w:val="20"/>
          <w:szCs w:val="20"/>
          <w:color w:val="auto"/>
        </w:rPr>
      </w:pPr>
      <w:r>
        <w:rPr>
          <w:rFonts w:ascii="Arial" w:cs="Arial" w:eastAsia="Arial" w:hAnsi="Arial"/>
          <w:sz w:val="17"/>
          <w:szCs w:val="17"/>
          <w:color w:val="auto"/>
        </w:rPr>
        <w:t>U.S. Holders should consult their tax advisers concerning the U.S. federal, state, local and non-U.S. tax consequences of owning and disposing of common shares in their particular circumstances.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Taxation of Distributions</w:t>
      </w:r>
    </w:p>
    <w:p>
      <w:pPr>
        <w:spacing w:after="0" w:line="221" w:lineRule="exact"/>
        <w:rPr>
          <w:sz w:val="20"/>
          <w:szCs w:val="20"/>
          <w:color w:val="auto"/>
        </w:rPr>
      </w:pPr>
    </w:p>
    <w:p>
      <w:pPr>
        <w:ind w:firstLine="312"/>
        <w:spacing w:after="0" w:line="279" w:lineRule="auto"/>
        <w:rPr>
          <w:sz w:val="20"/>
          <w:szCs w:val="20"/>
          <w:color w:val="auto"/>
        </w:rPr>
      </w:pPr>
      <w:r>
        <w:rPr>
          <w:rFonts w:ascii="Arial" w:cs="Arial" w:eastAsia="Arial" w:hAnsi="Arial"/>
          <w:sz w:val="16"/>
          <w:szCs w:val="16"/>
          <w:color w:val="auto"/>
        </w:rPr>
        <w:t>As discussed above under “Dividends and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68" w:lineRule="exact"/>
        <w:rPr>
          <w:sz w:val="20"/>
          <w:szCs w:val="20"/>
          <w:color w:val="auto"/>
        </w:rPr>
      </w:pPr>
    </w:p>
    <w:p>
      <w:pPr>
        <w:ind w:firstLine="312"/>
        <w:spacing w:after="0" w:line="280" w:lineRule="auto"/>
        <w:rPr>
          <w:sz w:val="20"/>
          <w:szCs w:val="20"/>
          <w:color w:val="auto"/>
        </w:rPr>
      </w:pPr>
      <w:r>
        <w:rPr>
          <w:rFonts w:ascii="Arial" w:cs="Arial" w:eastAsia="Arial" w:hAnsi="Arial"/>
          <w:sz w:val="16"/>
          <w:szCs w:val="16"/>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9" w:right="299" w:bottom="1440" w:gutter="0" w:footer="0" w:header="0"/>
        </w:sectPr>
      </w:pPr>
    </w:p>
    <w:bookmarkStart w:id="131" w:name="page132"/>
    <w:bookmarkEnd w:id="131"/>
    <w:p>
      <w:pPr>
        <w:ind w:right="60"/>
        <w:spacing w:after="0" w:line="286" w:lineRule="auto"/>
        <w:rPr>
          <w:sz w:val="20"/>
          <w:szCs w:val="20"/>
          <w:color w:val="auto"/>
        </w:rPr>
      </w:pPr>
      <w:r>
        <w:rPr>
          <w:rFonts w:ascii="Arial" w:cs="Arial" w:eastAsia="Arial" w:hAnsi="Arial"/>
          <w:sz w:val="17"/>
          <w:szCs w:val="17"/>
          <w:color w:val="auto"/>
        </w:rPr>
        <w:t>Holder should not be required to recognize foreign currency gain or loss in respect of the dividend income. A U.S. Holder may have foreign currency gain or loss if the dividend is converted into U.S. dollars after the date of receipt.</w:t>
      </w:r>
    </w:p>
    <w:p>
      <w:pPr>
        <w:spacing w:after="0" w:line="158" w:lineRule="exact"/>
        <w:rPr>
          <w:sz w:val="20"/>
          <w:szCs w:val="20"/>
          <w:color w:val="auto"/>
        </w:rPr>
      </w:pPr>
    </w:p>
    <w:p>
      <w:pPr>
        <w:ind w:right="80" w:firstLine="312"/>
        <w:spacing w:after="0" w:line="261"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Sale or Other Disposition of Common Shares</w:t>
      </w:r>
    </w:p>
    <w:p>
      <w:pPr>
        <w:spacing w:after="0" w:line="221" w:lineRule="exact"/>
        <w:rPr>
          <w:sz w:val="20"/>
          <w:szCs w:val="20"/>
          <w:color w:val="auto"/>
        </w:rPr>
      </w:pPr>
    </w:p>
    <w:p>
      <w:pPr>
        <w:ind w:right="40" w:firstLine="312"/>
        <w:spacing w:after="0" w:line="263" w:lineRule="auto"/>
        <w:rPr>
          <w:sz w:val="20"/>
          <w:szCs w:val="20"/>
          <w:color w:val="auto"/>
        </w:rPr>
      </w:pPr>
      <w:r>
        <w:rPr>
          <w:rFonts w:ascii="Arial" w:cs="Arial" w:eastAsia="Arial" w:hAnsi="Arial"/>
          <w:sz w:val="17"/>
          <w:szCs w:val="17"/>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Passive Foreign Investment Company Rules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w:t>
      </w:r>
    </w:p>
    <w:p>
      <w:pPr>
        <w:spacing w:after="0" w:line="36" w:lineRule="exact"/>
        <w:rPr>
          <w:sz w:val="20"/>
          <w:szCs w:val="20"/>
          <w:color w:val="auto"/>
        </w:rPr>
      </w:pPr>
    </w:p>
    <w:p>
      <w:pPr>
        <w:ind w:firstLine="4"/>
        <w:spacing w:after="0" w:line="274" w:lineRule="auto"/>
        <w:tabs>
          <w:tab w:leader="none" w:pos="207" w:val="left"/>
        </w:tabs>
        <w:numPr>
          <w:ilvl w:val="0"/>
          <w:numId w:val="98"/>
        </w:numPr>
        <w:rPr>
          <w:rFonts w:ascii="Arial" w:cs="Arial" w:eastAsia="Arial" w:hAnsi="Arial"/>
          <w:sz w:val="16"/>
          <w:szCs w:val="16"/>
          <w:color w:val="auto"/>
        </w:rPr>
      </w:pPr>
      <w:r>
        <w:rPr>
          <w:rFonts w:ascii="Arial" w:cs="Arial" w:eastAsia="Arial" w:hAnsi="Arial"/>
          <w:sz w:val="16"/>
          <w:szCs w:val="16"/>
          <w:color w:val="auto"/>
        </w:rPr>
        <w:t>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2016 taxable year and do not expect to be a PFIC in the immediately foreseeable future. However, there can be no assurance that the IRS will agree with our conclusion. In addition, whether we will be a PFIC in 2017 or any future years is uncertain because, among other things, (i) we currently own, and will own after the completion of the IPO,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74" w:lineRule="exact"/>
        <w:rPr>
          <w:sz w:val="20"/>
          <w:szCs w:val="20"/>
          <w:color w:val="auto"/>
        </w:rPr>
      </w:pPr>
    </w:p>
    <w:p>
      <w:pPr>
        <w:ind w:right="300" w:firstLine="312"/>
        <w:spacing w:after="0" w:line="286"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w:t>
      </w:r>
    </w:p>
    <w:p>
      <w:pPr>
        <w:spacing w:after="0" w:line="158" w:lineRule="exact"/>
        <w:rPr>
          <w:sz w:val="20"/>
          <w:szCs w:val="20"/>
          <w:color w:val="auto"/>
        </w:rPr>
      </w:pPr>
    </w:p>
    <w:p>
      <w:pPr>
        <w:ind w:right="60" w:firstLine="312"/>
        <w:spacing w:after="0" w:line="302" w:lineRule="auto"/>
        <w:rPr>
          <w:sz w:val="20"/>
          <w:szCs w:val="20"/>
          <w:color w:val="auto"/>
        </w:rPr>
      </w:pPr>
      <w:r>
        <w:rPr>
          <w:rFonts w:ascii="Arial" w:cs="Arial" w:eastAsia="Arial" w:hAnsi="Arial"/>
          <w:sz w:val="15"/>
          <w:szCs w:val="15"/>
          <w:color w:val="auto"/>
        </w:rPr>
        <w:t>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55" w:lineRule="exact"/>
        <w:rPr>
          <w:sz w:val="20"/>
          <w:szCs w:val="20"/>
          <w:color w:val="auto"/>
        </w:rPr>
      </w:pPr>
    </w:p>
    <w:p>
      <w:pPr>
        <w:ind w:right="40" w:firstLine="312"/>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32" w:name="page133"/>
    <w:bookmarkEnd w:id="132"/>
    <w:p>
      <w:pPr>
        <w:ind w:right="60"/>
        <w:spacing w:after="0" w:line="261" w:lineRule="auto"/>
        <w:rPr>
          <w:sz w:val="20"/>
          <w:szCs w:val="20"/>
          <w:color w:val="auto"/>
        </w:rPr>
      </w:pPr>
      <w:r>
        <w:rPr>
          <w:rFonts w:ascii="Arial" w:cs="Arial" w:eastAsia="Arial" w:hAnsi="Arial"/>
          <w:sz w:val="17"/>
          <w:szCs w:val="17"/>
          <w:color w:val="auto"/>
        </w:rPr>
        <w:t>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1" w:lineRule="exact"/>
        <w:rPr>
          <w:sz w:val="20"/>
          <w:szCs w:val="20"/>
          <w:color w:val="auto"/>
        </w:rPr>
      </w:pPr>
    </w:p>
    <w:p>
      <w:pPr>
        <w:ind w:right="20" w:firstLine="312"/>
        <w:spacing w:after="0" w:line="261" w:lineRule="auto"/>
        <w:rPr>
          <w:sz w:val="20"/>
          <w:szCs w:val="20"/>
          <w:color w:val="auto"/>
        </w:rPr>
      </w:pPr>
      <w:r>
        <w:rPr>
          <w:rFonts w:ascii="Arial" w:cs="Arial" w:eastAsia="Arial" w:hAnsi="Arial"/>
          <w:sz w:val="17"/>
          <w:szCs w:val="17"/>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81" w:lineRule="exact"/>
        <w:rPr>
          <w:sz w:val="20"/>
          <w:szCs w:val="20"/>
          <w:color w:val="auto"/>
        </w:rPr>
      </w:pPr>
    </w:p>
    <w:p>
      <w:pPr>
        <w:ind w:right="20" w:firstLine="312"/>
        <w:spacing w:after="0" w:line="319"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35" w:lineRule="exact"/>
        <w:rPr>
          <w:sz w:val="20"/>
          <w:szCs w:val="20"/>
          <w:color w:val="auto"/>
        </w:rPr>
      </w:pPr>
    </w:p>
    <w:p>
      <w:pPr>
        <w:ind w:right="60" w:firstLine="312"/>
        <w:spacing w:after="0" w:line="319" w:lineRule="auto"/>
        <w:rPr>
          <w:sz w:val="20"/>
          <w:szCs w:val="20"/>
          <w:color w:val="auto"/>
        </w:rPr>
      </w:pPr>
      <w:r>
        <w:rPr>
          <w:rFonts w:ascii="Arial" w:cs="Arial" w:eastAsia="Arial" w:hAnsi="Arial"/>
          <w:sz w:val="16"/>
          <w:szCs w:val="16"/>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U.S. Holders should consult their tax advisers concerning our potential PFIC status and the potential application of the PFIC rules.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221" w:lineRule="exact"/>
        <w:rPr>
          <w:sz w:val="20"/>
          <w:szCs w:val="20"/>
          <w:color w:val="auto"/>
        </w:rPr>
      </w:pPr>
    </w:p>
    <w:p>
      <w:pPr>
        <w:ind w:firstLine="312"/>
        <w:spacing w:after="0" w:line="295"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54" w:lineRule="exact"/>
        <w:rPr>
          <w:sz w:val="20"/>
          <w:szCs w:val="20"/>
          <w:color w:val="auto"/>
        </w:rPr>
      </w:pPr>
    </w:p>
    <w:p>
      <w:pPr>
        <w:ind w:right="240" w:firstLine="312"/>
        <w:spacing w:after="0" w:line="286" w:lineRule="auto"/>
        <w:rPr>
          <w:sz w:val="20"/>
          <w:szCs w:val="20"/>
          <w:color w:val="auto"/>
        </w:rPr>
      </w:pPr>
      <w:r>
        <w:rPr>
          <w:rFonts w:ascii="Arial" w:cs="Arial" w:eastAsia="Arial" w:hAnsi="Arial"/>
          <w:sz w:val="17"/>
          <w:szCs w:val="17"/>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Information With Respect to Foreign Financial Assets</w:t>
      </w:r>
    </w:p>
    <w:p>
      <w:pPr>
        <w:spacing w:after="0" w:line="221" w:lineRule="exact"/>
        <w:rPr>
          <w:sz w:val="20"/>
          <w:szCs w:val="20"/>
          <w:color w:val="auto"/>
        </w:rPr>
      </w:pPr>
    </w:p>
    <w:p>
      <w:pPr>
        <w:ind w:right="120" w:firstLine="312"/>
        <w:spacing w:after="0" w:line="295" w:lineRule="auto"/>
        <w:rPr>
          <w:sz w:val="20"/>
          <w:szCs w:val="20"/>
          <w:color w:val="auto"/>
        </w:rPr>
      </w:pPr>
      <w:r>
        <w:rPr>
          <w:rFonts w:ascii="Arial" w:cs="Arial" w:eastAsia="Arial" w:hAnsi="Arial"/>
          <w:sz w:val="16"/>
          <w:szCs w:val="16"/>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48" w:lineRule="exact"/>
        <w:rPr>
          <w:sz w:val="20"/>
          <w:szCs w:val="20"/>
          <w:color w:val="auto"/>
        </w:rPr>
      </w:pPr>
    </w:p>
    <w:p>
      <w:pPr>
        <w:ind w:left="320" w:right="8980" w:hanging="316"/>
        <w:spacing w:after="0" w:line="511" w:lineRule="auto"/>
        <w:tabs>
          <w:tab w:leader="none" w:pos="32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Dividends and paying agents </w:t>
      </w:r>
      <w:r>
        <w:rPr>
          <w:rFonts w:ascii="Arial" w:cs="Arial" w:eastAsia="Arial" w:hAnsi="Arial"/>
          <w:sz w:val="17"/>
          <w:szCs w:val="17"/>
          <w:color w:val="auto"/>
        </w:rPr>
        <w:t>Not applicable.</w:t>
      </w:r>
    </w:p>
    <w:p>
      <w:pPr>
        <w:ind w:left="320" w:right="9540" w:hanging="316"/>
        <w:spacing w:after="0" w:line="649" w:lineRule="auto"/>
        <w:tabs>
          <w:tab w:leader="none" w:pos="320" w:val="left"/>
        </w:tabs>
        <w:numPr>
          <w:ilvl w:val="0"/>
          <w:numId w:val="9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Statement by experts </w:t>
      </w:r>
      <w:r>
        <w:rPr>
          <w:rFonts w:ascii="Arial" w:cs="Arial" w:eastAsia="Arial" w:hAnsi="Arial"/>
          <w:sz w:val="15"/>
          <w:szCs w:val="15"/>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color w:val="auto"/>
        </w:rPr>
        <w:t>H.  Documents on display</w:t>
      </w:r>
    </w:p>
    <w:p>
      <w:pPr>
        <w:spacing w:after="0" w:line="227" w:lineRule="exact"/>
        <w:rPr>
          <w:sz w:val="20"/>
          <w:szCs w:val="20"/>
          <w:color w:val="auto"/>
        </w:rPr>
      </w:pPr>
    </w:p>
    <w:p>
      <w:pPr>
        <w:ind w:firstLine="312"/>
        <w:spacing w:after="0" w:line="263" w:lineRule="auto"/>
        <w:rPr>
          <w:sz w:val="20"/>
          <w:szCs w:val="20"/>
          <w:color w:val="auto"/>
        </w:rPr>
      </w:pPr>
      <w:r>
        <w:rPr>
          <w:rFonts w:ascii="Arial" w:cs="Arial" w:eastAsia="Arial" w:hAnsi="Arial"/>
          <w:sz w:val="17"/>
          <w:szCs w:val="17"/>
          <w:color w:val="auto"/>
        </w:rPr>
        <w:t>We are subject to the informational requirements of the Exchange Act. Accordingly, we are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178" w:lineRule="exact"/>
        <w:rPr>
          <w:sz w:val="20"/>
          <w:szCs w:val="20"/>
          <w:color w:val="auto"/>
        </w:rPr>
      </w:pPr>
    </w:p>
    <w:p>
      <w:pPr>
        <w:ind w:right="220" w:firstLine="312"/>
        <w:spacing w:after="0" w:line="286" w:lineRule="auto"/>
        <w:rPr>
          <w:sz w:val="20"/>
          <w:szCs w:val="20"/>
          <w:color w:val="auto"/>
        </w:rPr>
      </w:pPr>
      <w:r>
        <w:rPr>
          <w:rFonts w:ascii="Arial" w:cs="Arial" w:eastAsia="Arial" w:hAnsi="Arial"/>
          <w:sz w:val="17"/>
          <w:szCs w:val="17"/>
          <w:color w:val="auto"/>
        </w:rPr>
        <w:t>Additionally, pursuant to Swiss law, any shareholder of record has the right to receive a free copy of this Annual Report and to inspect this Annual Report at any time at our registered office in Lausanne.</w:t>
      </w:r>
    </w:p>
    <w:p>
      <w:pPr>
        <w:spacing w:after="0" w:line="158" w:lineRule="exact"/>
        <w:rPr>
          <w:sz w:val="20"/>
          <w:szCs w:val="20"/>
          <w:color w:val="auto"/>
        </w:rPr>
      </w:pPr>
    </w:p>
    <w:p>
      <w:pPr>
        <w:ind w:right="180" w:firstLine="312"/>
        <w:spacing w:after="0" w:line="265"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left="320" w:right="9340" w:hanging="316"/>
        <w:spacing w:after="0" w:line="579" w:lineRule="auto"/>
        <w:tabs>
          <w:tab w:leader="none" w:pos="32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Subsidiary information </w:t>
      </w:r>
      <w:r>
        <w:rPr>
          <w:rFonts w:ascii="Arial" w:cs="Arial" w:eastAsia="Arial" w:hAnsi="Arial"/>
          <w:sz w:val="15"/>
          <w:szCs w:val="15"/>
          <w:color w:val="auto"/>
        </w:rPr>
        <w:t>Not applicable.</w:t>
      </w:r>
    </w:p>
    <w:p>
      <w:pPr>
        <w:spacing w:after="0"/>
        <w:rPr>
          <w:sz w:val="20"/>
          <w:szCs w:val="20"/>
          <w:color w:val="auto"/>
        </w:rPr>
      </w:pPr>
      <w:r>
        <w:rPr>
          <w:rFonts w:ascii="Arial" w:cs="Arial" w:eastAsia="Arial" w:hAnsi="Arial"/>
          <w:sz w:val="17"/>
          <w:szCs w:val="17"/>
          <w:b w:val="1"/>
          <w:bCs w:val="1"/>
          <w:color w:val="auto"/>
        </w:rPr>
        <w:t>ITEM 11. QUANTITATIVE AND QUALITATIVE DISCLOSURES ABOUT MARKET RISK</w:t>
      </w:r>
    </w:p>
    <w:p>
      <w:pPr>
        <w:spacing w:after="0" w:line="227" w:lineRule="exact"/>
        <w:rPr>
          <w:sz w:val="20"/>
          <w:szCs w:val="20"/>
          <w:color w:val="auto"/>
        </w:rPr>
      </w:pPr>
    </w:p>
    <w:p>
      <w:pPr>
        <w:ind w:right="160" w:firstLine="312"/>
        <w:spacing w:after="0" w:line="270" w:lineRule="auto"/>
        <w:rPr>
          <w:sz w:val="20"/>
          <w:szCs w:val="20"/>
          <w:color w:val="auto"/>
        </w:rPr>
      </w:pPr>
      <w:r>
        <w:rPr>
          <w:rFonts w:ascii="Arial" w:cs="Arial" w:eastAsia="Arial" w:hAnsi="Arial"/>
          <w:sz w:val="17"/>
          <w:szCs w:val="17"/>
          <w:color w:val="auto"/>
        </w:rPr>
        <w:t>The Company’s activities expose it to the following financial risks: market risk (currency and interest risk), credit risk and liquidity risk. The Company’s overall risk management program focuses on the unpredictability of financial markets and seeks to minimize potential adverse effects on the Company’s financial performance.</w:t>
      </w:r>
    </w:p>
    <w:p>
      <w:pPr>
        <w:spacing w:after="0" w:line="173" w:lineRule="exact"/>
        <w:rPr>
          <w:sz w:val="20"/>
          <w:szCs w:val="20"/>
          <w:color w:val="auto"/>
        </w:rPr>
      </w:pPr>
    </w:p>
    <w:p>
      <w:pPr>
        <w:ind w:right="140" w:firstLine="312"/>
        <w:spacing w:after="0" w:line="286"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Market Risk</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Foreign exchange risk</w:t>
      </w:r>
    </w:p>
    <w:p>
      <w:pPr>
        <w:spacing w:after="0" w:line="221" w:lineRule="exact"/>
        <w:rPr>
          <w:sz w:val="20"/>
          <w:szCs w:val="20"/>
          <w:color w:val="auto"/>
        </w:rPr>
      </w:pPr>
    </w:p>
    <w:p>
      <w:pPr>
        <w:ind w:right="40" w:firstLine="312"/>
        <w:spacing w:after="0" w:line="295" w:lineRule="auto"/>
        <w:rPr>
          <w:sz w:val="20"/>
          <w:szCs w:val="20"/>
          <w:color w:val="auto"/>
        </w:rPr>
      </w:pPr>
      <w:r>
        <w:rPr>
          <w:rFonts w:ascii="Arial" w:cs="Arial" w:eastAsia="Arial" w:hAnsi="Arial"/>
          <w:sz w:val="16"/>
          <w:szCs w:val="16"/>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3, 19 and 20 of the financial statements).</w:t>
      </w:r>
    </w:p>
    <w:p>
      <w:pPr>
        <w:spacing w:after="0" w:line="154" w:lineRule="exact"/>
        <w:rPr>
          <w:sz w:val="20"/>
          <w:szCs w:val="20"/>
          <w:color w:val="auto"/>
        </w:rPr>
      </w:pPr>
    </w:p>
    <w:p>
      <w:pPr>
        <w:ind w:right="120" w:firstLine="312"/>
        <w:spacing w:after="0" w:line="261" w:lineRule="auto"/>
        <w:rPr>
          <w:sz w:val="20"/>
          <w:szCs w:val="20"/>
          <w:color w:val="auto"/>
        </w:rPr>
      </w:pPr>
      <w:r>
        <w:rPr>
          <w:rFonts w:ascii="Arial" w:cs="Arial" w:eastAsia="Arial" w:hAnsi="Arial"/>
          <w:sz w:val="17"/>
          <w:szCs w:val="17"/>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rate risk</w:t>
      </w:r>
    </w:p>
    <w:p>
      <w:pPr>
        <w:spacing w:after="0" w:line="221" w:lineRule="exact"/>
        <w:rPr>
          <w:sz w:val="20"/>
          <w:szCs w:val="20"/>
          <w:color w:val="auto"/>
        </w:rPr>
      </w:pPr>
    </w:p>
    <w:p>
      <w:pPr>
        <w:ind w:right="80" w:firstLine="312"/>
        <w:spacing w:after="0" w:line="270" w:lineRule="auto"/>
        <w:rPr>
          <w:sz w:val="20"/>
          <w:szCs w:val="20"/>
          <w:color w:val="auto"/>
        </w:rPr>
      </w:pPr>
      <w:r>
        <w:rPr>
          <w:rFonts w:ascii="Arial" w:cs="Arial" w:eastAsia="Arial" w:hAnsi="Arial"/>
          <w:sz w:val="17"/>
          <w:szCs w:val="17"/>
          <w:color w:val="auto"/>
        </w:rPr>
        <w:t>As of December 31, 2016 we had cash and cash equivalents of CHF 152.2 million,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134" w:name="page135"/>
    <w:bookmarkEnd w:id="134"/>
    <w:p>
      <w:pPr>
        <w:ind w:right="300" w:firstLine="312"/>
        <w:spacing w:after="0" w:line="286" w:lineRule="auto"/>
        <w:rPr>
          <w:sz w:val="20"/>
          <w:szCs w:val="20"/>
          <w:color w:val="auto"/>
        </w:rPr>
      </w:pPr>
      <w:r>
        <w:rPr>
          <w:rFonts w:ascii="Arial" w:cs="Arial" w:eastAsia="Arial" w:hAnsi="Arial"/>
          <w:sz w:val="17"/>
          <w:szCs w:val="17"/>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Credit risk</w:t>
      </w:r>
    </w:p>
    <w:p>
      <w:pPr>
        <w:spacing w:after="0" w:line="221" w:lineRule="exact"/>
        <w:rPr>
          <w:sz w:val="20"/>
          <w:szCs w:val="20"/>
          <w:color w:val="auto"/>
        </w:rPr>
      </w:pPr>
    </w:p>
    <w:p>
      <w:pPr>
        <w:ind w:right="140" w:firstLine="312"/>
        <w:spacing w:after="0" w:line="295" w:lineRule="auto"/>
        <w:rPr>
          <w:sz w:val="20"/>
          <w:szCs w:val="20"/>
          <w:color w:val="auto"/>
        </w:rPr>
      </w:pPr>
      <w:r>
        <w:rPr>
          <w:rFonts w:ascii="Arial" w:cs="Arial" w:eastAsia="Arial" w:hAnsi="Arial"/>
          <w:sz w:val="16"/>
          <w:szCs w:val="16"/>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 to the financial statements).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Liquidity risk</w:t>
      </w:r>
    </w:p>
    <w:p>
      <w:pPr>
        <w:spacing w:after="0" w:line="221" w:lineRule="exact"/>
        <w:rPr>
          <w:sz w:val="20"/>
          <w:szCs w:val="20"/>
          <w:color w:val="auto"/>
        </w:rPr>
      </w:pPr>
    </w:p>
    <w:p>
      <w:pPr>
        <w:ind w:firstLine="312"/>
        <w:spacing w:after="0" w:line="265" w:lineRule="auto"/>
        <w:rPr>
          <w:sz w:val="20"/>
          <w:szCs w:val="20"/>
          <w:color w:val="auto"/>
        </w:rPr>
      </w:pPr>
      <w:r>
        <w:rPr>
          <w:rFonts w:ascii="Arial" w:cs="Arial" w:eastAsia="Arial" w:hAnsi="Arial"/>
          <w:sz w:val="17"/>
          <w:szCs w:val="17"/>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77" w:lineRule="exact"/>
        <w:rPr>
          <w:sz w:val="20"/>
          <w:szCs w:val="20"/>
          <w:color w:val="auto"/>
        </w:rPr>
      </w:pPr>
    </w:p>
    <w:p>
      <w:pPr>
        <w:ind w:right="160" w:firstLine="312"/>
        <w:spacing w:after="0" w:line="286"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the current cash position, the Company is well financed until the end of 2018.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DESCRIPTION OF SECURITIES OTHER THAN EQUITY SECURITIES</w:t>
      </w:r>
    </w:p>
    <w:p>
      <w:pPr>
        <w:spacing w:after="0" w:line="221" w:lineRule="exact"/>
        <w:rPr>
          <w:sz w:val="20"/>
          <w:szCs w:val="20"/>
          <w:color w:val="auto"/>
        </w:rPr>
      </w:pPr>
    </w:p>
    <w:p>
      <w:pPr>
        <w:jc w:val="both"/>
        <w:ind w:left="320" w:right="10000" w:hanging="316"/>
        <w:spacing w:after="0" w:line="579" w:lineRule="auto"/>
        <w:tabs>
          <w:tab w:leader="none" w:pos="32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320" w:right="9580" w:hanging="316"/>
        <w:spacing w:after="0" w:line="579" w:lineRule="auto"/>
        <w:tabs>
          <w:tab w:leader="none" w:pos="32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Warrants and rights </w:t>
      </w:r>
      <w:r>
        <w:rPr>
          <w:rFonts w:ascii="Arial" w:cs="Arial" w:eastAsia="Arial" w:hAnsi="Arial"/>
          <w:sz w:val="15"/>
          <w:szCs w:val="15"/>
          <w:color w:val="auto"/>
        </w:rPr>
        <w:t>Not applicable.</w:t>
      </w:r>
    </w:p>
    <w:p>
      <w:pPr>
        <w:ind w:left="320" w:right="9900" w:hanging="316"/>
        <w:spacing w:after="0" w:line="579" w:lineRule="auto"/>
        <w:tabs>
          <w:tab w:leader="none" w:pos="32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securities </w:t>
      </w:r>
      <w:r>
        <w:rPr>
          <w:rFonts w:ascii="Arial" w:cs="Arial" w:eastAsia="Arial" w:hAnsi="Arial"/>
          <w:sz w:val="15"/>
          <w:szCs w:val="15"/>
          <w:color w:val="auto"/>
        </w:rPr>
        <w:t>Not applicable.</w:t>
      </w:r>
    </w:p>
    <w:p>
      <w:pPr>
        <w:ind w:left="320" w:right="8960" w:hanging="316"/>
        <w:spacing w:after="0" w:line="511" w:lineRule="auto"/>
        <w:tabs>
          <w:tab w:leader="none" w:pos="32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American Depositary Shares </w:t>
      </w:r>
      <w:r>
        <w:rPr>
          <w:rFonts w:ascii="Arial" w:cs="Arial" w:eastAsia="Arial" w:hAnsi="Arial"/>
          <w:sz w:val="17"/>
          <w:szCs w:val="17"/>
          <w:color w:val="auto"/>
        </w:rPr>
        <w:t>Not applicable.</w:t>
      </w:r>
    </w:p>
    <w:p>
      <w:pPr>
        <w:ind w:left="5400"/>
        <w:spacing w:after="0"/>
        <w:rPr>
          <w:sz w:val="20"/>
          <w:szCs w:val="20"/>
          <w:color w:val="auto"/>
        </w:rPr>
      </w:pPr>
      <w:r>
        <w:rPr>
          <w:rFonts w:ascii="Arial" w:cs="Arial" w:eastAsia="Arial" w:hAnsi="Arial"/>
          <w:sz w:val="17"/>
          <w:szCs w:val="17"/>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DEFAULTS, DIVIDEND ARREARAGES AND DELINQUENCIES</w:t>
      </w:r>
    </w:p>
    <w:p>
      <w:pPr>
        <w:spacing w:after="0" w:line="221" w:lineRule="exact"/>
        <w:rPr>
          <w:sz w:val="20"/>
          <w:szCs w:val="20"/>
          <w:color w:val="auto"/>
        </w:rPr>
      </w:pPr>
    </w:p>
    <w:p>
      <w:pPr>
        <w:ind w:left="320" w:hanging="316"/>
        <w:spacing w:after="0"/>
        <w:tabs>
          <w:tab w:leader="none" w:pos="32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Defaults</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No matters to report.</w:t>
      </w:r>
    </w:p>
    <w:p>
      <w:pPr>
        <w:spacing w:after="0" w:line="214" w:lineRule="exact"/>
        <w:rPr>
          <w:rFonts w:ascii="Arial" w:cs="Arial" w:eastAsia="Arial" w:hAnsi="Arial"/>
          <w:sz w:val="17"/>
          <w:szCs w:val="17"/>
          <w:b w:val="1"/>
          <w:bCs w:val="1"/>
          <w:color w:val="auto"/>
        </w:rPr>
      </w:pPr>
    </w:p>
    <w:p>
      <w:pPr>
        <w:ind w:left="320" w:right="9140" w:hanging="316"/>
        <w:spacing w:after="0" w:line="649" w:lineRule="auto"/>
        <w:tabs>
          <w:tab w:leader="none" w:pos="320"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Arrears and delinquencies </w:t>
      </w:r>
      <w:r>
        <w:rPr>
          <w:rFonts w:ascii="Arial" w:cs="Arial" w:eastAsia="Arial" w:hAnsi="Arial"/>
          <w:sz w:val="15"/>
          <w:szCs w:val="15"/>
          <w:color w:val="auto"/>
        </w:rPr>
        <w:t>No matters to report.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color w:val="auto"/>
        </w:rPr>
        <w:t>ITEM 14. MATERIAL MODIFICATIONS TO THE RIGHTS OF SECURITY HOLDERS AND USE OF PROCEEDS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E.</w:t>
      </w:r>
      <w:r>
        <w:rPr>
          <w:sz w:val="20"/>
          <w:szCs w:val="20"/>
          <w:color w:val="auto"/>
        </w:rPr>
        <w:tab/>
      </w:r>
      <w:r>
        <w:rPr>
          <w:rFonts w:ascii="Arial" w:cs="Arial" w:eastAsia="Arial" w:hAnsi="Arial"/>
          <w:sz w:val="14"/>
          <w:szCs w:val="14"/>
          <w:b w:val="1"/>
          <w:bCs w:val="1"/>
          <w:color w:val="auto"/>
        </w:rPr>
        <w:t>Use of Proceeds</w:t>
      </w:r>
    </w:p>
    <w:p>
      <w:pPr>
        <w:spacing w:after="0" w:line="227" w:lineRule="exact"/>
        <w:rPr>
          <w:sz w:val="20"/>
          <w:szCs w:val="20"/>
          <w:color w:val="auto"/>
        </w:rPr>
      </w:pPr>
    </w:p>
    <w:p>
      <w:pPr>
        <w:ind w:right="20" w:firstLine="312"/>
        <w:spacing w:after="0" w:line="277" w:lineRule="auto"/>
        <w:rPr>
          <w:sz w:val="20"/>
          <w:szCs w:val="20"/>
          <w:color w:val="auto"/>
        </w:rPr>
      </w:pPr>
      <w:r>
        <w:rPr>
          <w:rFonts w:ascii="Arial" w:cs="Arial" w:eastAsia="Arial" w:hAnsi="Arial"/>
          <w:sz w:val="16"/>
          <w:szCs w:val="16"/>
          <w:color w:val="auto"/>
        </w:rPr>
        <w:t>On September 23, 2016, we completed our initial public offering of common shares pursuant to a Registration Statement on Form F-1, as amended (Registration No. 333-211714) that was declared effective on September 22, 2016. Under the registration statement, we sold an aggregate of 6,900,000 common shares (which includes 900,000 common shares from the full exercise of the underwriters’ over-allotment option to purchase additional shares). All of these common shares were sold at a price to the public of US$11.00 per share, yielding net proceeds of $70.5 million (CHF 69.4 million) after underwriting discounts and commissions. Credit Suisse, Jefferies LLC and Leerink Partners LLC were joint book-running managers for the initial public offering. We paid the offering expenses in connection with the initial public offering, which were approximately CHF 3.5 million ($3.6 million), and which included SEC registration fees, FINRA filing fees, NASDAQ listing fees and expenses, legal fees and expenses, printing expenses, transfer agent fees and expenses, accounting fees and expenses as well as other miscellaneous fees and expenses, but excluded the underwriting discounts and commissions. In addition, we received gross proceeds of approximately $13.5 million (CHF 13.2 million) from the Series E Private Placement Extension.</w:t>
      </w:r>
    </w:p>
    <w:p>
      <w:pPr>
        <w:spacing w:after="0" w:line="170" w:lineRule="exact"/>
        <w:rPr>
          <w:sz w:val="20"/>
          <w:szCs w:val="20"/>
          <w:color w:val="auto"/>
        </w:rPr>
      </w:pPr>
    </w:p>
    <w:p>
      <w:pPr>
        <w:jc w:val="both"/>
        <w:ind w:firstLine="312"/>
        <w:spacing w:after="0" w:line="293" w:lineRule="auto"/>
        <w:rPr>
          <w:sz w:val="20"/>
          <w:szCs w:val="20"/>
          <w:color w:val="auto"/>
        </w:rPr>
      </w:pPr>
      <w:r>
        <w:rPr>
          <w:rFonts w:ascii="Arial" w:cs="Arial" w:eastAsia="Arial" w:hAnsi="Arial"/>
          <w:sz w:val="15"/>
          <w:szCs w:val="15"/>
          <w:color w:val="auto"/>
        </w:rPr>
        <w:t>Between the effective date of the Registration Statement and December 31, 2016, we used approximately CHF 10.5 million of the net proceeds to fund research and development expenses for ACI-35, ACI-24 for AD, PD-focused programs, non-AD and Non-PD programs and general administrative expenses. None of the net proceeds were used to make payments (other than compensation paid to our executive officers, directors and an affiliate of one of our directors, each as described in this Annual Report), directly or indirectly, to (i) any of our directors, officers or their associates, (ii) any persons owning 10% or more of our common shares or</w:t>
      </w:r>
    </w:p>
    <w:p>
      <w:pPr>
        <w:spacing w:after="0" w:line="3" w:lineRule="exact"/>
        <w:rPr>
          <w:sz w:val="20"/>
          <w:szCs w:val="20"/>
          <w:color w:val="auto"/>
        </w:rPr>
      </w:pPr>
    </w:p>
    <w:p>
      <w:pPr>
        <w:ind w:right="720" w:firstLine="4"/>
        <w:spacing w:after="0" w:line="271" w:lineRule="auto"/>
        <w:tabs>
          <w:tab w:leader="none" w:pos="30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of our affiliates. The intended use of the remaining net proceeds has not changed from the information mentioned in the prospectus relating to the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CONTROLS AND PROCEDURES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5"/>
          <w:szCs w:val="15"/>
          <w:b w:val="1"/>
          <w:bCs w:val="1"/>
          <w:color w:val="auto"/>
        </w:rPr>
        <w:t>Disclosure Controls and Procedures</w:t>
      </w:r>
    </w:p>
    <w:p>
      <w:pPr>
        <w:spacing w:after="0" w:line="227" w:lineRule="exact"/>
        <w:rPr>
          <w:sz w:val="20"/>
          <w:szCs w:val="20"/>
          <w:color w:val="auto"/>
        </w:rPr>
      </w:pPr>
    </w:p>
    <w:p>
      <w:pPr>
        <w:ind w:right="20" w:firstLine="312"/>
        <w:spacing w:after="0" w:line="311" w:lineRule="auto"/>
        <w:rPr>
          <w:sz w:val="20"/>
          <w:szCs w:val="20"/>
          <w:color w:val="auto"/>
        </w:rPr>
      </w:pPr>
      <w:r>
        <w:rPr>
          <w:rFonts w:ascii="Arial" w:cs="Arial" w:eastAsia="Arial" w:hAnsi="Arial"/>
          <w:sz w:val="15"/>
          <w:szCs w:val="15"/>
          <w:color w:val="auto"/>
        </w:rPr>
        <w:t>As of December 31, 2016, under the supervision and with the participation of our management, including our Chief Executive Officer and Principal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46" w:lineRule="exact"/>
        <w:rPr>
          <w:sz w:val="20"/>
          <w:szCs w:val="20"/>
          <w:color w:val="auto"/>
        </w:rPr>
      </w:pPr>
    </w:p>
    <w:p>
      <w:pPr>
        <w:jc w:val="both"/>
        <w:ind w:right="240" w:firstLine="312"/>
        <w:spacing w:after="0" w:line="265" w:lineRule="auto"/>
        <w:rPr>
          <w:sz w:val="20"/>
          <w:szCs w:val="20"/>
          <w:color w:val="auto"/>
        </w:rPr>
      </w:pPr>
      <w:r>
        <w:rPr>
          <w:rFonts w:ascii="Arial" w:cs="Arial" w:eastAsia="Arial" w:hAnsi="Arial"/>
          <w:sz w:val="17"/>
          <w:szCs w:val="17"/>
          <w:color w:val="auto"/>
        </w:rPr>
        <w:t>Based on such evaluation, our Chief Executive Officer and Interim Principal Financial Officer concluded that our disclosure controls and procedures are not effective due to the material weaknesses in our internal control over financial reporting identified during our preparation for our initial public offering and annual financial statements as more fully described in “Item 5. Operating and Financial Review and Prospects—A. Operating Results—Internal Control Over Financial Reporting.”</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Management’s Annual Report on Internal Control over Financial Reporting</w:t>
      </w:r>
    </w:p>
    <w:p>
      <w:pPr>
        <w:spacing w:after="0" w:line="227" w:lineRule="exact"/>
        <w:rPr>
          <w:sz w:val="20"/>
          <w:szCs w:val="20"/>
          <w:color w:val="auto"/>
        </w:rPr>
      </w:pPr>
    </w:p>
    <w:p>
      <w:pPr>
        <w:ind w:right="660" w:firstLine="312"/>
        <w:spacing w:after="0" w:line="286"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due to a transition period established by rules of the Securities and Exchange Commission for newly public companies.</w:t>
      </w:r>
    </w:p>
    <w:p>
      <w:pPr>
        <w:spacing w:after="0" w:line="15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5"/>
          <w:szCs w:val="15"/>
          <w:b w:val="1"/>
          <w:bCs w:val="1"/>
          <w:color w:val="auto"/>
        </w:rPr>
        <w:t>Attestation Report of the Registered Public Accounting Firm</w:t>
      </w:r>
    </w:p>
    <w:p>
      <w:pPr>
        <w:spacing w:after="0" w:line="227" w:lineRule="exact"/>
        <w:rPr>
          <w:sz w:val="20"/>
          <w:szCs w:val="20"/>
          <w:color w:val="auto"/>
        </w:rPr>
      </w:pPr>
    </w:p>
    <w:p>
      <w:pPr>
        <w:ind w:right="20" w:firstLine="312"/>
        <w:spacing w:after="0" w:line="286"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due to an exemption provided to emerging growth companies under the JOBS Act.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6" w:name="page137"/>
    <w:bookmarkEnd w:id="136"/>
    <w:p>
      <w:pPr>
        <w:spacing w:after="0"/>
        <w:tabs>
          <w:tab w:leader="none" w:pos="300" w:val="left"/>
        </w:tabs>
        <w:rPr>
          <w:sz w:val="20"/>
          <w:szCs w:val="20"/>
          <w:color w:val="auto"/>
        </w:rPr>
      </w:pPr>
      <w:r>
        <w:rPr>
          <w:rFonts w:ascii="Arial" w:cs="Arial" w:eastAsia="Arial" w:hAnsi="Arial"/>
          <w:sz w:val="17"/>
          <w:szCs w:val="17"/>
          <w:b w:val="1"/>
          <w:bCs w:val="1"/>
          <w:color w:val="auto"/>
        </w:rPr>
        <w:t>D.</w:t>
      </w:r>
      <w:r>
        <w:rPr>
          <w:sz w:val="20"/>
          <w:szCs w:val="20"/>
          <w:color w:val="auto"/>
        </w:rPr>
        <w:tab/>
      </w:r>
      <w:r>
        <w:rPr>
          <w:rFonts w:ascii="Arial" w:cs="Arial" w:eastAsia="Arial" w:hAnsi="Arial"/>
          <w:sz w:val="15"/>
          <w:szCs w:val="15"/>
          <w:b w:val="1"/>
          <w:bCs w:val="1"/>
          <w:color w:val="auto"/>
        </w:rPr>
        <w:t>Changes in Internal Control over Financial Reporting</w:t>
      </w:r>
    </w:p>
    <w:p>
      <w:pPr>
        <w:spacing w:after="0" w:line="227" w:lineRule="exact"/>
        <w:rPr>
          <w:sz w:val="20"/>
          <w:szCs w:val="20"/>
          <w:color w:val="auto"/>
        </w:rPr>
      </w:pPr>
    </w:p>
    <w:p>
      <w:pPr>
        <w:ind w:right="280" w:firstLine="312"/>
        <w:spacing w:after="0" w:line="270" w:lineRule="auto"/>
        <w:rPr>
          <w:sz w:val="20"/>
          <w:szCs w:val="20"/>
          <w:color w:val="auto"/>
        </w:rPr>
      </w:pPr>
      <w:r>
        <w:rPr>
          <w:rFonts w:ascii="Arial" w:cs="Arial" w:eastAsia="Arial" w:hAnsi="Arial"/>
          <w:sz w:val="17"/>
          <w:szCs w:val="17"/>
          <w:color w:val="auto"/>
        </w:rPr>
        <w:t>See “Item 5. Operating and Financial Review and Prospects—A. Operating Results—Internal Control Over Financial Reporting” for changes in our internal control over financial reporting (as defined in Rule 13a-15(f) under the Exchange Act) that occurred during the period covered by this Annual Report that have materially affected, or are reasonably likely to materially affect,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[RESERVED]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16A. Audit committee financial expert</w:t>
      </w:r>
    </w:p>
    <w:p>
      <w:pPr>
        <w:spacing w:after="0" w:line="227" w:lineRule="exact"/>
        <w:rPr>
          <w:sz w:val="20"/>
          <w:szCs w:val="20"/>
          <w:color w:val="auto"/>
        </w:rPr>
      </w:pPr>
    </w:p>
    <w:p>
      <w:pPr>
        <w:ind w:right="260" w:firstLine="312"/>
        <w:spacing w:after="0" w:line="286" w:lineRule="auto"/>
        <w:rPr>
          <w:sz w:val="20"/>
          <w:szCs w:val="20"/>
          <w:color w:val="auto"/>
        </w:rPr>
      </w:pPr>
      <w:r>
        <w:rPr>
          <w:rFonts w:ascii="Arial" w:cs="Arial" w:eastAsia="Arial" w:hAnsi="Arial"/>
          <w:sz w:val="17"/>
          <w:szCs w:val="17"/>
          <w:color w:val="auto"/>
        </w:rPr>
        <w:t>Our board of directors has determined that Peter Bollmann is the audit committee financial expert, as that term is defined by the SEC, and is independent for the purposes of SEC and NASDAQ rules.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16B. Code of ethics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7" w:lineRule="exact"/>
        <w:rPr>
          <w:sz w:val="20"/>
          <w:szCs w:val="20"/>
          <w:color w:val="auto"/>
        </w:rPr>
      </w:pPr>
    </w:p>
    <w:p>
      <w:pPr>
        <w:ind w:right="40" w:firstLine="312"/>
        <w:spacing w:after="0" w:line="265" w:lineRule="auto"/>
        <w:rPr>
          <w:sz w:val="20"/>
          <w:szCs w:val="20"/>
          <w:color w:val="auto"/>
        </w:rPr>
      </w:pPr>
      <w:r>
        <w:rPr>
          <w:rFonts w:ascii="Arial" w:cs="Arial" w:eastAsia="Arial" w:hAnsi="Arial"/>
          <w:sz w:val="17"/>
          <w:szCs w:val="17"/>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applies to all of our directors, executive officers and employees. We have published our Code of Business Conduct and Ethics on our website, </w:t>
      </w:r>
      <w:r>
        <w:rPr>
          <w:rFonts w:ascii="Arial" w:cs="Arial" w:eastAsia="Arial" w:hAnsi="Arial"/>
          <w:sz w:val="17"/>
          <w:szCs w:val="17"/>
          <w:i w:val="1"/>
          <w:iCs w:val="1"/>
          <w:color w:val="auto"/>
        </w:rPr>
        <w:t>www.acimmune.com</w:t>
      </w:r>
      <w:r>
        <w:rPr>
          <w:rFonts w:ascii="Arial" w:cs="Arial" w:eastAsia="Arial" w:hAnsi="Arial"/>
          <w:sz w:val="17"/>
          <w:szCs w:val="17"/>
          <w:color w:val="auto"/>
        </w:rPr>
        <w:t>. The information contained on our website is not a part of this Annual Report.</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9800" w:type="dxa"/>
            <w:vAlign w:val="bottom"/>
            <w:gridSpan w:val="2"/>
          </w:tcPr>
          <w:p>
            <w:pPr>
              <w:spacing w:after="0"/>
              <w:rPr>
                <w:sz w:val="20"/>
                <w:szCs w:val="20"/>
                <w:color w:val="auto"/>
              </w:rPr>
            </w:pPr>
            <w:r>
              <w:rPr>
                <w:rFonts w:ascii="Arial" w:cs="Arial" w:eastAsia="Arial" w:hAnsi="Arial"/>
                <w:sz w:val="17"/>
                <w:szCs w:val="17"/>
                <w:b w:val="1"/>
                <w:bCs w:val="1"/>
                <w:color w:val="auto"/>
              </w:rPr>
              <w:t>ITEM 16C. Principal accountant fees and services (in CHF and thousands)</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9"/>
        </w:trPr>
        <w:tc>
          <w:tcPr>
            <w:tcW w:w="9800" w:type="dxa"/>
            <w:vAlign w:val="bottom"/>
            <w:gridSpan w:val="2"/>
          </w:tcPr>
          <w:p>
            <w:pPr>
              <w:ind w:left="9440"/>
              <w:spacing w:after="0"/>
              <w:rPr>
                <w:sz w:val="20"/>
                <w:szCs w:val="20"/>
                <w:color w:val="auto"/>
              </w:rPr>
            </w:pPr>
            <w:r>
              <w:rPr>
                <w:rFonts w:ascii="Arial" w:cs="Arial" w:eastAsia="Arial" w:hAnsi="Arial"/>
                <w:sz w:val="17"/>
                <w:szCs w:val="17"/>
                <w:b w:val="1"/>
                <w:bCs w:val="1"/>
                <w:color w:val="auto"/>
                <w:w w:val="89"/>
              </w:rPr>
              <w:t>2016</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9040" w:type="dxa"/>
            <w:vAlign w:val="bottom"/>
          </w:tcPr>
          <w:p>
            <w:pPr>
              <w:spacing w:after="0"/>
              <w:rPr>
                <w:sz w:val="17"/>
                <w:szCs w:val="17"/>
                <w:color w:val="auto"/>
              </w:rPr>
            </w:pPr>
          </w:p>
        </w:tc>
        <w:tc>
          <w:tcPr>
            <w:tcW w:w="20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(in CHF thousands)</w:t>
            </w:r>
          </w:p>
        </w:tc>
        <w:tc>
          <w:tcPr>
            <w:tcW w:w="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980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7"/>
                <w:szCs w:val="17"/>
                <w:color w:val="auto"/>
              </w:rPr>
              <w:t>Audit Fees</w:t>
            </w:r>
          </w:p>
        </w:tc>
        <w:tc>
          <w:tcPr>
            <w:tcW w:w="1240" w:type="dxa"/>
            <w:vAlign w:val="bottom"/>
            <w:shd w:val="clear" w:color="auto" w:fill="D5EAEA"/>
          </w:tcPr>
          <w:p>
            <w:pPr>
              <w:jc w:val="right"/>
              <w:ind w:right="873"/>
              <w:spacing w:after="0"/>
              <w:rPr>
                <w:sz w:val="20"/>
                <w:szCs w:val="20"/>
                <w:color w:val="auto"/>
              </w:rPr>
            </w:pPr>
            <w:r>
              <w:rPr>
                <w:rFonts w:ascii="Arial" w:cs="Arial" w:eastAsia="Arial" w:hAnsi="Arial"/>
                <w:sz w:val="17"/>
                <w:szCs w:val="17"/>
                <w:color w:val="auto"/>
                <w:w w:val="91"/>
              </w:rPr>
              <w:t>340</w:t>
            </w:r>
          </w:p>
        </w:tc>
        <w:tc>
          <w:tcPr>
            <w:tcW w:w="38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w w:val="91"/>
              </w:rPr>
              <w:t>600</w:t>
            </w:r>
          </w:p>
        </w:tc>
        <w:tc>
          <w:tcPr>
            <w:tcW w:w="20" w:type="dxa"/>
            <w:vAlign w:val="bottom"/>
          </w:tcPr>
          <w:p>
            <w:pPr>
              <w:spacing w:after="0"/>
              <w:rPr>
                <w:sz w:val="18"/>
                <w:szCs w:val="18"/>
                <w:color w:val="auto"/>
              </w:rPr>
            </w:pPr>
          </w:p>
        </w:tc>
      </w:tr>
      <w:tr>
        <w:trPr>
          <w:trHeight w:val="208"/>
        </w:trPr>
        <w:tc>
          <w:tcPr>
            <w:tcW w:w="9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Audit-related Fees</w:t>
            </w:r>
          </w:p>
        </w:tc>
        <w:tc>
          <w:tcPr>
            <w:tcW w:w="124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w w:val="91"/>
              </w:rPr>
              <w:t>419</w:t>
            </w: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91"/>
              </w:rPr>
              <w:t>162</w:t>
            </w:r>
          </w:p>
        </w:tc>
        <w:tc>
          <w:tcPr>
            <w:tcW w:w="20" w:type="dxa"/>
            <w:vAlign w:val="bottom"/>
            <w:tcBorders>
              <w:bottom w:val="single" w:sz="8" w:color="auto"/>
            </w:tcBorders>
          </w:tcPr>
          <w:p>
            <w:pPr>
              <w:spacing w:after="0"/>
              <w:rPr>
                <w:sz w:val="18"/>
                <w:szCs w:val="18"/>
                <w:color w:val="auto"/>
              </w:rPr>
            </w:pPr>
          </w:p>
        </w:tc>
      </w:tr>
      <w:tr>
        <w:trPr>
          <w:trHeight w:val="214"/>
        </w:trPr>
        <w:tc>
          <w:tcPr>
            <w:tcW w:w="9800" w:type="dxa"/>
            <w:vAlign w:val="bottom"/>
            <w:tcBorders>
              <w:left w:val="single" w:sz="8" w:color="auto"/>
              <w:bottom w:val="single" w:sz="8" w:color="auto"/>
            </w:tcBorders>
            <w:gridSpan w:val="2"/>
            <w:shd w:val="clear" w:color="auto" w:fill="D5EAEA"/>
          </w:tcPr>
          <w:p>
            <w:pPr>
              <w:ind w:left="20"/>
              <w:spacing w:after="0"/>
              <w:rPr>
                <w:sz w:val="20"/>
                <w:szCs w:val="20"/>
                <w:color w:val="auto"/>
              </w:rPr>
            </w:pPr>
            <w:r>
              <w:rPr>
                <w:rFonts w:ascii="Arial" w:cs="Arial" w:eastAsia="Arial" w:hAnsi="Arial"/>
                <w:sz w:val="17"/>
                <w:szCs w:val="17"/>
                <w:color w:val="auto"/>
              </w:rPr>
              <w:t>Total Fees</w:t>
            </w:r>
          </w:p>
        </w:tc>
        <w:tc>
          <w:tcPr>
            <w:tcW w:w="1240" w:type="dxa"/>
            <w:vAlign w:val="bottom"/>
            <w:tcBorders>
              <w:bottom w:val="single" w:sz="8" w:color="auto"/>
            </w:tcBorders>
            <w:shd w:val="clear" w:color="auto" w:fill="D5EAEA"/>
          </w:tcPr>
          <w:p>
            <w:pPr>
              <w:jc w:val="right"/>
              <w:ind w:right="873"/>
              <w:spacing w:after="0"/>
              <w:rPr>
                <w:sz w:val="20"/>
                <w:szCs w:val="20"/>
                <w:color w:val="auto"/>
              </w:rPr>
            </w:pPr>
            <w:r>
              <w:rPr>
                <w:rFonts w:ascii="Arial" w:cs="Arial" w:eastAsia="Arial" w:hAnsi="Arial"/>
                <w:sz w:val="17"/>
                <w:szCs w:val="17"/>
                <w:color w:val="auto"/>
                <w:w w:val="91"/>
              </w:rPr>
              <w:t>759</w:t>
            </w:r>
          </w:p>
        </w:tc>
        <w:tc>
          <w:tcPr>
            <w:tcW w:w="38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w w:val="91"/>
              </w:rPr>
              <w:t>762</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196" w:lineRule="exact"/>
        <w:rPr>
          <w:sz w:val="20"/>
          <w:szCs w:val="20"/>
          <w:color w:val="auto"/>
        </w:rPr>
      </w:pPr>
    </w:p>
    <w:p>
      <w:pPr>
        <w:ind w:right="360" w:firstLine="312"/>
        <w:spacing w:after="0" w:line="319" w:lineRule="auto"/>
        <w:rPr>
          <w:sz w:val="20"/>
          <w:szCs w:val="20"/>
          <w:color w:val="auto"/>
        </w:rPr>
      </w:pPr>
      <w:r>
        <w:rPr>
          <w:rFonts w:ascii="Arial" w:cs="Arial" w:eastAsia="Arial" w:hAnsi="Arial"/>
          <w:sz w:val="16"/>
          <w:szCs w:val="16"/>
          <w:color w:val="auto"/>
        </w:rPr>
        <w:t>For the year ended December 31, 2016, Ernst &amp; Young AG was the Company’s auditor for the IFRS and statutory accounts. At the ordinary annual general meeting on November 15, 2016, the shareholders appointed Ernst &amp; Young AG as the Company’s auditor for a term of office of one year.</w:t>
      </w:r>
    </w:p>
    <w:p>
      <w:pPr>
        <w:spacing w:after="0" w:line="135" w:lineRule="exact"/>
        <w:rPr>
          <w:sz w:val="20"/>
          <w:szCs w:val="20"/>
          <w:color w:val="auto"/>
        </w:rPr>
      </w:pPr>
    </w:p>
    <w:p>
      <w:pPr>
        <w:ind w:right="80" w:firstLine="312"/>
        <w:spacing w:after="0" w:line="286" w:lineRule="auto"/>
        <w:rPr>
          <w:sz w:val="20"/>
          <w:szCs w:val="20"/>
          <w:color w:val="auto"/>
        </w:rPr>
      </w:pPr>
      <w:r>
        <w:rPr>
          <w:rFonts w:ascii="Arial" w:cs="Arial" w:eastAsia="Arial" w:hAnsi="Arial"/>
          <w:sz w:val="17"/>
          <w:szCs w:val="17"/>
          <w:color w:val="auto"/>
        </w:rPr>
        <w:t>Audit-related fees in 2016 and 2015, included audit fees in connection with the Company’s initial public offering activities. The 2016 fees also covered interim reviews and filings of interim financial statements, statutory audits, and review of the IPO registration statement.</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Pre-Approval Policies and Procedures</w:t>
      </w:r>
    </w:p>
    <w:p>
      <w:pPr>
        <w:spacing w:after="0" w:line="221" w:lineRule="exact"/>
        <w:rPr>
          <w:sz w:val="20"/>
          <w:szCs w:val="20"/>
          <w:color w:val="auto"/>
        </w:rPr>
      </w:pPr>
    </w:p>
    <w:p>
      <w:pPr>
        <w:ind w:right="680" w:firstLine="312"/>
        <w:spacing w:after="0" w:line="286" w:lineRule="auto"/>
        <w:rPr>
          <w:sz w:val="20"/>
          <w:szCs w:val="20"/>
          <w:color w:val="auto"/>
        </w:rPr>
      </w:pPr>
      <w:r>
        <w:rPr>
          <w:rFonts w:ascii="Arial" w:cs="Arial" w:eastAsia="Arial" w:hAnsi="Arial"/>
          <w:sz w:val="17"/>
          <w:szCs w:val="17"/>
          <w:color w:val="auto"/>
        </w:rPr>
        <w:t>To ensure the independence and objectivity of the Company’s external auditors, the provision of all non-audit services by the external auditors are pre-approved by the Audit Committee.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16D. Exemptions from the listing standards for audit committees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16E. Purchases of equity securities by the issuer and affiliated purchasers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2016, no purchases of our equity securities were made by or on behalf of AC Immune SA or any affiliated purchaser.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16F. Change in registrant’s certifying accountant</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color w:val="auto"/>
        </w:rPr>
        <w:t>ITEM 16G. Corporate governance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Summary of Significant Corporate Governance Differences from NASDAQ Listing Standards</w:t>
      </w:r>
    </w:p>
    <w:p>
      <w:pPr>
        <w:spacing w:after="0" w:line="221" w:lineRule="exact"/>
        <w:rPr>
          <w:sz w:val="20"/>
          <w:szCs w:val="20"/>
          <w:color w:val="auto"/>
        </w:rPr>
      </w:pPr>
    </w:p>
    <w:p>
      <w:pPr>
        <w:ind w:right="60" w:firstLine="312"/>
        <w:spacing w:after="0" w:line="265" w:lineRule="auto"/>
        <w:rPr>
          <w:sz w:val="20"/>
          <w:szCs w:val="20"/>
          <w:color w:val="auto"/>
        </w:rPr>
      </w:pPr>
      <w:r>
        <w:rPr>
          <w:rFonts w:ascii="Arial" w:cs="Arial" w:eastAsia="Arial" w:hAnsi="Arial"/>
          <w:sz w:val="17"/>
          <w:szCs w:val="17"/>
          <w:color w:val="auto"/>
        </w:rPr>
        <w:t>Our common shares are listed on the NASDAQ Global Market. We are therefore required to comply with certain of the NASDAQ’s corporate governance listing standards, or the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Independent Directors</w:t>
      </w:r>
    </w:p>
    <w:p>
      <w:pPr>
        <w:spacing w:after="0" w:line="221" w:lineRule="exact"/>
        <w:rPr>
          <w:sz w:val="20"/>
          <w:szCs w:val="20"/>
          <w:color w:val="auto"/>
        </w:rPr>
      </w:pPr>
    </w:p>
    <w:p>
      <w:pPr>
        <w:ind w:right="280" w:firstLine="312"/>
        <w:spacing w:after="0" w:line="295" w:lineRule="auto"/>
        <w:rPr>
          <w:sz w:val="20"/>
          <w:szCs w:val="20"/>
          <w:color w:val="auto"/>
        </w:rPr>
      </w:pPr>
      <w:r>
        <w:rPr>
          <w:rFonts w:ascii="Arial" w:cs="Arial" w:eastAsia="Arial" w:hAnsi="Arial"/>
          <w:sz w:val="16"/>
          <w:szCs w:val="16"/>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Compensation Committee</w:t>
      </w:r>
    </w:p>
    <w:p>
      <w:pPr>
        <w:spacing w:after="0" w:line="221" w:lineRule="exact"/>
        <w:rPr>
          <w:sz w:val="20"/>
          <w:szCs w:val="20"/>
          <w:color w:val="auto"/>
        </w:rPr>
      </w:pPr>
    </w:p>
    <w:p>
      <w:pPr>
        <w:ind w:right="100" w:firstLine="312"/>
        <w:spacing w:after="0" w:line="270" w:lineRule="auto"/>
        <w:rPr>
          <w:sz w:val="20"/>
          <w:szCs w:val="20"/>
          <w:color w:val="auto"/>
        </w:rPr>
      </w:pPr>
      <w:r>
        <w:rPr>
          <w:rFonts w:ascii="Arial" w:cs="Arial" w:eastAsia="Arial" w:hAnsi="Arial"/>
          <w:sz w:val="17"/>
          <w:szCs w:val="17"/>
          <w:color w:val="auto"/>
        </w:rPr>
        <w:t>Although Swiss law also requires that we have a compensation committee, we will follow home country requirements with respect to such committee. As a result, our practice will vary from the requirements of NASDAQ Listing Rule 5605(d), which sets forth certain requirements as to the responsibilities, composition and independence of compensation committees.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Quorum requirements</w:t>
      </w:r>
    </w:p>
    <w:p>
      <w:pPr>
        <w:spacing w:after="0" w:line="221"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Solicitation of proxies</w:t>
      </w:r>
    </w:p>
    <w:p>
      <w:pPr>
        <w:spacing w:after="0" w:line="221" w:lineRule="exact"/>
        <w:rPr>
          <w:sz w:val="20"/>
          <w:szCs w:val="20"/>
          <w:color w:val="auto"/>
        </w:rPr>
      </w:pPr>
    </w:p>
    <w:p>
      <w:pPr>
        <w:ind w:right="20" w:firstLine="312"/>
        <w:spacing w:after="0" w:line="287" w:lineRule="auto"/>
        <w:rPr>
          <w:sz w:val="20"/>
          <w:szCs w:val="20"/>
          <w:color w:val="auto"/>
        </w:rPr>
      </w:pPr>
      <w:r>
        <w:rPr>
          <w:rFonts w:ascii="Arial" w:cs="Arial" w:eastAsia="Arial" w:hAnsi="Arial"/>
          <w:sz w:val="16"/>
          <w:szCs w:val="16"/>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Shareholder approval</w:t>
      </w:r>
    </w:p>
    <w:p>
      <w:pPr>
        <w:spacing w:after="0" w:line="221" w:lineRule="exact"/>
        <w:rPr>
          <w:sz w:val="20"/>
          <w:szCs w:val="20"/>
          <w:color w:val="auto"/>
        </w:rPr>
      </w:pPr>
    </w:p>
    <w:p>
      <w:pPr>
        <w:ind w:right="320" w:firstLine="312"/>
        <w:spacing w:after="0" w:line="265" w:lineRule="auto"/>
        <w:rPr>
          <w:sz w:val="20"/>
          <w:szCs w:val="20"/>
          <w:color w:val="auto"/>
        </w:rPr>
      </w:pPr>
      <w:r>
        <w:rPr>
          <w:rFonts w:ascii="Arial" w:cs="Arial" w:eastAsia="Arial" w:hAnsi="Arial"/>
          <w:sz w:val="17"/>
          <w:szCs w:val="17"/>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16H. Mine safety disclosure</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Financial statements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responded to Item 18 in lieu of this item.</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color w:val="auto"/>
        </w:rPr>
        <w:t>ITEM 18. Financial statements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Statements are filed as part of this Annual Report, see page F-1.</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19. Exhibits</w:t>
      </w:r>
    </w:p>
    <w:p>
      <w:pPr>
        <w:spacing w:after="0" w:line="227" w:lineRule="exact"/>
        <w:rPr>
          <w:sz w:val="20"/>
          <w:szCs w:val="20"/>
          <w:color w:val="auto"/>
        </w:rPr>
      </w:pPr>
    </w:p>
    <w:p>
      <w:pPr>
        <w:ind w:left="800" w:hanging="484"/>
        <w:spacing w:after="0"/>
        <w:tabs>
          <w:tab w:leader="none" w:pos="8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3.1</w:t>
            </w:r>
          </w:p>
        </w:tc>
        <w:tc>
          <w:tcPr>
            <w:tcW w:w="10680" w:type="dxa"/>
            <w:vAlign w:val="bottom"/>
          </w:tcPr>
          <w:p>
            <w:pPr>
              <w:ind w:left="340"/>
              <w:spacing w:after="0"/>
              <w:rPr>
                <w:sz w:val="20"/>
                <w:szCs w:val="20"/>
                <w:color w:val="auto"/>
              </w:rPr>
            </w:pPr>
            <w:r>
              <w:rPr>
                <w:rFonts w:ascii="Arial" w:cs="Arial" w:eastAsia="Arial" w:hAnsi="Arial"/>
                <w:sz w:val="17"/>
                <w:szCs w:val="17"/>
                <w:color w:val="auto"/>
              </w:rPr>
              <w:t>Form of Articles of Association</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2.1</w:t>
            </w:r>
          </w:p>
        </w:tc>
        <w:tc>
          <w:tcPr>
            <w:tcW w:w="10680" w:type="dxa"/>
            <w:vAlign w:val="bottom"/>
          </w:tcPr>
          <w:p>
            <w:pPr>
              <w:ind w:left="340"/>
              <w:spacing w:after="0"/>
              <w:rPr>
                <w:sz w:val="20"/>
                <w:szCs w:val="20"/>
                <w:color w:val="auto"/>
              </w:rPr>
            </w:pPr>
            <w:r>
              <w:rPr>
                <w:rFonts w:ascii="Arial" w:cs="Arial" w:eastAsia="Arial" w:hAnsi="Arial"/>
                <w:sz w:val="17"/>
                <w:szCs w:val="17"/>
                <w:color w:val="auto"/>
                <w:w w:val="96"/>
              </w:rPr>
              <w:t>Registration Rights Agreement (incorporated herein by reference to Exhibit 4.1 to the Company’s Registration Statement on Form F-1 (File No.</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333-211714) filed with the SEC on May 31,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4.1</w:t>
            </w:r>
          </w:p>
        </w:tc>
        <w:tc>
          <w:tcPr>
            <w:tcW w:w="10680" w:type="dxa"/>
            <w:vAlign w:val="bottom"/>
          </w:tcPr>
          <w:p>
            <w:pPr>
              <w:ind w:left="340"/>
              <w:spacing w:after="0"/>
              <w:rPr>
                <w:sz w:val="20"/>
                <w:szCs w:val="20"/>
                <w:color w:val="auto"/>
              </w:rPr>
            </w:pPr>
            <w:r>
              <w:rPr>
                <w:rFonts w:ascii="Arial" w:cs="Arial" w:eastAsia="Arial" w:hAnsi="Arial"/>
                <w:sz w:val="17"/>
                <w:szCs w:val="17"/>
                <w:color w:val="auto"/>
                <w:w w:val="93"/>
              </w:rPr>
              <w:t>Research Collaboration and License Agreement between AC Immune SA Corporation and Genentech, Inc. dated November 6, 2006 (incorporated</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w w:val="96"/>
              </w:rPr>
              <w:t>herein by reference to Exhibit 10.1 to the Company’s Registration Statement on Form F-1 (File No. 333-211714) filed with the SEC on May 31,</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4.2</w:t>
            </w:r>
          </w:p>
        </w:tc>
        <w:tc>
          <w:tcPr>
            <w:tcW w:w="10680" w:type="dxa"/>
            <w:vAlign w:val="bottom"/>
          </w:tcPr>
          <w:p>
            <w:pPr>
              <w:ind w:left="340"/>
              <w:spacing w:after="0"/>
              <w:rPr>
                <w:sz w:val="20"/>
                <w:szCs w:val="20"/>
                <w:color w:val="auto"/>
              </w:rPr>
            </w:pPr>
            <w:r>
              <w:rPr>
                <w:rFonts w:ascii="Arial" w:cs="Arial" w:eastAsia="Arial" w:hAnsi="Arial"/>
                <w:sz w:val="17"/>
                <w:szCs w:val="17"/>
                <w:color w:val="auto"/>
                <w:w w:val="94"/>
              </w:rPr>
              <w:t>Amendment to the Research Collaboration and License Agreement between AC Immune SA Corporation and Genentech, Inc. dated May 7, 2015</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w w:val="95"/>
              </w:rPr>
              <w:t>(incorporated herein by reference to Exhibit 10.2 to the Company’s Registration Statement on Form F-1 (File No. 333-211714) filed with the SEC</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on May 31,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4.3</w:t>
            </w:r>
          </w:p>
        </w:tc>
        <w:tc>
          <w:tcPr>
            <w:tcW w:w="10680" w:type="dxa"/>
            <w:vAlign w:val="bottom"/>
          </w:tcPr>
          <w:p>
            <w:pPr>
              <w:ind w:left="340"/>
              <w:spacing w:after="0"/>
              <w:rPr>
                <w:sz w:val="20"/>
                <w:szCs w:val="20"/>
                <w:color w:val="auto"/>
              </w:rPr>
            </w:pPr>
            <w:r>
              <w:rPr>
                <w:rFonts w:ascii="Arial" w:cs="Arial" w:eastAsia="Arial" w:hAnsi="Arial"/>
                <w:sz w:val="17"/>
                <w:szCs w:val="17"/>
                <w:color w:val="auto"/>
                <w:w w:val="92"/>
              </w:rPr>
              <w:t>Research Collaboration and License Agreement between AC Immune SA Corporation and Genentech, Inc. dated June 15, 2012 (incorporated herein</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w w:val="96"/>
              </w:rPr>
              <w:t>by reference to Exhibit 10.3 to the Company’s Registration Statement on Form F-1 (File No. 333-211714) filed with the SEC on May 31,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4.4</w:t>
            </w:r>
          </w:p>
        </w:tc>
        <w:tc>
          <w:tcPr>
            <w:tcW w:w="10680" w:type="dxa"/>
            <w:vAlign w:val="bottom"/>
          </w:tcPr>
          <w:p>
            <w:pPr>
              <w:ind w:left="340"/>
              <w:spacing w:after="0"/>
              <w:rPr>
                <w:sz w:val="20"/>
                <w:szCs w:val="20"/>
                <w:color w:val="auto"/>
              </w:rPr>
            </w:pPr>
            <w:r>
              <w:rPr>
                <w:rFonts w:ascii="Arial" w:cs="Arial" w:eastAsia="Arial" w:hAnsi="Arial"/>
                <w:sz w:val="17"/>
                <w:szCs w:val="17"/>
                <w:color w:val="auto"/>
                <w:w w:val="95"/>
              </w:rPr>
              <w:t>License and Collaboration Agreement between Piramal Imaging Ltd., Piramal Imaging SA and AC Immune SA, dated May 9, 2014 (incorporated</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w w:val="96"/>
              </w:rPr>
              <w:t>herein by reference to Exhibit 10.4 to the Company’s Registration Statement on Form F-1 (File No. 333-211714) filed with the SEC on May 31,</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4.5</w:t>
            </w:r>
          </w:p>
        </w:tc>
        <w:tc>
          <w:tcPr>
            <w:tcW w:w="10680" w:type="dxa"/>
            <w:vAlign w:val="bottom"/>
          </w:tcPr>
          <w:p>
            <w:pPr>
              <w:ind w:left="340"/>
              <w:spacing w:after="0"/>
              <w:rPr>
                <w:sz w:val="20"/>
                <w:szCs w:val="20"/>
                <w:color w:val="auto"/>
              </w:rPr>
            </w:pPr>
            <w:r>
              <w:rPr>
                <w:rFonts w:ascii="Arial" w:cs="Arial" w:eastAsia="Arial" w:hAnsi="Arial"/>
                <w:sz w:val="17"/>
                <w:szCs w:val="17"/>
                <w:color w:val="auto"/>
                <w:w w:val="93"/>
              </w:rPr>
              <w:t>License, Development and Commercialization Agreement between Janssen Pharmaceuticals, Inc. and AC Immune SA, dated December 24, 2014</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w w:val="95"/>
              </w:rPr>
              <w:t>(incorporated herein by reference to Exhibit 10.5 to the Company’s Registration Statement on Form F-1 (File No. 333-211714) filed with the SEC</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on May 31,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4.6</w:t>
            </w:r>
          </w:p>
        </w:tc>
        <w:tc>
          <w:tcPr>
            <w:tcW w:w="10680" w:type="dxa"/>
            <w:vAlign w:val="bottom"/>
          </w:tcPr>
          <w:p>
            <w:pPr>
              <w:ind w:left="340"/>
              <w:spacing w:after="0"/>
              <w:rPr>
                <w:sz w:val="20"/>
                <w:szCs w:val="20"/>
                <w:color w:val="auto"/>
              </w:rPr>
            </w:pPr>
            <w:r>
              <w:rPr>
                <w:rFonts w:ascii="Arial" w:cs="Arial" w:eastAsia="Arial" w:hAnsi="Arial"/>
                <w:sz w:val="17"/>
                <w:szCs w:val="17"/>
                <w:color w:val="auto"/>
                <w:w w:val="95"/>
              </w:rPr>
              <w:t>Form of Indemnity Agreement (incorporated herein by reference to Exhibit 10.6 to the Company’s Registration Statement on Form F-1 (File No.</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333-211714) filed with the SEC on May 31,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4.7</w:t>
            </w:r>
          </w:p>
        </w:tc>
        <w:tc>
          <w:tcPr>
            <w:tcW w:w="10680" w:type="dxa"/>
            <w:vAlign w:val="bottom"/>
          </w:tcPr>
          <w:p>
            <w:pPr>
              <w:ind w:left="340"/>
              <w:spacing w:after="0"/>
              <w:rPr>
                <w:sz w:val="20"/>
                <w:szCs w:val="20"/>
                <w:color w:val="auto"/>
              </w:rPr>
            </w:pPr>
            <w:r>
              <w:rPr>
                <w:rFonts w:ascii="Arial" w:cs="Arial" w:eastAsia="Arial" w:hAnsi="Arial"/>
                <w:sz w:val="17"/>
                <w:szCs w:val="17"/>
                <w:color w:val="auto"/>
                <w:w w:val="94"/>
              </w:rPr>
              <w:t>AC Immune SA 2013 Equity Incentive Plan (incorporated herein by reference to Exhibit 10.7 to the Company’s Registration Statement on Form F-</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1 (File No. 333-211714) filed with the SEC on May 31,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4.8</w:t>
            </w:r>
          </w:p>
        </w:tc>
        <w:tc>
          <w:tcPr>
            <w:tcW w:w="10680" w:type="dxa"/>
            <w:vAlign w:val="bottom"/>
          </w:tcPr>
          <w:p>
            <w:pPr>
              <w:ind w:left="340"/>
              <w:spacing w:after="0"/>
              <w:rPr>
                <w:sz w:val="20"/>
                <w:szCs w:val="20"/>
                <w:color w:val="auto"/>
              </w:rPr>
            </w:pPr>
            <w:r>
              <w:rPr>
                <w:rFonts w:ascii="Arial" w:cs="Arial" w:eastAsia="Arial" w:hAnsi="Arial"/>
                <w:sz w:val="17"/>
                <w:szCs w:val="17"/>
                <w:color w:val="auto"/>
                <w:w w:val="95"/>
              </w:rPr>
              <w:t>Subscription Agreement among Fidelity entities and AC Immune SA, dated October 16, 2015 (incorporated herein by reference to Exhibit 10.8 to</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the Company’s Registration Statement on Form F-1 (File No. 333-211714) filed with the SEC on May 31,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4.9</w:t>
            </w:r>
          </w:p>
        </w:tc>
        <w:tc>
          <w:tcPr>
            <w:tcW w:w="10680" w:type="dxa"/>
            <w:vAlign w:val="bottom"/>
          </w:tcPr>
          <w:p>
            <w:pPr>
              <w:ind w:left="340"/>
              <w:spacing w:after="0"/>
              <w:rPr>
                <w:sz w:val="20"/>
                <w:szCs w:val="20"/>
                <w:color w:val="auto"/>
              </w:rPr>
            </w:pPr>
            <w:r>
              <w:rPr>
                <w:rFonts w:ascii="Arial" w:cs="Arial" w:eastAsia="Arial" w:hAnsi="Arial"/>
                <w:sz w:val="17"/>
                <w:szCs w:val="17"/>
                <w:color w:val="auto"/>
                <w:w w:val="93"/>
              </w:rPr>
              <w:t>Subscription Agreement among Temasek entities and AC Immune SA, dated October 16, 2015 (incorporated herein by reference to Exhibit 10.9 to</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the Company’s Registration Statement on Form F-1 (File No. 333-211714) filed with the SEC on May 31,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4.10</w:t>
            </w:r>
          </w:p>
        </w:tc>
        <w:tc>
          <w:tcPr>
            <w:tcW w:w="10680" w:type="dxa"/>
            <w:vAlign w:val="bottom"/>
          </w:tcPr>
          <w:p>
            <w:pPr>
              <w:ind w:left="340"/>
              <w:spacing w:after="0"/>
              <w:rPr>
                <w:sz w:val="20"/>
                <w:szCs w:val="20"/>
                <w:color w:val="auto"/>
              </w:rPr>
            </w:pPr>
            <w:r>
              <w:rPr>
                <w:rFonts w:ascii="Arial" w:cs="Arial" w:eastAsia="Arial" w:hAnsi="Arial"/>
                <w:sz w:val="17"/>
                <w:szCs w:val="17"/>
                <w:color w:val="auto"/>
                <w:w w:val="95"/>
              </w:rPr>
              <w:t>Stock Option Plan - AC Immune of December 31, 2004 (incorporated by reference to the Registrant’s Registration Statement on Form S-8, filed</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with the SEC on September 29,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4.11</w:t>
            </w:r>
          </w:p>
        </w:tc>
        <w:tc>
          <w:tcPr>
            <w:tcW w:w="10680" w:type="dxa"/>
            <w:vAlign w:val="bottom"/>
          </w:tcPr>
          <w:p>
            <w:pPr>
              <w:ind w:left="340"/>
              <w:spacing w:after="0"/>
              <w:rPr>
                <w:sz w:val="20"/>
                <w:szCs w:val="20"/>
                <w:color w:val="auto"/>
              </w:rPr>
            </w:pPr>
            <w:r>
              <w:rPr>
                <w:rFonts w:ascii="Arial" w:cs="Arial" w:eastAsia="Arial" w:hAnsi="Arial"/>
                <w:sz w:val="17"/>
                <w:szCs w:val="17"/>
                <w:color w:val="auto"/>
                <w:w w:val="94"/>
              </w:rPr>
              <w:t>Employee Stock Option and Share Plan of AC Immune (2005 Plan) (incorporated by reference to the Registrant’s Registration Statement on Form</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S-8, filed with the SEC on September 29,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4.12</w:t>
            </w:r>
          </w:p>
        </w:tc>
        <w:tc>
          <w:tcPr>
            <w:tcW w:w="10680" w:type="dxa"/>
            <w:vAlign w:val="bottom"/>
          </w:tcPr>
          <w:p>
            <w:pPr>
              <w:ind w:left="340"/>
              <w:spacing w:after="0"/>
              <w:rPr>
                <w:sz w:val="20"/>
                <w:szCs w:val="20"/>
                <w:color w:val="auto"/>
              </w:rPr>
            </w:pPr>
            <w:r>
              <w:rPr>
                <w:rFonts w:ascii="Arial" w:cs="Arial" w:eastAsia="Arial" w:hAnsi="Arial"/>
                <w:sz w:val="17"/>
                <w:szCs w:val="17"/>
                <w:color w:val="auto"/>
                <w:w w:val="94"/>
              </w:rPr>
              <w:t>AC Immune SA 2013 Equity Incentive Plan (incorporated by reference to the Registrant’s Registration Statement on Form F-1, filed with the SEC</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on May 31,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4.13</w:t>
            </w:r>
          </w:p>
        </w:tc>
        <w:tc>
          <w:tcPr>
            <w:tcW w:w="10680" w:type="dxa"/>
            <w:vAlign w:val="bottom"/>
          </w:tcPr>
          <w:p>
            <w:pPr>
              <w:ind w:left="340"/>
              <w:spacing w:after="0"/>
              <w:rPr>
                <w:sz w:val="20"/>
                <w:szCs w:val="20"/>
                <w:color w:val="auto"/>
              </w:rPr>
            </w:pPr>
            <w:r>
              <w:rPr>
                <w:rFonts w:ascii="Arial" w:cs="Arial" w:eastAsia="Arial" w:hAnsi="Arial"/>
                <w:sz w:val="17"/>
                <w:szCs w:val="17"/>
                <w:color w:val="auto"/>
                <w:w w:val="96"/>
              </w:rPr>
              <w:t>AC Immune SA 2016 Stock Option and Incentive Plan (incorporated by reference to the Registrant’s Report on Form 6-K, filed with the SEC on</w:t>
            </w:r>
          </w:p>
        </w:tc>
      </w:tr>
      <w:tr>
        <w:trPr>
          <w:trHeight w:val="208"/>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October 13, 2016)</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12.1*</w:t>
            </w:r>
          </w:p>
        </w:tc>
        <w:tc>
          <w:tcPr>
            <w:tcW w:w="10680" w:type="dxa"/>
            <w:vAlign w:val="bottom"/>
          </w:tcPr>
          <w:p>
            <w:pPr>
              <w:ind w:left="340"/>
              <w:spacing w:after="0"/>
              <w:rPr>
                <w:sz w:val="20"/>
                <w:szCs w:val="20"/>
                <w:color w:val="auto"/>
              </w:rPr>
            </w:pPr>
            <w:r>
              <w:rPr>
                <w:rFonts w:ascii="Arial" w:cs="Arial" w:eastAsia="Arial" w:hAnsi="Arial"/>
                <w:sz w:val="17"/>
                <w:szCs w:val="17"/>
                <w:color w:val="auto"/>
              </w:rPr>
              <w:t>Certification of Andrea Pfeifer pursuant to 17 CFR 240.13a-14(a)</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12.2*</w:t>
            </w:r>
          </w:p>
        </w:tc>
        <w:tc>
          <w:tcPr>
            <w:tcW w:w="10680" w:type="dxa"/>
            <w:vAlign w:val="bottom"/>
          </w:tcPr>
          <w:p>
            <w:pPr>
              <w:ind w:left="340"/>
              <w:spacing w:after="0"/>
              <w:rPr>
                <w:sz w:val="20"/>
                <w:szCs w:val="20"/>
                <w:color w:val="auto"/>
              </w:rPr>
            </w:pPr>
            <w:r>
              <w:rPr>
                <w:rFonts w:ascii="Arial" w:cs="Arial" w:eastAsia="Arial" w:hAnsi="Arial"/>
                <w:sz w:val="17"/>
                <w:szCs w:val="17"/>
                <w:color w:val="auto"/>
              </w:rPr>
              <w:t>Certification of Jean-Fabien Monin pursuant to 17 CFR 240.13a-14(a).</w:t>
            </w:r>
          </w:p>
        </w:tc>
      </w:tr>
      <w:tr>
        <w:trPr>
          <w:trHeight w:val="208"/>
        </w:trPr>
        <w:tc>
          <w:tcPr>
            <w:tcW w:w="740" w:type="dxa"/>
            <w:vAlign w:val="bottom"/>
          </w:tcPr>
          <w:p>
            <w:pPr>
              <w:spacing w:after="0"/>
              <w:rPr>
                <w:sz w:val="20"/>
                <w:szCs w:val="20"/>
                <w:color w:val="auto"/>
              </w:rPr>
            </w:pPr>
            <w:r>
              <w:rPr>
                <w:rFonts w:ascii="Arial" w:cs="Arial" w:eastAsia="Arial" w:hAnsi="Arial"/>
                <w:sz w:val="17"/>
                <w:szCs w:val="17"/>
                <w:color w:val="auto"/>
              </w:rPr>
              <w:t>13.1*</w:t>
            </w:r>
          </w:p>
        </w:tc>
        <w:tc>
          <w:tcPr>
            <w:tcW w:w="10680" w:type="dxa"/>
            <w:vAlign w:val="bottom"/>
          </w:tcPr>
          <w:p>
            <w:pPr>
              <w:ind w:left="340"/>
              <w:spacing w:after="0"/>
              <w:rPr>
                <w:sz w:val="20"/>
                <w:szCs w:val="20"/>
                <w:color w:val="auto"/>
              </w:rPr>
            </w:pPr>
            <w:r>
              <w:rPr>
                <w:rFonts w:ascii="Arial" w:cs="Arial" w:eastAsia="Arial" w:hAnsi="Arial"/>
                <w:sz w:val="17"/>
                <w:szCs w:val="17"/>
                <w:color w:val="auto"/>
              </w:rPr>
              <w:t>Certification of Andrea Pfeifer pursuant to 17 CFR 240.13a-14(b) and 18 U.S.C.1350</w:t>
            </w:r>
          </w:p>
        </w:tc>
      </w:tr>
      <w:tr>
        <w:trPr>
          <w:trHeight w:val="220"/>
        </w:trPr>
        <w:tc>
          <w:tcPr>
            <w:tcW w:w="740" w:type="dxa"/>
            <w:vAlign w:val="bottom"/>
          </w:tcPr>
          <w:p>
            <w:pPr>
              <w:spacing w:after="0"/>
              <w:rPr>
                <w:sz w:val="20"/>
                <w:szCs w:val="20"/>
                <w:color w:val="auto"/>
              </w:rPr>
            </w:pPr>
            <w:r>
              <w:rPr>
                <w:rFonts w:ascii="Arial" w:cs="Arial" w:eastAsia="Arial" w:hAnsi="Arial"/>
                <w:sz w:val="17"/>
                <w:szCs w:val="17"/>
                <w:color w:val="auto"/>
              </w:rPr>
              <w:t>13.2*</w:t>
            </w:r>
          </w:p>
        </w:tc>
        <w:tc>
          <w:tcPr>
            <w:tcW w:w="10680" w:type="dxa"/>
            <w:vAlign w:val="bottom"/>
          </w:tcPr>
          <w:p>
            <w:pPr>
              <w:ind w:left="340"/>
              <w:spacing w:after="0"/>
              <w:rPr>
                <w:sz w:val="20"/>
                <w:szCs w:val="20"/>
                <w:color w:val="auto"/>
              </w:rPr>
            </w:pPr>
            <w:r>
              <w:rPr>
                <w:rFonts w:ascii="Arial" w:cs="Arial" w:eastAsia="Arial" w:hAnsi="Arial"/>
                <w:sz w:val="17"/>
                <w:szCs w:val="17"/>
                <w:color w:val="auto"/>
              </w:rPr>
              <w:t>Certification of Jean-Fabien Monin pursuant to 17 CFR 240.13a-14(b) and 18 U.S.C.1350</w:t>
            </w:r>
          </w:p>
        </w:tc>
      </w:tr>
      <w:tr>
        <w:trPr>
          <w:trHeight w:val="572"/>
        </w:trPr>
        <w:tc>
          <w:tcPr>
            <w:tcW w:w="74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ind w:left="4820"/>
              <w:spacing w:after="0"/>
              <w:rPr>
                <w:sz w:val="20"/>
                <w:szCs w:val="20"/>
                <w:color w:val="auto"/>
              </w:rPr>
            </w:pPr>
            <w:r>
              <w:rPr>
                <w:rFonts w:ascii="Arial" w:cs="Arial" w:eastAsia="Arial" w:hAnsi="Arial"/>
                <w:sz w:val="21"/>
                <w:szCs w:val="21"/>
                <w:color w:val="auto"/>
              </w:rPr>
              <w:t>135</w:t>
            </w:r>
          </w:p>
        </w:tc>
      </w:tr>
    </w:tbl>
    <w:p>
      <w:pPr>
        <w:sectPr>
          <w:pgSz w:w="11900" w:h="16838" w:orient="portrait"/>
          <w:cols w:equalWidth="0" w:num="1">
            <w:col w:w="11420"/>
          </w:cols>
          <w:pgMar w:left="240" w:top="563" w:right="239" w:bottom="1440" w:gutter="0" w:footer="0" w:header="0"/>
        </w:sectPr>
      </w:pPr>
    </w:p>
    <w:bookmarkStart w:id="139" w:name="page140"/>
    <w:bookmarkEnd w:id="139"/>
    <w:p>
      <w:pPr>
        <w:spacing w:after="0"/>
        <w:tabs>
          <w:tab w:leader="none" w:pos="106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6"/>
          <w:szCs w:val="16"/>
          <w:color w:val="auto"/>
        </w:rPr>
        <w:t>Consent of Ernst &amp; Young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28905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0520" cy="8255"/>
                    </a:xfrm>
                    <a:prstGeom prst="rect">
                      <a:avLst/>
                    </a:prstGeom>
                    <a:noFill/>
                  </pic:spPr>
                </pic:pic>
              </a:graphicData>
            </a:graphic>
          </wp:anchor>
        </w:drawing>
      </w:r>
    </w:p>
    <w:p>
      <w:pPr>
        <w:spacing w:after="0" w:line="279" w:lineRule="exact"/>
        <w:rPr>
          <w:sz w:val="20"/>
          <w:szCs w:val="20"/>
          <w:color w:val="auto"/>
        </w:rPr>
      </w:pPr>
    </w:p>
    <w:p>
      <w:pPr>
        <w:ind w:left="320" w:hanging="316"/>
        <w:spacing w:after="0" w:line="286" w:lineRule="auto"/>
        <w:tabs>
          <w:tab w:leader="none" w:pos="3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Confidential treatment has been requested for portions of this exhibit. These portions have been omitted from the registration statement and submitted separately to the United States Securities and Exchange Commission.</w:t>
      </w:r>
    </w:p>
    <w:p>
      <w:pPr>
        <w:spacing w:after="0" w:line="158" w:lineRule="exact"/>
        <w:rPr>
          <w:sz w:val="20"/>
          <w:szCs w:val="20"/>
          <w:color w:val="auto"/>
        </w:rPr>
      </w:pPr>
    </w:p>
    <w:p>
      <w:pPr>
        <w:ind w:left="140" w:hanging="136"/>
        <w:spacing w:after="0"/>
        <w:tabs>
          <w:tab w:leader="none" w:pos="1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20" w:lineRule="exact"/>
        <w:rPr>
          <w:rFonts w:ascii="Arial" w:cs="Arial" w:eastAsia="Arial" w:hAnsi="Arial"/>
          <w:sz w:val="17"/>
          <w:szCs w:val="17"/>
          <w:color w:val="auto"/>
        </w:rPr>
      </w:pPr>
    </w:p>
    <w:p>
      <w:pPr>
        <w:ind w:left="820" w:hanging="504"/>
        <w:spacing w:after="0"/>
        <w:tabs>
          <w:tab w:leader="none" w:pos="8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2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None.</w:t>
      </w:r>
    </w:p>
    <w:p>
      <w:pPr>
        <w:spacing w:after="0" w:line="316"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251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0720"/>
          </w:cols>
          <w:pgMar w:left="240" w:top="569" w:right="9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b w:val="1"/>
          <w:bCs w:val="1"/>
          <w:color w:val="auto"/>
        </w:rPr>
        <w:t>Signatures</w:t>
      </w:r>
    </w:p>
    <w:p>
      <w:pPr>
        <w:spacing w:after="0" w:line="227" w:lineRule="exact"/>
        <w:rPr>
          <w:sz w:val="20"/>
          <w:szCs w:val="20"/>
          <w:color w:val="auto"/>
        </w:rPr>
      </w:pPr>
    </w:p>
    <w:p>
      <w:pPr>
        <w:ind w:right="240" w:firstLine="312"/>
        <w:spacing w:after="0" w:line="286"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20" w:type="dxa"/>
            <w:vAlign w:val="bottom"/>
          </w:tcPr>
          <w:p>
            <w:pPr>
              <w:spacing w:after="0"/>
              <w:rPr>
                <w:sz w:val="19"/>
                <w:szCs w:val="19"/>
                <w:color w:val="auto"/>
              </w:rPr>
            </w:pPr>
          </w:p>
        </w:tc>
        <w:tc>
          <w:tcPr>
            <w:tcW w:w="4880" w:type="dxa"/>
            <w:vAlign w:val="bottom"/>
            <w:gridSpan w:val="2"/>
          </w:tcPr>
          <w:p>
            <w:pPr>
              <w:ind w:left="3600"/>
              <w:spacing w:after="0"/>
              <w:rPr>
                <w:sz w:val="20"/>
                <w:szCs w:val="20"/>
                <w:color w:val="auto"/>
              </w:rPr>
            </w:pPr>
            <w:r>
              <w:rPr>
                <w:rFonts w:ascii="Arial" w:cs="Arial" w:eastAsia="Arial" w:hAnsi="Arial"/>
                <w:sz w:val="17"/>
                <w:szCs w:val="17"/>
                <w:color w:val="auto"/>
              </w:rPr>
              <w:t>AC IMMUNE SA</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120" w:type="dxa"/>
            <w:vAlign w:val="bottom"/>
          </w:tcPr>
          <w:p>
            <w:pPr>
              <w:spacing w:after="0"/>
              <w:rPr>
                <w:sz w:val="24"/>
                <w:szCs w:val="24"/>
                <w:color w:val="auto"/>
              </w:rPr>
            </w:pPr>
          </w:p>
        </w:tc>
        <w:tc>
          <w:tcPr>
            <w:tcW w:w="4060" w:type="dxa"/>
            <w:vAlign w:val="bottom"/>
          </w:tcPr>
          <w:p>
            <w:pPr>
              <w:ind w:left="3600"/>
              <w:spacing w:after="0"/>
              <w:rPr>
                <w:sz w:val="20"/>
                <w:szCs w:val="20"/>
                <w:color w:val="auto"/>
              </w:rPr>
            </w:pPr>
            <w:r>
              <w:rPr>
                <w:rFonts w:ascii="Arial" w:cs="Arial" w:eastAsia="Arial" w:hAnsi="Arial"/>
                <w:sz w:val="17"/>
                <w:szCs w:val="17"/>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Andrea Pfeifer</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82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4420" w:type="dxa"/>
            <w:vAlign w:val="bottom"/>
          </w:tcPr>
          <w:p>
            <w:pPr>
              <w:ind w:left="20"/>
              <w:spacing w:after="0" w:line="189" w:lineRule="exact"/>
              <w:rPr>
                <w:sz w:val="20"/>
                <w:szCs w:val="20"/>
                <w:color w:val="auto"/>
              </w:rPr>
            </w:pPr>
            <w:r>
              <w:rPr>
                <w:rFonts w:ascii="Arial" w:cs="Arial" w:eastAsia="Arial" w:hAnsi="Arial"/>
                <w:sz w:val="17"/>
                <w:szCs w:val="17"/>
                <w:color w:val="auto"/>
              </w:rPr>
              <w:t>Andrea Pfeifer</w:t>
            </w:r>
          </w:p>
        </w:tc>
        <w:tc>
          <w:tcPr>
            <w:tcW w:w="0" w:type="dxa"/>
            <w:vAlign w:val="bottom"/>
          </w:tcPr>
          <w:p>
            <w:pPr>
              <w:spacing w:after="0"/>
              <w:rPr>
                <w:sz w:val="1"/>
                <w:szCs w:val="1"/>
                <w:color w:val="auto"/>
              </w:rPr>
            </w:pPr>
          </w:p>
        </w:tc>
      </w:tr>
      <w:tr>
        <w:trPr>
          <w:trHeight w:val="208"/>
        </w:trPr>
        <w:tc>
          <w:tcPr>
            <w:tcW w:w="2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Title:</w:t>
            </w:r>
          </w:p>
        </w:tc>
        <w:tc>
          <w:tcPr>
            <w:tcW w:w="4420" w:type="dxa"/>
            <w:vAlign w:val="bottom"/>
          </w:tcPr>
          <w:p>
            <w:pPr>
              <w:ind w:left="20"/>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r>
        <w:trPr>
          <w:trHeight w:val="220"/>
        </w:trPr>
        <w:tc>
          <w:tcPr>
            <w:tcW w:w="2120" w:type="dxa"/>
            <w:vAlign w:val="bottom"/>
          </w:tcPr>
          <w:p>
            <w:pPr>
              <w:spacing w:after="0"/>
              <w:rPr>
                <w:sz w:val="20"/>
                <w:szCs w:val="20"/>
                <w:color w:val="auto"/>
              </w:rPr>
            </w:pPr>
            <w:r>
              <w:rPr>
                <w:rFonts w:ascii="Arial" w:cs="Arial" w:eastAsia="Arial" w:hAnsi="Arial"/>
                <w:sz w:val="17"/>
                <w:szCs w:val="17"/>
                <w:color w:val="auto"/>
              </w:rPr>
              <w:t>Date: March 17, 2017</w:t>
            </w:r>
          </w:p>
        </w:tc>
        <w:tc>
          <w:tcPr>
            <w:tcW w:w="4060" w:type="dxa"/>
            <w:vAlign w:val="bottom"/>
          </w:tcPr>
          <w:p>
            <w:pPr>
              <w:ind w:left="3600"/>
              <w:spacing w:after="0"/>
              <w:rPr>
                <w:sz w:val="20"/>
                <w:szCs w:val="20"/>
                <w:color w:val="auto"/>
              </w:rPr>
            </w:pPr>
            <w:r>
              <w:rPr>
                <w:rFonts w:ascii="Arial" w:cs="Arial" w:eastAsia="Arial" w:hAnsi="Arial"/>
                <w:sz w:val="17"/>
                <w:szCs w:val="17"/>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Jean-Fabien Monin</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82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4420" w:type="dxa"/>
            <w:vAlign w:val="bottom"/>
          </w:tcPr>
          <w:p>
            <w:pPr>
              <w:ind w:left="20"/>
              <w:spacing w:after="0" w:line="189" w:lineRule="exact"/>
              <w:rPr>
                <w:sz w:val="20"/>
                <w:szCs w:val="20"/>
                <w:color w:val="auto"/>
              </w:rPr>
            </w:pPr>
            <w:r>
              <w:rPr>
                <w:rFonts w:ascii="Arial" w:cs="Arial" w:eastAsia="Arial" w:hAnsi="Arial"/>
                <w:sz w:val="17"/>
                <w:szCs w:val="17"/>
                <w:color w:val="auto"/>
              </w:rPr>
              <w:t>Jean Fabien Monin</w:t>
            </w: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4060" w:type="dxa"/>
            <w:vAlign w:val="bottom"/>
            <w:vMerge w:val="restart"/>
          </w:tcPr>
          <w:p>
            <w:pPr>
              <w:jc w:val="right"/>
              <w:ind w:right="3069"/>
              <w:spacing w:after="0"/>
              <w:rPr>
                <w:sz w:val="20"/>
                <w:szCs w:val="20"/>
                <w:color w:val="auto"/>
              </w:rPr>
            </w:pPr>
            <w:r>
              <w:rPr>
                <w:rFonts w:ascii="Arial" w:cs="Arial" w:eastAsia="Arial" w:hAnsi="Arial"/>
                <w:sz w:val="21"/>
                <w:szCs w:val="21"/>
                <w:color w:val="auto"/>
              </w:rPr>
              <w:t>137</w:t>
            </w:r>
          </w:p>
        </w:tc>
        <w:tc>
          <w:tcPr>
            <w:tcW w:w="820" w:type="dxa"/>
            <w:vAlign w:val="bottom"/>
          </w:tcPr>
          <w:p>
            <w:pPr>
              <w:spacing w:after="0"/>
              <w:rPr>
                <w:sz w:val="20"/>
                <w:szCs w:val="20"/>
                <w:color w:val="auto"/>
              </w:rPr>
            </w:pPr>
            <w:r>
              <w:rPr>
                <w:rFonts w:ascii="Arial" w:cs="Arial" w:eastAsia="Arial" w:hAnsi="Arial"/>
                <w:sz w:val="17"/>
                <w:szCs w:val="17"/>
                <w:color w:val="auto"/>
              </w:rPr>
              <w:t>Title:</w:t>
            </w:r>
          </w:p>
        </w:tc>
        <w:tc>
          <w:tcPr>
            <w:tcW w:w="4420" w:type="dxa"/>
            <w:vAlign w:val="bottom"/>
          </w:tcPr>
          <w:p>
            <w:pPr>
              <w:ind w:left="20"/>
              <w:spacing w:after="0"/>
              <w:rPr>
                <w:sz w:val="20"/>
                <w:szCs w:val="20"/>
                <w:color w:val="auto"/>
              </w:rPr>
            </w:pPr>
            <w:r>
              <w:rPr>
                <w:rFonts w:ascii="Arial" w:cs="Arial" w:eastAsia="Arial" w:hAnsi="Arial"/>
                <w:sz w:val="17"/>
                <w:szCs w:val="17"/>
                <w:color w:val="auto"/>
              </w:rPr>
              <w:t>Chief Administrative Officer</w:t>
            </w:r>
          </w:p>
        </w:tc>
        <w:tc>
          <w:tcPr>
            <w:tcW w:w="0" w:type="dxa"/>
            <w:vAlign w:val="bottom"/>
          </w:tcPr>
          <w:p>
            <w:pPr>
              <w:spacing w:after="0"/>
              <w:rPr>
                <w:sz w:val="1"/>
                <w:szCs w:val="1"/>
                <w:color w:val="auto"/>
              </w:rPr>
            </w:pPr>
          </w:p>
        </w:tc>
      </w:tr>
      <w:tr>
        <w:trPr>
          <w:trHeight w:val="117"/>
        </w:trPr>
        <w:tc>
          <w:tcPr>
            <w:tcW w:w="212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080" w:type="dxa"/>
            <w:vAlign w:val="bottom"/>
          </w:tcPr>
          <w:p>
            <w:pPr>
              <w:ind w:left="4180"/>
              <w:spacing w:after="0"/>
              <w:rPr>
                <w:sz w:val="20"/>
                <w:szCs w:val="20"/>
                <w:color w:val="auto"/>
              </w:rPr>
            </w:pPr>
            <w:r>
              <w:rPr>
                <w:rFonts w:ascii="Arial" w:cs="Arial" w:eastAsia="Arial" w:hAnsi="Arial"/>
                <w:sz w:val="17"/>
                <w:szCs w:val="17"/>
                <w:b w:val="1"/>
                <w:bCs w:val="1"/>
                <w:color w:val="auto"/>
              </w:rPr>
              <w:t>INDEX TO FINANCIAL STATEMENTS</w:t>
            </w:r>
          </w:p>
        </w:tc>
        <w:tc>
          <w:tcPr>
            <w:tcW w:w="2340" w:type="dxa"/>
            <w:vAlign w:val="bottom"/>
          </w:tcPr>
          <w:p>
            <w:pPr>
              <w:spacing w:after="0"/>
              <w:rPr>
                <w:sz w:val="19"/>
                <w:szCs w:val="19"/>
                <w:color w:val="auto"/>
              </w:rPr>
            </w:pPr>
          </w:p>
        </w:tc>
      </w:tr>
      <w:tr>
        <w:trPr>
          <w:trHeight w:val="416"/>
        </w:trPr>
        <w:tc>
          <w:tcPr>
            <w:tcW w:w="9080" w:type="dxa"/>
            <w:vAlign w:val="bottom"/>
          </w:tcPr>
          <w:p>
            <w:pPr>
              <w:spacing w:after="0"/>
              <w:rPr>
                <w:sz w:val="20"/>
                <w:szCs w:val="20"/>
                <w:color w:val="auto"/>
              </w:rPr>
            </w:pPr>
            <w:r>
              <w:rPr>
                <w:rFonts w:ascii="Arial" w:cs="Arial" w:eastAsia="Arial" w:hAnsi="Arial"/>
                <w:sz w:val="17"/>
                <w:szCs w:val="17"/>
                <w:b w:val="1"/>
                <w:bCs w:val="1"/>
                <w:color w:val="auto"/>
              </w:rPr>
              <w:t>Audited Financial Statements — AC IMMUNE SA</w:t>
            </w:r>
          </w:p>
        </w:tc>
        <w:tc>
          <w:tcPr>
            <w:tcW w:w="2340" w:type="dxa"/>
            <w:vAlign w:val="bottom"/>
          </w:tcPr>
          <w:p>
            <w:pPr>
              <w:spacing w:after="0"/>
              <w:rPr>
                <w:sz w:val="24"/>
                <w:szCs w:val="24"/>
                <w:color w:val="auto"/>
              </w:rPr>
            </w:pPr>
          </w:p>
        </w:tc>
      </w:tr>
      <w:tr>
        <w:trPr>
          <w:trHeight w:val="404"/>
        </w:trPr>
        <w:tc>
          <w:tcPr>
            <w:tcW w:w="9080" w:type="dxa"/>
            <w:vAlign w:val="bottom"/>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2340" w:type="dxa"/>
            <w:vAlign w:val="bottom"/>
          </w:tcPr>
          <w:p>
            <w:pPr>
              <w:ind w:left="1820"/>
              <w:spacing w:after="0"/>
              <w:rPr>
                <w:sz w:val="20"/>
                <w:szCs w:val="20"/>
                <w:color w:val="auto"/>
              </w:rPr>
            </w:pPr>
            <w:r>
              <w:rPr>
                <w:rFonts w:ascii="Arial" w:cs="Arial" w:eastAsia="Arial" w:hAnsi="Arial"/>
                <w:sz w:val="17"/>
                <w:szCs w:val="17"/>
                <w:color w:val="auto"/>
              </w:rPr>
              <w:t>F-2</w:t>
            </w:r>
          </w:p>
        </w:tc>
      </w:tr>
      <w:tr>
        <w:trPr>
          <w:trHeight w:val="208"/>
        </w:trPr>
        <w:tc>
          <w:tcPr>
            <w:tcW w:w="9080" w:type="dxa"/>
            <w:vAlign w:val="bottom"/>
          </w:tcPr>
          <w:p>
            <w:pPr>
              <w:spacing w:after="0"/>
              <w:rPr>
                <w:sz w:val="20"/>
                <w:szCs w:val="20"/>
                <w:color w:val="auto"/>
              </w:rPr>
            </w:pPr>
            <w:r>
              <w:rPr>
                <w:rFonts w:ascii="Arial" w:cs="Arial" w:eastAsia="Arial" w:hAnsi="Arial"/>
                <w:sz w:val="17"/>
                <w:szCs w:val="17"/>
                <w:color w:val="auto"/>
              </w:rPr>
              <w:t>Balance Sheets as of December 31, 2016 and 2015</w:t>
            </w:r>
          </w:p>
        </w:tc>
        <w:tc>
          <w:tcPr>
            <w:tcW w:w="2340" w:type="dxa"/>
            <w:vAlign w:val="bottom"/>
          </w:tcPr>
          <w:p>
            <w:pPr>
              <w:ind w:left="1820"/>
              <w:spacing w:after="0"/>
              <w:rPr>
                <w:sz w:val="20"/>
                <w:szCs w:val="20"/>
                <w:color w:val="auto"/>
              </w:rPr>
            </w:pPr>
            <w:r>
              <w:rPr>
                <w:rFonts w:ascii="Arial" w:cs="Arial" w:eastAsia="Arial" w:hAnsi="Arial"/>
                <w:sz w:val="17"/>
                <w:szCs w:val="17"/>
                <w:color w:val="auto"/>
              </w:rPr>
              <w:t>F-3</w:t>
            </w:r>
          </w:p>
        </w:tc>
      </w:tr>
      <w:tr>
        <w:trPr>
          <w:trHeight w:val="208"/>
        </w:trPr>
        <w:tc>
          <w:tcPr>
            <w:tcW w:w="9080" w:type="dxa"/>
            <w:vAlign w:val="bottom"/>
          </w:tcPr>
          <w:p>
            <w:pPr>
              <w:spacing w:after="0"/>
              <w:rPr>
                <w:sz w:val="20"/>
                <w:szCs w:val="20"/>
                <w:color w:val="auto"/>
              </w:rPr>
            </w:pPr>
            <w:r>
              <w:rPr>
                <w:rFonts w:ascii="Arial" w:cs="Arial" w:eastAsia="Arial" w:hAnsi="Arial"/>
                <w:sz w:val="17"/>
                <w:szCs w:val="17"/>
                <w:color w:val="auto"/>
              </w:rPr>
              <w:t>Statements of Income / (Loss) and Statements of Comprehensive Income / (Loss)</w:t>
            </w:r>
          </w:p>
        </w:tc>
        <w:tc>
          <w:tcPr>
            <w:tcW w:w="2340" w:type="dxa"/>
            <w:vAlign w:val="bottom"/>
          </w:tcPr>
          <w:p>
            <w:pPr>
              <w:spacing w:after="0"/>
              <w:rPr>
                <w:sz w:val="18"/>
                <w:szCs w:val="18"/>
                <w:color w:val="auto"/>
              </w:rPr>
            </w:pPr>
          </w:p>
        </w:tc>
      </w:tr>
      <w:tr>
        <w:trPr>
          <w:trHeight w:val="208"/>
        </w:trPr>
        <w:tc>
          <w:tcPr>
            <w:tcW w:w="9080" w:type="dxa"/>
            <w:vAlign w:val="bottom"/>
          </w:tcPr>
          <w:p>
            <w:pPr>
              <w:spacing w:after="0"/>
              <w:rPr>
                <w:sz w:val="20"/>
                <w:szCs w:val="20"/>
                <w:color w:val="auto"/>
              </w:rPr>
            </w:pPr>
            <w:r>
              <w:rPr>
                <w:rFonts w:ascii="Arial" w:cs="Arial" w:eastAsia="Arial" w:hAnsi="Arial"/>
                <w:sz w:val="17"/>
                <w:szCs w:val="17"/>
                <w:color w:val="auto"/>
              </w:rPr>
              <w:t>for the fiscal year ended December 31, 2016, 2015 and 2014</w:t>
            </w:r>
          </w:p>
        </w:tc>
        <w:tc>
          <w:tcPr>
            <w:tcW w:w="2340" w:type="dxa"/>
            <w:vAlign w:val="bottom"/>
          </w:tcPr>
          <w:p>
            <w:pPr>
              <w:ind w:left="1820"/>
              <w:spacing w:after="0"/>
              <w:rPr>
                <w:sz w:val="20"/>
                <w:szCs w:val="20"/>
                <w:color w:val="auto"/>
              </w:rPr>
            </w:pPr>
            <w:r>
              <w:rPr>
                <w:rFonts w:ascii="Arial" w:cs="Arial" w:eastAsia="Arial" w:hAnsi="Arial"/>
                <w:sz w:val="17"/>
                <w:szCs w:val="17"/>
                <w:color w:val="auto"/>
              </w:rPr>
              <w:t>F-4</w:t>
            </w:r>
          </w:p>
        </w:tc>
      </w:tr>
      <w:tr>
        <w:trPr>
          <w:trHeight w:val="208"/>
        </w:trPr>
        <w:tc>
          <w:tcPr>
            <w:tcW w:w="9080" w:type="dxa"/>
            <w:vAlign w:val="bottom"/>
          </w:tcPr>
          <w:p>
            <w:pPr>
              <w:spacing w:after="0"/>
              <w:rPr>
                <w:sz w:val="20"/>
                <w:szCs w:val="20"/>
                <w:color w:val="auto"/>
              </w:rPr>
            </w:pPr>
            <w:r>
              <w:rPr>
                <w:rFonts w:ascii="Arial" w:cs="Arial" w:eastAsia="Arial" w:hAnsi="Arial"/>
                <w:sz w:val="17"/>
                <w:szCs w:val="17"/>
                <w:color w:val="auto"/>
              </w:rPr>
              <w:t>Statements of Changes in Equity for the fiscal years ended December 31, 2016, 2015 and 2014</w:t>
            </w:r>
          </w:p>
        </w:tc>
        <w:tc>
          <w:tcPr>
            <w:tcW w:w="2340" w:type="dxa"/>
            <w:vAlign w:val="bottom"/>
          </w:tcPr>
          <w:p>
            <w:pPr>
              <w:ind w:left="1820"/>
              <w:spacing w:after="0"/>
              <w:rPr>
                <w:sz w:val="20"/>
                <w:szCs w:val="20"/>
                <w:color w:val="auto"/>
              </w:rPr>
            </w:pPr>
            <w:r>
              <w:rPr>
                <w:rFonts w:ascii="Arial" w:cs="Arial" w:eastAsia="Arial" w:hAnsi="Arial"/>
                <w:sz w:val="17"/>
                <w:szCs w:val="17"/>
                <w:color w:val="auto"/>
              </w:rPr>
              <w:t>F-5</w:t>
            </w:r>
          </w:p>
        </w:tc>
      </w:tr>
      <w:tr>
        <w:trPr>
          <w:trHeight w:val="208"/>
        </w:trPr>
        <w:tc>
          <w:tcPr>
            <w:tcW w:w="9080" w:type="dxa"/>
            <w:vAlign w:val="bottom"/>
          </w:tcPr>
          <w:p>
            <w:pPr>
              <w:spacing w:after="0"/>
              <w:rPr>
                <w:sz w:val="20"/>
                <w:szCs w:val="20"/>
                <w:color w:val="auto"/>
              </w:rPr>
            </w:pPr>
            <w:r>
              <w:rPr>
                <w:rFonts w:ascii="Arial" w:cs="Arial" w:eastAsia="Arial" w:hAnsi="Arial"/>
                <w:sz w:val="17"/>
                <w:szCs w:val="17"/>
                <w:color w:val="auto"/>
              </w:rPr>
              <w:t>Statements of Cash Flows for the fiscal years ended December 31, 2016, 2015 and 2014</w:t>
            </w:r>
          </w:p>
        </w:tc>
        <w:tc>
          <w:tcPr>
            <w:tcW w:w="2340" w:type="dxa"/>
            <w:vAlign w:val="bottom"/>
          </w:tcPr>
          <w:p>
            <w:pPr>
              <w:ind w:left="1820"/>
              <w:spacing w:after="0"/>
              <w:rPr>
                <w:sz w:val="20"/>
                <w:szCs w:val="20"/>
                <w:color w:val="auto"/>
              </w:rPr>
            </w:pPr>
            <w:r>
              <w:rPr>
                <w:rFonts w:ascii="Arial" w:cs="Arial" w:eastAsia="Arial" w:hAnsi="Arial"/>
                <w:sz w:val="17"/>
                <w:szCs w:val="17"/>
                <w:color w:val="auto"/>
              </w:rPr>
              <w:t>F-6</w:t>
            </w:r>
          </w:p>
        </w:tc>
      </w:tr>
      <w:tr>
        <w:trPr>
          <w:trHeight w:val="220"/>
        </w:trPr>
        <w:tc>
          <w:tcPr>
            <w:tcW w:w="9080" w:type="dxa"/>
            <w:vAlign w:val="bottom"/>
          </w:tcPr>
          <w:p>
            <w:pPr>
              <w:spacing w:after="0"/>
              <w:rPr>
                <w:sz w:val="20"/>
                <w:szCs w:val="20"/>
                <w:color w:val="auto"/>
              </w:rPr>
            </w:pPr>
            <w:r>
              <w:rPr>
                <w:rFonts w:ascii="Arial" w:cs="Arial" w:eastAsia="Arial" w:hAnsi="Arial"/>
                <w:sz w:val="17"/>
                <w:szCs w:val="17"/>
                <w:color w:val="auto"/>
              </w:rPr>
              <w:t>Notes to the Financial Statements</w:t>
            </w:r>
          </w:p>
        </w:tc>
        <w:tc>
          <w:tcPr>
            <w:tcW w:w="2340" w:type="dxa"/>
            <w:vAlign w:val="bottom"/>
          </w:tcPr>
          <w:p>
            <w:pPr>
              <w:ind w:left="1820"/>
              <w:spacing w:after="0"/>
              <w:rPr>
                <w:sz w:val="20"/>
                <w:szCs w:val="20"/>
                <w:color w:val="auto"/>
              </w:rPr>
            </w:pPr>
            <w:r>
              <w:rPr>
                <w:rFonts w:ascii="Arial" w:cs="Arial" w:eastAsia="Arial" w:hAnsi="Arial"/>
                <w:sz w:val="17"/>
                <w:szCs w:val="17"/>
                <w:color w:val="auto"/>
              </w:rPr>
              <w:t>F-7</w:t>
            </w:r>
          </w:p>
        </w:tc>
      </w:tr>
      <w:tr>
        <w:trPr>
          <w:trHeight w:val="546"/>
        </w:trPr>
        <w:tc>
          <w:tcPr>
            <w:tcW w:w="9080" w:type="dxa"/>
            <w:vAlign w:val="bottom"/>
            <w:tcBorders>
              <w:bottom w:val="single" w:sz="8" w:color="auto"/>
            </w:tcBorders>
          </w:tcPr>
          <w:p>
            <w:pPr>
              <w:ind w:left="5600"/>
              <w:spacing w:after="0"/>
              <w:rPr>
                <w:sz w:val="20"/>
                <w:szCs w:val="20"/>
                <w:color w:val="auto"/>
              </w:rPr>
            </w:pPr>
            <w:r>
              <w:rPr>
                <w:rFonts w:ascii="Arial" w:cs="Arial" w:eastAsia="Arial" w:hAnsi="Arial"/>
                <w:sz w:val="17"/>
                <w:szCs w:val="17"/>
                <w:color w:val="auto"/>
              </w:rPr>
              <w:t>F-1</w:t>
            </w: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142" w:name="page143"/>
    <w:bookmarkEnd w:id="142"/>
    <w:p>
      <w:pPr>
        <w:ind w:left="35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 of AC Immune SA</w:t>
      </w:r>
    </w:p>
    <w:p>
      <w:pPr>
        <w:spacing w:after="0" w:line="2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have audited the accompanying balance sheets of AC Immune SA as of December 31, 2016 and 2015, and the related statements of income, comprehensive income</w:t>
      </w:r>
      <w:r>
        <w:rPr>
          <w:rFonts w:ascii="Arial" w:cs="Arial" w:eastAsia="Arial" w:hAnsi="Arial"/>
          <w:sz w:val="16"/>
          <w:szCs w:val="16"/>
          <w:b w:val="1"/>
          <w:bCs w:val="1"/>
          <w:color w:val="auto"/>
        </w:rPr>
        <w:t>,</w:t>
      </w:r>
      <w:r>
        <w:rPr>
          <w:rFonts w:ascii="Arial" w:cs="Arial" w:eastAsia="Arial" w:hAnsi="Arial"/>
          <w:sz w:val="16"/>
          <w:szCs w:val="16"/>
          <w:color w:val="auto"/>
        </w:rPr>
        <w:t xml:space="preserve"> changes in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AC Immune SA at December 31, 2016 and 2015, and the results of its operations and its cash flows for each of the three years in the period ended December 31, 2016, in conformity with International Financial Reporting Standards as issued by the International Accounting Standards Board.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Ernst &amp; Young AG</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AG</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Geneva, Switzerland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March 17, 2017</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26"/>
        </w:trPr>
        <w:tc>
          <w:tcPr>
            <w:tcW w:w="8660" w:type="dxa"/>
            <w:vAlign w:val="bottom"/>
            <w:gridSpan w:val="3"/>
          </w:tcPr>
          <w:p>
            <w:pPr>
              <w:spacing w:after="0"/>
              <w:rPr>
                <w:sz w:val="20"/>
                <w:szCs w:val="20"/>
                <w:color w:val="auto"/>
              </w:rPr>
            </w:pPr>
            <w:r>
              <w:rPr>
                <w:rFonts w:ascii="Arial" w:cs="Arial" w:eastAsia="Arial" w:hAnsi="Arial"/>
                <w:sz w:val="17"/>
                <w:szCs w:val="17"/>
                <w:b w:val="1"/>
                <w:bCs w:val="1"/>
                <w:color w:val="auto"/>
              </w:rPr>
              <w:t>Financial Statements (IFRS)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8660" w:type="dxa"/>
            <w:vAlign w:val="bottom"/>
            <w:gridSpan w:val="3"/>
          </w:tcPr>
          <w:p>
            <w:pPr>
              <w:spacing w:after="0"/>
              <w:rPr>
                <w:sz w:val="20"/>
                <w:szCs w:val="20"/>
                <w:color w:val="auto"/>
              </w:rPr>
            </w:pPr>
            <w:r>
              <w:rPr>
                <w:rFonts w:ascii="Arial" w:cs="Arial" w:eastAsia="Arial" w:hAnsi="Arial"/>
                <w:sz w:val="17"/>
                <w:szCs w:val="17"/>
                <w:b w:val="1"/>
                <w:bCs w:val="1"/>
                <w:color w:val="auto"/>
              </w:rPr>
              <w:t>Balance Sheets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3"/>
          </w:tcPr>
          <w:p>
            <w:pPr>
              <w:jc w:val="right"/>
              <w:ind w:right="273"/>
              <w:spacing w:after="0"/>
              <w:rPr>
                <w:sz w:val="20"/>
                <w:szCs w:val="20"/>
                <w:color w:val="auto"/>
              </w:rPr>
            </w:pPr>
            <w:r>
              <w:rPr>
                <w:rFonts w:ascii="Arial" w:cs="Arial" w:eastAsia="Arial" w:hAnsi="Arial"/>
                <w:sz w:val="17"/>
                <w:szCs w:val="17"/>
                <w:b w:val="1"/>
                <w:bCs w:val="1"/>
                <w:color w:val="auto"/>
              </w:rPr>
              <w:t>As of the Years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7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Notes</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01"/>
        </w:trPr>
        <w:tc>
          <w:tcPr>
            <w:tcW w:w="778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Non-current assets</w:t>
            </w:r>
          </w:p>
        </w:tc>
        <w:tc>
          <w:tcPr>
            <w:tcW w:w="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7"/>
                <w:szCs w:val="17"/>
                <w:color w:val="auto"/>
              </w:rPr>
              <w:t>Property, plant and equipment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1,120</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Financial assets</w:t>
            </w:r>
          </w:p>
        </w:tc>
        <w:tc>
          <w:tcPr>
            <w:tcW w:w="38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5</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86</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640" w:type="dxa"/>
            <w:vAlign w:val="bottom"/>
            <w:tcBorders>
              <w:bottom w:val="single" w:sz="8" w:color="D5EAEA"/>
            </w:tcBorders>
            <w:gridSpan w:val="2"/>
          </w:tcPr>
          <w:p>
            <w:pPr>
              <w:ind w:left="160"/>
              <w:spacing w:after="0"/>
              <w:rPr>
                <w:sz w:val="20"/>
                <w:szCs w:val="20"/>
                <w:color w:val="auto"/>
              </w:rPr>
            </w:pPr>
            <w:r>
              <w:rPr>
                <w:rFonts w:ascii="Arial" w:cs="Arial" w:eastAsia="Arial" w:hAnsi="Arial"/>
                <w:sz w:val="17"/>
                <w:szCs w:val="17"/>
                <w:color w:val="auto"/>
              </w:rPr>
              <w:t>Total non-current assets</w:t>
            </w:r>
          </w:p>
        </w:tc>
        <w:tc>
          <w:tcPr>
            <w:tcW w:w="2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1,206</w:t>
            </w:r>
          </w:p>
        </w:tc>
        <w:tc>
          <w:tcPr>
            <w:tcW w:w="10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40" w:type="dxa"/>
            <w:vAlign w:val="bottom"/>
            <w:gridSpan w:val="2"/>
            <w:shd w:val="clear" w:color="auto" w:fill="D5EAEA"/>
          </w:tcPr>
          <w:p>
            <w:pPr>
              <w:spacing w:after="0" w:line="187" w:lineRule="exact"/>
              <w:rPr>
                <w:sz w:val="20"/>
                <w:szCs w:val="20"/>
                <w:color w:val="auto"/>
              </w:rPr>
            </w:pPr>
            <w:r>
              <w:rPr>
                <w:rFonts w:ascii="Arial" w:cs="Arial" w:eastAsia="Arial" w:hAnsi="Arial"/>
                <w:sz w:val="17"/>
                <w:szCs w:val="17"/>
                <w:color w:val="auto"/>
              </w:rPr>
              <w:t>Current assets</w:t>
            </w:r>
          </w:p>
        </w:tc>
        <w:tc>
          <w:tcPr>
            <w:tcW w:w="260" w:type="dxa"/>
            <w:vAlign w:val="bottom"/>
            <w:shd w:val="clear" w:color="auto" w:fill="D5EAEA"/>
          </w:tcPr>
          <w:p>
            <w:pPr>
              <w:spacing w:after="0"/>
              <w:rPr>
                <w:sz w:val="16"/>
                <w:szCs w:val="16"/>
                <w:color w:val="auto"/>
              </w:rPr>
            </w:pPr>
          </w:p>
        </w:tc>
        <w:tc>
          <w:tcPr>
            <w:tcW w:w="120" w:type="dxa"/>
            <w:vAlign w:val="bottom"/>
            <w:shd w:val="clear" w:color="auto" w:fill="D5EAEA"/>
          </w:tcPr>
          <w:p>
            <w:pPr>
              <w:spacing w:after="0"/>
              <w:rPr>
                <w:sz w:val="16"/>
                <w:szCs w:val="16"/>
                <w:color w:val="auto"/>
              </w:rPr>
            </w:pPr>
          </w:p>
        </w:tc>
        <w:tc>
          <w:tcPr>
            <w:tcW w:w="1160" w:type="dxa"/>
            <w:vAlign w:val="bottom"/>
            <w:shd w:val="clear" w:color="auto" w:fill="D5EAEA"/>
          </w:tcPr>
          <w:p>
            <w:pPr>
              <w:spacing w:after="0"/>
              <w:rPr>
                <w:sz w:val="16"/>
                <w:szCs w:val="16"/>
                <w:color w:val="auto"/>
              </w:rPr>
            </w:pPr>
          </w:p>
        </w:tc>
        <w:tc>
          <w:tcPr>
            <w:tcW w:w="100" w:type="dxa"/>
            <w:vAlign w:val="bottom"/>
            <w:shd w:val="clear" w:color="auto" w:fill="D5EAEA"/>
          </w:tcPr>
          <w:p>
            <w:pPr>
              <w:spacing w:after="0"/>
              <w:rPr>
                <w:sz w:val="16"/>
                <w:szCs w:val="16"/>
                <w:color w:val="auto"/>
              </w:rPr>
            </w:pPr>
          </w:p>
        </w:tc>
        <w:tc>
          <w:tcPr>
            <w:tcW w:w="1120" w:type="dxa"/>
            <w:vAlign w:val="bottom"/>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7"/>
                <w:szCs w:val="17"/>
                <w:color w:val="auto"/>
              </w:rPr>
              <w:t>Prepaid expenses</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1,278</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2,508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Accrued income</w:t>
            </w:r>
          </w:p>
        </w:tc>
        <w:tc>
          <w:tcPr>
            <w:tcW w:w="38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6</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889</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7"/>
                <w:szCs w:val="17"/>
                <w:color w:val="auto"/>
              </w:rPr>
              <w:t>Other current receivables</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517</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4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Cash and cash equivalents</w:t>
            </w:r>
          </w:p>
        </w:tc>
        <w:tc>
          <w:tcPr>
            <w:tcW w:w="38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8</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152,210</w:t>
            </w:r>
          </w:p>
        </w:tc>
        <w:tc>
          <w:tcPr>
            <w:tcW w:w="100" w:type="dxa"/>
            <w:vAlign w:val="bottom"/>
            <w:shd w:val="clear" w:color="auto" w:fill="D5EAEA"/>
          </w:tcPr>
          <w:p>
            <w:pPr>
              <w:spacing w:after="0"/>
              <w:rPr>
                <w:sz w:val="21"/>
                <w:szCs w:val="21"/>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76,522</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640" w:type="dxa"/>
            <w:vAlign w:val="bottom"/>
            <w:tcBorders>
              <w:bottom w:val="single" w:sz="8" w:color="D5EAEA"/>
            </w:tcBorders>
            <w:gridSpan w:val="2"/>
          </w:tcPr>
          <w:p>
            <w:pPr>
              <w:spacing w:after="0"/>
              <w:rPr>
                <w:sz w:val="20"/>
                <w:szCs w:val="20"/>
                <w:color w:val="auto"/>
              </w:rPr>
            </w:pPr>
            <w:r>
              <w:rPr>
                <w:rFonts w:ascii="Arial" w:cs="Arial" w:eastAsia="Arial" w:hAnsi="Arial"/>
                <w:sz w:val="17"/>
                <w:szCs w:val="17"/>
                <w:b w:val="1"/>
                <w:bCs w:val="1"/>
                <w:color w:val="auto"/>
              </w:rPr>
              <w:t>Total current assets</w:t>
            </w:r>
          </w:p>
        </w:tc>
        <w:tc>
          <w:tcPr>
            <w:tcW w:w="2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154,894</w:t>
            </w:r>
          </w:p>
        </w:tc>
        <w:tc>
          <w:tcPr>
            <w:tcW w:w="10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79,346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40" w:type="dxa"/>
            <w:vAlign w:val="bottom"/>
            <w:tcBorders>
              <w:bottom w:val="single" w:sz="8" w:color="D5EAEA"/>
            </w:tcBorders>
            <w:gridSpan w:val="2"/>
            <w:shd w:val="clear" w:color="auto" w:fill="D5EAEA"/>
          </w:tcPr>
          <w:p>
            <w:pPr>
              <w:spacing w:after="0" w:line="186" w:lineRule="exact"/>
              <w:rPr>
                <w:sz w:val="20"/>
                <w:szCs w:val="20"/>
                <w:color w:val="auto"/>
              </w:rPr>
            </w:pPr>
            <w:r>
              <w:rPr>
                <w:rFonts w:ascii="Arial" w:cs="Arial" w:eastAsia="Arial" w:hAnsi="Arial"/>
                <w:sz w:val="17"/>
                <w:szCs w:val="17"/>
                <w:b w:val="1"/>
                <w:bCs w:val="1"/>
                <w:color w:val="auto"/>
              </w:rPr>
              <w:t>Total assets</w:t>
            </w:r>
          </w:p>
        </w:tc>
        <w:tc>
          <w:tcPr>
            <w:tcW w:w="260" w:type="dxa"/>
            <w:vAlign w:val="bottom"/>
            <w:tcBorders>
              <w:bottom w:val="single" w:sz="8" w:color="D5EAEA"/>
            </w:tcBorders>
            <w:shd w:val="clear" w:color="auto" w:fill="D5EAEA"/>
          </w:tcPr>
          <w:p>
            <w:pPr>
              <w:spacing w:after="0"/>
              <w:rPr>
                <w:sz w:val="16"/>
                <w:szCs w:val="16"/>
                <w:color w:val="auto"/>
              </w:rPr>
            </w:pPr>
          </w:p>
        </w:tc>
        <w:tc>
          <w:tcPr>
            <w:tcW w:w="120" w:type="dxa"/>
            <w:vAlign w:val="bottom"/>
            <w:tcBorders>
              <w:bottom w:val="single" w:sz="8" w:color="D5EAEA"/>
            </w:tcBorders>
            <w:shd w:val="clear" w:color="auto" w:fill="D5EAEA"/>
          </w:tcPr>
          <w:p>
            <w:pPr>
              <w:spacing w:after="0"/>
              <w:rPr>
                <w:sz w:val="16"/>
                <w:szCs w:val="16"/>
                <w:color w:val="auto"/>
              </w:rPr>
            </w:pPr>
          </w:p>
        </w:tc>
        <w:tc>
          <w:tcPr>
            <w:tcW w:w="1160" w:type="dxa"/>
            <w:vAlign w:val="bottom"/>
            <w:tcBorders>
              <w:bottom w:val="single" w:sz="8" w:color="auto"/>
            </w:tcBorders>
            <w:shd w:val="clear" w:color="auto" w:fill="D5EAEA"/>
          </w:tcPr>
          <w:p>
            <w:pPr>
              <w:jc w:val="right"/>
              <w:ind w:right="33"/>
              <w:spacing w:after="0" w:line="187" w:lineRule="exact"/>
              <w:rPr>
                <w:sz w:val="20"/>
                <w:szCs w:val="20"/>
                <w:color w:val="auto"/>
              </w:rPr>
            </w:pPr>
            <w:r>
              <w:rPr>
                <w:rFonts w:ascii="Arial" w:cs="Arial" w:eastAsia="Arial" w:hAnsi="Arial"/>
                <w:sz w:val="17"/>
                <w:szCs w:val="17"/>
                <w:color w:val="auto"/>
              </w:rPr>
              <w:t>156,100</w:t>
            </w:r>
          </w:p>
        </w:tc>
        <w:tc>
          <w:tcPr>
            <w:tcW w:w="100" w:type="dxa"/>
            <w:vAlign w:val="bottom"/>
            <w:tcBorders>
              <w:bottom w:val="single" w:sz="8" w:color="D5EAEA"/>
            </w:tcBorders>
            <w:shd w:val="clear" w:color="auto" w:fill="D5EAEA"/>
          </w:tcPr>
          <w:p>
            <w:pPr>
              <w:spacing w:after="0"/>
              <w:rPr>
                <w:sz w:val="16"/>
                <w:szCs w:val="16"/>
                <w:color w:val="auto"/>
              </w:rPr>
            </w:pPr>
          </w:p>
        </w:tc>
        <w:tc>
          <w:tcPr>
            <w:tcW w:w="1120" w:type="dxa"/>
            <w:vAlign w:val="bottom"/>
            <w:tcBorders>
              <w:bottom w:val="single" w:sz="8" w:color="auto"/>
            </w:tcBorders>
            <w:shd w:val="clear" w:color="auto" w:fill="D5EAEA"/>
          </w:tcPr>
          <w:p>
            <w:pPr>
              <w:jc w:val="right"/>
              <w:ind w:right="13"/>
              <w:spacing w:after="0" w:line="187" w:lineRule="exact"/>
              <w:rPr>
                <w:sz w:val="20"/>
                <w:szCs w:val="20"/>
                <w:color w:val="auto"/>
              </w:rPr>
            </w:pPr>
            <w:r>
              <w:rPr>
                <w:rFonts w:ascii="Arial" w:cs="Arial" w:eastAsia="Arial" w:hAnsi="Arial"/>
                <w:sz w:val="17"/>
                <w:szCs w:val="17"/>
                <w:color w:val="auto"/>
              </w:rPr>
              <w:t>79,931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7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40" w:type="dxa"/>
            <w:vAlign w:val="bottom"/>
            <w:gridSpan w:val="2"/>
            <w:shd w:val="clear" w:color="auto" w:fill="D5EAEA"/>
          </w:tcPr>
          <w:p>
            <w:pPr>
              <w:spacing w:after="0"/>
              <w:rPr>
                <w:sz w:val="20"/>
                <w:szCs w:val="20"/>
                <w:color w:val="auto"/>
              </w:rPr>
            </w:pPr>
            <w:r>
              <w:rPr>
                <w:rFonts w:ascii="Arial" w:cs="Arial" w:eastAsia="Arial" w:hAnsi="Arial"/>
                <w:sz w:val="17"/>
                <w:szCs w:val="17"/>
                <w:b w:val="1"/>
                <w:bCs w:val="1"/>
                <w:color w:val="auto"/>
              </w:rPr>
              <w:t>SHAREHOLDERS’ EQUITY AND LIABILITIES</w:t>
            </w:r>
          </w:p>
        </w:tc>
        <w:tc>
          <w:tcPr>
            <w:tcW w:w="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Share capital</w:t>
            </w:r>
          </w:p>
        </w:tc>
        <w:tc>
          <w:tcPr>
            <w:tcW w:w="38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9</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1,135</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7"/>
                <w:szCs w:val="17"/>
                <w:color w:val="auto"/>
              </w:rPr>
              <w:t>Share premium</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188,166</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110,496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Accumulated losses</w:t>
            </w:r>
          </w:p>
        </w:tc>
        <w:tc>
          <w:tcPr>
            <w:tcW w:w="2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(46,921)</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(40,381)</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640" w:type="dxa"/>
            <w:vAlign w:val="bottom"/>
            <w:tcBorders>
              <w:bottom w:val="single" w:sz="8" w:color="D5EAEA"/>
            </w:tcBorders>
            <w:gridSpan w:val="2"/>
          </w:tcPr>
          <w:p>
            <w:pPr>
              <w:spacing w:after="0"/>
              <w:rPr>
                <w:sz w:val="20"/>
                <w:szCs w:val="20"/>
                <w:color w:val="auto"/>
              </w:rPr>
            </w:pPr>
            <w:r>
              <w:rPr>
                <w:rFonts w:ascii="Arial" w:cs="Arial" w:eastAsia="Arial" w:hAnsi="Arial"/>
                <w:sz w:val="17"/>
                <w:szCs w:val="17"/>
                <w:b w:val="1"/>
                <w:bCs w:val="1"/>
                <w:color w:val="auto"/>
              </w:rPr>
              <w:t>Total shareholders’ equity</w:t>
            </w:r>
          </w:p>
        </w:tc>
        <w:tc>
          <w:tcPr>
            <w:tcW w:w="2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142,380</w:t>
            </w:r>
          </w:p>
        </w:tc>
        <w:tc>
          <w:tcPr>
            <w:tcW w:w="10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71,043</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7760" w:type="dxa"/>
            <w:vAlign w:val="bottom"/>
            <w:shd w:val="clear" w:color="auto" w:fill="D5EAEA"/>
          </w:tcPr>
          <w:p>
            <w:pPr>
              <w:spacing w:after="0"/>
              <w:rPr>
                <w:sz w:val="16"/>
                <w:szCs w:val="16"/>
                <w:color w:val="auto"/>
              </w:rPr>
            </w:pPr>
          </w:p>
        </w:tc>
        <w:tc>
          <w:tcPr>
            <w:tcW w:w="880" w:type="dxa"/>
            <w:vAlign w:val="bottom"/>
            <w:shd w:val="clear" w:color="auto" w:fill="D5EAEA"/>
          </w:tcPr>
          <w:p>
            <w:pPr>
              <w:spacing w:after="0"/>
              <w:rPr>
                <w:sz w:val="16"/>
                <w:szCs w:val="16"/>
                <w:color w:val="auto"/>
              </w:rPr>
            </w:pPr>
          </w:p>
        </w:tc>
        <w:tc>
          <w:tcPr>
            <w:tcW w:w="260" w:type="dxa"/>
            <w:vAlign w:val="bottom"/>
            <w:shd w:val="clear" w:color="auto" w:fill="D5EAEA"/>
          </w:tcPr>
          <w:p>
            <w:pPr>
              <w:spacing w:after="0"/>
              <w:rPr>
                <w:sz w:val="16"/>
                <w:szCs w:val="16"/>
                <w:color w:val="auto"/>
              </w:rPr>
            </w:pPr>
          </w:p>
        </w:tc>
        <w:tc>
          <w:tcPr>
            <w:tcW w:w="120" w:type="dxa"/>
            <w:vAlign w:val="bottom"/>
            <w:shd w:val="clear" w:color="auto" w:fill="D5EAEA"/>
          </w:tcPr>
          <w:p>
            <w:pPr>
              <w:spacing w:after="0"/>
              <w:rPr>
                <w:sz w:val="16"/>
                <w:szCs w:val="16"/>
                <w:color w:val="auto"/>
              </w:rPr>
            </w:pPr>
          </w:p>
        </w:tc>
        <w:tc>
          <w:tcPr>
            <w:tcW w:w="1160" w:type="dxa"/>
            <w:vAlign w:val="bottom"/>
            <w:shd w:val="clear" w:color="auto" w:fill="D5EAEA"/>
          </w:tcPr>
          <w:p>
            <w:pPr>
              <w:spacing w:after="0"/>
              <w:rPr>
                <w:sz w:val="16"/>
                <w:szCs w:val="16"/>
                <w:color w:val="auto"/>
              </w:rPr>
            </w:pPr>
          </w:p>
        </w:tc>
        <w:tc>
          <w:tcPr>
            <w:tcW w:w="100" w:type="dxa"/>
            <w:vAlign w:val="bottom"/>
            <w:shd w:val="clear" w:color="auto" w:fill="D5EAEA"/>
          </w:tcPr>
          <w:p>
            <w:pPr>
              <w:spacing w:after="0"/>
              <w:rPr>
                <w:sz w:val="16"/>
                <w:szCs w:val="16"/>
                <w:color w:val="auto"/>
              </w:rPr>
            </w:pPr>
          </w:p>
        </w:tc>
        <w:tc>
          <w:tcPr>
            <w:tcW w:w="1120" w:type="dxa"/>
            <w:vAlign w:val="bottom"/>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Non-current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Net employee defined benefit liabilities</w:t>
            </w:r>
          </w:p>
        </w:tc>
        <w:tc>
          <w:tcPr>
            <w:tcW w:w="2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3,798</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2,787</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640" w:type="dxa"/>
            <w:vAlign w:val="bottom"/>
            <w:tcBorders>
              <w:bottom w:val="single" w:sz="8" w:color="D5EAEA"/>
            </w:tcBorders>
            <w:gridSpan w:val="2"/>
          </w:tcPr>
          <w:p>
            <w:pPr>
              <w:spacing w:after="0"/>
              <w:rPr>
                <w:sz w:val="20"/>
                <w:szCs w:val="20"/>
                <w:color w:val="auto"/>
              </w:rPr>
            </w:pPr>
            <w:r>
              <w:rPr>
                <w:rFonts w:ascii="Arial" w:cs="Arial" w:eastAsia="Arial" w:hAnsi="Arial"/>
                <w:sz w:val="17"/>
                <w:szCs w:val="17"/>
                <w:b w:val="1"/>
                <w:bCs w:val="1"/>
                <w:color w:val="auto"/>
              </w:rPr>
              <w:t>Total non-current liabilities</w:t>
            </w:r>
          </w:p>
        </w:tc>
        <w:tc>
          <w:tcPr>
            <w:tcW w:w="2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3,798</w:t>
            </w:r>
          </w:p>
        </w:tc>
        <w:tc>
          <w:tcPr>
            <w:tcW w:w="10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2,787</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7760" w:type="dxa"/>
            <w:vAlign w:val="bottom"/>
            <w:shd w:val="clear" w:color="auto" w:fill="D5EAEA"/>
          </w:tcPr>
          <w:p>
            <w:pPr>
              <w:spacing w:after="0"/>
              <w:rPr>
                <w:sz w:val="16"/>
                <w:szCs w:val="16"/>
                <w:color w:val="auto"/>
              </w:rPr>
            </w:pPr>
          </w:p>
        </w:tc>
        <w:tc>
          <w:tcPr>
            <w:tcW w:w="880" w:type="dxa"/>
            <w:vAlign w:val="bottom"/>
            <w:shd w:val="clear" w:color="auto" w:fill="D5EAEA"/>
          </w:tcPr>
          <w:p>
            <w:pPr>
              <w:spacing w:after="0"/>
              <w:rPr>
                <w:sz w:val="16"/>
                <w:szCs w:val="16"/>
                <w:color w:val="auto"/>
              </w:rPr>
            </w:pPr>
          </w:p>
        </w:tc>
        <w:tc>
          <w:tcPr>
            <w:tcW w:w="260" w:type="dxa"/>
            <w:vAlign w:val="bottom"/>
            <w:shd w:val="clear" w:color="auto" w:fill="D5EAEA"/>
          </w:tcPr>
          <w:p>
            <w:pPr>
              <w:spacing w:after="0"/>
              <w:rPr>
                <w:sz w:val="16"/>
                <w:szCs w:val="16"/>
                <w:color w:val="auto"/>
              </w:rPr>
            </w:pPr>
          </w:p>
        </w:tc>
        <w:tc>
          <w:tcPr>
            <w:tcW w:w="120" w:type="dxa"/>
            <w:vAlign w:val="bottom"/>
            <w:shd w:val="clear" w:color="auto" w:fill="D5EAEA"/>
          </w:tcPr>
          <w:p>
            <w:pPr>
              <w:spacing w:after="0"/>
              <w:rPr>
                <w:sz w:val="16"/>
                <w:szCs w:val="16"/>
                <w:color w:val="auto"/>
              </w:rPr>
            </w:pPr>
          </w:p>
        </w:tc>
        <w:tc>
          <w:tcPr>
            <w:tcW w:w="1160" w:type="dxa"/>
            <w:vAlign w:val="bottom"/>
            <w:shd w:val="clear" w:color="auto" w:fill="D5EAEA"/>
          </w:tcPr>
          <w:p>
            <w:pPr>
              <w:spacing w:after="0"/>
              <w:rPr>
                <w:sz w:val="16"/>
                <w:szCs w:val="16"/>
                <w:color w:val="auto"/>
              </w:rPr>
            </w:pPr>
          </w:p>
        </w:tc>
        <w:tc>
          <w:tcPr>
            <w:tcW w:w="100" w:type="dxa"/>
            <w:vAlign w:val="bottom"/>
            <w:shd w:val="clear" w:color="auto" w:fill="D5EAEA"/>
          </w:tcPr>
          <w:p>
            <w:pPr>
              <w:spacing w:after="0"/>
              <w:rPr>
                <w:sz w:val="16"/>
                <w:szCs w:val="16"/>
                <w:color w:val="auto"/>
              </w:rPr>
            </w:pPr>
          </w:p>
        </w:tc>
        <w:tc>
          <w:tcPr>
            <w:tcW w:w="1120" w:type="dxa"/>
            <w:vAlign w:val="bottom"/>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Trade payables &amp; other payables</w:t>
            </w:r>
          </w:p>
        </w:tc>
        <w:tc>
          <w:tcPr>
            <w:tcW w:w="2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4,035</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1,719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7"/>
                <w:szCs w:val="17"/>
                <w:color w:val="auto"/>
              </w:rPr>
              <w:t>Accrued expenses</w:t>
            </w:r>
          </w:p>
        </w:tc>
        <w:tc>
          <w:tcPr>
            <w:tcW w:w="2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5,366</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4,337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Deferred income</w:t>
            </w:r>
          </w:p>
        </w:tc>
        <w:tc>
          <w:tcPr>
            <w:tcW w:w="2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640" w:type="dxa"/>
            <w:vAlign w:val="bottom"/>
            <w:tcBorders>
              <w:bottom w:val="single" w:sz="8" w:color="D5EAEA"/>
            </w:tcBorders>
            <w:gridSpan w:val="2"/>
          </w:tcPr>
          <w:p>
            <w:pPr>
              <w:spacing w:after="0"/>
              <w:rPr>
                <w:sz w:val="20"/>
                <w:szCs w:val="20"/>
                <w:color w:val="auto"/>
              </w:rPr>
            </w:pPr>
            <w:r>
              <w:rPr>
                <w:rFonts w:ascii="Arial" w:cs="Arial" w:eastAsia="Arial" w:hAnsi="Arial"/>
                <w:sz w:val="17"/>
                <w:szCs w:val="17"/>
                <w:b w:val="1"/>
                <w:bCs w:val="1"/>
                <w:color w:val="auto"/>
              </w:rPr>
              <w:t>Total current liabilities</w:t>
            </w:r>
          </w:p>
        </w:tc>
        <w:tc>
          <w:tcPr>
            <w:tcW w:w="2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9,922</w:t>
            </w:r>
          </w:p>
        </w:tc>
        <w:tc>
          <w:tcPr>
            <w:tcW w:w="10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6,101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40" w:type="dxa"/>
            <w:vAlign w:val="bottom"/>
            <w:tcBorders>
              <w:bottom w:val="single" w:sz="8" w:color="D5EAEA"/>
            </w:tcBorders>
            <w:gridSpan w:val="2"/>
            <w:shd w:val="clear" w:color="auto" w:fill="D5EAEA"/>
          </w:tcPr>
          <w:p>
            <w:pPr>
              <w:spacing w:after="0" w:line="186" w:lineRule="exact"/>
              <w:rPr>
                <w:sz w:val="20"/>
                <w:szCs w:val="20"/>
                <w:color w:val="auto"/>
              </w:rPr>
            </w:pPr>
            <w:r>
              <w:rPr>
                <w:rFonts w:ascii="Arial" w:cs="Arial" w:eastAsia="Arial" w:hAnsi="Arial"/>
                <w:sz w:val="17"/>
                <w:szCs w:val="17"/>
                <w:b w:val="1"/>
                <w:bCs w:val="1"/>
                <w:color w:val="auto"/>
              </w:rPr>
              <w:t>Total liabilities</w:t>
            </w:r>
          </w:p>
        </w:tc>
        <w:tc>
          <w:tcPr>
            <w:tcW w:w="260" w:type="dxa"/>
            <w:vAlign w:val="bottom"/>
            <w:tcBorders>
              <w:bottom w:val="single" w:sz="8" w:color="D5EAEA"/>
            </w:tcBorders>
            <w:shd w:val="clear" w:color="auto" w:fill="D5EAEA"/>
          </w:tcPr>
          <w:p>
            <w:pPr>
              <w:spacing w:after="0"/>
              <w:rPr>
                <w:sz w:val="16"/>
                <w:szCs w:val="16"/>
                <w:color w:val="auto"/>
              </w:rPr>
            </w:pPr>
          </w:p>
        </w:tc>
        <w:tc>
          <w:tcPr>
            <w:tcW w:w="120" w:type="dxa"/>
            <w:vAlign w:val="bottom"/>
            <w:tcBorders>
              <w:bottom w:val="single" w:sz="8" w:color="D5EAEA"/>
            </w:tcBorders>
            <w:shd w:val="clear" w:color="auto" w:fill="D5EAEA"/>
          </w:tcPr>
          <w:p>
            <w:pPr>
              <w:spacing w:after="0"/>
              <w:rPr>
                <w:sz w:val="16"/>
                <w:szCs w:val="16"/>
                <w:color w:val="auto"/>
              </w:rPr>
            </w:pPr>
          </w:p>
        </w:tc>
        <w:tc>
          <w:tcPr>
            <w:tcW w:w="1160" w:type="dxa"/>
            <w:vAlign w:val="bottom"/>
            <w:tcBorders>
              <w:bottom w:val="single" w:sz="8" w:color="auto"/>
            </w:tcBorders>
            <w:shd w:val="clear" w:color="auto" w:fill="D5EAEA"/>
          </w:tcPr>
          <w:p>
            <w:pPr>
              <w:jc w:val="right"/>
              <w:ind w:right="33"/>
              <w:spacing w:after="0" w:line="187" w:lineRule="exact"/>
              <w:rPr>
                <w:sz w:val="20"/>
                <w:szCs w:val="20"/>
                <w:color w:val="auto"/>
              </w:rPr>
            </w:pPr>
            <w:r>
              <w:rPr>
                <w:rFonts w:ascii="Arial" w:cs="Arial" w:eastAsia="Arial" w:hAnsi="Arial"/>
                <w:sz w:val="17"/>
                <w:szCs w:val="17"/>
                <w:color w:val="auto"/>
              </w:rPr>
              <w:t>13,720</w:t>
            </w:r>
          </w:p>
        </w:tc>
        <w:tc>
          <w:tcPr>
            <w:tcW w:w="100" w:type="dxa"/>
            <w:vAlign w:val="bottom"/>
            <w:tcBorders>
              <w:bottom w:val="single" w:sz="8" w:color="D5EAEA"/>
            </w:tcBorders>
            <w:shd w:val="clear" w:color="auto" w:fill="D5EAEA"/>
          </w:tcPr>
          <w:p>
            <w:pPr>
              <w:spacing w:after="0"/>
              <w:rPr>
                <w:sz w:val="16"/>
                <w:szCs w:val="16"/>
                <w:color w:val="auto"/>
              </w:rPr>
            </w:pPr>
          </w:p>
        </w:tc>
        <w:tc>
          <w:tcPr>
            <w:tcW w:w="1120" w:type="dxa"/>
            <w:vAlign w:val="bottom"/>
            <w:tcBorders>
              <w:bottom w:val="single" w:sz="8" w:color="auto"/>
            </w:tcBorders>
            <w:shd w:val="clear" w:color="auto" w:fill="D5EAEA"/>
          </w:tcPr>
          <w:p>
            <w:pPr>
              <w:jc w:val="right"/>
              <w:ind w:right="13"/>
              <w:spacing w:after="0" w:line="187" w:lineRule="exact"/>
              <w:rPr>
                <w:sz w:val="20"/>
                <w:szCs w:val="20"/>
                <w:color w:val="auto"/>
              </w:rPr>
            </w:pPr>
            <w:r>
              <w:rPr>
                <w:rFonts w:ascii="Arial" w:cs="Arial" w:eastAsia="Arial" w:hAnsi="Arial"/>
                <w:sz w:val="17"/>
                <w:szCs w:val="17"/>
                <w:color w:val="auto"/>
              </w:rPr>
              <w:t>8,888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shareholders’ equity and liabilities</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3"/>
              <w:spacing w:after="0" w:line="187" w:lineRule="exact"/>
              <w:rPr>
                <w:sz w:val="20"/>
                <w:szCs w:val="20"/>
                <w:color w:val="auto"/>
              </w:rPr>
            </w:pPr>
            <w:r>
              <w:rPr>
                <w:rFonts w:ascii="Arial" w:cs="Arial" w:eastAsia="Arial" w:hAnsi="Arial"/>
                <w:sz w:val="17"/>
                <w:szCs w:val="17"/>
                <w:color w:val="auto"/>
              </w:rPr>
              <w:t>156,100</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3"/>
              <w:spacing w:after="0" w:line="187" w:lineRule="exact"/>
              <w:rPr>
                <w:sz w:val="20"/>
                <w:szCs w:val="20"/>
                <w:color w:val="auto"/>
              </w:rPr>
            </w:pPr>
            <w:r>
              <w:rPr>
                <w:rFonts w:ascii="Arial" w:cs="Arial" w:eastAsia="Arial" w:hAnsi="Arial"/>
                <w:sz w:val="17"/>
                <w:szCs w:val="17"/>
                <w:color w:val="auto"/>
              </w:rPr>
              <w:t>79,931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6"/>
        </w:trPr>
        <w:tc>
          <w:tcPr>
            <w:tcW w:w="7400" w:type="dxa"/>
            <w:vAlign w:val="bottom"/>
            <w:gridSpan w:val="3"/>
          </w:tcPr>
          <w:p>
            <w:pPr>
              <w:spacing w:after="0"/>
              <w:rPr>
                <w:sz w:val="20"/>
                <w:szCs w:val="20"/>
                <w:color w:val="auto"/>
              </w:rPr>
            </w:pPr>
            <w:r>
              <w:rPr>
                <w:rFonts w:ascii="Arial" w:cs="Arial" w:eastAsia="Arial" w:hAnsi="Arial"/>
                <w:sz w:val="17"/>
                <w:szCs w:val="17"/>
                <w:b w:val="1"/>
                <w:bCs w:val="1"/>
                <w:color w:val="auto"/>
              </w:rPr>
              <w:t>Statements of Income / (Loss)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91"/>
              </w:rPr>
              <w:t>For the Years Ended 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Notes</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2016</w:t>
            </w:r>
          </w:p>
        </w:tc>
        <w:tc>
          <w:tcPr>
            <w:tcW w:w="13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gridSpan w:val="6"/>
          </w:tcPr>
          <w:p>
            <w:pPr>
              <w:jc w:val="center"/>
              <w:spacing w:after="0" w:line="183" w:lineRule="exact"/>
              <w:rPr>
                <w:sz w:val="20"/>
                <w:szCs w:val="20"/>
                <w:color w:val="auto"/>
              </w:rPr>
            </w:pPr>
            <w:r>
              <w:rPr>
                <w:rFonts w:ascii="Arial" w:cs="Arial" w:eastAsia="Arial" w:hAnsi="Arial"/>
                <w:sz w:val="17"/>
                <w:szCs w:val="17"/>
                <w:b w:val="1"/>
                <w:bCs w:val="1"/>
                <w:color w:val="auto"/>
                <w:w w:val="90"/>
              </w:rPr>
              <w:t>in CHF thousands except for share</w:t>
            </w:r>
          </w:p>
        </w:tc>
        <w:tc>
          <w:tcPr>
            <w:tcW w:w="0" w:type="dxa"/>
            <w:vAlign w:val="bottom"/>
          </w:tcPr>
          <w:p>
            <w:pPr>
              <w:spacing w:after="0"/>
              <w:rPr>
                <w:sz w:val="1"/>
                <w:szCs w:val="1"/>
                <w:color w:val="auto"/>
              </w:rPr>
            </w:pPr>
          </w:p>
        </w:tc>
      </w:tr>
      <w:tr>
        <w:trPr>
          <w:trHeight w:val="226"/>
        </w:trPr>
        <w:tc>
          <w:tcPr>
            <w:tcW w:w="74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Revenue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gridSpan w:val="4"/>
          </w:tcPr>
          <w:p>
            <w:pPr>
              <w:jc w:val="center"/>
              <w:spacing w:after="0"/>
              <w:rPr>
                <w:sz w:val="20"/>
                <w:szCs w:val="20"/>
                <w:color w:val="auto"/>
              </w:rPr>
            </w:pPr>
            <w:r>
              <w:rPr>
                <w:rFonts w:ascii="Arial" w:cs="Arial" w:eastAsia="Arial" w:hAnsi="Arial"/>
                <w:sz w:val="17"/>
                <w:szCs w:val="17"/>
                <w:b w:val="1"/>
                <w:bCs w:val="1"/>
                <w:color w:val="auto"/>
                <w:w w:val="92"/>
              </w:rPr>
              <w:t>and per share data</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8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Contract revenue</w:t>
            </w:r>
          </w:p>
        </w:tc>
        <w:tc>
          <w:tcPr>
            <w:tcW w:w="2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23,214</w:t>
            </w:r>
          </w:p>
        </w:tc>
        <w:tc>
          <w:tcPr>
            <w:tcW w:w="4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39,090</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30,269</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Total revenue</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23,214</w:t>
            </w:r>
          </w:p>
        </w:tc>
        <w:tc>
          <w:tcPr>
            <w:tcW w:w="1300" w:type="dxa"/>
            <w:vAlign w:val="bottom"/>
            <w:gridSpan w:val="3"/>
          </w:tcPr>
          <w:p>
            <w:pPr>
              <w:jc w:val="right"/>
              <w:ind w:right="13"/>
              <w:spacing w:after="0"/>
              <w:rPr>
                <w:sz w:val="20"/>
                <w:szCs w:val="20"/>
                <w:color w:val="auto"/>
              </w:rPr>
            </w:pPr>
            <w:r>
              <w:rPr>
                <w:rFonts w:ascii="Arial" w:cs="Arial" w:eastAsia="Arial" w:hAnsi="Arial"/>
                <w:sz w:val="17"/>
                <w:szCs w:val="17"/>
                <w:color w:val="auto"/>
              </w:rPr>
              <w:t>39,090</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30,269</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00" w:type="dxa"/>
            <w:vAlign w:val="bottom"/>
            <w:tcBorders>
              <w:top w:val="single" w:sz="8" w:color="D5EAEA"/>
            </w:tcBorders>
            <w:shd w:val="clear" w:color="auto" w:fill="D5EAEA"/>
          </w:tcPr>
          <w:p>
            <w:pPr>
              <w:spacing w:after="0"/>
              <w:rPr>
                <w:sz w:val="16"/>
                <w:szCs w:val="16"/>
                <w:color w:val="auto"/>
              </w:rPr>
            </w:pPr>
          </w:p>
        </w:tc>
        <w:tc>
          <w:tcPr>
            <w:tcW w:w="880" w:type="dxa"/>
            <w:vAlign w:val="bottom"/>
            <w:tcBorders>
              <w:top w:val="single" w:sz="8" w:color="D5EAEA"/>
            </w:tcBorders>
            <w:shd w:val="clear" w:color="auto" w:fill="D5EAEA"/>
          </w:tcPr>
          <w:p>
            <w:pPr>
              <w:spacing w:after="0"/>
              <w:rPr>
                <w:sz w:val="16"/>
                <w:szCs w:val="16"/>
                <w:color w:val="auto"/>
              </w:rPr>
            </w:pPr>
          </w:p>
        </w:tc>
        <w:tc>
          <w:tcPr>
            <w:tcW w:w="260" w:type="dxa"/>
            <w:vAlign w:val="bottom"/>
            <w:tcBorders>
              <w:top w:val="single" w:sz="8" w:color="D5EAEA"/>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4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4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Research and development expenses</w:t>
            </w:r>
          </w:p>
        </w:tc>
        <w:tc>
          <w:tcPr>
            <w:tcW w:w="2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(25,774)</w:t>
            </w:r>
          </w:p>
        </w:tc>
        <w:tc>
          <w:tcPr>
            <w:tcW w:w="130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(17,049)</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(16,116)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80" w:type="dxa"/>
            <w:vAlign w:val="bottom"/>
            <w:gridSpan w:val="2"/>
          </w:tcPr>
          <w:p>
            <w:pPr>
              <w:ind w:left="160"/>
              <w:spacing w:after="0"/>
              <w:rPr>
                <w:sz w:val="20"/>
                <w:szCs w:val="20"/>
                <w:color w:val="auto"/>
              </w:rPr>
            </w:pPr>
            <w:r>
              <w:rPr>
                <w:rFonts w:ascii="Arial" w:cs="Arial" w:eastAsia="Arial" w:hAnsi="Arial"/>
                <w:sz w:val="17"/>
                <w:szCs w:val="17"/>
                <w:color w:val="auto"/>
              </w:rPr>
              <w:t>General and administrative expenses</w:t>
            </w:r>
          </w:p>
        </w:tc>
        <w:tc>
          <w:tcPr>
            <w:tcW w:w="26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(7,896)</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(3,417)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(3,436)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500" w:type="dxa"/>
            <w:vAlign w:val="bottom"/>
            <w:tcBorders>
              <w:top w:val="single" w:sz="8" w:color="D5EAEA"/>
            </w:tcBorders>
            <w:shd w:val="clear" w:color="auto" w:fill="D5EAEA"/>
          </w:tcPr>
          <w:p>
            <w:pPr>
              <w:spacing w:after="0"/>
              <w:rPr>
                <w:sz w:val="17"/>
                <w:szCs w:val="17"/>
                <w:color w:val="auto"/>
              </w:rPr>
            </w:pPr>
          </w:p>
        </w:tc>
        <w:tc>
          <w:tcPr>
            <w:tcW w:w="880" w:type="dxa"/>
            <w:vAlign w:val="bottom"/>
            <w:tcBorders>
              <w:top w:val="single" w:sz="8" w:color="D5EAEA"/>
            </w:tcBorders>
            <w:shd w:val="clear" w:color="auto" w:fill="D5EAEA"/>
          </w:tcPr>
          <w:p>
            <w:pPr>
              <w:spacing w:after="0"/>
              <w:rPr>
                <w:sz w:val="17"/>
                <w:szCs w:val="17"/>
                <w:color w:val="auto"/>
              </w:rPr>
            </w:pPr>
          </w:p>
        </w:tc>
        <w:tc>
          <w:tcPr>
            <w:tcW w:w="26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c>
          <w:tcPr>
            <w:tcW w:w="4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vMerge w:val="continue"/>
          </w:tcPr>
          <w:p>
            <w:pPr>
              <w:spacing w:after="0"/>
              <w:rPr>
                <w:sz w:val="23"/>
                <w:szCs w:val="23"/>
                <w:color w:val="auto"/>
              </w:rPr>
            </w:pPr>
          </w:p>
        </w:tc>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(33,670)</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(20,466)</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(19,552)</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00" w:type="dxa"/>
            <w:vAlign w:val="bottom"/>
            <w:tcBorders>
              <w:top w:val="single" w:sz="8" w:color="D5EAEA"/>
            </w:tcBorders>
            <w:shd w:val="clear" w:color="auto" w:fill="D5EAEA"/>
          </w:tcPr>
          <w:p>
            <w:pPr>
              <w:spacing w:after="0"/>
              <w:rPr>
                <w:sz w:val="16"/>
                <w:szCs w:val="16"/>
                <w:color w:val="auto"/>
              </w:rPr>
            </w:pPr>
          </w:p>
        </w:tc>
        <w:tc>
          <w:tcPr>
            <w:tcW w:w="880" w:type="dxa"/>
            <w:vAlign w:val="bottom"/>
            <w:tcBorders>
              <w:top w:val="single" w:sz="8" w:color="D5EAEA"/>
            </w:tcBorders>
            <w:shd w:val="clear" w:color="auto" w:fill="D5EAEA"/>
          </w:tcPr>
          <w:p>
            <w:pPr>
              <w:spacing w:after="0"/>
              <w:rPr>
                <w:sz w:val="16"/>
                <w:szCs w:val="16"/>
                <w:color w:val="auto"/>
              </w:rPr>
            </w:pPr>
          </w:p>
        </w:tc>
        <w:tc>
          <w:tcPr>
            <w:tcW w:w="260" w:type="dxa"/>
            <w:vAlign w:val="bottom"/>
            <w:tcBorders>
              <w:top w:val="single" w:sz="8" w:color="D5EAEA"/>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4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4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Operating income / (loss)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(10,456)</w:t>
            </w:r>
          </w:p>
        </w:tc>
        <w:tc>
          <w:tcPr>
            <w:tcW w:w="1300" w:type="dxa"/>
            <w:vAlign w:val="bottom"/>
            <w:gridSpan w:val="3"/>
          </w:tcPr>
          <w:p>
            <w:pPr>
              <w:jc w:val="right"/>
              <w:ind w:right="13"/>
              <w:spacing w:after="0"/>
              <w:rPr>
                <w:sz w:val="20"/>
                <w:szCs w:val="20"/>
                <w:color w:val="auto"/>
              </w:rPr>
            </w:pPr>
            <w:r>
              <w:rPr>
                <w:rFonts w:ascii="Arial" w:cs="Arial" w:eastAsia="Arial" w:hAnsi="Arial"/>
                <w:sz w:val="17"/>
                <w:szCs w:val="17"/>
                <w:color w:val="auto"/>
              </w:rPr>
              <w:t>18,624</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10,717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Finance income</w:t>
            </w:r>
          </w:p>
        </w:tc>
        <w:tc>
          <w:tcPr>
            <w:tcW w:w="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3,573</w:t>
            </w:r>
          </w:p>
        </w:tc>
        <w:tc>
          <w:tcPr>
            <w:tcW w:w="130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1,617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gridSpan w:val="2"/>
          </w:tcPr>
          <w:p>
            <w:pPr>
              <w:ind w:left="16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w:t>
            </w:r>
          </w:p>
        </w:tc>
        <w:tc>
          <w:tcPr>
            <w:tcW w:w="1300" w:type="dxa"/>
            <w:vAlign w:val="bottom"/>
            <w:gridSpan w:val="3"/>
          </w:tcPr>
          <w:p>
            <w:pPr>
              <w:jc w:val="right"/>
              <w:ind w:right="13"/>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8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Finance cost</w:t>
            </w:r>
          </w:p>
        </w:tc>
        <w:tc>
          <w:tcPr>
            <w:tcW w:w="2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(256)</w:t>
            </w:r>
          </w:p>
        </w:tc>
        <w:tc>
          <w:tcPr>
            <w:tcW w:w="4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380" w:type="dxa"/>
            <w:vAlign w:val="bottom"/>
            <w:tcBorders>
              <w:bottom w:val="single" w:sz="8" w:color="D5EAEA"/>
            </w:tcBorders>
            <w:gridSpan w:val="2"/>
          </w:tcPr>
          <w:p>
            <w:pPr>
              <w:spacing w:after="0"/>
              <w:rPr>
                <w:sz w:val="20"/>
                <w:szCs w:val="20"/>
                <w:color w:val="auto"/>
              </w:rPr>
            </w:pPr>
            <w:r>
              <w:rPr>
                <w:rFonts w:ascii="Arial" w:cs="Arial" w:eastAsia="Arial" w:hAnsi="Arial"/>
                <w:sz w:val="17"/>
                <w:szCs w:val="17"/>
                <w:color w:val="auto"/>
              </w:rPr>
              <w:t>Finance result, net</w:t>
            </w:r>
          </w:p>
        </w:tc>
        <w:tc>
          <w:tcPr>
            <w:tcW w:w="2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1,646</w:t>
            </w:r>
          </w:p>
        </w:tc>
        <w:tc>
          <w:tcPr>
            <w:tcW w:w="10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80" w:type="dxa"/>
            <w:vAlign w:val="bottom"/>
            <w:gridSpan w:val="2"/>
            <w:shd w:val="clear" w:color="auto" w:fill="D5EAEA"/>
          </w:tcPr>
          <w:p>
            <w:pPr>
              <w:spacing w:after="0" w:line="187" w:lineRule="exact"/>
              <w:rPr>
                <w:sz w:val="20"/>
                <w:szCs w:val="20"/>
                <w:color w:val="auto"/>
              </w:rPr>
            </w:pPr>
            <w:r>
              <w:rPr>
                <w:rFonts w:ascii="Arial" w:cs="Arial" w:eastAsia="Arial" w:hAnsi="Arial"/>
                <w:sz w:val="17"/>
                <w:szCs w:val="17"/>
                <w:color w:val="auto"/>
              </w:rPr>
              <w:t>Income / (loss) before tax</w:t>
            </w:r>
          </w:p>
        </w:tc>
        <w:tc>
          <w:tcPr>
            <w:tcW w:w="260" w:type="dxa"/>
            <w:vAlign w:val="bottom"/>
            <w:shd w:val="clear" w:color="auto" w:fill="D5EAEA"/>
          </w:tcPr>
          <w:p>
            <w:pPr>
              <w:spacing w:after="0"/>
              <w:rPr>
                <w:sz w:val="16"/>
                <w:szCs w:val="16"/>
                <w:color w:val="auto"/>
              </w:rPr>
            </w:pPr>
          </w:p>
        </w:tc>
        <w:tc>
          <w:tcPr>
            <w:tcW w:w="120" w:type="dxa"/>
            <w:vAlign w:val="bottom"/>
            <w:shd w:val="clear" w:color="auto" w:fill="D5EAEA"/>
          </w:tcPr>
          <w:p>
            <w:pPr>
              <w:spacing w:after="0"/>
              <w:rPr>
                <w:sz w:val="16"/>
                <w:szCs w:val="16"/>
                <w:color w:val="auto"/>
              </w:rPr>
            </w:pPr>
          </w:p>
        </w:tc>
        <w:tc>
          <w:tcPr>
            <w:tcW w:w="1120" w:type="dxa"/>
            <w:vAlign w:val="bottom"/>
            <w:shd w:val="clear" w:color="auto" w:fill="D5EAEA"/>
          </w:tcPr>
          <w:p>
            <w:pPr>
              <w:jc w:val="right"/>
              <w:spacing w:after="0" w:line="187" w:lineRule="exact"/>
              <w:rPr>
                <w:sz w:val="20"/>
                <w:szCs w:val="20"/>
                <w:color w:val="auto"/>
              </w:rPr>
            </w:pPr>
            <w:r>
              <w:rPr>
                <w:rFonts w:ascii="Arial" w:cs="Arial" w:eastAsia="Arial" w:hAnsi="Arial"/>
                <w:sz w:val="17"/>
                <w:szCs w:val="17"/>
                <w:color w:val="auto"/>
              </w:rPr>
              <w:t>(7,096)</w:t>
            </w:r>
          </w:p>
        </w:tc>
        <w:tc>
          <w:tcPr>
            <w:tcW w:w="40" w:type="dxa"/>
            <w:vAlign w:val="bottom"/>
            <w:shd w:val="clear" w:color="auto" w:fill="D5EAEA"/>
          </w:tcPr>
          <w:p>
            <w:pPr>
              <w:spacing w:after="0"/>
              <w:rPr>
                <w:sz w:val="16"/>
                <w:szCs w:val="16"/>
                <w:color w:val="auto"/>
              </w:rPr>
            </w:pPr>
          </w:p>
        </w:tc>
        <w:tc>
          <w:tcPr>
            <w:tcW w:w="120" w:type="dxa"/>
            <w:vAlign w:val="bottom"/>
            <w:shd w:val="clear" w:color="auto" w:fill="D5EAEA"/>
          </w:tcPr>
          <w:p>
            <w:pPr>
              <w:spacing w:after="0"/>
              <w:rPr>
                <w:sz w:val="16"/>
                <w:szCs w:val="16"/>
                <w:color w:val="auto"/>
              </w:rPr>
            </w:pPr>
          </w:p>
        </w:tc>
        <w:tc>
          <w:tcPr>
            <w:tcW w:w="1140" w:type="dxa"/>
            <w:vAlign w:val="bottom"/>
            <w:shd w:val="clear" w:color="auto" w:fill="D5EAEA"/>
          </w:tcPr>
          <w:p>
            <w:pPr>
              <w:jc w:val="right"/>
              <w:ind w:right="13"/>
              <w:spacing w:after="0" w:line="187" w:lineRule="exact"/>
              <w:rPr>
                <w:sz w:val="20"/>
                <w:szCs w:val="20"/>
                <w:color w:val="auto"/>
              </w:rPr>
            </w:pPr>
            <w:r>
              <w:rPr>
                <w:rFonts w:ascii="Arial" w:cs="Arial" w:eastAsia="Arial" w:hAnsi="Arial"/>
                <w:sz w:val="17"/>
                <w:szCs w:val="17"/>
                <w:color w:val="auto"/>
              </w:rPr>
              <w:t>20,270</w:t>
            </w:r>
          </w:p>
        </w:tc>
        <w:tc>
          <w:tcPr>
            <w:tcW w:w="100" w:type="dxa"/>
            <w:vAlign w:val="bottom"/>
            <w:shd w:val="clear" w:color="auto" w:fill="D5EAEA"/>
          </w:tcPr>
          <w:p>
            <w:pPr>
              <w:spacing w:after="0"/>
              <w:rPr>
                <w:sz w:val="16"/>
                <w:szCs w:val="16"/>
                <w:color w:val="auto"/>
              </w:rPr>
            </w:pPr>
          </w:p>
        </w:tc>
        <w:tc>
          <w:tcPr>
            <w:tcW w:w="1120" w:type="dxa"/>
            <w:vAlign w:val="bottom"/>
            <w:shd w:val="clear" w:color="auto" w:fill="D5EAEA"/>
          </w:tcPr>
          <w:p>
            <w:pPr>
              <w:jc w:val="right"/>
              <w:ind w:right="13"/>
              <w:spacing w:after="0" w:line="187" w:lineRule="exact"/>
              <w:rPr>
                <w:sz w:val="20"/>
                <w:szCs w:val="20"/>
                <w:color w:val="auto"/>
              </w:rPr>
            </w:pPr>
            <w:r>
              <w:rPr>
                <w:rFonts w:ascii="Arial" w:cs="Arial" w:eastAsia="Arial" w:hAnsi="Arial"/>
                <w:sz w:val="17"/>
                <w:szCs w:val="17"/>
                <w:color w:val="auto"/>
              </w:rPr>
              <w:t>10,744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80" w:type="dxa"/>
            <w:vAlign w:val="bottom"/>
            <w:tcBorders>
              <w:bottom w:val="single" w:sz="8" w:color="D5EAEA"/>
            </w:tcBorders>
            <w:gridSpan w:val="2"/>
          </w:tcPr>
          <w:p>
            <w:pPr>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D5EAEA"/>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7"/>
                <w:szCs w:val="17"/>
                <w:color w:val="auto"/>
              </w:rPr>
              <w:t>Income / (loss) for the period</w:t>
            </w:r>
          </w:p>
        </w:tc>
        <w:tc>
          <w:tcPr>
            <w:tcW w:w="26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(7,096)</w:t>
            </w:r>
          </w:p>
        </w:tc>
        <w:tc>
          <w:tcPr>
            <w:tcW w:w="40" w:type="dxa"/>
            <w:vAlign w:val="bottom"/>
            <w:tcBorders>
              <w:bottom w:val="single" w:sz="8" w:color="auto"/>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20,270</w:t>
            </w:r>
          </w:p>
        </w:tc>
        <w:tc>
          <w:tcPr>
            <w:tcW w:w="10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10,744</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7"/>
                <w:szCs w:val="17"/>
                <w:color w:val="auto"/>
              </w:rPr>
              <w:t>Earnings / (loss) per share (EPS):</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4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Basic, income / (loss) for the period attributable to equity holders</w:t>
            </w:r>
          </w:p>
        </w:tc>
        <w:tc>
          <w:tcPr>
            <w:tcW w:w="2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(0.14)</w:t>
            </w:r>
          </w:p>
        </w:tc>
        <w:tc>
          <w:tcPr>
            <w:tcW w:w="130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0.47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gridSpan w:val="2"/>
          </w:tcPr>
          <w:p>
            <w:pPr>
              <w:ind w:left="160"/>
              <w:spacing w:after="0"/>
              <w:rPr>
                <w:sz w:val="20"/>
                <w:szCs w:val="20"/>
                <w:color w:val="auto"/>
              </w:rPr>
            </w:pPr>
            <w:r>
              <w:rPr>
                <w:rFonts w:ascii="Arial" w:cs="Arial" w:eastAsia="Arial" w:hAnsi="Arial"/>
                <w:sz w:val="17"/>
                <w:szCs w:val="17"/>
                <w:color w:val="auto"/>
              </w:rPr>
              <w:t>Diluted, income / (loss) for the period attributable to equity holders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(0.14)</w:t>
            </w:r>
          </w:p>
        </w:tc>
        <w:tc>
          <w:tcPr>
            <w:tcW w:w="1300" w:type="dxa"/>
            <w:vAlign w:val="bottom"/>
            <w:gridSpan w:val="3"/>
          </w:tcPr>
          <w:p>
            <w:pPr>
              <w:jc w:val="right"/>
              <w:ind w:right="13"/>
              <w:spacing w:after="0"/>
              <w:rPr>
                <w:sz w:val="20"/>
                <w:szCs w:val="20"/>
                <w:color w:val="auto"/>
              </w:rPr>
            </w:pPr>
            <w:r>
              <w:rPr>
                <w:rFonts w:ascii="Arial" w:cs="Arial" w:eastAsia="Arial" w:hAnsi="Arial"/>
                <w:sz w:val="17"/>
                <w:szCs w:val="17"/>
                <w:color w:val="auto"/>
              </w:rPr>
              <w:t>0.44</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gridSpan w:val="2"/>
            <w:shd w:val="clear" w:color="auto" w:fill="D5EAEA"/>
          </w:tcPr>
          <w:p>
            <w:pPr>
              <w:ind w:left="160"/>
              <w:spacing w:after="0"/>
              <w:rPr>
                <w:sz w:val="20"/>
                <w:szCs w:val="20"/>
                <w:color w:val="auto"/>
              </w:rPr>
            </w:pPr>
            <w:r>
              <w:rPr>
                <w:rFonts w:ascii="Arial" w:cs="Arial" w:eastAsia="Arial" w:hAnsi="Arial"/>
                <w:sz w:val="17"/>
                <w:szCs w:val="17"/>
                <w:color w:val="auto"/>
              </w:rPr>
              <w:t>Weighted-average number of shares used to compute EPS basic</w:t>
            </w:r>
          </w:p>
        </w:tc>
        <w:tc>
          <w:tcPr>
            <w:tcW w:w="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50,096,859</w:t>
            </w:r>
          </w:p>
        </w:tc>
        <w:tc>
          <w:tcPr>
            <w:tcW w:w="130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43,412,250</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42,684,750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80" w:type="dxa"/>
            <w:vAlign w:val="bottom"/>
            <w:gridSpan w:val="2"/>
          </w:tcPr>
          <w:p>
            <w:pPr>
              <w:ind w:left="160"/>
              <w:spacing w:after="0"/>
              <w:rPr>
                <w:sz w:val="20"/>
                <w:szCs w:val="20"/>
                <w:color w:val="auto"/>
              </w:rPr>
            </w:pPr>
            <w:r>
              <w:rPr>
                <w:rFonts w:ascii="Arial" w:cs="Arial" w:eastAsia="Arial" w:hAnsi="Arial"/>
                <w:sz w:val="17"/>
                <w:szCs w:val="17"/>
                <w:color w:val="auto"/>
              </w:rPr>
              <w:t>Weighted-average number of shares used to compute EPS fully diluted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50,096,859</w:t>
            </w:r>
          </w:p>
        </w:tc>
        <w:tc>
          <w:tcPr>
            <w:tcW w:w="1300" w:type="dxa"/>
            <w:vAlign w:val="bottom"/>
            <w:gridSpan w:val="3"/>
          </w:tcPr>
          <w:p>
            <w:pPr>
              <w:jc w:val="right"/>
              <w:ind w:right="13"/>
              <w:spacing w:after="0"/>
              <w:rPr>
                <w:sz w:val="20"/>
                <w:szCs w:val="20"/>
                <w:color w:val="auto"/>
              </w:rPr>
            </w:pPr>
            <w:r>
              <w:rPr>
                <w:rFonts w:ascii="Arial" w:cs="Arial" w:eastAsia="Arial" w:hAnsi="Arial"/>
                <w:sz w:val="17"/>
                <w:szCs w:val="17"/>
                <w:color w:val="auto"/>
              </w:rPr>
              <w:t>46,043,198</w:t>
            </w:r>
          </w:p>
        </w:tc>
        <w:tc>
          <w:tcPr>
            <w:tcW w:w="1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45,552,500</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Comprehensive Income / (Loss)</w:t>
      </w:r>
    </w:p>
    <w:p>
      <w:pPr>
        <w:sectPr>
          <w:pgSz w:w="11900" w:h="16838" w:orient="portrait"/>
          <w:cols w:equalWidth="0" w:num="1">
            <w:col w:w="11420"/>
          </w:cols>
          <w:pgMar w:left="240" w:top="5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Income /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1320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1700" cy="13208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Other comprehensive income / (loss) not to be reclassified to income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251700" cy="140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pacing w:after="0" w:line="16" w:lineRule="exact"/>
        <w:rPr>
          <w:sz w:val="20"/>
          <w:szCs w:val="20"/>
          <w:color w:val="auto"/>
        </w:rPr>
      </w:pPr>
    </w:p>
    <w:p>
      <w:pPr>
        <w:ind w:right="1660" w:firstLine="4"/>
        <w:spacing w:after="0" w:line="286" w:lineRule="auto"/>
        <w:tabs>
          <w:tab w:leader="none" w:pos="10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Re-measurement losses on defined benefit plans (net of tax of CHF 0 for all periods) Total comprehensive income / (loss), net of tax</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19685</wp:posOffset>
            </wp:positionV>
            <wp:extent cx="23126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9" w:lineRule="exact"/>
        <w:rPr>
          <w:sz w:val="20"/>
          <w:szCs w:val="20"/>
          <w:color w:val="auto"/>
        </w:rPr>
      </w:pPr>
    </w:p>
    <w:p>
      <w:pPr>
        <w:spacing w:after="0"/>
        <w:tabs>
          <w:tab w:leader="none" w:pos="1260" w:val="left"/>
          <w:tab w:leader="none" w:pos="2500" w:val="left"/>
        </w:tabs>
        <w:rPr>
          <w:sz w:val="20"/>
          <w:szCs w:val="20"/>
          <w:color w:val="auto"/>
        </w:rPr>
      </w:pPr>
      <w:r>
        <w:rPr>
          <w:rFonts w:ascii="Arial" w:cs="Arial" w:eastAsia="Arial" w:hAnsi="Arial"/>
          <w:sz w:val="17"/>
          <w:szCs w:val="17"/>
          <w:b w:val="1"/>
          <w:bCs w:val="1"/>
          <w:color w:val="auto"/>
        </w:rPr>
        <w:t>2016</w:t>
      </w:r>
      <w:r>
        <w:rPr>
          <w:sz w:val="20"/>
          <w:szCs w:val="20"/>
          <w:color w:val="auto"/>
        </w:rPr>
        <w:tab/>
      </w:r>
      <w:r>
        <w:rPr>
          <w:rFonts w:ascii="Arial" w:cs="Arial" w:eastAsia="Arial" w:hAnsi="Arial"/>
          <w:sz w:val="17"/>
          <w:szCs w:val="17"/>
          <w:b w:val="1"/>
          <w:bCs w:val="1"/>
          <w:color w:val="auto"/>
        </w:rPr>
        <w:t>2015</w:t>
      </w:r>
      <w:r>
        <w:rPr>
          <w:sz w:val="20"/>
          <w:szCs w:val="20"/>
          <w:color w:val="auto"/>
        </w:rPr>
        <w:tab/>
      </w:r>
      <w:r>
        <w:rPr>
          <w:rFonts w:ascii="Arial" w:cs="Arial" w:eastAsia="Arial" w:hAnsi="Arial"/>
          <w:sz w:val="15"/>
          <w:szCs w:val="15"/>
          <w:b w:val="1"/>
          <w:bCs w:val="1"/>
          <w:color w:val="auto"/>
        </w:rPr>
        <w:t>2014</w:t>
      </w:r>
    </w:p>
    <w:p>
      <w:pPr>
        <w:spacing w:after="0" w:line="31"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-123190</wp:posOffset>
            </wp:positionV>
            <wp:extent cx="23126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6" w:lineRule="exact"/>
        <w:rPr>
          <w:sz w:val="20"/>
          <w:szCs w:val="20"/>
          <w:color w:val="auto"/>
        </w:rPr>
      </w:pPr>
    </w:p>
    <w:p>
      <w:pPr>
        <w:ind w:left="200"/>
        <w:spacing w:after="0"/>
        <w:tabs>
          <w:tab w:leader="none" w:pos="1420" w:val="left"/>
          <w:tab w:leader="none" w:pos="2640" w:val="left"/>
        </w:tabs>
        <w:rPr>
          <w:sz w:val="20"/>
          <w:szCs w:val="20"/>
          <w:color w:val="auto"/>
        </w:rPr>
      </w:pPr>
      <w:r>
        <w:rPr>
          <w:rFonts w:ascii="Arial" w:cs="Arial" w:eastAsia="Arial" w:hAnsi="Arial"/>
          <w:sz w:val="17"/>
          <w:szCs w:val="17"/>
          <w:color w:val="auto"/>
        </w:rPr>
        <w:t>(7,096)</w:t>
      </w:r>
      <w:r>
        <w:rPr>
          <w:sz w:val="20"/>
          <w:szCs w:val="20"/>
          <w:color w:val="auto"/>
        </w:rPr>
        <w:tab/>
      </w:r>
      <w:r>
        <w:rPr>
          <w:rFonts w:ascii="Arial" w:cs="Arial" w:eastAsia="Arial" w:hAnsi="Arial"/>
          <w:sz w:val="17"/>
          <w:szCs w:val="17"/>
          <w:color w:val="auto"/>
        </w:rPr>
        <w:t>20,270</w:t>
      </w:r>
      <w:r>
        <w:rPr>
          <w:sz w:val="20"/>
          <w:szCs w:val="20"/>
          <w:color w:val="auto"/>
        </w:rPr>
        <w:tab/>
      </w:r>
      <w:r>
        <w:rPr>
          <w:rFonts w:ascii="Arial" w:cs="Arial" w:eastAsia="Arial" w:hAnsi="Arial"/>
          <w:sz w:val="15"/>
          <w:szCs w:val="15"/>
          <w:color w:val="auto"/>
        </w:rPr>
        <w:t>10,744</w:t>
      </w:r>
    </w:p>
    <w:p>
      <w:pPr>
        <w:spacing w:after="0" w:line="221" w:lineRule="exact"/>
        <w:rPr>
          <w:sz w:val="20"/>
          <w:szCs w:val="20"/>
          <w:color w:val="auto"/>
        </w:rPr>
      </w:pPr>
    </w:p>
    <w:p>
      <w:pPr>
        <w:ind w:left="320"/>
        <w:spacing w:after="0"/>
        <w:tabs>
          <w:tab w:leader="none" w:pos="1580" w:val="left"/>
          <w:tab w:leader="none" w:pos="2680" w:val="left"/>
        </w:tabs>
        <w:rPr>
          <w:sz w:val="20"/>
          <w:szCs w:val="20"/>
          <w:color w:val="auto"/>
        </w:rPr>
      </w:pPr>
      <w:r>
        <w:rPr>
          <w:rFonts w:ascii="Arial" w:cs="Arial" w:eastAsia="Arial" w:hAnsi="Arial"/>
          <w:sz w:val="17"/>
          <w:szCs w:val="17"/>
          <w:color w:val="auto"/>
        </w:rPr>
        <w:t>(761)</w:t>
      </w:r>
      <w:r>
        <w:rPr>
          <w:sz w:val="20"/>
          <w:szCs w:val="20"/>
          <w:color w:val="auto"/>
        </w:rPr>
        <w:tab/>
      </w:r>
      <w:r>
        <w:rPr>
          <w:rFonts w:ascii="Arial" w:cs="Arial" w:eastAsia="Arial" w:hAnsi="Arial"/>
          <w:sz w:val="17"/>
          <w:szCs w:val="17"/>
          <w:color w:val="auto"/>
        </w:rPr>
        <w:t>(736)</w:t>
      </w:r>
      <w:r>
        <w:rPr>
          <w:sz w:val="20"/>
          <w:szCs w:val="20"/>
          <w:color w:val="auto"/>
        </w:rPr>
        <w:tab/>
      </w:r>
      <w:r>
        <w:rPr>
          <w:rFonts w:ascii="Arial" w:cs="Arial" w:eastAsia="Arial" w:hAnsi="Arial"/>
          <w:sz w:val="15"/>
          <w:szCs w:val="15"/>
          <w:color w:val="auto"/>
        </w:rPr>
        <w:t>(1,318)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15875</wp:posOffset>
            </wp:positionV>
            <wp:extent cx="23126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9" w:lineRule="exact"/>
        <w:rPr>
          <w:sz w:val="20"/>
          <w:szCs w:val="20"/>
          <w:color w:val="auto"/>
        </w:rPr>
      </w:pPr>
    </w:p>
    <w:p>
      <w:pPr>
        <w:ind w:left="200"/>
        <w:spacing w:after="0"/>
        <w:tabs>
          <w:tab w:leader="none" w:pos="1420" w:val="left"/>
          <w:tab w:leader="none" w:pos="2720" w:val="left"/>
        </w:tabs>
        <w:rPr>
          <w:sz w:val="20"/>
          <w:szCs w:val="20"/>
          <w:color w:val="auto"/>
        </w:rPr>
      </w:pPr>
      <w:r>
        <w:rPr>
          <w:rFonts w:ascii="Arial" w:cs="Arial" w:eastAsia="Arial" w:hAnsi="Arial"/>
          <w:sz w:val="17"/>
          <w:szCs w:val="17"/>
          <w:color w:val="auto"/>
        </w:rPr>
        <w:t>(7,857)</w:t>
      </w:r>
      <w:r>
        <w:rPr>
          <w:sz w:val="20"/>
          <w:szCs w:val="20"/>
          <w:color w:val="auto"/>
        </w:rPr>
        <w:tab/>
      </w:r>
      <w:r>
        <w:rPr>
          <w:rFonts w:ascii="Arial" w:cs="Arial" w:eastAsia="Arial" w:hAnsi="Arial"/>
          <w:sz w:val="17"/>
          <w:szCs w:val="17"/>
          <w:color w:val="auto"/>
        </w:rPr>
        <w:t>19,534</w:t>
      </w:r>
      <w:r>
        <w:rPr>
          <w:sz w:val="20"/>
          <w:szCs w:val="20"/>
          <w:color w:val="auto"/>
        </w:rPr>
        <w:tab/>
      </w:r>
      <w:r>
        <w:rPr>
          <w:rFonts w:ascii="Arial" w:cs="Arial" w:eastAsia="Arial" w:hAnsi="Arial"/>
          <w:sz w:val="15"/>
          <w:szCs w:val="15"/>
          <w:color w:val="auto"/>
        </w:rPr>
        <w:t>9,426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15875</wp:posOffset>
            </wp:positionV>
            <wp:extent cx="2312670"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12670" cy="24765"/>
                    </a:xfrm>
                    <a:prstGeom prst="rect">
                      <a:avLst/>
                    </a:prstGeom>
                    <a:noFill/>
                  </pic:spPr>
                </pic:pic>
              </a:graphicData>
            </a:graphic>
          </wp:anchor>
        </w:drawing>
      </w:r>
    </w:p>
    <w:p>
      <w:pPr>
        <w:spacing w:after="0" w:line="655" w:lineRule="exact"/>
        <w:rPr>
          <w:sz w:val="20"/>
          <w:szCs w:val="20"/>
          <w:color w:val="auto"/>
        </w:rPr>
      </w:pPr>
    </w:p>
    <w:p>
      <w:pPr>
        <w:sectPr>
          <w:pgSz w:w="11900" w:h="16838" w:orient="portrait"/>
          <w:cols w:equalWidth="0" w:num="2">
            <w:col w:w="7640" w:space="540"/>
            <w:col w:w="3240"/>
          </w:cols>
          <w:pgMar w:left="240" w:top="563" w:right="239" w:bottom="1440" w:gutter="0" w:footer="0" w:header="0"/>
          <w:type w:val="continuous"/>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7251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26"/>
        </w:trPr>
        <w:tc>
          <w:tcPr>
            <w:tcW w:w="6520" w:type="dxa"/>
            <w:vAlign w:val="bottom"/>
            <w:gridSpan w:val="2"/>
          </w:tcPr>
          <w:p>
            <w:pPr>
              <w:spacing w:after="0"/>
              <w:rPr>
                <w:sz w:val="20"/>
                <w:szCs w:val="20"/>
                <w:color w:val="auto"/>
              </w:rPr>
            </w:pPr>
            <w:r>
              <w:rPr>
                <w:rFonts w:ascii="Arial" w:cs="Arial" w:eastAsia="Arial" w:hAnsi="Arial"/>
                <w:sz w:val="17"/>
                <w:szCs w:val="17"/>
                <w:b w:val="1"/>
                <w:bCs w:val="1"/>
                <w:color w:val="auto"/>
              </w:rPr>
              <w:t>Statements of Changes in Equity</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Accumulated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520" w:type="dxa"/>
            <w:vAlign w:val="bottom"/>
            <w:gridSpan w:val="2"/>
          </w:tcPr>
          <w:p>
            <w:pPr>
              <w:spacing w:after="0"/>
              <w:rPr>
                <w:sz w:val="20"/>
                <w:szCs w:val="20"/>
                <w:color w:val="auto"/>
              </w:rPr>
            </w:pPr>
            <w:r>
              <w:rPr>
                <w:rFonts w:ascii="Arial" w:cs="Arial" w:eastAsia="Arial" w:hAnsi="Arial"/>
                <w:sz w:val="17"/>
                <w:szCs w:val="17"/>
                <w:b w:val="1"/>
                <w:bCs w:val="1"/>
                <w:color w:val="auto"/>
              </w:rPr>
              <w:t>in CHF thousands</w:t>
            </w:r>
          </w:p>
        </w:tc>
        <w:tc>
          <w:tcPr>
            <w:tcW w:w="1280" w:type="dxa"/>
            <w:vAlign w:val="bottom"/>
            <w:gridSpan w:val="2"/>
          </w:tcPr>
          <w:p>
            <w:pPr>
              <w:ind w:left="100"/>
              <w:spacing w:after="0"/>
              <w:rPr>
                <w:sz w:val="20"/>
                <w:szCs w:val="20"/>
                <w:color w:val="auto"/>
              </w:rPr>
            </w:pPr>
            <w:r>
              <w:rPr>
                <w:rFonts w:ascii="Arial" w:cs="Arial" w:eastAsia="Arial" w:hAnsi="Arial"/>
                <w:sz w:val="17"/>
                <w:szCs w:val="17"/>
                <w:b w:val="1"/>
                <w:bCs w:val="1"/>
                <w:color w:val="auto"/>
              </w:rPr>
              <w:t>Share capital</w:t>
            </w:r>
          </w:p>
        </w:tc>
        <w:tc>
          <w:tcPr>
            <w:tcW w:w="1260" w:type="dxa"/>
            <w:vAlign w:val="bottom"/>
            <w:gridSpan w:val="2"/>
          </w:tcPr>
          <w:p>
            <w:pPr>
              <w:spacing w:after="0"/>
              <w:rPr>
                <w:sz w:val="20"/>
                <w:szCs w:val="20"/>
                <w:color w:val="auto"/>
              </w:rPr>
            </w:pPr>
            <w:r>
              <w:rPr>
                <w:rFonts w:ascii="Arial" w:cs="Arial" w:eastAsia="Arial" w:hAnsi="Arial"/>
                <w:sz w:val="17"/>
                <w:szCs w:val="17"/>
                <w:b w:val="1"/>
                <w:bCs w:val="1"/>
                <w:color w:val="auto"/>
              </w:rPr>
              <w:t>Share premium</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79"/>
              </w:rPr>
              <w:t>losses</w:t>
            </w:r>
          </w:p>
        </w:tc>
        <w:tc>
          <w:tcPr>
            <w:tcW w:w="1120" w:type="dxa"/>
            <w:vAlign w:val="bottom"/>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Balance as of January 1, 2014</w:t>
            </w:r>
          </w:p>
        </w:tc>
        <w:tc>
          <w:tcPr>
            <w:tcW w:w="116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812</w:t>
            </w:r>
          </w:p>
        </w:tc>
        <w:tc>
          <w:tcPr>
            <w:tcW w:w="12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73,211</w:t>
            </w:r>
          </w:p>
        </w:tc>
        <w:tc>
          <w:tcPr>
            <w:tcW w:w="10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(70,092)</w:t>
            </w: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3,931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7"/>
                <w:szCs w:val="17"/>
                <w:color w:val="auto"/>
              </w:rPr>
              <w:t>Net income for the period</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10,744</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10,744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00" w:type="dxa"/>
            <w:vAlign w:val="bottom"/>
            <w:shd w:val="clear" w:color="auto" w:fill="D5EAEA"/>
          </w:tcPr>
          <w:p>
            <w:pPr>
              <w:ind w:left="160"/>
              <w:spacing w:after="0"/>
              <w:rPr>
                <w:sz w:val="20"/>
                <w:szCs w:val="20"/>
                <w:color w:val="auto"/>
              </w:rPr>
            </w:pPr>
            <w:r>
              <w:rPr>
                <w:rFonts w:ascii="Arial" w:cs="Arial" w:eastAsia="Arial" w:hAnsi="Arial"/>
                <w:sz w:val="17"/>
                <w:szCs w:val="17"/>
                <w:color w:val="auto"/>
              </w:rPr>
              <w:t>Other comprehensive loss</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(1,318)</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(1,318)</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500" w:type="dxa"/>
            <w:vAlign w:val="bottom"/>
          </w:tcPr>
          <w:p>
            <w:pPr>
              <w:spacing w:after="0"/>
              <w:rPr>
                <w:sz w:val="20"/>
                <w:szCs w:val="20"/>
                <w:color w:val="auto"/>
              </w:rPr>
            </w:pPr>
            <w:r>
              <w:rPr>
                <w:rFonts w:ascii="Arial" w:cs="Arial" w:eastAsia="Arial" w:hAnsi="Arial"/>
                <w:sz w:val="17"/>
                <w:szCs w:val="17"/>
                <w:b w:val="1"/>
                <w:bCs w:val="1"/>
                <w:color w:val="auto"/>
              </w:rPr>
              <w:t>Total 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9,426</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9,426</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0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4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7"/>
                <w:szCs w:val="17"/>
                <w:color w:val="auto"/>
              </w:rPr>
              <w:t>Share-based payments</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shd w:val="clear" w:color="auto" w:fill="D5EAEA"/>
          </w:tcPr>
          <w:p>
            <w:pPr>
              <w:spacing w:after="0"/>
              <w:rPr>
                <w:sz w:val="20"/>
                <w:szCs w:val="20"/>
                <w:color w:val="auto"/>
              </w:rPr>
            </w:pPr>
            <w:r>
              <w:rPr>
                <w:rFonts w:ascii="Arial" w:cs="Arial" w:eastAsia="Arial" w:hAnsi="Arial"/>
                <w:sz w:val="17"/>
                <w:szCs w:val="17"/>
                <w:color w:val="auto"/>
              </w:rPr>
              <w:t>Issuance of preferred Series D shares</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42</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9,854</w:t>
            </w:r>
          </w:p>
        </w:tc>
        <w:tc>
          <w:tcPr>
            <w:tcW w:w="10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9,896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7"/>
                <w:szCs w:val="17"/>
                <w:color w:val="auto"/>
              </w:rPr>
              <w:t>Exercise of options</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0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4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7"/>
                <w:szCs w:val="17"/>
                <w:b w:val="1"/>
                <w:bCs w:val="1"/>
                <w:color w:val="auto"/>
              </w:rPr>
              <w:t>Balance as of December 31, 2014</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854</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83,068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(60,455)</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23,467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Accumulated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20" w:type="dxa"/>
            <w:vAlign w:val="bottom"/>
            <w:gridSpan w:val="2"/>
          </w:tcPr>
          <w:p>
            <w:pPr>
              <w:spacing w:after="0"/>
              <w:rPr>
                <w:sz w:val="20"/>
                <w:szCs w:val="20"/>
                <w:color w:val="auto"/>
              </w:rPr>
            </w:pPr>
            <w:r>
              <w:rPr>
                <w:rFonts w:ascii="Arial" w:cs="Arial" w:eastAsia="Arial" w:hAnsi="Arial"/>
                <w:sz w:val="17"/>
                <w:szCs w:val="17"/>
                <w:b w:val="1"/>
                <w:bCs w:val="1"/>
                <w:color w:val="auto"/>
              </w:rPr>
              <w:t>in CHF thousands</w:t>
            </w:r>
          </w:p>
        </w:tc>
        <w:tc>
          <w:tcPr>
            <w:tcW w:w="1280" w:type="dxa"/>
            <w:vAlign w:val="bottom"/>
            <w:gridSpan w:val="2"/>
          </w:tcPr>
          <w:p>
            <w:pPr>
              <w:ind w:left="100"/>
              <w:spacing w:after="0"/>
              <w:rPr>
                <w:sz w:val="20"/>
                <w:szCs w:val="20"/>
                <w:color w:val="auto"/>
              </w:rPr>
            </w:pPr>
            <w:r>
              <w:rPr>
                <w:rFonts w:ascii="Arial" w:cs="Arial" w:eastAsia="Arial" w:hAnsi="Arial"/>
                <w:sz w:val="17"/>
                <w:szCs w:val="17"/>
                <w:b w:val="1"/>
                <w:bCs w:val="1"/>
                <w:color w:val="auto"/>
              </w:rPr>
              <w:t>Share capital</w:t>
            </w:r>
          </w:p>
        </w:tc>
        <w:tc>
          <w:tcPr>
            <w:tcW w:w="1260" w:type="dxa"/>
            <w:vAlign w:val="bottom"/>
            <w:gridSpan w:val="2"/>
          </w:tcPr>
          <w:p>
            <w:pPr>
              <w:spacing w:after="0"/>
              <w:rPr>
                <w:sz w:val="20"/>
                <w:szCs w:val="20"/>
                <w:color w:val="auto"/>
              </w:rPr>
            </w:pPr>
            <w:r>
              <w:rPr>
                <w:rFonts w:ascii="Arial" w:cs="Arial" w:eastAsia="Arial" w:hAnsi="Arial"/>
                <w:sz w:val="17"/>
                <w:szCs w:val="17"/>
                <w:b w:val="1"/>
                <w:bCs w:val="1"/>
                <w:color w:val="auto"/>
              </w:rPr>
              <w:t>Share premium</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79"/>
              </w:rPr>
              <w:t>losses</w:t>
            </w:r>
          </w:p>
        </w:tc>
        <w:tc>
          <w:tcPr>
            <w:tcW w:w="1120" w:type="dxa"/>
            <w:vAlign w:val="bottom"/>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Balance as of January 1, 2015</w:t>
            </w:r>
          </w:p>
        </w:tc>
        <w:tc>
          <w:tcPr>
            <w:tcW w:w="116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854</w:t>
            </w:r>
          </w:p>
        </w:tc>
        <w:tc>
          <w:tcPr>
            <w:tcW w:w="12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83,068</w:t>
            </w:r>
          </w:p>
        </w:tc>
        <w:tc>
          <w:tcPr>
            <w:tcW w:w="10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(60,455)</w:t>
            </w: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23,467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7"/>
                <w:szCs w:val="17"/>
                <w:color w:val="auto"/>
              </w:rPr>
              <w:t>Net income for the period</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20,270</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20,270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00" w:type="dxa"/>
            <w:vAlign w:val="bottom"/>
            <w:shd w:val="clear" w:color="auto" w:fill="D5EAEA"/>
          </w:tcPr>
          <w:p>
            <w:pPr>
              <w:ind w:left="160"/>
              <w:spacing w:after="0"/>
              <w:rPr>
                <w:sz w:val="20"/>
                <w:szCs w:val="20"/>
                <w:color w:val="auto"/>
              </w:rPr>
            </w:pPr>
            <w:r>
              <w:rPr>
                <w:rFonts w:ascii="Arial" w:cs="Arial" w:eastAsia="Arial" w:hAnsi="Arial"/>
                <w:sz w:val="17"/>
                <w:szCs w:val="17"/>
                <w:color w:val="auto"/>
              </w:rPr>
              <w:t>Other comprehensive loss</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500" w:type="dxa"/>
            <w:vAlign w:val="bottom"/>
          </w:tcPr>
          <w:p>
            <w:pPr>
              <w:spacing w:after="0"/>
              <w:rPr>
                <w:sz w:val="20"/>
                <w:szCs w:val="20"/>
                <w:color w:val="auto"/>
              </w:rPr>
            </w:pPr>
            <w:r>
              <w:rPr>
                <w:rFonts w:ascii="Arial" w:cs="Arial" w:eastAsia="Arial" w:hAnsi="Arial"/>
                <w:sz w:val="17"/>
                <w:szCs w:val="17"/>
                <w:b w:val="1"/>
                <w:bCs w:val="1"/>
                <w:color w:val="auto"/>
              </w:rPr>
              <w:t>Total 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19,534</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19,534</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0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4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7"/>
                <w:szCs w:val="17"/>
                <w:color w:val="auto"/>
              </w:rPr>
              <w:t>Share-based payments</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shd w:val="clear" w:color="auto" w:fill="D5EAEA"/>
          </w:tcPr>
          <w:p>
            <w:pPr>
              <w:spacing w:after="0"/>
              <w:rPr>
                <w:sz w:val="20"/>
                <w:szCs w:val="20"/>
                <w:color w:val="auto"/>
              </w:rPr>
            </w:pPr>
            <w:r>
              <w:rPr>
                <w:rFonts w:ascii="Arial" w:cs="Arial" w:eastAsia="Arial" w:hAnsi="Arial"/>
                <w:sz w:val="17"/>
                <w:szCs w:val="17"/>
                <w:color w:val="auto"/>
              </w:rPr>
              <w:t>Issuance of preferred Series E shares</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62</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29,437</w:t>
            </w:r>
          </w:p>
        </w:tc>
        <w:tc>
          <w:tcPr>
            <w:tcW w:w="10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29,499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7"/>
                <w:szCs w:val="17"/>
                <w:color w:val="auto"/>
              </w:rPr>
              <w:t>Exercise of options</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00" w:type="dxa"/>
            <w:vAlign w:val="bottom"/>
            <w:shd w:val="clear" w:color="auto" w:fill="D5EAEA"/>
          </w:tcPr>
          <w:p>
            <w:pPr>
              <w:spacing w:after="0"/>
              <w:rPr>
                <w:sz w:val="20"/>
                <w:szCs w:val="20"/>
                <w:color w:val="auto"/>
              </w:rPr>
            </w:pPr>
            <w:r>
              <w:rPr>
                <w:rFonts w:ascii="Arial" w:cs="Arial" w:eastAsia="Arial" w:hAnsi="Arial"/>
                <w:sz w:val="17"/>
                <w:szCs w:val="17"/>
                <w:color w:val="auto"/>
              </w:rPr>
              <w:t>Transaction costs</w:t>
            </w:r>
          </w:p>
        </w:tc>
        <w:tc>
          <w:tcPr>
            <w:tcW w:w="1280" w:type="dxa"/>
            <w:vAlign w:val="bottom"/>
            <w:gridSpan w:val="2"/>
            <w:shd w:val="clear" w:color="auto" w:fill="D5EAEA"/>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(2,139)</w:t>
            </w:r>
          </w:p>
        </w:tc>
        <w:tc>
          <w:tcPr>
            <w:tcW w:w="100" w:type="dxa"/>
            <w:vAlign w:val="bottom"/>
            <w:shd w:val="clear" w:color="auto" w:fill="D5EAEA"/>
          </w:tcPr>
          <w:p>
            <w:pPr>
              <w:spacing w:after="0"/>
              <w:rPr>
                <w:sz w:val="19"/>
                <w:szCs w:val="19"/>
                <w:color w:val="auto"/>
              </w:rPr>
            </w:pPr>
          </w:p>
        </w:tc>
        <w:tc>
          <w:tcPr>
            <w:tcW w:w="1240" w:type="dxa"/>
            <w:vAlign w:val="bottom"/>
            <w:gridSpan w:val="2"/>
            <w:shd w:val="clear" w:color="auto" w:fill="D5EAEA"/>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(2,139)</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5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Balance as of December 31, 2015</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928</w:t>
            </w:r>
          </w:p>
        </w:tc>
        <w:tc>
          <w:tcPr>
            <w:tcW w:w="120" w:type="dxa"/>
            <w:vAlign w:val="bottom"/>
            <w:tcBorders>
              <w:bottom w:val="single" w:sz="8" w:color="D5EAEA"/>
            </w:tcBorders>
            <w:shd w:val="clear" w:color="auto" w:fill="D5EAEA"/>
          </w:tcPr>
          <w:p>
            <w:pPr>
              <w:spacing w:after="0"/>
              <w:rPr>
                <w:sz w:val="20"/>
                <w:szCs w:val="20"/>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110,496</w:t>
            </w:r>
          </w:p>
        </w:tc>
        <w:tc>
          <w:tcPr>
            <w:tcW w:w="100" w:type="dxa"/>
            <w:vAlign w:val="bottom"/>
            <w:tcBorders>
              <w:bottom w:val="single" w:sz="8" w:color="D5EAEA"/>
            </w:tcBorders>
            <w:shd w:val="clear" w:color="auto" w:fill="D5EAEA"/>
          </w:tcPr>
          <w:p>
            <w:pPr>
              <w:spacing w:after="0"/>
              <w:rPr>
                <w:sz w:val="20"/>
                <w:szCs w:val="20"/>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(40,381)</w:t>
            </w:r>
          </w:p>
        </w:tc>
        <w:tc>
          <w:tcPr>
            <w:tcW w:w="100" w:type="dxa"/>
            <w:vAlign w:val="bottom"/>
            <w:tcBorders>
              <w:bottom w:val="single" w:sz="8" w:color="D5EAEA"/>
            </w:tcBorders>
            <w:shd w:val="clear" w:color="auto" w:fill="D5EAEA"/>
          </w:tcPr>
          <w:p>
            <w:pPr>
              <w:spacing w:after="0"/>
              <w:rPr>
                <w:sz w:val="20"/>
                <w:szCs w:val="20"/>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71,043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Accumulated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Arial" w:cs="Arial" w:eastAsia="Arial" w:hAnsi="Arial"/>
                <w:sz w:val="17"/>
                <w:szCs w:val="17"/>
                <w:b w:val="1"/>
                <w:bCs w:val="1"/>
                <w:color w:val="auto"/>
              </w:rPr>
              <w:t>in CHF thousands</w:t>
            </w:r>
          </w:p>
        </w:tc>
        <w:tc>
          <w:tcPr>
            <w:tcW w:w="100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b w:val="1"/>
                <w:bCs w:val="1"/>
                <w:color w:val="auto"/>
              </w:rPr>
              <w:t>Share capital</w:t>
            </w:r>
          </w:p>
        </w:tc>
        <w:tc>
          <w:tcPr>
            <w:tcW w:w="1260" w:type="dxa"/>
            <w:vAlign w:val="bottom"/>
            <w:gridSpan w:val="2"/>
          </w:tcPr>
          <w:p>
            <w:pPr>
              <w:spacing w:after="0"/>
              <w:rPr>
                <w:sz w:val="20"/>
                <w:szCs w:val="20"/>
                <w:color w:val="auto"/>
              </w:rPr>
            </w:pPr>
            <w:r>
              <w:rPr>
                <w:rFonts w:ascii="Arial" w:cs="Arial" w:eastAsia="Arial" w:hAnsi="Arial"/>
                <w:sz w:val="17"/>
                <w:szCs w:val="17"/>
                <w:b w:val="1"/>
                <w:bCs w:val="1"/>
                <w:color w:val="auto"/>
              </w:rPr>
              <w:t>Share premium</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79"/>
              </w:rPr>
              <w:t>losses</w:t>
            </w:r>
          </w:p>
        </w:tc>
        <w:tc>
          <w:tcPr>
            <w:tcW w:w="1120" w:type="dxa"/>
            <w:vAlign w:val="bottom"/>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Balance as of January 1, 2016</w:t>
            </w:r>
          </w:p>
        </w:tc>
        <w:tc>
          <w:tcPr>
            <w:tcW w:w="100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928</w:t>
            </w:r>
          </w:p>
        </w:tc>
        <w:tc>
          <w:tcPr>
            <w:tcW w:w="12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110,496</w:t>
            </w:r>
          </w:p>
        </w:tc>
        <w:tc>
          <w:tcPr>
            <w:tcW w:w="10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(40,381)</w:t>
            </w: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71,043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7"/>
                <w:szCs w:val="17"/>
                <w:color w:val="auto"/>
              </w:rPr>
              <w:t>Net loss for the period</w:t>
            </w:r>
          </w:p>
        </w:tc>
        <w:tc>
          <w:tcPr>
            <w:tcW w:w="10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(7,096)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(7,096)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shd w:val="clear" w:color="auto" w:fill="D5EAEA"/>
          </w:tcPr>
          <w:p>
            <w:pPr>
              <w:ind w:left="160"/>
              <w:spacing w:after="0"/>
              <w:rPr>
                <w:sz w:val="20"/>
                <w:szCs w:val="20"/>
                <w:color w:val="auto"/>
              </w:rPr>
            </w:pPr>
            <w:r>
              <w:rPr>
                <w:rFonts w:ascii="Arial" w:cs="Arial" w:eastAsia="Arial" w:hAnsi="Arial"/>
                <w:sz w:val="17"/>
                <w:szCs w:val="17"/>
                <w:color w:val="auto"/>
              </w:rPr>
              <w:t>Other comprehensive loss</w:t>
            </w:r>
          </w:p>
        </w:tc>
        <w:tc>
          <w:tcPr>
            <w:tcW w:w="100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500" w:type="dxa"/>
            <w:vAlign w:val="bottom"/>
          </w:tcPr>
          <w:p>
            <w:pPr>
              <w:spacing w:after="0"/>
              <w:rPr>
                <w:sz w:val="20"/>
                <w:szCs w:val="20"/>
                <w:color w:val="auto"/>
              </w:rPr>
            </w:pPr>
            <w:r>
              <w:rPr>
                <w:rFonts w:ascii="Arial" w:cs="Arial" w:eastAsia="Arial" w:hAnsi="Arial"/>
                <w:sz w:val="17"/>
                <w:szCs w:val="17"/>
                <w:b w:val="1"/>
                <w:bCs w:val="1"/>
                <w:color w:val="auto"/>
              </w:rPr>
              <w:t>Total comprehensive loss</w:t>
            </w:r>
          </w:p>
        </w:tc>
        <w:tc>
          <w:tcPr>
            <w:tcW w:w="10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(7,857)</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(7,857)</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500" w:type="dxa"/>
            <w:vAlign w:val="bottom"/>
            <w:tcBorders>
              <w:top w:val="single" w:sz="8" w:color="D5EAEA"/>
            </w:tcBorders>
            <w:shd w:val="clear" w:color="auto" w:fill="D5EAEA"/>
          </w:tcPr>
          <w:p>
            <w:pPr>
              <w:spacing w:after="0"/>
              <w:rPr>
                <w:sz w:val="16"/>
                <w:szCs w:val="16"/>
                <w:color w:val="auto"/>
              </w:rPr>
            </w:pPr>
          </w:p>
        </w:tc>
        <w:tc>
          <w:tcPr>
            <w:tcW w:w="100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4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Share-based payments</w:t>
            </w:r>
          </w:p>
        </w:tc>
        <w:tc>
          <w:tcPr>
            <w:tcW w:w="10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1,317</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1,317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D5EAEA"/>
          </w:tcPr>
          <w:p>
            <w:pPr>
              <w:spacing w:after="0"/>
              <w:rPr>
                <w:sz w:val="20"/>
                <w:szCs w:val="20"/>
                <w:color w:val="auto"/>
              </w:rPr>
            </w:pPr>
            <w:r>
              <w:rPr>
                <w:rFonts w:ascii="Arial" w:cs="Arial" w:eastAsia="Arial" w:hAnsi="Arial"/>
                <w:sz w:val="17"/>
                <w:szCs w:val="17"/>
                <w:color w:val="auto"/>
              </w:rPr>
              <w:t>Preferred Series E extension shares</w:t>
            </w:r>
          </w:p>
        </w:tc>
        <w:tc>
          <w:tcPr>
            <w:tcW w:w="216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28</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13,177</w:t>
            </w:r>
          </w:p>
        </w:tc>
        <w:tc>
          <w:tcPr>
            <w:tcW w:w="10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13,205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Proceeds from IPO net of underwriting fees</w:t>
            </w:r>
          </w:p>
        </w:tc>
        <w:tc>
          <w:tcPr>
            <w:tcW w:w="2160" w:type="dxa"/>
            <w:vAlign w:val="bottom"/>
            <w:gridSpan w:val="2"/>
          </w:tcPr>
          <w:p>
            <w:pPr>
              <w:jc w:val="right"/>
              <w:ind w:right="33"/>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69,250</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69,388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D5EAEA"/>
          </w:tcPr>
          <w:p>
            <w:pPr>
              <w:spacing w:after="0"/>
              <w:rPr>
                <w:sz w:val="20"/>
                <w:szCs w:val="20"/>
                <w:color w:val="auto"/>
              </w:rPr>
            </w:pPr>
            <w:r>
              <w:rPr>
                <w:rFonts w:ascii="Arial" w:cs="Arial" w:eastAsia="Arial" w:hAnsi="Arial"/>
                <w:sz w:val="17"/>
                <w:szCs w:val="17"/>
                <w:color w:val="auto"/>
              </w:rPr>
              <w:t>Exercise of options</w:t>
            </w:r>
          </w:p>
        </w:tc>
        <w:tc>
          <w:tcPr>
            <w:tcW w:w="216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41</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Transaction costs</w:t>
            </w:r>
          </w:p>
        </w:tc>
        <w:tc>
          <w:tcPr>
            <w:tcW w:w="10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(5,017)</w:t>
            </w: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(5,017)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500" w:type="dxa"/>
            <w:vAlign w:val="bottom"/>
            <w:tcBorders>
              <w:top w:val="single" w:sz="8" w:color="D5EAEA"/>
            </w:tcBorders>
            <w:shd w:val="clear" w:color="auto" w:fill="D5EAEA"/>
          </w:tcPr>
          <w:p>
            <w:pPr>
              <w:spacing w:after="0"/>
              <w:rPr>
                <w:sz w:val="16"/>
                <w:szCs w:val="16"/>
                <w:color w:val="auto"/>
              </w:rPr>
            </w:pPr>
          </w:p>
        </w:tc>
        <w:tc>
          <w:tcPr>
            <w:tcW w:w="100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6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4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7"/>
                <w:szCs w:val="17"/>
                <w:b w:val="1"/>
                <w:bCs w:val="1"/>
                <w:color w:val="auto"/>
              </w:rPr>
              <w:t>Balance as of December 31, 2016</w:t>
            </w:r>
          </w:p>
        </w:tc>
        <w:tc>
          <w:tcPr>
            <w:tcW w:w="2160" w:type="dxa"/>
            <w:vAlign w:val="bottom"/>
            <w:gridSpan w:val="2"/>
          </w:tcPr>
          <w:p>
            <w:pPr>
              <w:jc w:val="right"/>
              <w:ind w:right="33"/>
              <w:spacing w:after="0"/>
              <w:rPr>
                <w:sz w:val="20"/>
                <w:szCs w:val="20"/>
                <w:color w:val="auto"/>
              </w:rPr>
            </w:pPr>
            <w:r>
              <w:rPr>
                <w:rFonts w:ascii="Arial" w:cs="Arial" w:eastAsia="Arial" w:hAnsi="Arial"/>
                <w:sz w:val="17"/>
                <w:szCs w:val="17"/>
                <w:color w:val="auto"/>
              </w:rPr>
              <w:t>1,135</w:t>
            </w:r>
          </w:p>
        </w:tc>
        <w:tc>
          <w:tcPr>
            <w:tcW w:w="12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188,166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(46,921)</w:t>
            </w:r>
          </w:p>
        </w:tc>
        <w:tc>
          <w:tcPr>
            <w:tcW w:w="10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142,380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300"/>
              <w:spacing w:after="0"/>
              <w:rPr>
                <w:sz w:val="20"/>
                <w:szCs w:val="20"/>
                <w:color w:val="auto"/>
              </w:rPr>
            </w:pPr>
            <w:r>
              <w:rPr>
                <w:rFonts w:ascii="Arial" w:cs="Arial" w:eastAsia="Arial" w:hAnsi="Arial"/>
                <w:sz w:val="17"/>
                <w:szCs w:val="17"/>
                <w:color w:val="auto"/>
                <w:w w:val="92"/>
              </w:rPr>
              <w:t>The accompanying notes are an integral part of these financial statements.</w:t>
            </w:r>
          </w:p>
        </w:tc>
        <w:tc>
          <w:tcPr>
            <w:tcW w:w="1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color w:val="auto"/>
              </w:rPr>
              <w:t>F-5</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Statements of Cash Flows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7"/>
                <w:szCs w:val="17"/>
                <w:b w:val="1"/>
                <w:bCs w:val="1"/>
                <w:color w:val="auto"/>
              </w:rPr>
              <w:t>For the Years Ended 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60" w:type="dxa"/>
            <w:vAlign w:val="bottom"/>
          </w:tcPr>
          <w:p>
            <w:pPr>
              <w:ind w:left="3140"/>
              <w:spacing w:after="0"/>
              <w:rPr>
                <w:sz w:val="20"/>
                <w:szCs w:val="20"/>
                <w:color w:val="auto"/>
              </w:rPr>
            </w:pPr>
            <w:r>
              <w:rPr>
                <w:rFonts w:ascii="Arial" w:cs="Arial" w:eastAsia="Arial" w:hAnsi="Arial"/>
                <w:sz w:val="17"/>
                <w:szCs w:val="17"/>
                <w:b w:val="1"/>
                <w:bCs w:val="1"/>
                <w:color w:val="auto"/>
              </w:rPr>
              <w:t>in CHF thousands</w:t>
            </w: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201"/>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Operating activities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Net income / (loss) for the period</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(7,096)</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20,270</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10,744</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Adjustments to reconcile net income for the period to net cash flows:</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Depreciation of property, plant and equipment</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Finance result, net</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(3,360)</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(1,646)</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Share-based compensation expense</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1,317</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Changes in pensions</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Changes in working capital:</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Prepaid expenses</w:t>
            </w:r>
          </w:p>
        </w:tc>
        <w:tc>
          <w:tcPr>
            <w:tcW w:w="1160" w:type="dxa"/>
            <w:vAlign w:val="bottom"/>
          </w:tcPr>
          <w:p>
            <w:pPr>
              <w:jc w:val="right"/>
              <w:spacing w:after="0"/>
              <w:rPr>
                <w:sz w:val="20"/>
                <w:szCs w:val="20"/>
                <w:color w:val="auto"/>
              </w:rPr>
            </w:pPr>
            <w:r>
              <w:rPr>
                <w:rFonts w:ascii="Arial" w:cs="Arial" w:eastAsia="Arial" w:hAnsi="Arial"/>
                <w:sz w:val="17"/>
                <w:szCs w:val="17"/>
                <w:color w:val="auto"/>
              </w:rPr>
              <w:t>(494)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(2,135)</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Accrued income</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(842)</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6</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Other current receivables</w:t>
            </w:r>
          </w:p>
        </w:tc>
        <w:tc>
          <w:tcPr>
            <w:tcW w:w="1160" w:type="dxa"/>
            <w:vAlign w:val="bottom"/>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25,666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(25,744)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Accrued Expenses</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1,564</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1,707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Deferral of unearned revenue</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Accounts payable</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2,592</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Cash provided by/(used in) operating activities</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(5,563)</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44,035</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(17,641)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Interest income</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Finance costs</w:t>
            </w: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(126)</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760" w:type="dxa"/>
            <w:vAlign w:val="bottom"/>
            <w:tcBorders>
              <w:bottom w:val="single" w:sz="8" w:color="D5EAEA"/>
            </w:tcBorders>
          </w:tcPr>
          <w:p>
            <w:pPr>
              <w:spacing w:after="0"/>
              <w:rPr>
                <w:sz w:val="20"/>
                <w:szCs w:val="20"/>
                <w:color w:val="auto"/>
              </w:rPr>
            </w:pPr>
            <w:r>
              <w:rPr>
                <w:rFonts w:ascii="Arial" w:cs="Arial" w:eastAsia="Arial" w:hAnsi="Arial"/>
                <w:sz w:val="17"/>
                <w:szCs w:val="17"/>
                <w:b w:val="1"/>
                <w:bCs w:val="1"/>
                <w:color w:val="auto"/>
              </w:rPr>
              <w:t>Net cash flows provided by/(used in) operating activities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(5,646)</w:t>
            </w:r>
          </w:p>
        </w:tc>
        <w:tc>
          <w:tcPr>
            <w:tcW w:w="120" w:type="dxa"/>
            <w:vAlign w:val="bottom"/>
            <w:tcBorders>
              <w:bottom w:val="single" w:sz="8" w:color="D5EAEA"/>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44,084</w:t>
            </w:r>
          </w:p>
        </w:tc>
        <w:tc>
          <w:tcPr>
            <w:tcW w:w="10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(17,624)</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7760" w:type="dxa"/>
            <w:vAlign w:val="bottom"/>
            <w:shd w:val="clear" w:color="auto" w:fill="D5EAEA"/>
          </w:tcPr>
          <w:p>
            <w:pPr>
              <w:spacing w:after="0"/>
              <w:rPr>
                <w:sz w:val="16"/>
                <w:szCs w:val="16"/>
                <w:color w:val="auto"/>
              </w:rPr>
            </w:pPr>
          </w:p>
        </w:tc>
        <w:tc>
          <w:tcPr>
            <w:tcW w:w="1160" w:type="dxa"/>
            <w:vAlign w:val="bottom"/>
            <w:shd w:val="clear" w:color="auto" w:fill="D5EAEA"/>
          </w:tcPr>
          <w:p>
            <w:pPr>
              <w:spacing w:after="0"/>
              <w:rPr>
                <w:sz w:val="16"/>
                <w:szCs w:val="16"/>
                <w:color w:val="auto"/>
              </w:rPr>
            </w:pPr>
          </w:p>
        </w:tc>
        <w:tc>
          <w:tcPr>
            <w:tcW w:w="120" w:type="dxa"/>
            <w:vAlign w:val="bottom"/>
            <w:shd w:val="clear" w:color="auto" w:fill="D5EAEA"/>
          </w:tcPr>
          <w:p>
            <w:pPr>
              <w:spacing w:after="0"/>
              <w:rPr>
                <w:sz w:val="16"/>
                <w:szCs w:val="16"/>
                <w:color w:val="auto"/>
              </w:rPr>
            </w:pPr>
          </w:p>
        </w:tc>
        <w:tc>
          <w:tcPr>
            <w:tcW w:w="1140" w:type="dxa"/>
            <w:vAlign w:val="bottom"/>
            <w:shd w:val="clear" w:color="auto" w:fill="D5EAEA"/>
          </w:tcPr>
          <w:p>
            <w:pPr>
              <w:spacing w:after="0"/>
              <w:rPr>
                <w:sz w:val="16"/>
                <w:szCs w:val="16"/>
                <w:color w:val="auto"/>
              </w:rPr>
            </w:pPr>
          </w:p>
        </w:tc>
        <w:tc>
          <w:tcPr>
            <w:tcW w:w="100" w:type="dxa"/>
            <w:vAlign w:val="bottom"/>
            <w:shd w:val="clear" w:color="auto" w:fill="D5EAEA"/>
          </w:tcPr>
          <w:p>
            <w:pPr>
              <w:spacing w:after="0"/>
              <w:rPr>
                <w:sz w:val="16"/>
                <w:szCs w:val="16"/>
                <w:color w:val="auto"/>
              </w:rPr>
            </w:pPr>
          </w:p>
        </w:tc>
        <w:tc>
          <w:tcPr>
            <w:tcW w:w="1120" w:type="dxa"/>
            <w:vAlign w:val="bottom"/>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(899)</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tcBorders>
              <w:bottom w:val="single" w:sz="8" w:color="D5EAEA"/>
            </w:tcBorders>
          </w:tcPr>
          <w:p>
            <w:pPr>
              <w:ind w:left="160"/>
              <w:spacing w:after="0"/>
              <w:rPr>
                <w:sz w:val="20"/>
                <w:szCs w:val="20"/>
                <w:color w:val="auto"/>
              </w:rPr>
            </w:pPr>
            <w:r>
              <w:rPr>
                <w:rFonts w:ascii="Arial" w:cs="Arial" w:eastAsia="Arial" w:hAnsi="Arial"/>
                <w:sz w:val="17"/>
                <w:szCs w:val="17"/>
                <w:color w:val="auto"/>
              </w:rPr>
              <w:t>Other non-current assets</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Net cash flows used in investing activities</w:t>
            </w: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(899)</w:t>
            </w:r>
          </w:p>
        </w:tc>
        <w:tc>
          <w:tcPr>
            <w:tcW w:w="12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7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Financing activities</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Proceeds from issuance of preferred Series E / D</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13,206</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29,499</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Proceeds from issuance of common shares</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69,388</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Transaction costs of issue of shares</w:t>
            </w:r>
          </w:p>
        </w:tc>
        <w:tc>
          <w:tcPr>
            <w:tcW w:w="1160" w:type="dxa"/>
            <w:vAlign w:val="bottom"/>
          </w:tcPr>
          <w:p>
            <w:pPr>
              <w:jc w:val="right"/>
              <w:spacing w:after="0"/>
              <w:rPr>
                <w:sz w:val="20"/>
                <w:szCs w:val="20"/>
                <w:color w:val="auto"/>
              </w:rPr>
            </w:pPr>
            <w:r>
              <w:rPr>
                <w:rFonts w:ascii="Arial" w:cs="Arial" w:eastAsia="Arial" w:hAnsi="Arial"/>
                <w:sz w:val="17"/>
                <w:szCs w:val="17"/>
                <w:color w:val="auto"/>
              </w:rPr>
              <w:t>(4,105)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(1,859)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Proceeds from issuance of shares-option plans</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301</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87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Cost on issue of shares-option plans</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Proceeds from employee loan repayments</w:t>
            </w:r>
          </w:p>
        </w:tc>
        <w:tc>
          <w:tcPr>
            <w:tcW w:w="1280" w:type="dxa"/>
            <w:vAlign w:val="bottom"/>
            <w:gridSpan w:val="2"/>
            <w:shd w:val="clear" w:color="auto" w:fill="D5EAEA"/>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55</w:t>
            </w:r>
          </w:p>
        </w:tc>
        <w:tc>
          <w:tcPr>
            <w:tcW w:w="100" w:type="dxa"/>
            <w:vAlign w:val="bottom"/>
            <w:shd w:val="clear" w:color="auto" w:fill="D5EAEA"/>
          </w:tcPr>
          <w:p>
            <w:pPr>
              <w:spacing w:after="0"/>
              <w:rPr>
                <w:sz w:val="19"/>
                <w:szCs w:val="19"/>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760" w:type="dxa"/>
            <w:vAlign w:val="bottom"/>
            <w:tcBorders>
              <w:bottom w:val="single" w:sz="8" w:color="D5EAEA"/>
            </w:tcBorders>
          </w:tcPr>
          <w:p>
            <w:pPr>
              <w:spacing w:after="0"/>
              <w:rPr>
                <w:sz w:val="20"/>
                <w:szCs w:val="20"/>
                <w:color w:val="auto"/>
              </w:rPr>
            </w:pPr>
            <w:r>
              <w:rPr>
                <w:rFonts w:ascii="Arial" w:cs="Arial" w:eastAsia="Arial" w:hAnsi="Arial"/>
                <w:sz w:val="17"/>
                <w:szCs w:val="17"/>
                <w:b w:val="1"/>
                <w:bCs w:val="1"/>
                <w:color w:val="auto"/>
              </w:rPr>
              <w:t>Net cash flows provided by financing activities</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78,790</w:t>
            </w:r>
          </w:p>
        </w:tc>
        <w:tc>
          <w:tcPr>
            <w:tcW w:w="120" w:type="dxa"/>
            <w:vAlign w:val="bottom"/>
            <w:tcBorders>
              <w:bottom w:val="single" w:sz="8" w:color="D5EAEA"/>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27,778</w:t>
            </w: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9,801</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7760" w:type="dxa"/>
            <w:vAlign w:val="bottom"/>
            <w:shd w:val="clear" w:color="auto" w:fill="D5EAEA"/>
          </w:tcPr>
          <w:p>
            <w:pPr>
              <w:spacing w:after="0"/>
              <w:rPr>
                <w:sz w:val="16"/>
                <w:szCs w:val="16"/>
                <w:color w:val="auto"/>
              </w:rPr>
            </w:pPr>
          </w:p>
        </w:tc>
        <w:tc>
          <w:tcPr>
            <w:tcW w:w="1160" w:type="dxa"/>
            <w:vAlign w:val="bottom"/>
            <w:shd w:val="clear" w:color="auto" w:fill="D5EAEA"/>
          </w:tcPr>
          <w:p>
            <w:pPr>
              <w:spacing w:after="0"/>
              <w:rPr>
                <w:sz w:val="16"/>
                <w:szCs w:val="16"/>
                <w:color w:val="auto"/>
              </w:rPr>
            </w:pPr>
          </w:p>
        </w:tc>
        <w:tc>
          <w:tcPr>
            <w:tcW w:w="120" w:type="dxa"/>
            <w:vAlign w:val="bottom"/>
            <w:shd w:val="clear" w:color="auto" w:fill="D5EAEA"/>
          </w:tcPr>
          <w:p>
            <w:pPr>
              <w:spacing w:after="0"/>
              <w:rPr>
                <w:sz w:val="16"/>
                <w:szCs w:val="16"/>
                <w:color w:val="auto"/>
              </w:rPr>
            </w:pPr>
          </w:p>
        </w:tc>
        <w:tc>
          <w:tcPr>
            <w:tcW w:w="1140" w:type="dxa"/>
            <w:vAlign w:val="bottom"/>
            <w:shd w:val="clear" w:color="auto" w:fill="D5EAEA"/>
          </w:tcPr>
          <w:p>
            <w:pPr>
              <w:spacing w:after="0"/>
              <w:rPr>
                <w:sz w:val="16"/>
                <w:szCs w:val="16"/>
                <w:color w:val="auto"/>
              </w:rPr>
            </w:pPr>
          </w:p>
        </w:tc>
        <w:tc>
          <w:tcPr>
            <w:tcW w:w="100" w:type="dxa"/>
            <w:vAlign w:val="bottom"/>
            <w:shd w:val="clear" w:color="auto" w:fill="D5EAEA"/>
          </w:tcPr>
          <w:p>
            <w:pPr>
              <w:spacing w:after="0"/>
              <w:rPr>
                <w:sz w:val="16"/>
                <w:szCs w:val="16"/>
                <w:color w:val="auto"/>
              </w:rPr>
            </w:pPr>
          </w:p>
        </w:tc>
        <w:tc>
          <w:tcPr>
            <w:tcW w:w="1120" w:type="dxa"/>
            <w:vAlign w:val="bottom"/>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0" w:type="dxa"/>
            <w:vAlign w:val="bottom"/>
            <w:vMerge w:val="continue"/>
          </w:tcPr>
          <w:p>
            <w:pPr>
              <w:spacing w:after="0"/>
              <w:rPr>
                <w:sz w:val="23"/>
                <w:szCs w:val="23"/>
                <w:color w:val="auto"/>
              </w:rPr>
            </w:pPr>
          </w:p>
        </w:tc>
        <w:tc>
          <w:tcPr>
            <w:tcW w:w="7760" w:type="dxa"/>
            <w:vAlign w:val="bottom"/>
            <w:tcBorders>
              <w:bottom w:val="single" w:sz="8" w:color="D5EAEA"/>
            </w:tcBorders>
          </w:tcPr>
          <w:p>
            <w:pPr>
              <w:spacing w:after="0"/>
              <w:rPr>
                <w:sz w:val="20"/>
                <w:szCs w:val="20"/>
                <w:color w:val="auto"/>
              </w:rPr>
            </w:pPr>
            <w:r>
              <w:rPr>
                <w:rFonts w:ascii="Arial" w:cs="Arial" w:eastAsia="Arial" w:hAnsi="Arial"/>
                <w:sz w:val="17"/>
                <w:szCs w:val="17"/>
                <w:b w:val="1"/>
                <w:bCs w:val="1"/>
                <w:color w:val="auto"/>
              </w:rPr>
              <w:t>Net increase / (decrease) in cash and cash equivalents</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72,245</w:t>
            </w:r>
          </w:p>
        </w:tc>
        <w:tc>
          <w:tcPr>
            <w:tcW w:w="120" w:type="dxa"/>
            <w:vAlign w:val="bottom"/>
            <w:tcBorders>
              <w:bottom w:val="single" w:sz="8" w:color="D5EAEA"/>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71,618</w:t>
            </w:r>
          </w:p>
        </w:tc>
        <w:tc>
          <w:tcPr>
            <w:tcW w:w="100" w:type="dxa"/>
            <w:vAlign w:val="bottom"/>
            <w:tcBorders>
              <w:bottom w:val="single" w:sz="8" w:color="D5EAEA"/>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60" w:type="dxa"/>
            <w:vAlign w:val="bottom"/>
            <w:shd w:val="clear" w:color="auto" w:fill="D5EAEA"/>
          </w:tcPr>
          <w:p>
            <w:pPr>
              <w:ind w:left="160"/>
              <w:spacing w:after="0" w:line="187" w:lineRule="exact"/>
              <w:rPr>
                <w:sz w:val="20"/>
                <w:szCs w:val="20"/>
                <w:color w:val="auto"/>
              </w:rPr>
            </w:pPr>
            <w:r>
              <w:rPr>
                <w:rFonts w:ascii="Arial" w:cs="Arial" w:eastAsia="Arial" w:hAnsi="Arial"/>
                <w:sz w:val="17"/>
                <w:szCs w:val="17"/>
                <w:color w:val="auto"/>
              </w:rPr>
              <w:t>Cash and cash equivalents at January 1</w:t>
            </w:r>
          </w:p>
        </w:tc>
        <w:tc>
          <w:tcPr>
            <w:tcW w:w="1160" w:type="dxa"/>
            <w:vAlign w:val="bottom"/>
            <w:shd w:val="clear" w:color="auto" w:fill="D5EAEA"/>
          </w:tcPr>
          <w:p>
            <w:pPr>
              <w:jc w:val="right"/>
              <w:ind w:right="33"/>
              <w:spacing w:after="0" w:line="187" w:lineRule="exact"/>
              <w:rPr>
                <w:sz w:val="20"/>
                <w:szCs w:val="20"/>
                <w:color w:val="auto"/>
              </w:rPr>
            </w:pPr>
            <w:r>
              <w:rPr>
                <w:rFonts w:ascii="Arial" w:cs="Arial" w:eastAsia="Arial" w:hAnsi="Arial"/>
                <w:sz w:val="17"/>
                <w:szCs w:val="17"/>
                <w:color w:val="auto"/>
              </w:rPr>
              <w:t>76,522</w:t>
            </w:r>
          </w:p>
        </w:tc>
        <w:tc>
          <w:tcPr>
            <w:tcW w:w="120" w:type="dxa"/>
            <w:vAlign w:val="bottom"/>
            <w:shd w:val="clear" w:color="auto" w:fill="D5EAEA"/>
          </w:tcPr>
          <w:p>
            <w:pPr>
              <w:spacing w:after="0"/>
              <w:rPr>
                <w:sz w:val="16"/>
                <w:szCs w:val="16"/>
                <w:color w:val="auto"/>
              </w:rPr>
            </w:pPr>
          </w:p>
        </w:tc>
        <w:tc>
          <w:tcPr>
            <w:tcW w:w="1140" w:type="dxa"/>
            <w:vAlign w:val="bottom"/>
            <w:shd w:val="clear" w:color="auto" w:fill="D5EAEA"/>
          </w:tcPr>
          <w:p>
            <w:pPr>
              <w:jc w:val="right"/>
              <w:ind w:right="13"/>
              <w:spacing w:after="0" w:line="187" w:lineRule="exact"/>
              <w:rPr>
                <w:sz w:val="20"/>
                <w:szCs w:val="20"/>
                <w:color w:val="auto"/>
              </w:rPr>
            </w:pPr>
            <w:r>
              <w:rPr>
                <w:rFonts w:ascii="Arial" w:cs="Arial" w:eastAsia="Arial" w:hAnsi="Arial"/>
                <w:sz w:val="17"/>
                <w:szCs w:val="17"/>
                <w:color w:val="auto"/>
              </w:rPr>
              <w:t>3,306</w:t>
            </w:r>
          </w:p>
        </w:tc>
        <w:tc>
          <w:tcPr>
            <w:tcW w:w="100" w:type="dxa"/>
            <w:vAlign w:val="bottom"/>
            <w:shd w:val="clear" w:color="auto" w:fill="D5EAEA"/>
          </w:tcPr>
          <w:p>
            <w:pPr>
              <w:spacing w:after="0"/>
              <w:rPr>
                <w:sz w:val="16"/>
                <w:szCs w:val="16"/>
                <w:color w:val="auto"/>
              </w:rPr>
            </w:pPr>
          </w:p>
        </w:tc>
        <w:tc>
          <w:tcPr>
            <w:tcW w:w="1120" w:type="dxa"/>
            <w:vAlign w:val="bottom"/>
            <w:shd w:val="clear" w:color="auto" w:fill="D5EAEA"/>
          </w:tcPr>
          <w:p>
            <w:pPr>
              <w:jc w:val="right"/>
              <w:ind w:right="13"/>
              <w:spacing w:after="0" w:line="187" w:lineRule="exact"/>
              <w:rPr>
                <w:sz w:val="20"/>
                <w:szCs w:val="20"/>
                <w:color w:val="auto"/>
              </w:rPr>
            </w:pPr>
            <w:r>
              <w:rPr>
                <w:rFonts w:ascii="Arial" w:cs="Arial" w:eastAsia="Arial" w:hAnsi="Arial"/>
                <w:sz w:val="17"/>
                <w:szCs w:val="17"/>
                <w:color w:val="auto"/>
              </w:rPr>
              <w:t>11,251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Exchange gains on cash and cash equivalents</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3,443</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1,598</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shd w:val="clear" w:color="auto" w:fill="D5EAEA"/>
          </w:tcPr>
          <w:p>
            <w:pPr>
              <w:ind w:left="160"/>
              <w:spacing w:after="0"/>
              <w:rPr>
                <w:sz w:val="20"/>
                <w:szCs w:val="20"/>
                <w:color w:val="auto"/>
              </w:rPr>
            </w:pPr>
            <w:r>
              <w:rPr>
                <w:rFonts w:ascii="Arial" w:cs="Arial" w:eastAsia="Arial" w:hAnsi="Arial"/>
                <w:sz w:val="17"/>
                <w:szCs w:val="17"/>
                <w:color w:val="auto"/>
              </w:rPr>
              <w:t>Cash and cash equivalents at December 31</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152,210</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76,522</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3,306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7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Net increase / (decrease) in cash and cash equivalents</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72,245</w:t>
            </w:r>
          </w:p>
        </w:tc>
        <w:tc>
          <w:tcPr>
            <w:tcW w:w="120" w:type="dxa"/>
            <w:vAlign w:val="bottom"/>
            <w:tcBorders>
              <w:bottom w:val="single" w:sz="8" w:color="D5EAEA"/>
            </w:tcBorders>
            <w:shd w:val="clear" w:color="auto" w:fill="D5EAEA"/>
          </w:tcPr>
          <w:p>
            <w:pPr>
              <w:spacing w:after="0"/>
              <w:rPr>
                <w:sz w:val="20"/>
                <w:szCs w:val="20"/>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71,618</w:t>
            </w:r>
          </w:p>
        </w:tc>
        <w:tc>
          <w:tcPr>
            <w:tcW w:w="100" w:type="dxa"/>
            <w:vAlign w:val="bottom"/>
            <w:tcBorders>
              <w:bottom w:val="single" w:sz="8" w:color="D5EAEA"/>
            </w:tcBorders>
            <w:shd w:val="clear" w:color="auto" w:fill="D5EAEA"/>
          </w:tcPr>
          <w:p>
            <w:pPr>
              <w:spacing w:after="0"/>
              <w:rPr>
                <w:sz w:val="20"/>
                <w:szCs w:val="20"/>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(7,954)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Non-cash transactions: 2016 Proceeds from the issuance of common shares represents cash received relating to our initial public offering completed in September 2016 and is net of CHF 5.1 million in non-cash underwriting fees.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b w:val="1"/>
          <w:bCs w:val="1"/>
          <w:color w:val="auto"/>
        </w:rPr>
        <w:t>Notes to the Financial Statements</w:t>
      </w:r>
    </w:p>
    <w:p>
      <w:pPr>
        <w:spacing w:after="0" w:line="221" w:lineRule="exact"/>
        <w:rPr>
          <w:sz w:val="20"/>
          <w:szCs w:val="20"/>
          <w:color w:val="auto"/>
        </w:rPr>
      </w:pPr>
    </w:p>
    <w:p>
      <w:pPr>
        <w:ind w:left="320" w:hanging="316"/>
        <w:spacing w:after="0"/>
        <w:tabs>
          <w:tab w:leader="none" w:pos="32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General information</w:t>
      </w:r>
    </w:p>
    <w:p>
      <w:pPr>
        <w:spacing w:after="0" w:line="227" w:lineRule="exact"/>
        <w:rPr>
          <w:sz w:val="20"/>
          <w:szCs w:val="20"/>
          <w:color w:val="auto"/>
        </w:rPr>
      </w:pPr>
    </w:p>
    <w:p>
      <w:pPr>
        <w:ind w:firstLine="312"/>
        <w:spacing w:after="0" w:line="279" w:lineRule="auto"/>
        <w:rPr>
          <w:sz w:val="20"/>
          <w:szCs w:val="20"/>
          <w:color w:val="auto"/>
        </w:rPr>
      </w:pPr>
      <w:r>
        <w:rPr>
          <w:rFonts w:ascii="Arial" w:cs="Arial" w:eastAsia="Arial" w:hAnsi="Arial"/>
          <w:sz w:val="16"/>
          <w:szCs w:val="16"/>
          <w:color w:val="auto"/>
        </w:rPr>
        <w:t>AC Immune SA (the “Company” or “AC Immune”)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Phase 3 clinical studies for crenezumab were commenced in early 2016. We use our two unique proprietary platform technologies, SupraAntigen (conformation-specific biologics) and Morphomer (conformation-specific small molecules), to discover, design and develop medicines and diagnostics to target misfolded proteins.</w:t>
      </w:r>
    </w:p>
    <w:p>
      <w:pPr>
        <w:spacing w:after="0" w:line="168" w:lineRule="exact"/>
        <w:rPr>
          <w:sz w:val="20"/>
          <w:szCs w:val="20"/>
          <w:color w:val="auto"/>
        </w:rPr>
      </w:pPr>
    </w:p>
    <w:p>
      <w:pPr>
        <w:ind w:right="300" w:firstLine="312"/>
        <w:spacing w:after="0" w:line="319"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9" w:lineRule="exact"/>
        <w:rPr>
          <w:sz w:val="20"/>
          <w:szCs w:val="20"/>
          <w:color w:val="auto"/>
        </w:rPr>
      </w:pPr>
    </w:p>
    <w:p>
      <w:pPr>
        <w:ind w:left="320" w:hanging="316"/>
        <w:spacing w:after="0"/>
        <w:tabs>
          <w:tab w:leader="none" w:pos="32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preparation</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Going concern</w:t>
      </w:r>
    </w:p>
    <w:p>
      <w:pPr>
        <w:spacing w:after="0" w:line="221" w:lineRule="exact"/>
        <w:rPr>
          <w:sz w:val="20"/>
          <w:szCs w:val="20"/>
          <w:color w:val="auto"/>
        </w:rPr>
      </w:pPr>
    </w:p>
    <w:p>
      <w:pPr>
        <w:ind w:right="120" w:firstLine="312"/>
        <w:spacing w:after="0" w:line="263" w:lineRule="auto"/>
        <w:rPr>
          <w:sz w:val="20"/>
          <w:szCs w:val="20"/>
          <w:color w:val="auto"/>
        </w:rPr>
      </w:pPr>
      <w:r>
        <w:rPr>
          <w:rFonts w:ascii="Arial" w:cs="Arial" w:eastAsia="Arial" w:hAnsi="Arial"/>
          <w:sz w:val="17"/>
          <w:szCs w:val="17"/>
          <w:color w:val="auto"/>
        </w:rPr>
        <w:t>The financial statements have been prepared on the basis that the Company will continue as a going concern after considering the Company’s cash position of CHF 152.2 million as of December 31, 2016, which reflects $75.9 million (CHF 74.5 million) in gross proceeds raised in the initial public offering (“IPO”) in September 2016, the $13.5 million (CHF 13.2 million) the Company raised in the Series E Extension financing in April 2016, the receipt of payment in 2016 of CHF 14 million for the clinical milestone related to the collaboration with Genentech on the anti-tau antibody program and the receipt of payment of CHF 4.9 million in 2016 for the clinical milestone related to ACI-35 pursuant to its collaboration with Janssen.</w:t>
      </w:r>
    </w:p>
    <w:p>
      <w:pPr>
        <w:spacing w:after="0" w:line="178" w:lineRule="exact"/>
        <w:rPr>
          <w:sz w:val="20"/>
          <w:szCs w:val="20"/>
          <w:color w:val="auto"/>
        </w:rPr>
      </w:pPr>
    </w:p>
    <w:p>
      <w:pPr>
        <w:ind w:right="240" w:firstLine="312"/>
        <w:spacing w:after="0" w:line="283"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compliance</w:t>
      </w:r>
    </w:p>
    <w:p>
      <w:pPr>
        <w:spacing w:after="0" w:line="227" w:lineRule="exact"/>
        <w:rPr>
          <w:sz w:val="20"/>
          <w:szCs w:val="20"/>
          <w:color w:val="auto"/>
        </w:rPr>
      </w:pPr>
    </w:p>
    <w:p>
      <w:pPr>
        <w:ind w:right="820" w:firstLine="312"/>
        <w:spacing w:after="0" w:line="356" w:lineRule="auto"/>
        <w:rPr>
          <w:sz w:val="20"/>
          <w:szCs w:val="20"/>
          <w:color w:val="auto"/>
        </w:rPr>
      </w:pPr>
      <w:r>
        <w:rPr>
          <w:rFonts w:ascii="Arial" w:cs="Arial" w:eastAsia="Arial" w:hAnsi="Arial"/>
          <w:sz w:val="15"/>
          <w:szCs w:val="15"/>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17, 2017.</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measurement</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financial statements have been prepared under the historical cost convention except for items that are required to be accounted for at fair value.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Functional currency</w:t>
      </w:r>
    </w:p>
    <w:p>
      <w:pPr>
        <w:spacing w:after="0" w:line="227" w:lineRule="exact"/>
        <w:rPr>
          <w:sz w:val="20"/>
          <w:szCs w:val="20"/>
          <w:color w:val="auto"/>
        </w:rPr>
      </w:pPr>
    </w:p>
    <w:p>
      <w:pPr>
        <w:ind w:right="20" w:firstLine="312"/>
        <w:spacing w:after="0" w:line="265" w:lineRule="auto"/>
        <w:rPr>
          <w:sz w:val="20"/>
          <w:szCs w:val="20"/>
          <w:color w:val="auto"/>
        </w:rPr>
      </w:pPr>
      <w:r>
        <w:rPr>
          <w:rFonts w:ascii="Arial" w:cs="Arial" w:eastAsia="Arial" w:hAnsi="Arial"/>
          <w:sz w:val="17"/>
          <w:szCs w:val="17"/>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using prevailing exchange rates at the date of transaction or as of the balance sheet date.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48" w:name="page149"/>
    <w:bookmarkEnd w:id="148"/>
    <w:p>
      <w:pPr>
        <w:ind w:left="320" w:hanging="316"/>
        <w:spacing w:after="0"/>
        <w:tabs>
          <w:tab w:leader="none" w:pos="32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227"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The principal accounting policies adopted in the preparation of these financial statements are set out below. These policies have been consistently applied to all the years presented, unless otherwise stated.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vs. non-current classification</w:t>
      </w:r>
    </w:p>
    <w:p>
      <w:pPr>
        <w:spacing w:after="0" w:line="227" w:lineRule="exact"/>
        <w:rPr>
          <w:sz w:val="20"/>
          <w:szCs w:val="20"/>
          <w:color w:val="auto"/>
        </w:rPr>
      </w:pPr>
    </w:p>
    <w:p>
      <w:pPr>
        <w:ind w:right="20" w:firstLine="312"/>
        <w:spacing w:after="0" w:line="286"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transactions</w:t>
      </w:r>
    </w:p>
    <w:p>
      <w:pPr>
        <w:spacing w:after="0" w:line="227"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 of income in the period in which they arise.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27" w:lineRule="exact"/>
        <w:rPr>
          <w:sz w:val="20"/>
          <w:szCs w:val="20"/>
          <w:color w:val="auto"/>
        </w:rPr>
      </w:pPr>
    </w:p>
    <w:p>
      <w:pPr>
        <w:ind w:right="200" w:firstLine="312"/>
        <w:spacing w:after="0" w:line="286" w:lineRule="auto"/>
        <w:rPr>
          <w:sz w:val="20"/>
          <w:szCs w:val="20"/>
          <w:color w:val="auto"/>
        </w:rPr>
      </w:pPr>
      <w:r>
        <w:rPr>
          <w:rFonts w:ascii="Arial" w:cs="Arial" w:eastAsia="Arial" w:hAnsi="Arial"/>
          <w:sz w:val="17"/>
          <w:szCs w:val="17"/>
          <w:color w:val="auto"/>
        </w:rPr>
        <w:t>Revenue includes upfront fees, milestone payments as well as revenue from research agreements associated with collaborations with third parties and grants from public institutions and foundations.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Upfront fees</w:t>
      </w:r>
    </w:p>
    <w:p>
      <w:pPr>
        <w:spacing w:after="0" w:line="221" w:lineRule="exact"/>
        <w:rPr>
          <w:sz w:val="20"/>
          <w:szCs w:val="20"/>
          <w:color w:val="auto"/>
        </w:rPr>
      </w:pPr>
    </w:p>
    <w:p>
      <w:pPr>
        <w:ind w:right="20" w:firstLine="312"/>
        <w:spacing w:after="0" w:line="270" w:lineRule="auto"/>
        <w:rPr>
          <w:sz w:val="20"/>
          <w:szCs w:val="20"/>
          <w:color w:val="auto"/>
        </w:rPr>
      </w:pPr>
      <w:r>
        <w:rPr>
          <w:rFonts w:ascii="Arial" w:cs="Arial" w:eastAsia="Arial" w:hAnsi="Arial"/>
          <w:sz w:val="17"/>
          <w:szCs w:val="17"/>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73" w:lineRule="exact"/>
        <w:rPr>
          <w:sz w:val="20"/>
          <w:szCs w:val="20"/>
          <w:color w:val="auto"/>
        </w:rPr>
      </w:pPr>
    </w:p>
    <w:p>
      <w:pPr>
        <w:ind w:right="180" w:firstLine="312"/>
        <w:spacing w:after="0" w:line="298" w:lineRule="auto"/>
        <w:rPr>
          <w:sz w:val="20"/>
          <w:szCs w:val="20"/>
          <w:color w:val="auto"/>
        </w:rPr>
      </w:pPr>
      <w:r>
        <w:rPr>
          <w:rFonts w:ascii="Arial" w:cs="Arial" w:eastAsia="Arial" w:hAnsi="Arial"/>
          <w:sz w:val="15"/>
          <w:szCs w:val="15"/>
          <w:color w:val="auto"/>
        </w:rPr>
        <w:t>For collaboration agreements on product candidates (i) that are in clinical development, (ii) where the upfront fee reflects a payment for past investments the Company has made in the development of the product candidate, access to the product candidate, the associated intellectual property and our knowledge, and,</w:t>
      </w:r>
    </w:p>
    <w:p>
      <w:pPr>
        <w:ind w:right="20" w:firstLine="4"/>
        <w:spacing w:after="0" w:line="287" w:lineRule="auto"/>
        <w:tabs>
          <w:tab w:leader="none" w:pos="30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fees under our collaboration agreements pro-rata over the term of the estimated period of performance under each agreement.</w:t>
      </w:r>
    </w:p>
    <w:p>
      <w:pPr>
        <w:spacing w:after="0" w:line="160" w:lineRule="exact"/>
        <w:rPr>
          <w:sz w:val="20"/>
          <w:szCs w:val="20"/>
          <w:color w:val="auto"/>
        </w:rPr>
      </w:pPr>
    </w:p>
    <w:p>
      <w:pPr>
        <w:ind w:right="200" w:firstLine="312"/>
        <w:spacing w:after="0" w:line="286" w:lineRule="auto"/>
        <w:rPr>
          <w:sz w:val="20"/>
          <w:szCs w:val="20"/>
          <w:color w:val="auto"/>
        </w:rPr>
      </w:pPr>
      <w:r>
        <w:rPr>
          <w:rFonts w:ascii="Arial" w:cs="Arial" w:eastAsia="Arial" w:hAnsi="Arial"/>
          <w:sz w:val="17"/>
          <w:szCs w:val="17"/>
          <w:color w:val="auto"/>
        </w:rPr>
        <w:t>For collaboration agreements, in addition to receiving upfront fees, the Company is also entitled to milestone and other contingent payments upon achieving pre-defined objectives.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Milestone payments</w:t>
      </w:r>
    </w:p>
    <w:p>
      <w:pPr>
        <w:spacing w:after="0" w:line="221" w:lineRule="exact"/>
        <w:rPr>
          <w:sz w:val="20"/>
          <w:szCs w:val="20"/>
          <w:color w:val="auto"/>
        </w:rPr>
      </w:pPr>
    </w:p>
    <w:p>
      <w:pPr>
        <w:jc w:val="both"/>
        <w:ind w:right="40" w:firstLine="312"/>
        <w:spacing w:after="0" w:line="270" w:lineRule="auto"/>
        <w:rPr>
          <w:sz w:val="20"/>
          <w:szCs w:val="20"/>
          <w:color w:val="auto"/>
        </w:rPr>
      </w:pPr>
      <w:r>
        <w:rPr>
          <w:rFonts w:ascii="Arial" w:cs="Arial" w:eastAsia="Arial" w:hAnsi="Arial"/>
          <w:sz w:val="17"/>
          <w:szCs w:val="17"/>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Grant revenue</w:t>
      </w:r>
    </w:p>
    <w:p>
      <w:pPr>
        <w:spacing w:after="0" w:line="221" w:lineRule="exact"/>
        <w:rPr>
          <w:sz w:val="20"/>
          <w:szCs w:val="20"/>
          <w:color w:val="auto"/>
        </w:rPr>
      </w:pPr>
    </w:p>
    <w:p>
      <w:pPr>
        <w:ind w:right="100" w:firstLine="312"/>
        <w:spacing w:after="0" w:line="270" w:lineRule="auto"/>
        <w:rPr>
          <w:sz w:val="20"/>
          <w:szCs w:val="20"/>
          <w:color w:val="auto"/>
        </w:rPr>
      </w:pPr>
      <w:r>
        <w:rPr>
          <w:rFonts w:ascii="Arial" w:cs="Arial" w:eastAsia="Arial" w:hAnsi="Arial"/>
          <w:sz w:val="17"/>
          <w:szCs w:val="17"/>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expenditure</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Given the stage of development of the Company’s products, all research expenditure is recognized as expense when incurred.</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149" w:name="page150"/>
    <w:bookmarkEnd w:id="149"/>
    <w:p>
      <w:pPr>
        <w:ind w:right="160" w:firstLine="312"/>
        <w:spacing w:after="0" w:line="270" w:lineRule="auto"/>
        <w:rPr>
          <w:sz w:val="20"/>
          <w:szCs w:val="20"/>
          <w:color w:val="auto"/>
        </w:rPr>
      </w:pPr>
      <w:r>
        <w:rPr>
          <w:rFonts w:ascii="Arial" w:cs="Arial" w:eastAsia="Arial" w:hAnsi="Arial"/>
          <w:sz w:val="17"/>
          <w:szCs w:val="17"/>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73" w:lineRule="exact"/>
        <w:rPr>
          <w:sz w:val="20"/>
          <w:szCs w:val="20"/>
          <w:color w:val="auto"/>
        </w:rPr>
      </w:pPr>
    </w:p>
    <w:p>
      <w:pPr>
        <w:ind w:right="340" w:firstLine="312"/>
        <w:spacing w:after="0" w:line="286" w:lineRule="auto"/>
        <w:rPr>
          <w:sz w:val="20"/>
          <w:szCs w:val="20"/>
          <w:color w:val="auto"/>
        </w:rPr>
      </w:pPr>
      <w:r>
        <w:rPr>
          <w:rFonts w:ascii="Arial" w:cs="Arial" w:eastAsia="Arial" w:hAnsi="Arial"/>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Upfront payments relating to in-licensing agreements are recognized over an appropriate, project-specific duration.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27" w:lineRule="exact"/>
        <w:rPr>
          <w:sz w:val="20"/>
          <w:szCs w:val="20"/>
          <w:color w:val="auto"/>
        </w:rPr>
      </w:pPr>
    </w:p>
    <w:p>
      <w:pPr>
        <w:ind w:right="80" w:firstLine="312"/>
        <w:spacing w:after="0" w:line="270" w:lineRule="auto"/>
        <w:rPr>
          <w:sz w:val="20"/>
          <w:szCs w:val="20"/>
          <w:color w:val="auto"/>
        </w:rPr>
      </w:pPr>
      <w:r>
        <w:rPr>
          <w:rFonts w:ascii="Arial" w:cs="Arial" w:eastAsia="Arial" w:hAnsi="Arial"/>
          <w:sz w:val="17"/>
          <w:szCs w:val="17"/>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00" w:type="dxa"/>
            <w:vAlign w:val="bottom"/>
            <w:shd w:val="clear" w:color="auto" w:fill="D5EAEA"/>
          </w:tcPr>
          <w:p>
            <w:pPr>
              <w:spacing w:after="0"/>
              <w:rPr>
                <w:sz w:val="20"/>
                <w:szCs w:val="20"/>
                <w:color w:val="auto"/>
              </w:rPr>
            </w:pPr>
            <w:r>
              <w:rPr>
                <w:rFonts w:ascii="Arial" w:cs="Arial" w:eastAsia="Arial" w:hAnsi="Arial"/>
                <w:sz w:val="17"/>
                <w:szCs w:val="17"/>
                <w:color w:val="auto"/>
              </w:rPr>
              <w:t>IT equipment</w:t>
            </w:r>
          </w:p>
        </w:tc>
        <w:tc>
          <w:tcPr>
            <w:tcW w:w="4720" w:type="dxa"/>
            <w:vAlign w:val="bottom"/>
            <w:shd w:val="clear" w:color="auto" w:fill="D5EAEA"/>
          </w:tcPr>
          <w:p>
            <w:pPr>
              <w:ind w:left="4120"/>
              <w:spacing w:after="0"/>
              <w:rPr>
                <w:sz w:val="20"/>
                <w:szCs w:val="20"/>
                <w:color w:val="auto"/>
              </w:rPr>
            </w:pPr>
            <w:r>
              <w:rPr>
                <w:rFonts w:ascii="Arial" w:cs="Arial" w:eastAsia="Arial" w:hAnsi="Arial"/>
                <w:sz w:val="17"/>
                <w:szCs w:val="17"/>
                <w:color w:val="auto"/>
              </w:rPr>
              <w:t>3 years</w:t>
            </w:r>
          </w:p>
        </w:tc>
      </w:tr>
      <w:tr>
        <w:trPr>
          <w:trHeight w:val="208"/>
        </w:trPr>
        <w:tc>
          <w:tcPr>
            <w:tcW w:w="6700" w:type="dxa"/>
            <w:vAlign w:val="bottom"/>
          </w:tcPr>
          <w:p>
            <w:pPr>
              <w:spacing w:after="0"/>
              <w:rPr>
                <w:sz w:val="20"/>
                <w:szCs w:val="20"/>
                <w:color w:val="auto"/>
              </w:rPr>
            </w:pPr>
            <w:r>
              <w:rPr>
                <w:rFonts w:ascii="Arial" w:cs="Arial" w:eastAsia="Arial" w:hAnsi="Arial"/>
                <w:sz w:val="17"/>
                <w:szCs w:val="17"/>
                <w:color w:val="auto"/>
              </w:rPr>
              <w:t>Laboratory equipment</w:t>
            </w:r>
          </w:p>
        </w:tc>
        <w:tc>
          <w:tcPr>
            <w:tcW w:w="4720" w:type="dxa"/>
            <w:vAlign w:val="bottom"/>
          </w:tcPr>
          <w:p>
            <w:pPr>
              <w:ind w:left="4120"/>
              <w:spacing w:after="0"/>
              <w:rPr>
                <w:sz w:val="20"/>
                <w:szCs w:val="20"/>
                <w:color w:val="auto"/>
              </w:rPr>
            </w:pPr>
            <w:r>
              <w:rPr>
                <w:rFonts w:ascii="Arial" w:cs="Arial" w:eastAsia="Arial" w:hAnsi="Arial"/>
                <w:sz w:val="17"/>
                <w:szCs w:val="17"/>
                <w:color w:val="auto"/>
              </w:rPr>
              <w:t>5 years</w:t>
            </w:r>
          </w:p>
        </w:tc>
      </w:tr>
      <w:tr>
        <w:trPr>
          <w:trHeight w:val="208"/>
        </w:trPr>
        <w:tc>
          <w:tcPr>
            <w:tcW w:w="6700" w:type="dxa"/>
            <w:vAlign w:val="bottom"/>
            <w:shd w:val="clear" w:color="auto" w:fill="D5EAEA"/>
          </w:tcPr>
          <w:p>
            <w:pPr>
              <w:spacing w:after="0"/>
              <w:rPr>
                <w:sz w:val="20"/>
                <w:szCs w:val="20"/>
                <w:color w:val="auto"/>
              </w:rPr>
            </w:pPr>
            <w:r>
              <w:rPr>
                <w:rFonts w:ascii="Arial" w:cs="Arial" w:eastAsia="Arial" w:hAnsi="Arial"/>
                <w:sz w:val="17"/>
                <w:szCs w:val="17"/>
                <w:color w:val="auto"/>
              </w:rPr>
              <w:t>Leaseholds improvements / furniture</w:t>
            </w:r>
          </w:p>
        </w:tc>
        <w:tc>
          <w:tcPr>
            <w:tcW w:w="4720" w:type="dxa"/>
            <w:vAlign w:val="bottom"/>
            <w:shd w:val="clear" w:color="auto" w:fill="D5EAEA"/>
          </w:tcPr>
          <w:p>
            <w:pPr>
              <w:ind w:left="4120"/>
              <w:spacing w:after="0"/>
              <w:rPr>
                <w:sz w:val="20"/>
                <w:szCs w:val="20"/>
                <w:color w:val="auto"/>
              </w:rPr>
            </w:pPr>
            <w:r>
              <w:rPr>
                <w:rFonts w:ascii="Arial" w:cs="Arial" w:eastAsia="Arial" w:hAnsi="Arial"/>
                <w:sz w:val="17"/>
                <w:szCs w:val="17"/>
                <w:color w:val="auto"/>
              </w:rPr>
              <w:t>5 years</w:t>
            </w:r>
          </w:p>
        </w:tc>
      </w:tr>
    </w:tbl>
    <w:p>
      <w:pPr>
        <w:spacing w:after="0" w:line="196" w:lineRule="exact"/>
        <w:rPr>
          <w:sz w:val="20"/>
          <w:szCs w:val="20"/>
          <w:color w:val="auto"/>
        </w:rPr>
      </w:pPr>
    </w:p>
    <w:p>
      <w:pPr>
        <w:ind w:right="240" w:firstLine="312"/>
        <w:spacing w:after="0" w:line="286" w:lineRule="auto"/>
        <w:rPr>
          <w:sz w:val="20"/>
          <w:szCs w:val="20"/>
          <w:color w:val="auto"/>
        </w:rPr>
      </w:pPr>
      <w:r>
        <w:rPr>
          <w:rFonts w:ascii="Arial" w:cs="Arial" w:eastAsia="Arial" w:hAnsi="Arial"/>
          <w:sz w:val="17"/>
          <w:szCs w:val="17"/>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assets and liabilities</w:t>
      </w:r>
    </w:p>
    <w:p>
      <w:pPr>
        <w:spacing w:after="0" w:line="227" w:lineRule="exact"/>
        <w:rPr>
          <w:sz w:val="20"/>
          <w:szCs w:val="20"/>
          <w:color w:val="auto"/>
        </w:rPr>
      </w:pPr>
    </w:p>
    <w:p>
      <w:pPr>
        <w:ind w:right="500" w:firstLine="312"/>
        <w:spacing w:after="0" w:line="286" w:lineRule="auto"/>
        <w:rPr>
          <w:sz w:val="20"/>
          <w:szCs w:val="20"/>
          <w:color w:val="auto"/>
        </w:rPr>
      </w:pPr>
      <w:r>
        <w:rPr>
          <w:rFonts w:ascii="Arial" w:cs="Arial" w:eastAsia="Arial" w:hAnsi="Arial"/>
          <w:sz w:val="17"/>
          <w:szCs w:val="17"/>
          <w:color w:val="auto"/>
        </w:rPr>
        <w:t>The Company’s financial assets and liabilities are comprised of receivables, cash and cash equivalents and trade payables. The carrying amount for these financial assets and liabilities approximates fair value.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Receivables</w:t>
      </w:r>
    </w:p>
    <w:p>
      <w:pPr>
        <w:spacing w:after="0" w:line="221" w:lineRule="exact"/>
        <w:rPr>
          <w:sz w:val="20"/>
          <w:szCs w:val="20"/>
          <w:color w:val="auto"/>
        </w:rPr>
      </w:pPr>
    </w:p>
    <w:p>
      <w:pPr>
        <w:ind w:right="240" w:firstLine="312"/>
        <w:spacing w:after="0" w:line="287"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which are classified as long-term assets. Receivables are recognized at their billing value. An allowance for doubtful accounts is recorded for potential estimated losses when there is objective evidence of the debtor’s inability to make required payments.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1" w:lineRule="exact"/>
        <w:rPr>
          <w:sz w:val="20"/>
          <w:szCs w:val="20"/>
          <w:color w:val="auto"/>
        </w:rPr>
      </w:pPr>
    </w:p>
    <w:p>
      <w:pPr>
        <w:ind w:right="380" w:firstLine="312"/>
        <w:spacing w:after="0" w:line="286" w:lineRule="auto"/>
        <w:rPr>
          <w:sz w:val="20"/>
          <w:szCs w:val="20"/>
          <w:color w:val="auto"/>
        </w:rPr>
      </w:pPr>
      <w:r>
        <w:rPr>
          <w:rFonts w:ascii="Arial" w:cs="Arial" w:eastAsia="Arial" w:hAnsi="Arial"/>
          <w:sz w:val="17"/>
          <w:szCs w:val="17"/>
          <w:color w:val="auto"/>
        </w:rPr>
        <w:t>Cash and cash equivalents include deposits held with external financial institutions and cash on hand. All cash and cash equivalents are either in cash or in deposits with less than 3 months’ duration.</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Trade payables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Trade payables are recognized initially at fair value, which represents cost incurred.</w:t>
      </w:r>
    </w:p>
    <w:p>
      <w:pPr>
        <w:spacing w:after="0" w:line="221" w:lineRule="exact"/>
        <w:rPr>
          <w:sz w:val="20"/>
          <w:szCs w:val="20"/>
          <w:color w:val="auto"/>
        </w:rPr>
      </w:pPr>
    </w:p>
    <w:p>
      <w:pPr>
        <w:ind w:right="800" w:firstLine="312"/>
        <w:spacing w:after="0" w:line="286" w:lineRule="auto"/>
        <w:rPr>
          <w:sz w:val="20"/>
          <w:szCs w:val="20"/>
          <w:color w:val="auto"/>
        </w:rPr>
      </w:pPr>
      <w:r>
        <w:rPr>
          <w:rFonts w:ascii="Arial" w:cs="Arial" w:eastAsia="Arial" w:hAnsi="Arial"/>
          <w:sz w:val="17"/>
          <w:szCs w:val="17"/>
          <w:color w:val="auto"/>
        </w:rPr>
        <w:t>The Company assesses at each period whether there is objective evidence that financial assets are impaired. Recognized impairment losses would be immediately recognized in the income statement.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b w:val="1"/>
          <w:bCs w:val="1"/>
          <w:color w:val="auto"/>
        </w:rPr>
        <w:t>Share capital and Initial Public Offering</w:t>
      </w:r>
    </w:p>
    <w:p>
      <w:pPr>
        <w:spacing w:after="0" w:line="227" w:lineRule="exact"/>
        <w:rPr>
          <w:sz w:val="20"/>
          <w:szCs w:val="20"/>
          <w:color w:val="auto"/>
        </w:rPr>
      </w:pPr>
    </w:p>
    <w:p>
      <w:pPr>
        <w:ind w:right="180" w:firstLine="312"/>
        <w:spacing w:after="0" w:line="286" w:lineRule="auto"/>
        <w:rPr>
          <w:sz w:val="20"/>
          <w:szCs w:val="20"/>
          <w:color w:val="auto"/>
        </w:rPr>
      </w:pPr>
      <w:r>
        <w:rPr>
          <w:rFonts w:ascii="Arial" w:cs="Arial" w:eastAsia="Arial" w:hAnsi="Arial"/>
          <w:sz w:val="17"/>
          <w:szCs w:val="17"/>
          <w:color w:val="auto"/>
        </w:rPr>
        <w:t>Ordinary (Common) Shares are classified as equity, as were all Preferred Shares previously outstanding. Expenses directly attributable to the issuance of new shares are shown in equity as a deduction, net of tax, from the proceeds.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Preferred Shares</w:t>
      </w:r>
    </w:p>
    <w:p>
      <w:pPr>
        <w:spacing w:after="0" w:line="221" w:lineRule="exact"/>
        <w:rPr>
          <w:sz w:val="20"/>
          <w:szCs w:val="20"/>
          <w:color w:val="auto"/>
        </w:rPr>
      </w:pPr>
    </w:p>
    <w:p>
      <w:pPr>
        <w:ind w:right="100" w:firstLine="312"/>
        <w:spacing w:after="0" w:line="265" w:lineRule="auto"/>
        <w:rPr>
          <w:sz w:val="20"/>
          <w:szCs w:val="20"/>
          <w:color w:val="auto"/>
        </w:rPr>
      </w:pPr>
      <w:r>
        <w:rPr>
          <w:rFonts w:ascii="Arial" w:cs="Arial" w:eastAsia="Arial" w:hAnsi="Arial"/>
          <w:sz w:val="17"/>
          <w:szCs w:val="17"/>
          <w:color w:val="auto"/>
        </w:rPr>
        <w:t>AC Immune had five classes (Class A, B, C, D and E) of Preferred Shares outstanding as of December 31, 2015. These Preferred Shares remained outstanding until the Company completed an IPO in September 2016 and at that time the Preferred Shares were converted to Common Shares on a one-for-one basis. The Preferred Shares were a class of shares that AC Immune SA issued in connection with five separate capital increases and conveyed voting rights and certain other rights to their holders.</w:t>
      </w:r>
    </w:p>
    <w:p>
      <w:pPr>
        <w:spacing w:after="0" w:line="177" w:lineRule="exact"/>
        <w:rPr>
          <w:sz w:val="20"/>
          <w:szCs w:val="20"/>
          <w:color w:val="auto"/>
        </w:rPr>
      </w:pPr>
    </w:p>
    <w:p>
      <w:pPr>
        <w:ind w:right="100" w:firstLine="312"/>
        <w:spacing w:after="0" w:line="261" w:lineRule="auto"/>
        <w:rPr>
          <w:sz w:val="20"/>
          <w:szCs w:val="20"/>
          <w:color w:val="auto"/>
        </w:rPr>
      </w:pPr>
      <w:r>
        <w:rPr>
          <w:rFonts w:ascii="Arial" w:cs="Arial" w:eastAsia="Arial" w:hAnsi="Arial"/>
          <w:sz w:val="17"/>
          <w:szCs w:val="17"/>
          <w:color w:val="auto"/>
        </w:rPr>
        <w:t>The holders of Preferred Shares owned 80.1% of the total amount of shares outstanding (assuming conversion of the Preferred Shares into Common Shares on a one-for-one basis) as of December 31, 2015 and the Company’s Board of Directors were predominantly the holders of Preferred Shares. The Preferred Shares have been the primary source of equity financing for the Company over the past 13 years until the Company completed an IPO in September 2016, at which point all Preferred Shares were converted to Common Shares. The Preferred Shares did not have mandatory redemption features, however, the Shareholders’ Agreement provided for conversion of Preferred Shares into Common Shares as a result of an IPO. The redemption of the Preferred Shares was authorized by the Company’s Board of Directors.</w:t>
      </w:r>
    </w:p>
    <w:p>
      <w:pPr>
        <w:spacing w:after="0" w:line="181" w:lineRule="exact"/>
        <w:rPr>
          <w:sz w:val="20"/>
          <w:szCs w:val="20"/>
          <w:color w:val="auto"/>
        </w:rPr>
      </w:pPr>
    </w:p>
    <w:p>
      <w:pPr>
        <w:ind w:right="260" w:firstLine="312"/>
        <w:spacing w:after="0" w:line="356" w:lineRule="auto"/>
        <w:rPr>
          <w:sz w:val="20"/>
          <w:szCs w:val="20"/>
          <w:color w:val="auto"/>
        </w:rPr>
      </w:pPr>
      <w:r>
        <w:rPr>
          <w:rFonts w:ascii="Arial" w:cs="Arial" w:eastAsia="Arial" w:hAnsi="Arial"/>
          <w:sz w:val="15"/>
          <w:szCs w:val="15"/>
          <w:color w:val="auto"/>
        </w:rPr>
        <w:t>The voting rights associated with Preferred Shares were the same as for Common Shares. Each Preferred Share entitled the holder to one vote. No dividends were paid on the Preferred Shares and the holders of Preferred Shares were not entitled to any dividends unless dividends are paid on the Common Shares.</w:t>
      </w:r>
    </w:p>
    <w:p>
      <w:pPr>
        <w:spacing w:after="0" w:line="113" w:lineRule="exact"/>
        <w:rPr>
          <w:sz w:val="20"/>
          <w:szCs w:val="20"/>
          <w:color w:val="auto"/>
        </w:rPr>
      </w:pPr>
    </w:p>
    <w:p>
      <w:pPr>
        <w:jc w:val="both"/>
        <w:ind w:right="120" w:firstLine="312"/>
        <w:spacing w:after="0" w:line="295" w:lineRule="auto"/>
        <w:rPr>
          <w:sz w:val="20"/>
          <w:szCs w:val="20"/>
          <w:color w:val="auto"/>
        </w:rPr>
      </w:pPr>
      <w:r>
        <w:rPr>
          <w:rFonts w:ascii="Arial" w:cs="Arial" w:eastAsia="Arial" w:hAnsi="Arial"/>
          <w:sz w:val="16"/>
          <w:szCs w:val="16"/>
          <w:color w:val="auto"/>
        </w:rPr>
        <w:t>The Preferred Shares had a liquidation preference wherein, in the event of a change of control or a liquidation of the Company, the holders of Preferred Shares were entitled to receive, prior and in preference to the holders of Common Shares, the amount corresponding to the price paid for each Preferred Share. Thereafter, all holders of Preferred Shares participated with the holders of Common Shares on an as-if-converted basis in any remaining proceeds.</w:t>
      </w:r>
    </w:p>
    <w:p>
      <w:pPr>
        <w:spacing w:after="0" w:line="154" w:lineRule="exact"/>
        <w:rPr>
          <w:sz w:val="20"/>
          <w:szCs w:val="20"/>
          <w:color w:val="auto"/>
        </w:rPr>
      </w:pPr>
    </w:p>
    <w:p>
      <w:pPr>
        <w:ind w:firstLine="312"/>
        <w:spacing w:after="0" w:line="265" w:lineRule="auto"/>
        <w:rPr>
          <w:sz w:val="20"/>
          <w:szCs w:val="20"/>
          <w:color w:val="auto"/>
        </w:rPr>
      </w:pPr>
      <w:r>
        <w:rPr>
          <w:rFonts w:ascii="Arial" w:cs="Arial" w:eastAsia="Arial" w:hAnsi="Arial"/>
          <w:sz w:val="17"/>
          <w:szCs w:val="17"/>
          <w:color w:val="auto"/>
        </w:rPr>
        <w:t>On October 23, 2015, AC Immune completed a 250-for-1 stock split. The split was applied to all of AC Immune’s outstanding common shares, preferred shares (Series A, B, C, D and E) and vested and unvested options. The stock split impacted earnings per share (“EPS”). To facilitate a comparison of EPS figures, the 2015 and 2014 reported EPS figures were adjusted to reflect the stock split. 2015 and 2014 disclosures in notes 9 (share capital), 16 (share-based compensation) and 18 (earnings per share) have all been prepared taking into consideration the 250-for-1 stock split.</w:t>
      </w:r>
    </w:p>
    <w:p>
      <w:pPr>
        <w:spacing w:after="0" w:line="177" w:lineRule="exact"/>
        <w:rPr>
          <w:sz w:val="20"/>
          <w:szCs w:val="20"/>
          <w:color w:val="auto"/>
        </w:rPr>
      </w:pPr>
    </w:p>
    <w:p>
      <w:pPr>
        <w:ind w:right="20" w:firstLine="312"/>
        <w:spacing w:after="0" w:line="263" w:lineRule="auto"/>
        <w:rPr>
          <w:sz w:val="20"/>
          <w:szCs w:val="20"/>
          <w:color w:val="auto"/>
        </w:rPr>
      </w:pPr>
      <w:r>
        <w:rPr>
          <w:rFonts w:ascii="Arial" w:cs="Arial" w:eastAsia="Arial" w:hAnsi="Arial"/>
          <w:sz w:val="17"/>
          <w:szCs w:val="17"/>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had substantially the same terms as the Series A, B, C and D preferred shares and were accounted for as equity on AC Immune’s balance sheet and subsequently converted to Common Shares as a result of the IPO.</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Initial Public Offering (IPO)</w:t>
      </w:r>
    </w:p>
    <w:p>
      <w:pPr>
        <w:spacing w:after="0" w:line="221" w:lineRule="exact"/>
        <w:rPr>
          <w:sz w:val="20"/>
          <w:szCs w:val="20"/>
          <w:color w:val="auto"/>
        </w:rPr>
      </w:pPr>
    </w:p>
    <w:p>
      <w:pPr>
        <w:ind w:right="60" w:firstLine="312"/>
        <w:spacing w:after="0" w:line="265" w:lineRule="auto"/>
        <w:rPr>
          <w:sz w:val="20"/>
          <w:szCs w:val="20"/>
          <w:color w:val="auto"/>
        </w:rPr>
      </w:pPr>
      <w:r>
        <w:rPr>
          <w:rFonts w:ascii="Arial" w:cs="Arial" w:eastAsia="Arial" w:hAnsi="Arial"/>
          <w:sz w:val="17"/>
          <w:szCs w:val="17"/>
          <w:color w:val="auto"/>
        </w:rPr>
        <w:t>On September 22, 2016, AC Immune successfully priced a 6.0 million common share IPO at $11.00 per share. On the same day, the underwriters exercised the overallotment option which resulted in a further 900,000 common shares being placed in the market and took the total number of shares offered to investors to 6.9 million common shares. The gross proceeds received were $75.9 million (CHF 74.5 million) while the proceeds net of underwriting fees amounted to $70.6 million (CHF 69.3 million).</w:t>
      </w:r>
    </w:p>
    <w:p>
      <w:pPr>
        <w:spacing w:after="0" w:line="177" w:lineRule="exact"/>
        <w:rPr>
          <w:sz w:val="20"/>
          <w:szCs w:val="20"/>
          <w:color w:val="auto"/>
        </w:rPr>
      </w:pPr>
    </w:p>
    <w:p>
      <w:pPr>
        <w:ind w:right="380" w:firstLine="312"/>
        <w:spacing w:after="0" w:line="286" w:lineRule="auto"/>
        <w:rPr>
          <w:sz w:val="20"/>
          <w:szCs w:val="20"/>
          <w:color w:val="auto"/>
        </w:rPr>
      </w:pPr>
      <w:r>
        <w:rPr>
          <w:rFonts w:ascii="Arial" w:cs="Arial" w:eastAsia="Arial" w:hAnsi="Arial"/>
          <w:sz w:val="17"/>
          <w:szCs w:val="17"/>
          <w:color w:val="auto"/>
        </w:rPr>
        <w:t>The IPO resulted in an increase of CHF 64.2 million in the share premium of AC Immune excluding the effect of transaction costs associated with the IPO related to the issuance of new shares. Transaction costs associated with</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color w:val="auto"/>
        </w:rPr>
        <w:t>the IPO and related to the issuance of new shares, were charged directly against the share premium account thereby reducing the total equity reported.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Post-employment benefits</w:t>
      </w:r>
    </w:p>
    <w:p>
      <w:pPr>
        <w:spacing w:after="0" w:line="221" w:lineRule="exact"/>
        <w:rPr>
          <w:sz w:val="20"/>
          <w:szCs w:val="20"/>
          <w:color w:val="auto"/>
        </w:rPr>
      </w:pPr>
    </w:p>
    <w:p>
      <w:pPr>
        <w:jc w:val="both"/>
        <w:ind w:right="320" w:firstLine="312"/>
        <w:spacing w:after="0" w:line="270" w:lineRule="auto"/>
        <w:rPr>
          <w:sz w:val="20"/>
          <w:szCs w:val="20"/>
          <w:color w:val="auto"/>
        </w:rPr>
      </w:pPr>
      <w:r>
        <w:rPr>
          <w:rFonts w:ascii="Arial" w:cs="Arial" w:eastAsia="Arial" w:hAnsi="Arial"/>
          <w:sz w:val="17"/>
          <w:szCs w:val="17"/>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73" w:lineRule="exact"/>
        <w:rPr>
          <w:sz w:val="20"/>
          <w:szCs w:val="20"/>
          <w:color w:val="auto"/>
        </w:rPr>
      </w:pPr>
    </w:p>
    <w:p>
      <w:pPr>
        <w:ind w:right="140" w:firstLine="312"/>
        <w:spacing w:after="0" w:line="265"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1" w:lineRule="exact"/>
        <w:rPr>
          <w:sz w:val="20"/>
          <w:szCs w:val="20"/>
          <w:color w:val="auto"/>
        </w:rPr>
      </w:pPr>
    </w:p>
    <w:p>
      <w:pPr>
        <w:ind w:right="80" w:firstLine="312"/>
        <w:spacing w:after="0" w:line="261"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income statement, and a corresponding adjustment to equity over the remaining vesting period.</w:t>
      </w:r>
    </w:p>
    <w:p>
      <w:pPr>
        <w:spacing w:after="0" w:line="181" w:lineRule="exact"/>
        <w:rPr>
          <w:sz w:val="20"/>
          <w:szCs w:val="20"/>
          <w:color w:val="auto"/>
        </w:rPr>
      </w:pPr>
    </w:p>
    <w:p>
      <w:pPr>
        <w:ind w:right="500" w:firstLine="312"/>
        <w:spacing w:after="0" w:line="356" w:lineRule="auto"/>
        <w:rPr>
          <w:sz w:val="20"/>
          <w:szCs w:val="20"/>
          <w:color w:val="auto"/>
        </w:rPr>
      </w:pPr>
      <w:r>
        <w:rPr>
          <w:rFonts w:ascii="Arial" w:cs="Arial" w:eastAsia="Arial" w:hAnsi="Arial"/>
          <w:sz w:val="15"/>
          <w:szCs w:val="15"/>
          <w:color w:val="auto"/>
        </w:rPr>
        <w:t>Stock options granted under the Company’s stock option plans A, B and C are valued using the Black-Scholes option pricing model (see Note 16). This valuation model as well as parameters used such as expected volatility and expected term of the stock options are partially based on management’s estimates.</w:t>
      </w:r>
    </w:p>
    <w:p>
      <w:pPr>
        <w:spacing w:after="0" w:line="113" w:lineRule="exact"/>
        <w:rPr>
          <w:sz w:val="20"/>
          <w:szCs w:val="20"/>
          <w:color w:val="auto"/>
        </w:rPr>
      </w:pPr>
    </w:p>
    <w:p>
      <w:pPr>
        <w:ind w:right="260" w:firstLine="312"/>
        <w:spacing w:after="0" w:line="286" w:lineRule="auto"/>
        <w:rPr>
          <w:sz w:val="20"/>
          <w:szCs w:val="20"/>
          <w:color w:val="auto"/>
        </w:rPr>
      </w:pPr>
      <w:r>
        <w:rPr>
          <w:rFonts w:ascii="Arial" w:cs="Arial" w:eastAsia="Arial" w:hAnsi="Arial"/>
          <w:sz w:val="17"/>
          <w:szCs w:val="17"/>
          <w:color w:val="auto"/>
        </w:rPr>
        <w:t>The proceeds received net of any directly attributable transaction costs are credited to share capital (nominal value) and share premium when the options are exercised.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w:t>
      </w:r>
    </w:p>
    <w:p>
      <w:pPr>
        <w:spacing w:after="0" w:line="227" w:lineRule="exact"/>
        <w:rPr>
          <w:sz w:val="20"/>
          <w:szCs w:val="20"/>
          <w:color w:val="auto"/>
        </w:rPr>
      </w:pPr>
    </w:p>
    <w:p>
      <w:pPr>
        <w:ind w:right="320" w:firstLine="312"/>
        <w:spacing w:after="0" w:line="286" w:lineRule="auto"/>
        <w:rPr>
          <w:sz w:val="20"/>
          <w:szCs w:val="20"/>
          <w:color w:val="auto"/>
        </w:rPr>
      </w:pPr>
      <w:r>
        <w:rPr>
          <w:rFonts w:ascii="Arial" w:cs="Arial" w:eastAsia="Arial" w:hAnsi="Arial"/>
          <w:sz w:val="17"/>
          <w:szCs w:val="17"/>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w:t>
      </w:r>
    </w:p>
    <w:p>
      <w:pPr>
        <w:spacing w:after="0" w:line="227" w:lineRule="exact"/>
        <w:rPr>
          <w:sz w:val="20"/>
          <w:szCs w:val="20"/>
          <w:color w:val="auto"/>
        </w:rPr>
      </w:pPr>
    </w:p>
    <w:p>
      <w:pPr>
        <w:ind w:right="20" w:firstLine="312"/>
        <w:spacing w:after="0" w:line="287" w:lineRule="auto"/>
        <w:rPr>
          <w:sz w:val="20"/>
          <w:szCs w:val="20"/>
          <w:color w:val="auto"/>
        </w:rPr>
      </w:pPr>
      <w:r>
        <w:rPr>
          <w:rFonts w:ascii="Arial" w:cs="Arial" w:eastAsia="Arial" w:hAnsi="Arial"/>
          <w:sz w:val="16"/>
          <w:szCs w:val="16"/>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60" w:lineRule="exact"/>
        <w:rPr>
          <w:sz w:val="20"/>
          <w:szCs w:val="20"/>
          <w:color w:val="auto"/>
        </w:rPr>
      </w:pPr>
    </w:p>
    <w:p>
      <w:pPr>
        <w:ind w:firstLine="312"/>
        <w:spacing w:after="0" w:line="287"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52" w:name="page153"/>
    <w:bookmarkEnd w:id="152"/>
    <w:p>
      <w:pPr>
        <w:ind w:right="140" w:firstLine="312"/>
        <w:spacing w:after="0" w:line="265" w:lineRule="auto"/>
        <w:rPr>
          <w:sz w:val="20"/>
          <w:szCs w:val="20"/>
          <w:color w:val="auto"/>
        </w:rPr>
      </w:pPr>
      <w:r>
        <w:rPr>
          <w:rFonts w:ascii="Arial" w:cs="Arial" w:eastAsia="Arial" w:hAnsi="Arial"/>
          <w:sz w:val="17"/>
          <w:szCs w:val="17"/>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27" w:lineRule="exact"/>
        <w:rPr>
          <w:sz w:val="20"/>
          <w:szCs w:val="20"/>
          <w:color w:val="auto"/>
        </w:rPr>
      </w:pPr>
    </w:p>
    <w:p>
      <w:pPr>
        <w:ind w:right="100" w:firstLine="312"/>
        <w:spacing w:after="0" w:line="287"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judgments and accounting estimates</w:t>
      </w:r>
    </w:p>
    <w:p>
      <w:pPr>
        <w:spacing w:after="0" w:line="227"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58" w:lineRule="exact"/>
        <w:rPr>
          <w:sz w:val="20"/>
          <w:szCs w:val="20"/>
          <w:color w:val="auto"/>
        </w:rPr>
      </w:pPr>
    </w:p>
    <w:p>
      <w:pPr>
        <w:ind w:right="120" w:firstLine="312"/>
        <w:spacing w:after="0" w:line="265" w:lineRule="auto"/>
        <w:rPr>
          <w:sz w:val="20"/>
          <w:szCs w:val="20"/>
          <w:color w:val="auto"/>
        </w:rPr>
      </w:pPr>
      <w:r>
        <w:rPr>
          <w:rFonts w:ascii="Arial" w:cs="Arial" w:eastAsia="Arial" w:hAnsi="Arial"/>
          <w:sz w:val="17"/>
          <w:szCs w:val="17"/>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Income taxes</w:t>
      </w:r>
    </w:p>
    <w:p>
      <w:pPr>
        <w:spacing w:after="0" w:line="221" w:lineRule="exact"/>
        <w:rPr>
          <w:sz w:val="20"/>
          <w:szCs w:val="20"/>
          <w:color w:val="auto"/>
        </w:rPr>
      </w:pPr>
    </w:p>
    <w:p>
      <w:pPr>
        <w:jc w:val="both"/>
        <w:ind w:right="120" w:firstLine="312"/>
        <w:spacing w:after="0" w:line="270" w:lineRule="auto"/>
        <w:rPr>
          <w:sz w:val="20"/>
          <w:szCs w:val="20"/>
          <w:color w:val="auto"/>
        </w:rPr>
      </w:pPr>
      <w:r>
        <w:rPr>
          <w:rFonts w:ascii="Arial" w:cs="Arial" w:eastAsia="Arial" w:hAnsi="Arial"/>
          <w:sz w:val="17"/>
          <w:szCs w:val="17"/>
          <w:color w:val="auto"/>
        </w:rPr>
        <w:t>As disclosed in Note 14,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Preferred shares</w:t>
      </w:r>
    </w:p>
    <w:p>
      <w:pPr>
        <w:spacing w:after="0" w:line="221" w:lineRule="exact"/>
        <w:rPr>
          <w:sz w:val="20"/>
          <w:szCs w:val="20"/>
          <w:color w:val="auto"/>
        </w:rPr>
      </w:pPr>
    </w:p>
    <w:p>
      <w:pPr>
        <w:ind w:right="100" w:firstLine="312"/>
        <w:spacing w:after="0" w:line="287" w:lineRule="auto"/>
        <w:rPr>
          <w:sz w:val="20"/>
          <w:szCs w:val="20"/>
          <w:color w:val="auto"/>
        </w:rPr>
      </w:pPr>
      <w:r>
        <w:rPr>
          <w:rFonts w:ascii="Arial" w:cs="Arial" w:eastAsia="Arial" w:hAnsi="Arial"/>
          <w:sz w:val="16"/>
          <w:szCs w:val="16"/>
          <w:color w:val="auto"/>
        </w:rPr>
        <w:t>Significant judgment was required in determining the classification of the Preferred Shares issued by the Company as either equity or liabilities. The Preferred shareholders received certain preference rights that represented a significant proportion of the net assets of the Company in the case of liquidation or certain exit events, the occurrence of which was outside the control of the Company. These Preferred Shares remained outstanding until the Company completed an IPO in September 2016 and at that time the Preferred Shares were converted from Preferred Shares to Common Shares on a one-for-one basis.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reporting</w:t>
      </w:r>
    </w:p>
    <w:p>
      <w:pPr>
        <w:spacing w:after="0" w:line="227" w:lineRule="exact"/>
        <w:rPr>
          <w:sz w:val="20"/>
          <w:szCs w:val="20"/>
          <w:color w:val="auto"/>
        </w:rPr>
      </w:pPr>
    </w:p>
    <w:p>
      <w:pPr>
        <w:ind w:right="620" w:firstLine="312"/>
        <w:spacing w:after="0" w:line="286" w:lineRule="auto"/>
        <w:rPr>
          <w:sz w:val="20"/>
          <w:szCs w:val="20"/>
          <w:color w:val="auto"/>
        </w:rPr>
      </w:pPr>
      <w:r>
        <w:rPr>
          <w:rFonts w:ascii="Arial" w:cs="Arial" w:eastAsia="Arial" w:hAnsi="Arial"/>
          <w:sz w:val="17"/>
          <w:szCs w:val="17"/>
          <w:color w:val="auto"/>
        </w:rPr>
        <w:t>The Company has one segment. The Company currently focuses all of its resources on discovering and developing therapeutic and diagnostic products targeting misfolded proteins.</w:t>
      </w:r>
    </w:p>
    <w:p>
      <w:pPr>
        <w:spacing w:after="0" w:line="158" w:lineRule="exact"/>
        <w:rPr>
          <w:sz w:val="20"/>
          <w:szCs w:val="20"/>
          <w:color w:val="auto"/>
        </w:rPr>
      </w:pPr>
    </w:p>
    <w:p>
      <w:pPr>
        <w:ind w:right="100" w:firstLine="312"/>
        <w:spacing w:after="0" w:line="270" w:lineRule="auto"/>
        <w:rPr>
          <w:sz w:val="20"/>
          <w:szCs w:val="20"/>
          <w:color w:val="auto"/>
        </w:rPr>
      </w:pPr>
      <w:r>
        <w:rPr>
          <w:rFonts w:ascii="Arial" w:cs="Arial" w:eastAsia="Arial" w:hAnsi="Arial"/>
          <w:sz w:val="17"/>
          <w:szCs w:val="17"/>
          <w:color w:val="auto"/>
        </w:rPr>
        <w:t>The Company is managed and operated as one business. A single management team that reports to the chief operating decision maker comprehensively manages the entire business. Accordingly, the Company views its business and manages its operations as one reportable segment. Non-current assets are located in and revenue is attributable to the Company’s country of domicile, Switzerland.</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227" w:lineRule="exact"/>
        <w:rPr>
          <w:sz w:val="20"/>
          <w:szCs w:val="20"/>
          <w:color w:val="auto"/>
        </w:rPr>
      </w:pPr>
    </w:p>
    <w:p>
      <w:pPr>
        <w:ind w:right="20" w:firstLine="312"/>
        <w:spacing w:after="0" w:line="286" w:lineRule="auto"/>
        <w:rPr>
          <w:sz w:val="20"/>
          <w:szCs w:val="20"/>
          <w:color w:val="auto"/>
        </w:rPr>
      </w:pPr>
      <w:r>
        <w:rPr>
          <w:rFonts w:ascii="Arial" w:cs="Arial" w:eastAsia="Arial" w:hAnsi="Arial"/>
          <w:sz w:val="17"/>
          <w:szCs w:val="17"/>
          <w:color w:val="auto"/>
        </w:rPr>
        <w:t>The following standards, amendments and interpretation currently are mandatory for accounting periods beginning on or after January 1, 2016, but did not have a material effect on the Company’s financial statements as a result of adoption:</w:t>
      </w:r>
    </w:p>
    <w:p>
      <w:pPr>
        <w:spacing w:after="0" w:line="158" w:lineRule="exact"/>
        <w:rPr>
          <w:sz w:val="20"/>
          <w:szCs w:val="20"/>
          <w:color w:val="auto"/>
        </w:rPr>
      </w:pPr>
    </w:p>
    <w:p>
      <w:pPr>
        <w:ind w:left="620" w:hanging="304"/>
        <w:spacing w:after="0"/>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Disclosure Initiative (Amendments to IAS 1)</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Annual Improvements to IFRSs 2012-2014 Cycle</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Clarification of Acceptable Methods of Depreciation and Amortization (Amendments to IAS 16 and IAS 38)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to existing standards not yet effective</w:t>
      </w:r>
    </w:p>
    <w:p>
      <w:pPr>
        <w:spacing w:after="0" w:line="227" w:lineRule="exact"/>
        <w:rPr>
          <w:sz w:val="20"/>
          <w:szCs w:val="20"/>
          <w:color w:val="auto"/>
        </w:rPr>
      </w:pPr>
    </w:p>
    <w:p>
      <w:pPr>
        <w:ind w:right="260" w:firstLine="312"/>
        <w:spacing w:after="0" w:line="286" w:lineRule="auto"/>
        <w:rPr>
          <w:sz w:val="20"/>
          <w:szCs w:val="20"/>
          <w:color w:val="auto"/>
        </w:rPr>
      </w:pPr>
      <w:r>
        <w:rPr>
          <w:rFonts w:ascii="Arial" w:cs="Arial" w:eastAsia="Arial" w:hAnsi="Arial"/>
          <w:sz w:val="17"/>
          <w:szCs w:val="17"/>
          <w:color w:val="auto"/>
        </w:rPr>
        <w:t>Certain new standards, amendments and interpretations to existing standards have been published and are mandatory for accounting periods beginning on or after January 1, 2017 or later periods but which the Company has not adopted early: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7"/>
                <w:szCs w:val="17"/>
                <w:b w:val="1"/>
                <w:bCs w:val="1"/>
                <w:color w:val="auto"/>
                <w:w w:val="91"/>
              </w:rPr>
              <w:t>Effective date (mostly annual periods</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7"/>
                <w:szCs w:val="17"/>
                <w:b w:val="1"/>
                <w:bCs w:val="1"/>
                <w:color w:val="auto"/>
                <w:w w:val="92"/>
              </w:rPr>
              <w:t>beginning on or after)</w:t>
            </w:r>
          </w:p>
        </w:tc>
        <w:tc>
          <w:tcPr>
            <w:tcW w:w="120" w:type="dxa"/>
            <w:vAlign w:val="bottom"/>
          </w:tcPr>
          <w:p>
            <w:pPr>
              <w:spacing w:after="0"/>
              <w:rPr>
                <w:sz w:val="18"/>
                <w:szCs w:val="18"/>
                <w:color w:val="auto"/>
              </w:rPr>
            </w:pPr>
          </w:p>
        </w:tc>
        <w:tc>
          <w:tcPr>
            <w:tcW w:w="2720" w:type="dxa"/>
            <w:vAlign w:val="bottom"/>
          </w:tcPr>
          <w:p>
            <w:pPr>
              <w:ind w:left="620"/>
              <w:spacing w:after="0"/>
              <w:rPr>
                <w:sz w:val="20"/>
                <w:szCs w:val="20"/>
                <w:color w:val="auto"/>
              </w:rPr>
            </w:pPr>
            <w:r>
              <w:rPr>
                <w:rFonts w:ascii="Arial" w:cs="Arial" w:eastAsia="Arial" w:hAnsi="Arial"/>
                <w:sz w:val="17"/>
                <w:szCs w:val="17"/>
                <w:b w:val="1"/>
                <w:bCs w:val="1"/>
                <w:color w:val="auto"/>
              </w:rPr>
              <w:t>Planned application</w:t>
            </w:r>
          </w:p>
        </w:tc>
        <w:tc>
          <w:tcPr>
            <w:tcW w:w="6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w w:val="95"/>
              </w:rPr>
              <w:t>Recently released Standards/ Interpretations</w:t>
            </w:r>
          </w:p>
        </w:tc>
        <w:tc>
          <w:tcPr>
            <w:tcW w:w="120" w:type="dxa"/>
            <w:vAlign w:val="bottom"/>
          </w:tcPr>
          <w:p>
            <w:pPr>
              <w:spacing w:after="0"/>
              <w:rPr>
                <w:sz w:val="19"/>
                <w:szCs w:val="19"/>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Date Issued</w:t>
            </w:r>
          </w:p>
        </w:tc>
        <w:tc>
          <w:tcPr>
            <w:tcW w:w="140" w:type="dxa"/>
            <w:vAlign w:val="bottom"/>
          </w:tcPr>
          <w:p>
            <w:pPr>
              <w:spacing w:after="0"/>
              <w:rPr>
                <w:sz w:val="19"/>
                <w:szCs w:val="19"/>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Early adoption is often permitted</w:t>
            </w:r>
          </w:p>
        </w:tc>
        <w:tc>
          <w:tcPr>
            <w:tcW w:w="120" w:type="dxa"/>
            <w:vAlign w:val="bottom"/>
          </w:tcPr>
          <w:p>
            <w:pPr>
              <w:spacing w:after="0"/>
              <w:rPr>
                <w:sz w:val="19"/>
                <w:szCs w:val="19"/>
                <w:color w:val="auto"/>
              </w:rPr>
            </w:pP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7"/>
                <w:szCs w:val="17"/>
                <w:b w:val="1"/>
                <w:bCs w:val="1"/>
                <w:color w:val="auto"/>
              </w:rPr>
              <w:t>by AC Immune</w:t>
            </w:r>
          </w:p>
        </w:tc>
        <w:tc>
          <w:tcPr>
            <w:tcW w:w="60" w:type="dxa"/>
            <w:vAlign w:val="bottom"/>
          </w:tcPr>
          <w:p>
            <w:pPr>
              <w:spacing w:after="0"/>
              <w:rPr>
                <w:sz w:val="19"/>
                <w:szCs w:val="19"/>
                <w:color w:val="auto"/>
              </w:rPr>
            </w:pPr>
          </w:p>
        </w:tc>
      </w:tr>
      <w:tr>
        <w:trPr>
          <w:trHeight w:val="189"/>
        </w:trPr>
        <w:tc>
          <w:tcPr>
            <w:tcW w:w="60" w:type="dxa"/>
            <w:vAlign w:val="bottom"/>
          </w:tcPr>
          <w:p>
            <w:pPr>
              <w:spacing w:after="0"/>
              <w:rPr>
                <w:sz w:val="16"/>
                <w:szCs w:val="16"/>
                <w:color w:val="auto"/>
              </w:rPr>
            </w:pPr>
          </w:p>
        </w:tc>
        <w:tc>
          <w:tcPr>
            <w:tcW w:w="3660" w:type="dxa"/>
            <w:vAlign w:val="bottom"/>
          </w:tcPr>
          <w:p>
            <w:pPr>
              <w:ind w:left="20"/>
              <w:spacing w:after="0" w:line="189" w:lineRule="exact"/>
              <w:rPr>
                <w:sz w:val="20"/>
                <w:szCs w:val="20"/>
                <w:color w:val="auto"/>
              </w:rPr>
            </w:pPr>
            <w:r>
              <w:rPr>
                <w:rFonts w:ascii="Arial" w:cs="Arial" w:eastAsia="Arial" w:hAnsi="Arial"/>
                <w:sz w:val="17"/>
                <w:szCs w:val="17"/>
                <w:color w:val="auto"/>
              </w:rPr>
              <w:t>IFRS 9 Financial instruments</w:t>
            </w:r>
          </w:p>
        </w:tc>
        <w:tc>
          <w:tcPr>
            <w:tcW w:w="120" w:type="dxa"/>
            <w:vAlign w:val="bottom"/>
          </w:tcPr>
          <w:p>
            <w:pPr>
              <w:spacing w:after="0"/>
              <w:rPr>
                <w:sz w:val="16"/>
                <w:szCs w:val="16"/>
                <w:color w:val="auto"/>
              </w:rPr>
            </w:pPr>
          </w:p>
        </w:tc>
        <w:tc>
          <w:tcPr>
            <w:tcW w:w="1580" w:type="dxa"/>
            <w:vAlign w:val="bottom"/>
          </w:tcPr>
          <w:p>
            <w:pPr>
              <w:spacing w:after="0" w:line="189" w:lineRule="exact"/>
              <w:rPr>
                <w:sz w:val="20"/>
                <w:szCs w:val="20"/>
                <w:color w:val="auto"/>
              </w:rPr>
            </w:pPr>
            <w:r>
              <w:rPr>
                <w:rFonts w:ascii="Arial" w:cs="Arial" w:eastAsia="Arial" w:hAnsi="Arial"/>
                <w:sz w:val="17"/>
                <w:szCs w:val="17"/>
                <w:color w:val="auto"/>
              </w:rPr>
              <w:t>Nov 2009 to July</w:t>
            </w:r>
          </w:p>
        </w:tc>
        <w:tc>
          <w:tcPr>
            <w:tcW w:w="140" w:type="dxa"/>
            <w:vAlign w:val="bottom"/>
          </w:tcPr>
          <w:p>
            <w:pPr>
              <w:spacing w:after="0"/>
              <w:rPr>
                <w:sz w:val="16"/>
                <w:szCs w:val="16"/>
                <w:color w:val="auto"/>
              </w:rPr>
            </w:pPr>
          </w:p>
        </w:tc>
        <w:tc>
          <w:tcPr>
            <w:tcW w:w="2960" w:type="dxa"/>
            <w:vAlign w:val="bottom"/>
          </w:tcPr>
          <w:p>
            <w:pPr>
              <w:spacing w:after="0" w:line="189" w:lineRule="exact"/>
              <w:rPr>
                <w:sz w:val="20"/>
                <w:szCs w:val="20"/>
                <w:color w:val="auto"/>
              </w:rPr>
            </w:pPr>
            <w:r>
              <w:rPr>
                <w:rFonts w:ascii="Arial" w:cs="Arial" w:eastAsia="Arial" w:hAnsi="Arial"/>
                <w:sz w:val="17"/>
                <w:szCs w:val="17"/>
                <w:color w:val="auto"/>
                <w:w w:val="96"/>
              </w:rPr>
              <w:t>Effective Jan 1, 2018 with early adoption</w:t>
            </w:r>
          </w:p>
        </w:tc>
        <w:tc>
          <w:tcPr>
            <w:tcW w:w="120" w:type="dxa"/>
            <w:vAlign w:val="bottom"/>
          </w:tcPr>
          <w:p>
            <w:pPr>
              <w:spacing w:after="0"/>
              <w:rPr>
                <w:sz w:val="16"/>
                <w:szCs w:val="16"/>
                <w:color w:val="auto"/>
              </w:rPr>
            </w:pPr>
          </w:p>
        </w:tc>
        <w:tc>
          <w:tcPr>
            <w:tcW w:w="2720" w:type="dxa"/>
            <w:vAlign w:val="bottom"/>
          </w:tcPr>
          <w:p>
            <w:pPr>
              <w:spacing w:after="0" w:line="189" w:lineRule="exact"/>
              <w:rPr>
                <w:sz w:val="20"/>
                <w:szCs w:val="20"/>
                <w:color w:val="auto"/>
              </w:rPr>
            </w:pPr>
            <w:r>
              <w:rPr>
                <w:rFonts w:ascii="Arial" w:cs="Arial" w:eastAsia="Arial" w:hAnsi="Arial"/>
                <w:sz w:val="17"/>
                <w:szCs w:val="17"/>
                <w:color w:val="auto"/>
              </w:rPr>
              <w:t>Jan 1, 2018</w:t>
            </w:r>
          </w:p>
        </w:tc>
        <w:tc>
          <w:tcPr>
            <w:tcW w:w="60" w:type="dxa"/>
            <w:vAlign w:val="bottom"/>
          </w:tcPr>
          <w:p>
            <w:pPr>
              <w:spacing w:after="0"/>
              <w:rPr>
                <w:sz w:val="16"/>
                <w:szCs w:val="16"/>
                <w:color w:val="auto"/>
              </w:rPr>
            </w:pPr>
          </w:p>
        </w:tc>
      </w:tr>
      <w:tr>
        <w:trPr>
          <w:trHeight w:val="220"/>
        </w:trPr>
        <w:tc>
          <w:tcPr>
            <w:tcW w:w="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7"/>
                <w:szCs w:val="17"/>
                <w:color w:val="auto"/>
              </w:rPr>
              <w:t>2014</w:t>
            </w:r>
          </w:p>
        </w:tc>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allowed</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Early application of the own credit risk</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w w:val="93"/>
              </w:rPr>
              <w:t>improvements, prior to any other changes</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in the accounting for financial</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instruments, is permitted by IFRS 9</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6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w w:val="96"/>
              </w:rPr>
              <w:t>IFRS 15 Revenue from Contracts with Customers</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May 2014</w:t>
            </w:r>
          </w:p>
        </w:tc>
        <w:tc>
          <w:tcPr>
            <w:tcW w:w="1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Annual periods beginning on or after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Jan 1, 2018</w:t>
            </w:r>
          </w:p>
        </w:tc>
        <w:tc>
          <w:tcPr>
            <w:tcW w:w="60" w:type="dxa"/>
            <w:vAlign w:val="bottom"/>
          </w:tcPr>
          <w:p>
            <w:pPr>
              <w:spacing w:after="0"/>
              <w:rPr>
                <w:sz w:val="24"/>
                <w:szCs w:val="24"/>
                <w:color w:val="auto"/>
              </w:rPr>
            </w:pPr>
          </w:p>
        </w:tc>
      </w:tr>
      <w:tr>
        <w:trPr>
          <w:trHeight w:val="208"/>
        </w:trPr>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January 1, 2018. Earlier application</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permitted.</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6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IFRS 16 Leases</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Jan 2016</w:t>
            </w:r>
          </w:p>
        </w:tc>
        <w:tc>
          <w:tcPr>
            <w:tcW w:w="1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w w:val="95"/>
              </w:rPr>
              <w:t>Effective for annual periods beginning 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Jan 1, 2019</w:t>
            </w:r>
          </w:p>
        </w:tc>
        <w:tc>
          <w:tcPr>
            <w:tcW w:w="60" w:type="dxa"/>
            <w:vAlign w:val="bottom"/>
          </w:tcPr>
          <w:p>
            <w:pPr>
              <w:spacing w:after="0"/>
              <w:rPr>
                <w:sz w:val="24"/>
                <w:szCs w:val="24"/>
                <w:color w:val="auto"/>
              </w:rPr>
            </w:pPr>
          </w:p>
        </w:tc>
      </w:tr>
      <w:tr>
        <w:trPr>
          <w:trHeight w:val="208"/>
        </w:trPr>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or after 1 January 2019 (subject to EU</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endorsement)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6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Annual Improvements 2012-2014 Cycle (IAS 12</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Jan 2016</w:t>
            </w:r>
          </w:p>
        </w:tc>
        <w:tc>
          <w:tcPr>
            <w:tcW w:w="1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w w:val="98"/>
              </w:rPr>
              <w:t>Effective for annual period beginning 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Jan 1, 2017</w:t>
            </w:r>
          </w:p>
        </w:tc>
        <w:tc>
          <w:tcPr>
            <w:tcW w:w="6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or after January 1, 2017</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6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Disclosure Initiative (Amendments to IAS 7)</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Jan 2016</w:t>
            </w:r>
          </w:p>
        </w:tc>
        <w:tc>
          <w:tcPr>
            <w:tcW w:w="1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w w:val="98"/>
              </w:rPr>
              <w:t>Effective for annual period beginning 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Jan 1, 2017</w:t>
            </w:r>
          </w:p>
        </w:tc>
        <w:tc>
          <w:tcPr>
            <w:tcW w:w="60" w:type="dxa"/>
            <w:vAlign w:val="bottom"/>
          </w:tcPr>
          <w:p>
            <w:pPr>
              <w:spacing w:after="0"/>
              <w:rPr>
                <w:sz w:val="24"/>
                <w:szCs w:val="24"/>
                <w:color w:val="auto"/>
              </w:rPr>
            </w:pPr>
          </w:p>
        </w:tc>
      </w:tr>
      <w:tr>
        <w:trPr>
          <w:trHeight w:val="208"/>
        </w:trPr>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or after January, 2017 (subject to EU</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endorsement)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6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w w:val="95"/>
              </w:rPr>
              <w:t>Clarifications to IFRS 15 “Revenue from Contracts</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Apr 2016</w:t>
            </w:r>
          </w:p>
        </w:tc>
        <w:tc>
          <w:tcPr>
            <w:tcW w:w="1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w w:val="98"/>
              </w:rPr>
              <w:t>Effective for annual period beginning 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Jan 1, 2018</w:t>
            </w:r>
          </w:p>
        </w:tc>
        <w:tc>
          <w:tcPr>
            <w:tcW w:w="60" w:type="dxa"/>
            <w:vAlign w:val="bottom"/>
          </w:tcPr>
          <w:p>
            <w:pPr>
              <w:spacing w:after="0"/>
              <w:rPr>
                <w:sz w:val="24"/>
                <w:szCs w:val="24"/>
                <w:color w:val="auto"/>
              </w:rPr>
            </w:pPr>
          </w:p>
        </w:tc>
      </w:tr>
      <w:tr>
        <w:trPr>
          <w:trHeight w:val="208"/>
        </w:trPr>
        <w:tc>
          <w:tcPr>
            <w:tcW w:w="6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with Customers”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or after January 1, 2018 (subject to EU</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endorsement)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6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w w:val="99"/>
              </w:rPr>
              <w:t>Classification and Measurement of Share-based</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Jun 2016</w:t>
            </w:r>
          </w:p>
        </w:tc>
        <w:tc>
          <w:tcPr>
            <w:tcW w:w="1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w w:val="98"/>
              </w:rPr>
              <w:t>Effective for annual period beginning 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Jan 1, 2018</w:t>
            </w:r>
          </w:p>
        </w:tc>
        <w:tc>
          <w:tcPr>
            <w:tcW w:w="60" w:type="dxa"/>
            <w:vAlign w:val="bottom"/>
          </w:tcPr>
          <w:p>
            <w:pPr>
              <w:spacing w:after="0"/>
              <w:rPr>
                <w:sz w:val="24"/>
                <w:szCs w:val="24"/>
                <w:color w:val="auto"/>
              </w:rPr>
            </w:pPr>
          </w:p>
        </w:tc>
      </w:tr>
      <w:tr>
        <w:trPr>
          <w:trHeight w:val="208"/>
        </w:trPr>
        <w:tc>
          <w:tcPr>
            <w:tcW w:w="6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Payment Transactions (Amendments to IFRS 2)</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or after January 1, 2018 (subject to EU</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endorsement)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6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IFRIC Interpretation 22 Foreign Currency</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Dec 2016</w:t>
            </w:r>
          </w:p>
        </w:tc>
        <w:tc>
          <w:tcPr>
            <w:tcW w:w="1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w w:val="98"/>
              </w:rPr>
              <w:t>Effective for annual period beginning 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Jan 1, 2018</w:t>
            </w:r>
          </w:p>
        </w:tc>
        <w:tc>
          <w:tcPr>
            <w:tcW w:w="60" w:type="dxa"/>
            <w:vAlign w:val="bottom"/>
          </w:tcPr>
          <w:p>
            <w:pPr>
              <w:spacing w:after="0"/>
              <w:rPr>
                <w:sz w:val="24"/>
                <w:szCs w:val="24"/>
                <w:color w:val="auto"/>
              </w:rPr>
            </w:pPr>
          </w:p>
        </w:tc>
      </w:tr>
      <w:tr>
        <w:trPr>
          <w:trHeight w:val="208"/>
        </w:trPr>
        <w:tc>
          <w:tcPr>
            <w:tcW w:w="6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Transactions and Advance Consideration</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or after January 1, 2018 (subject to EU</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endorsement)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46"/>
        </w:trPr>
        <w:tc>
          <w:tcPr>
            <w:tcW w:w="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F-13</w:t>
            </w: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154" w:name="page155"/>
    <w:bookmarkEnd w:id="154"/>
    <w:p>
      <w:pPr>
        <w:ind w:right="340" w:firstLine="312"/>
        <w:spacing w:after="0" w:line="286" w:lineRule="auto"/>
        <w:rPr>
          <w:sz w:val="20"/>
          <w:szCs w:val="20"/>
          <w:color w:val="auto"/>
        </w:rPr>
      </w:pPr>
      <w:r>
        <w:rPr>
          <w:rFonts w:ascii="Arial" w:cs="Arial" w:eastAsia="Arial" w:hAnsi="Arial"/>
          <w:sz w:val="17"/>
          <w:szCs w:val="17"/>
          <w:color w:val="auto"/>
        </w:rPr>
        <w:t>The Company has not yet evaluated the impact of these revised standards and amendments on its financial statements. Further consideration of the pending adoption of IFRS 15 is discussed below.</w:t>
      </w:r>
    </w:p>
    <w:p>
      <w:pPr>
        <w:spacing w:after="0" w:line="158" w:lineRule="exact"/>
        <w:rPr>
          <w:sz w:val="20"/>
          <w:szCs w:val="20"/>
          <w:color w:val="auto"/>
        </w:rPr>
      </w:pPr>
    </w:p>
    <w:p>
      <w:pPr>
        <w:ind w:right="40" w:firstLine="312"/>
        <w:spacing w:after="0" w:line="278" w:lineRule="auto"/>
        <w:rPr>
          <w:sz w:val="20"/>
          <w:szCs w:val="20"/>
          <w:color w:val="auto"/>
        </w:rPr>
      </w:pPr>
      <w:r>
        <w:rPr>
          <w:rFonts w:ascii="Arial" w:cs="Arial" w:eastAsia="Arial" w:hAnsi="Arial"/>
          <w:sz w:val="16"/>
          <w:szCs w:val="16"/>
          <w:color w:val="auto"/>
        </w:rPr>
        <w:t>The Company is currently analyzing the impact of IFRS 15 Revenue from contracts with customers, which amends revenue recognition requirements and establishes principles for reporting information about the nature, amount, timing and uncertainty of revenue and cash flows arising from contracts with customers. The standard replaces IAS 18 Revenue and IAS 11 Construction contracts and related interpretations. This analysis includes reviewing current accounting policies and practices to identify potential differences that would result from applying the requirements under the new standard. The Company has initiated contract reviews and expects to complete the contract evaluations and validate results by the end of the third quarter of 2017. The Company is also evaluating its accounting policies and the new disclosure requirements and expects to complete its evaluations of the impacts of the accounting and disclosure requirements on its business processes and controls by the end of the third quarter of 2017. Full implementation will be completed by the end of 2017. The Company will continue to evaluate the method of adoption and the potential impact that IFRS 15 may have on our financial position and results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40" w:type="dxa"/>
            <w:vAlign w:val="bottom"/>
            <w:gridSpan w:val="2"/>
          </w:tcPr>
          <w:p>
            <w:pPr>
              <w:spacing w:after="0"/>
              <w:rPr>
                <w:sz w:val="20"/>
                <w:szCs w:val="20"/>
                <w:color w:val="auto"/>
              </w:rPr>
            </w:pPr>
            <w:r>
              <w:rPr>
                <w:rFonts w:ascii="Arial" w:cs="Arial" w:eastAsia="Arial" w:hAnsi="Arial"/>
                <w:sz w:val="17"/>
                <w:szCs w:val="17"/>
                <w:b w:val="1"/>
                <w:bCs w:val="1"/>
                <w:color w:val="auto"/>
              </w:rPr>
              <w:t>4.  Property, plant and equipment</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7"/>
                <w:szCs w:val="17"/>
                <w:b w:val="1"/>
                <w:bCs w:val="1"/>
                <w:color w:val="auto"/>
                <w:w w:val="90"/>
              </w:rPr>
              <w:t>Leasehold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Laboratory</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4"/>
          </w:tcPr>
          <w:p>
            <w:pPr>
              <w:jc w:val="center"/>
              <w:ind w:right="300"/>
              <w:spacing w:after="0"/>
              <w:rPr>
                <w:sz w:val="20"/>
                <w:szCs w:val="20"/>
                <w:color w:val="auto"/>
              </w:rPr>
            </w:pPr>
            <w:r>
              <w:rPr>
                <w:rFonts w:ascii="Arial" w:cs="Arial" w:eastAsia="Arial" w:hAnsi="Arial"/>
                <w:sz w:val="17"/>
                <w:szCs w:val="17"/>
                <w:b w:val="1"/>
                <w:bCs w:val="1"/>
                <w:color w:val="auto"/>
                <w:w w:val="94"/>
              </w:rPr>
              <w:t>Improvement /</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Pr>
          <w:p>
            <w:pPr>
              <w:ind w:left="2500"/>
              <w:spacing w:after="0"/>
              <w:rPr>
                <w:sz w:val="20"/>
                <w:szCs w:val="20"/>
                <w:color w:val="auto"/>
              </w:rPr>
            </w:pPr>
            <w:r>
              <w:rPr>
                <w:rFonts w:ascii="Arial" w:cs="Arial" w:eastAsia="Arial" w:hAnsi="Arial"/>
                <w:sz w:val="17"/>
                <w:szCs w:val="17"/>
                <w:b w:val="1"/>
                <w:bCs w:val="1"/>
                <w:color w:val="auto"/>
              </w:rPr>
              <w:t>in CHF thousands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Equipment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IT Equipment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7"/>
                <w:szCs w:val="17"/>
                <w:b w:val="1"/>
                <w:bCs w:val="1"/>
                <w:color w:val="auto"/>
                <w:w w:val="96"/>
              </w:rPr>
              <w:t>Furniture</w:t>
            </w:r>
          </w:p>
        </w:tc>
        <w:tc>
          <w:tcPr>
            <w:tcW w:w="920" w:type="dxa"/>
            <w:vAlign w:val="bottom"/>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7"/>
                <w:szCs w:val="17"/>
                <w:b w:val="1"/>
                <w:bCs w:val="1"/>
                <w:color w:val="auto"/>
              </w:rPr>
              <w:t>Historical cost</w:t>
            </w:r>
          </w:p>
        </w:tc>
        <w:tc>
          <w:tcPr>
            <w:tcW w:w="10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spacing w:after="0"/>
              <w:rPr>
                <w:sz w:val="17"/>
                <w:szCs w:val="17"/>
                <w:color w:val="auto"/>
              </w:rPr>
            </w:pPr>
          </w:p>
        </w:tc>
        <w:tc>
          <w:tcPr>
            <w:tcW w:w="80" w:type="dxa"/>
            <w:vAlign w:val="bottom"/>
            <w:tcBorders>
              <w:top w:val="single" w:sz="8" w:color="D5EAEA"/>
            </w:tcBorders>
            <w:shd w:val="clear" w:color="auto" w:fill="D5EAEA"/>
          </w:tcPr>
          <w:p>
            <w:pPr>
              <w:spacing w:after="0"/>
              <w:rPr>
                <w:sz w:val="17"/>
                <w:szCs w:val="17"/>
                <w:color w:val="auto"/>
              </w:rPr>
            </w:pPr>
          </w:p>
        </w:tc>
        <w:tc>
          <w:tcPr>
            <w:tcW w:w="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c>
          <w:tcPr>
            <w:tcW w:w="2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200" w:type="dxa"/>
            <w:vAlign w:val="bottom"/>
            <w:tcBorders>
              <w:top w:val="single" w:sz="8" w:color="auto"/>
            </w:tcBorders>
            <w:shd w:val="clear" w:color="auto" w:fill="D5EAEA"/>
          </w:tcPr>
          <w:p>
            <w:pPr>
              <w:spacing w:after="0"/>
              <w:rPr>
                <w:sz w:val="17"/>
                <w:szCs w:val="17"/>
                <w:color w:val="auto"/>
              </w:rPr>
            </w:pPr>
          </w:p>
        </w:tc>
        <w:tc>
          <w:tcPr>
            <w:tcW w:w="920" w:type="dxa"/>
            <w:vAlign w:val="bottom"/>
            <w:tcBorders>
              <w:top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As of January 1, 2015</w:t>
            </w:r>
          </w:p>
        </w:tc>
        <w:tc>
          <w:tcPr>
            <w:tcW w:w="1060" w:type="dxa"/>
            <w:vAlign w:val="bottom"/>
            <w:shd w:val="clear" w:color="auto" w:fill="D5EAEA"/>
          </w:tcPr>
          <w:p>
            <w:pPr>
              <w:spacing w:after="0"/>
              <w:rPr>
                <w:sz w:val="20"/>
                <w:szCs w:val="20"/>
                <w:color w:val="auto"/>
              </w:rPr>
            </w:pPr>
          </w:p>
        </w:tc>
        <w:tc>
          <w:tcPr>
            <w:tcW w:w="128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1,815</w:t>
            </w:r>
          </w:p>
        </w:tc>
        <w:tc>
          <w:tcPr>
            <w:tcW w:w="120" w:type="dxa"/>
            <w:vAlign w:val="bottom"/>
            <w:shd w:val="clear" w:color="auto" w:fill="D5EAEA"/>
          </w:tcPr>
          <w:p>
            <w:pPr>
              <w:spacing w:after="0"/>
              <w:rPr>
                <w:sz w:val="20"/>
                <w:szCs w:val="20"/>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172</w:t>
            </w: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146</w:t>
            </w:r>
          </w:p>
        </w:tc>
        <w:tc>
          <w:tcPr>
            <w:tcW w:w="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200" w:type="dxa"/>
            <w:vAlign w:val="bottom"/>
            <w:shd w:val="clear" w:color="auto" w:fill="D5EAEA"/>
          </w:tcPr>
          <w:p>
            <w:pPr>
              <w:spacing w:after="0"/>
              <w:rPr>
                <w:sz w:val="20"/>
                <w:szCs w:val="20"/>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D5EAEA"/>
            </w:tcBorders>
          </w:tcPr>
          <w:p>
            <w:pPr>
              <w:spacing w:after="0" w:line="20" w:lineRule="exact"/>
              <w:rPr>
                <w:sz w:val="1"/>
                <w:szCs w:val="1"/>
                <w:color w:val="auto"/>
              </w:rPr>
            </w:pPr>
          </w:p>
        </w:tc>
        <w:tc>
          <w:tcPr>
            <w:tcW w:w="1180" w:type="dxa"/>
            <w:vAlign w:val="bottom"/>
            <w:tcBorders>
              <w:top w:val="single" w:sz="8" w:color="D5EAEA"/>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EAEA"/>
            </w:tcBorders>
          </w:tcPr>
          <w:p>
            <w:pPr>
              <w:spacing w:after="0" w:line="20" w:lineRule="exact"/>
              <w:rPr>
                <w:sz w:val="1"/>
                <w:szCs w:val="1"/>
                <w:color w:val="auto"/>
              </w:rPr>
            </w:pPr>
          </w:p>
        </w:tc>
        <w:tc>
          <w:tcPr>
            <w:tcW w:w="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5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color w:val="auto"/>
              </w:rPr>
              <w:t>Acquisitions</w:t>
            </w:r>
          </w:p>
        </w:tc>
        <w:tc>
          <w:tcPr>
            <w:tcW w:w="106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243</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8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440" w:type="dxa"/>
            <w:vAlign w:val="bottom"/>
            <w:gridSpan w:val="4"/>
            <w:shd w:val="clear" w:color="auto" w:fill="D5EAEA"/>
          </w:tcPr>
          <w:p>
            <w:pPr>
              <w:jc w:val="right"/>
              <w:ind w:right="400"/>
              <w:spacing w:after="0"/>
              <w:rPr>
                <w:sz w:val="20"/>
                <w:szCs w:val="20"/>
                <w:color w:val="auto"/>
              </w:rPr>
            </w:pPr>
            <w:r>
              <w:rPr>
                <w:rFonts w:ascii="Arial" w:cs="Arial" w:eastAsia="Arial" w:hAnsi="Arial"/>
                <w:sz w:val="17"/>
                <w:szCs w:val="17"/>
                <w:color w:val="auto"/>
              </w:rPr>
              <w:t>—</w:t>
            </w: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As of December 31, 2015</w:t>
            </w:r>
          </w:p>
        </w:tc>
        <w:tc>
          <w:tcPr>
            <w:tcW w:w="1060" w:type="dxa"/>
            <w:vAlign w:val="bottom"/>
            <w:shd w:val="clear" w:color="auto" w:fill="D5EAEA"/>
          </w:tcPr>
          <w:p>
            <w:pPr>
              <w:spacing w:after="0"/>
              <w:rPr>
                <w:sz w:val="20"/>
                <w:szCs w:val="20"/>
                <w:color w:val="auto"/>
              </w:rPr>
            </w:pPr>
          </w:p>
        </w:tc>
        <w:tc>
          <w:tcPr>
            <w:tcW w:w="128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2,058</w:t>
            </w:r>
          </w:p>
        </w:tc>
        <w:tc>
          <w:tcPr>
            <w:tcW w:w="120" w:type="dxa"/>
            <w:vAlign w:val="bottom"/>
            <w:shd w:val="clear" w:color="auto" w:fill="D5EAEA"/>
          </w:tcPr>
          <w:p>
            <w:pPr>
              <w:spacing w:after="0"/>
              <w:rPr>
                <w:sz w:val="20"/>
                <w:szCs w:val="20"/>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172</w:t>
            </w: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146</w:t>
            </w:r>
          </w:p>
        </w:tc>
        <w:tc>
          <w:tcPr>
            <w:tcW w:w="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200" w:type="dxa"/>
            <w:vAlign w:val="bottom"/>
            <w:shd w:val="clear" w:color="auto" w:fill="D5EAEA"/>
          </w:tcPr>
          <w:p>
            <w:pPr>
              <w:spacing w:after="0"/>
              <w:rPr>
                <w:sz w:val="20"/>
                <w:szCs w:val="20"/>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D5EAEA"/>
            </w:tcBorders>
          </w:tcPr>
          <w:p>
            <w:pPr>
              <w:spacing w:after="0" w:line="20" w:lineRule="exact"/>
              <w:rPr>
                <w:sz w:val="1"/>
                <w:szCs w:val="1"/>
                <w:color w:val="auto"/>
              </w:rPr>
            </w:pPr>
          </w:p>
        </w:tc>
        <w:tc>
          <w:tcPr>
            <w:tcW w:w="1180" w:type="dxa"/>
            <w:vAlign w:val="bottom"/>
            <w:tcBorders>
              <w:top w:val="single" w:sz="8" w:color="D5EAEA"/>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EAEA"/>
            </w:tcBorders>
          </w:tcPr>
          <w:p>
            <w:pPr>
              <w:spacing w:after="0" w:line="20" w:lineRule="exact"/>
              <w:rPr>
                <w:sz w:val="1"/>
                <w:szCs w:val="1"/>
                <w:color w:val="auto"/>
              </w:rPr>
            </w:pPr>
          </w:p>
        </w:tc>
        <w:tc>
          <w:tcPr>
            <w:tcW w:w="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5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color w:val="auto"/>
              </w:rPr>
              <w:t>Acquisitions</w:t>
            </w:r>
          </w:p>
        </w:tc>
        <w:tc>
          <w:tcPr>
            <w:tcW w:w="106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735</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126</w:t>
            </w: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37</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As of December 31, 2016</w:t>
            </w:r>
          </w:p>
        </w:tc>
        <w:tc>
          <w:tcPr>
            <w:tcW w:w="1060" w:type="dxa"/>
            <w:vAlign w:val="bottom"/>
            <w:shd w:val="clear" w:color="auto" w:fill="D5EAEA"/>
          </w:tcPr>
          <w:p>
            <w:pPr>
              <w:spacing w:after="0"/>
              <w:rPr>
                <w:sz w:val="20"/>
                <w:szCs w:val="20"/>
                <w:color w:val="auto"/>
              </w:rPr>
            </w:pPr>
          </w:p>
        </w:tc>
        <w:tc>
          <w:tcPr>
            <w:tcW w:w="128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2,793</w:t>
            </w:r>
          </w:p>
        </w:tc>
        <w:tc>
          <w:tcPr>
            <w:tcW w:w="120" w:type="dxa"/>
            <w:vAlign w:val="bottom"/>
            <w:shd w:val="clear" w:color="auto" w:fill="D5EAEA"/>
          </w:tcPr>
          <w:p>
            <w:pPr>
              <w:spacing w:after="0"/>
              <w:rPr>
                <w:sz w:val="20"/>
                <w:szCs w:val="20"/>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298</w:t>
            </w: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183</w:t>
            </w:r>
          </w:p>
        </w:tc>
        <w:tc>
          <w:tcPr>
            <w:tcW w:w="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200" w:type="dxa"/>
            <w:vAlign w:val="bottom"/>
            <w:shd w:val="clear" w:color="auto" w:fill="D5EAEA"/>
          </w:tcPr>
          <w:p>
            <w:pPr>
              <w:spacing w:after="0"/>
              <w:rPr>
                <w:sz w:val="20"/>
                <w:szCs w:val="20"/>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3,274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D5EAEA"/>
            </w:tcBorders>
          </w:tcPr>
          <w:p>
            <w:pPr>
              <w:spacing w:after="0" w:line="20" w:lineRule="exact"/>
              <w:rPr>
                <w:sz w:val="1"/>
                <w:szCs w:val="1"/>
                <w:color w:val="auto"/>
              </w:rPr>
            </w:pPr>
          </w:p>
        </w:tc>
        <w:tc>
          <w:tcPr>
            <w:tcW w:w="1060" w:type="dxa"/>
            <w:vAlign w:val="bottom"/>
            <w:tcBorders>
              <w:top w:val="single" w:sz="8" w:color="D5EAEA"/>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EAEA"/>
            </w:tcBorders>
          </w:tcPr>
          <w:p>
            <w:pPr>
              <w:spacing w:after="0" w:line="20" w:lineRule="exact"/>
              <w:rPr>
                <w:sz w:val="1"/>
                <w:szCs w:val="1"/>
                <w:color w:val="auto"/>
              </w:rPr>
            </w:pPr>
          </w:p>
        </w:tc>
        <w:tc>
          <w:tcPr>
            <w:tcW w:w="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5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color w:val="auto"/>
              </w:rPr>
              <w:t>Accumulated depreciation</w:t>
            </w:r>
          </w:p>
        </w:tc>
        <w:tc>
          <w:tcPr>
            <w:tcW w:w="10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As of January 1, 2015</w:t>
            </w:r>
          </w:p>
        </w:tc>
        <w:tc>
          <w:tcPr>
            <w:tcW w:w="1060" w:type="dxa"/>
            <w:vAlign w:val="bottom"/>
            <w:shd w:val="clear" w:color="auto" w:fill="D5EAEA"/>
          </w:tcPr>
          <w:p>
            <w:pPr>
              <w:spacing w:after="0"/>
              <w:rPr>
                <w:sz w:val="20"/>
                <w:szCs w:val="20"/>
                <w:color w:val="auto"/>
              </w:rPr>
            </w:pPr>
          </w:p>
        </w:tc>
        <w:tc>
          <w:tcPr>
            <w:tcW w:w="128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1,397</w:t>
            </w:r>
          </w:p>
        </w:tc>
        <w:tc>
          <w:tcPr>
            <w:tcW w:w="120" w:type="dxa"/>
            <w:vAlign w:val="bottom"/>
            <w:shd w:val="clear" w:color="auto" w:fill="D5EAEA"/>
          </w:tcPr>
          <w:p>
            <w:pPr>
              <w:spacing w:after="0"/>
              <w:rPr>
                <w:sz w:val="20"/>
                <w:szCs w:val="20"/>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100</w:t>
            </w: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92</w:t>
            </w:r>
          </w:p>
        </w:tc>
        <w:tc>
          <w:tcPr>
            <w:tcW w:w="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200" w:type="dxa"/>
            <w:vAlign w:val="bottom"/>
            <w:shd w:val="clear" w:color="auto" w:fill="D5EAEA"/>
          </w:tcPr>
          <w:p>
            <w:pPr>
              <w:spacing w:after="0"/>
              <w:rPr>
                <w:sz w:val="20"/>
                <w:szCs w:val="20"/>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D5EAEA"/>
            </w:tcBorders>
          </w:tcPr>
          <w:p>
            <w:pPr>
              <w:spacing w:after="0" w:line="20" w:lineRule="exact"/>
              <w:rPr>
                <w:sz w:val="1"/>
                <w:szCs w:val="1"/>
                <w:color w:val="auto"/>
              </w:rPr>
            </w:pPr>
          </w:p>
        </w:tc>
        <w:tc>
          <w:tcPr>
            <w:tcW w:w="1180" w:type="dxa"/>
            <w:vAlign w:val="bottom"/>
            <w:tcBorders>
              <w:top w:val="single" w:sz="8" w:color="D5EAEA"/>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EAEA"/>
            </w:tcBorders>
          </w:tcPr>
          <w:p>
            <w:pPr>
              <w:spacing w:after="0" w:line="20" w:lineRule="exact"/>
              <w:rPr>
                <w:sz w:val="1"/>
                <w:szCs w:val="1"/>
                <w:color w:val="auto"/>
              </w:rPr>
            </w:pPr>
          </w:p>
        </w:tc>
        <w:tc>
          <w:tcPr>
            <w:tcW w:w="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5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color w:val="auto"/>
              </w:rPr>
              <w:t>Depreciation</w:t>
            </w:r>
          </w:p>
        </w:tc>
        <w:tc>
          <w:tcPr>
            <w:tcW w:w="106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232</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38</w:t>
            </w: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17</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As of December 31, 2015</w:t>
            </w:r>
          </w:p>
        </w:tc>
        <w:tc>
          <w:tcPr>
            <w:tcW w:w="1060" w:type="dxa"/>
            <w:vAlign w:val="bottom"/>
            <w:shd w:val="clear" w:color="auto" w:fill="D5EAEA"/>
          </w:tcPr>
          <w:p>
            <w:pPr>
              <w:spacing w:after="0"/>
              <w:rPr>
                <w:sz w:val="20"/>
                <w:szCs w:val="20"/>
                <w:color w:val="auto"/>
              </w:rPr>
            </w:pPr>
          </w:p>
        </w:tc>
        <w:tc>
          <w:tcPr>
            <w:tcW w:w="128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1,629</w:t>
            </w:r>
          </w:p>
        </w:tc>
        <w:tc>
          <w:tcPr>
            <w:tcW w:w="120" w:type="dxa"/>
            <w:vAlign w:val="bottom"/>
            <w:shd w:val="clear" w:color="auto" w:fill="D5EAEA"/>
          </w:tcPr>
          <w:p>
            <w:pPr>
              <w:spacing w:after="0"/>
              <w:rPr>
                <w:sz w:val="20"/>
                <w:szCs w:val="20"/>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138</w:t>
            </w: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109</w:t>
            </w:r>
          </w:p>
        </w:tc>
        <w:tc>
          <w:tcPr>
            <w:tcW w:w="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200" w:type="dxa"/>
            <w:vAlign w:val="bottom"/>
            <w:shd w:val="clear" w:color="auto" w:fill="D5EAEA"/>
          </w:tcPr>
          <w:p>
            <w:pPr>
              <w:spacing w:after="0"/>
              <w:rPr>
                <w:sz w:val="20"/>
                <w:szCs w:val="20"/>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D5EAEA"/>
            </w:tcBorders>
          </w:tcPr>
          <w:p>
            <w:pPr>
              <w:spacing w:after="0" w:line="20" w:lineRule="exact"/>
              <w:rPr>
                <w:sz w:val="1"/>
                <w:szCs w:val="1"/>
                <w:color w:val="auto"/>
              </w:rPr>
            </w:pPr>
          </w:p>
        </w:tc>
        <w:tc>
          <w:tcPr>
            <w:tcW w:w="1180" w:type="dxa"/>
            <w:vAlign w:val="bottom"/>
            <w:tcBorders>
              <w:top w:val="single" w:sz="8" w:color="D5EAEA"/>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EAEA"/>
            </w:tcBorders>
          </w:tcPr>
          <w:p>
            <w:pPr>
              <w:spacing w:after="0" w:line="20" w:lineRule="exact"/>
              <w:rPr>
                <w:sz w:val="1"/>
                <w:szCs w:val="1"/>
                <w:color w:val="auto"/>
              </w:rPr>
            </w:pPr>
          </w:p>
        </w:tc>
        <w:tc>
          <w:tcPr>
            <w:tcW w:w="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5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color w:val="auto"/>
              </w:rPr>
              <w:t>Depreciation</w:t>
            </w:r>
          </w:p>
        </w:tc>
        <w:tc>
          <w:tcPr>
            <w:tcW w:w="106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229</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34</w:t>
            </w: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15</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As of December 31, 2016</w:t>
            </w:r>
          </w:p>
        </w:tc>
        <w:tc>
          <w:tcPr>
            <w:tcW w:w="1060" w:type="dxa"/>
            <w:vAlign w:val="bottom"/>
            <w:tcBorders>
              <w:bottom w:val="single" w:sz="8" w:color="D5EAEA"/>
            </w:tcBorders>
            <w:shd w:val="clear" w:color="auto" w:fill="D5EAEA"/>
          </w:tcPr>
          <w:p>
            <w:pPr>
              <w:spacing w:after="0"/>
              <w:rPr>
                <w:sz w:val="20"/>
                <w:szCs w:val="20"/>
                <w:color w:val="auto"/>
              </w:rPr>
            </w:pPr>
          </w:p>
        </w:tc>
        <w:tc>
          <w:tcPr>
            <w:tcW w:w="120" w:type="dxa"/>
            <w:vAlign w:val="bottom"/>
            <w:tcBorders>
              <w:bottom w:val="single" w:sz="8" w:color="D5EAEA"/>
            </w:tcBorders>
            <w:shd w:val="clear" w:color="auto" w:fill="D5EAEA"/>
          </w:tcPr>
          <w:p>
            <w:pPr>
              <w:spacing w:after="0"/>
              <w:rPr>
                <w:sz w:val="20"/>
                <w:szCs w:val="20"/>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1,858</w:t>
            </w:r>
          </w:p>
        </w:tc>
        <w:tc>
          <w:tcPr>
            <w:tcW w:w="120" w:type="dxa"/>
            <w:vAlign w:val="bottom"/>
            <w:tcBorders>
              <w:bottom w:val="single" w:sz="8" w:color="D5EAEA"/>
            </w:tcBorders>
            <w:shd w:val="clear" w:color="auto" w:fill="D5EAEA"/>
          </w:tcPr>
          <w:p>
            <w:pPr>
              <w:spacing w:after="0"/>
              <w:rPr>
                <w:sz w:val="20"/>
                <w:szCs w:val="20"/>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D5EAEA"/>
            </w:tcBorders>
            <w:gridSpan w:val="2"/>
            <w:shd w:val="clear" w:color="auto" w:fill="D5EAEA"/>
          </w:tcPr>
          <w:p>
            <w:pPr>
              <w:spacing w:after="0"/>
              <w:rPr>
                <w:sz w:val="20"/>
                <w:szCs w:val="20"/>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124</w:t>
            </w:r>
          </w:p>
        </w:tc>
        <w:tc>
          <w:tcPr>
            <w:tcW w:w="20" w:type="dxa"/>
            <w:vAlign w:val="bottom"/>
            <w:tcBorders>
              <w:bottom w:val="single" w:sz="8" w:color="auto"/>
            </w:tcBorders>
            <w:shd w:val="clear" w:color="auto" w:fill="D5EAEA"/>
          </w:tcPr>
          <w:p>
            <w:pPr>
              <w:spacing w:after="0"/>
              <w:rPr>
                <w:sz w:val="20"/>
                <w:szCs w:val="20"/>
                <w:color w:val="auto"/>
              </w:rPr>
            </w:pPr>
          </w:p>
        </w:tc>
        <w:tc>
          <w:tcPr>
            <w:tcW w:w="100" w:type="dxa"/>
            <w:vAlign w:val="bottom"/>
            <w:tcBorders>
              <w:bottom w:val="single" w:sz="8" w:color="D5EAEA"/>
            </w:tcBorders>
            <w:shd w:val="clear" w:color="auto" w:fill="D5EAEA"/>
          </w:tcPr>
          <w:p>
            <w:pPr>
              <w:spacing w:after="0"/>
              <w:rPr>
                <w:sz w:val="20"/>
                <w:szCs w:val="20"/>
                <w:color w:val="auto"/>
              </w:rPr>
            </w:pPr>
          </w:p>
        </w:tc>
        <w:tc>
          <w:tcPr>
            <w:tcW w:w="200" w:type="dxa"/>
            <w:vAlign w:val="bottom"/>
            <w:tcBorders>
              <w:bottom w:val="single" w:sz="8" w:color="auto"/>
            </w:tcBorders>
            <w:shd w:val="clear" w:color="auto" w:fill="D5EAEA"/>
          </w:tcPr>
          <w:p>
            <w:pPr>
              <w:spacing w:after="0"/>
              <w:rPr>
                <w:sz w:val="20"/>
                <w:szCs w:val="20"/>
                <w:color w:val="auto"/>
              </w:rPr>
            </w:pPr>
          </w:p>
        </w:tc>
        <w:tc>
          <w:tcPr>
            <w:tcW w:w="9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2,154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spacing w:after="0"/>
              <w:rPr>
                <w:sz w:val="20"/>
                <w:szCs w:val="20"/>
                <w:color w:val="auto"/>
              </w:rPr>
            </w:pPr>
            <w:r>
              <w:rPr>
                <w:rFonts w:ascii="Arial" w:cs="Arial" w:eastAsia="Arial" w:hAnsi="Arial"/>
                <w:sz w:val="17"/>
                <w:szCs w:val="17"/>
                <w:b w:val="1"/>
                <w:bCs w:val="1"/>
                <w:color w:val="auto"/>
              </w:rPr>
              <w:t>Net book value December 31, 2015</w:t>
            </w:r>
          </w:p>
        </w:tc>
        <w:tc>
          <w:tcPr>
            <w:tcW w:w="2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320" w:type="dxa"/>
            <w:vAlign w:val="bottom"/>
            <w:tcBorders>
              <w:bottom w:val="single" w:sz="8" w:color="D5EAEA"/>
            </w:tcBorders>
            <w:vMerge w:val="continue"/>
          </w:tcPr>
          <w:p>
            <w:pPr>
              <w:spacing w:after="0"/>
              <w:rPr>
                <w:sz w:val="19"/>
                <w:szCs w:val="19"/>
                <w:color w:val="auto"/>
              </w:rPr>
            </w:pPr>
          </w:p>
        </w:tc>
        <w:tc>
          <w:tcPr>
            <w:tcW w:w="1180" w:type="dxa"/>
            <w:vAlign w:val="bottom"/>
            <w:tcBorders>
              <w:bottom w:val="single" w:sz="8" w:color="D5EAEA"/>
            </w:tcBorders>
            <w:gridSpan w:val="2"/>
          </w:tcPr>
          <w:p>
            <w:pPr>
              <w:spacing w:after="0"/>
              <w:rPr>
                <w:sz w:val="19"/>
                <w:szCs w:val="19"/>
                <w:color w:val="auto"/>
              </w:rPr>
            </w:pPr>
          </w:p>
        </w:tc>
        <w:tc>
          <w:tcPr>
            <w:tcW w:w="1160" w:type="dxa"/>
            <w:vAlign w:val="bottom"/>
            <w:tcBorders>
              <w:top w:val="single" w:sz="8" w:color="auto"/>
              <w:bottom w:val="single" w:sz="8" w:color="auto"/>
            </w:tcBorders>
          </w:tcPr>
          <w:p>
            <w:pPr>
              <w:jc w:val="right"/>
              <w:ind w:right="33"/>
              <w:spacing w:after="0" w:line="187" w:lineRule="exact"/>
              <w:rPr>
                <w:sz w:val="20"/>
                <w:szCs w:val="20"/>
                <w:color w:val="auto"/>
              </w:rPr>
            </w:pPr>
            <w:r>
              <w:rPr>
                <w:rFonts w:ascii="Arial" w:cs="Arial" w:eastAsia="Arial" w:hAnsi="Arial"/>
                <w:sz w:val="17"/>
                <w:szCs w:val="17"/>
                <w:color w:val="auto"/>
              </w:rPr>
              <w:t>429</w:t>
            </w:r>
          </w:p>
        </w:tc>
        <w:tc>
          <w:tcPr>
            <w:tcW w:w="120" w:type="dxa"/>
            <w:vAlign w:val="bottom"/>
            <w:tcBorders>
              <w:bottom w:val="single" w:sz="8" w:color="D5EAEA"/>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3"/>
              <w:spacing w:after="0" w:line="187" w:lineRule="exact"/>
              <w:rPr>
                <w:sz w:val="20"/>
                <w:szCs w:val="20"/>
                <w:color w:val="auto"/>
              </w:rPr>
            </w:pPr>
            <w:r>
              <w:rPr>
                <w:rFonts w:ascii="Arial" w:cs="Arial" w:eastAsia="Arial" w:hAnsi="Arial"/>
                <w:sz w:val="17"/>
                <w:szCs w:val="17"/>
                <w:color w:val="auto"/>
              </w:rPr>
              <w:t>34</w:t>
            </w:r>
          </w:p>
        </w:tc>
        <w:tc>
          <w:tcPr>
            <w:tcW w:w="80" w:type="dxa"/>
            <w:vAlign w:val="bottom"/>
            <w:tcBorders>
              <w:bottom w:val="single" w:sz="8" w:color="D5EAEA"/>
            </w:tcBorders>
          </w:tcPr>
          <w:p>
            <w:pPr>
              <w:spacing w:after="0"/>
              <w:rPr>
                <w:sz w:val="19"/>
                <w:szCs w:val="19"/>
                <w:color w:val="auto"/>
              </w:rPr>
            </w:pPr>
          </w:p>
        </w:tc>
        <w:tc>
          <w:tcPr>
            <w:tcW w:w="20" w:type="dxa"/>
            <w:vAlign w:val="bottom"/>
            <w:tcBorders>
              <w:bottom w:val="single" w:sz="8" w:color="D5EAEA"/>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
              <w:spacing w:after="0" w:line="187" w:lineRule="exact"/>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20" w:type="dxa"/>
            <w:vAlign w:val="bottom"/>
            <w:tcBorders>
              <w:bottom w:val="single" w:sz="8" w:color="D5EAEA"/>
            </w:tcBorders>
            <w:shd w:val="clear" w:color="auto" w:fill="D5EAEA"/>
          </w:tcPr>
          <w:p>
            <w:pPr>
              <w:spacing w:after="0" w:line="186" w:lineRule="exact"/>
              <w:rPr>
                <w:sz w:val="20"/>
                <w:szCs w:val="20"/>
                <w:color w:val="auto"/>
              </w:rPr>
            </w:pPr>
            <w:r>
              <w:rPr>
                <w:rFonts w:ascii="Arial" w:cs="Arial" w:eastAsia="Arial" w:hAnsi="Arial"/>
                <w:sz w:val="17"/>
                <w:szCs w:val="17"/>
                <w:b w:val="1"/>
                <w:bCs w:val="1"/>
                <w:color w:val="auto"/>
              </w:rPr>
              <w:t>Net book value December 31, 2016</w:t>
            </w:r>
          </w:p>
        </w:tc>
        <w:tc>
          <w:tcPr>
            <w:tcW w:w="1180" w:type="dxa"/>
            <w:vAlign w:val="bottom"/>
            <w:tcBorders>
              <w:bottom w:val="single" w:sz="8" w:color="D5EAEA"/>
            </w:tcBorders>
            <w:gridSpan w:val="2"/>
            <w:shd w:val="clear" w:color="auto" w:fill="D5EAEA"/>
          </w:tcPr>
          <w:p>
            <w:pPr>
              <w:spacing w:after="0"/>
              <w:rPr>
                <w:sz w:val="16"/>
                <w:szCs w:val="16"/>
                <w:color w:val="auto"/>
              </w:rPr>
            </w:pPr>
          </w:p>
        </w:tc>
        <w:tc>
          <w:tcPr>
            <w:tcW w:w="1160" w:type="dxa"/>
            <w:vAlign w:val="bottom"/>
            <w:tcBorders>
              <w:bottom w:val="single" w:sz="8" w:color="auto"/>
            </w:tcBorders>
            <w:shd w:val="clear" w:color="auto" w:fill="D5EAEA"/>
          </w:tcPr>
          <w:p>
            <w:pPr>
              <w:jc w:val="right"/>
              <w:ind w:right="33"/>
              <w:spacing w:after="0" w:line="187" w:lineRule="exact"/>
              <w:rPr>
                <w:sz w:val="20"/>
                <w:szCs w:val="20"/>
                <w:color w:val="auto"/>
              </w:rPr>
            </w:pPr>
            <w:r>
              <w:rPr>
                <w:rFonts w:ascii="Arial" w:cs="Arial" w:eastAsia="Arial" w:hAnsi="Arial"/>
                <w:sz w:val="17"/>
                <w:szCs w:val="17"/>
                <w:color w:val="auto"/>
              </w:rPr>
              <w:t>935</w:t>
            </w:r>
          </w:p>
        </w:tc>
        <w:tc>
          <w:tcPr>
            <w:tcW w:w="120" w:type="dxa"/>
            <w:vAlign w:val="bottom"/>
            <w:tcBorders>
              <w:bottom w:val="single" w:sz="8" w:color="D5EAEA"/>
            </w:tcBorders>
            <w:shd w:val="clear" w:color="auto" w:fill="D5EAEA"/>
          </w:tcPr>
          <w:p>
            <w:pPr>
              <w:spacing w:after="0"/>
              <w:rPr>
                <w:sz w:val="16"/>
                <w:szCs w:val="16"/>
                <w:color w:val="auto"/>
              </w:rPr>
            </w:pPr>
          </w:p>
        </w:tc>
        <w:tc>
          <w:tcPr>
            <w:tcW w:w="1160" w:type="dxa"/>
            <w:vAlign w:val="bottom"/>
            <w:tcBorders>
              <w:bottom w:val="single" w:sz="8" w:color="auto"/>
            </w:tcBorders>
            <w:shd w:val="clear" w:color="auto" w:fill="D5EAEA"/>
          </w:tcPr>
          <w:p>
            <w:pPr>
              <w:jc w:val="right"/>
              <w:ind w:right="33"/>
              <w:spacing w:after="0" w:line="187" w:lineRule="exact"/>
              <w:rPr>
                <w:sz w:val="20"/>
                <w:szCs w:val="20"/>
                <w:color w:val="auto"/>
              </w:rPr>
            </w:pPr>
            <w:r>
              <w:rPr>
                <w:rFonts w:ascii="Arial" w:cs="Arial" w:eastAsia="Arial" w:hAnsi="Arial"/>
                <w:sz w:val="17"/>
                <w:szCs w:val="17"/>
                <w:color w:val="auto"/>
              </w:rPr>
              <w:t>126</w:t>
            </w:r>
          </w:p>
        </w:tc>
        <w:tc>
          <w:tcPr>
            <w:tcW w:w="80" w:type="dxa"/>
            <w:vAlign w:val="bottom"/>
            <w:tcBorders>
              <w:bottom w:val="single" w:sz="8" w:color="D5EAEA"/>
            </w:tcBorders>
            <w:shd w:val="clear" w:color="auto" w:fill="D5EAEA"/>
          </w:tcPr>
          <w:p>
            <w:pPr>
              <w:spacing w:after="0"/>
              <w:rPr>
                <w:sz w:val="16"/>
                <w:szCs w:val="16"/>
                <w:color w:val="auto"/>
              </w:rPr>
            </w:pPr>
          </w:p>
        </w:tc>
        <w:tc>
          <w:tcPr>
            <w:tcW w:w="20" w:type="dxa"/>
            <w:vAlign w:val="bottom"/>
            <w:tcBorders>
              <w:bottom w:val="single" w:sz="8" w:color="D5EAEA"/>
            </w:tcBorders>
            <w:shd w:val="clear" w:color="auto" w:fill="D5EAEA"/>
          </w:tcPr>
          <w:p>
            <w:pPr>
              <w:spacing w:after="0"/>
              <w:rPr>
                <w:sz w:val="16"/>
                <w:szCs w:val="16"/>
                <w:color w:val="auto"/>
              </w:rPr>
            </w:pPr>
          </w:p>
        </w:tc>
        <w:tc>
          <w:tcPr>
            <w:tcW w:w="1120" w:type="dxa"/>
            <w:vAlign w:val="bottom"/>
            <w:tcBorders>
              <w:bottom w:val="single" w:sz="8" w:color="auto"/>
            </w:tcBorders>
            <w:shd w:val="clear" w:color="auto" w:fill="D5EAEA"/>
          </w:tcPr>
          <w:p>
            <w:pPr>
              <w:jc w:val="right"/>
              <w:spacing w:after="0" w:line="187" w:lineRule="exact"/>
              <w:rPr>
                <w:sz w:val="20"/>
                <w:szCs w:val="20"/>
                <w:color w:val="auto"/>
              </w:rPr>
            </w:pPr>
            <w:r>
              <w:rPr>
                <w:rFonts w:ascii="Arial" w:cs="Arial" w:eastAsia="Arial" w:hAnsi="Arial"/>
                <w:sz w:val="17"/>
                <w:szCs w:val="17"/>
                <w:color w:val="auto"/>
              </w:rPr>
              <w:t>59</w:t>
            </w:r>
          </w:p>
        </w:tc>
        <w:tc>
          <w:tcPr>
            <w:tcW w:w="20" w:type="dxa"/>
            <w:vAlign w:val="bottom"/>
            <w:tcBorders>
              <w:bottom w:val="single" w:sz="8" w:color="auto"/>
            </w:tcBorders>
            <w:shd w:val="clear" w:color="auto" w:fill="D5EAEA"/>
          </w:tcPr>
          <w:p>
            <w:pPr>
              <w:spacing w:after="0"/>
              <w:rPr>
                <w:sz w:val="16"/>
                <w:szCs w:val="16"/>
                <w:color w:val="auto"/>
              </w:rPr>
            </w:pPr>
          </w:p>
        </w:tc>
        <w:tc>
          <w:tcPr>
            <w:tcW w:w="100" w:type="dxa"/>
            <w:vAlign w:val="bottom"/>
            <w:tcBorders>
              <w:bottom w:val="single" w:sz="8" w:color="D5EAEA"/>
            </w:tcBorders>
            <w:shd w:val="clear" w:color="auto" w:fill="D5EAEA"/>
          </w:tcPr>
          <w:p>
            <w:pPr>
              <w:spacing w:after="0"/>
              <w:rPr>
                <w:sz w:val="16"/>
                <w:szCs w:val="16"/>
                <w:color w:val="auto"/>
              </w:rPr>
            </w:pPr>
          </w:p>
        </w:tc>
        <w:tc>
          <w:tcPr>
            <w:tcW w:w="200" w:type="dxa"/>
            <w:vAlign w:val="bottom"/>
            <w:tcBorders>
              <w:bottom w:val="single" w:sz="8" w:color="auto"/>
            </w:tcBorders>
            <w:shd w:val="clear" w:color="auto" w:fill="D5EAEA"/>
          </w:tcPr>
          <w:p>
            <w:pPr>
              <w:spacing w:after="0"/>
              <w:rPr>
                <w:sz w:val="16"/>
                <w:szCs w:val="16"/>
                <w:color w:val="auto"/>
              </w:rPr>
            </w:pPr>
          </w:p>
        </w:tc>
        <w:tc>
          <w:tcPr>
            <w:tcW w:w="920" w:type="dxa"/>
            <w:vAlign w:val="bottom"/>
            <w:tcBorders>
              <w:bottom w:val="single" w:sz="8" w:color="auto"/>
            </w:tcBorders>
            <w:shd w:val="clear" w:color="auto" w:fill="D5EAEA"/>
          </w:tcPr>
          <w:p>
            <w:pPr>
              <w:jc w:val="right"/>
              <w:ind w:right="13"/>
              <w:spacing w:after="0" w:line="187" w:lineRule="exact"/>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5.  Financial assets</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3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6"/>
          </w:tcPr>
          <w:p>
            <w:pPr>
              <w:jc w:val="center"/>
              <w:spacing w:after="0"/>
              <w:rPr>
                <w:sz w:val="20"/>
                <w:szCs w:val="20"/>
                <w:color w:val="auto"/>
              </w:rPr>
            </w:pPr>
            <w:r>
              <w:rPr>
                <w:rFonts w:ascii="Arial" w:cs="Arial" w:eastAsia="Arial" w:hAnsi="Arial"/>
                <w:sz w:val="17"/>
                <w:szCs w:val="17"/>
                <w:b w:val="1"/>
                <w:bCs w:val="1"/>
                <w:color w:val="auto"/>
                <w:w w:val="91"/>
              </w:rPr>
              <w:t>For the Years Ended 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40" w:type="dxa"/>
            <w:vAlign w:val="bottom"/>
            <w:gridSpan w:val="6"/>
          </w:tcPr>
          <w:p>
            <w:pPr>
              <w:jc w:val="right"/>
              <w:ind w:right="160"/>
              <w:spacing w:after="0"/>
              <w:rPr>
                <w:sz w:val="20"/>
                <w:szCs w:val="20"/>
                <w:color w:val="auto"/>
              </w:rPr>
            </w:pPr>
            <w:r>
              <w:rPr>
                <w:rFonts w:ascii="Arial" w:cs="Arial" w:eastAsia="Arial" w:hAnsi="Arial"/>
                <w:sz w:val="17"/>
                <w:szCs w:val="17"/>
                <w:b w:val="1"/>
                <w:bCs w:val="1"/>
                <w:color w:val="auto"/>
              </w:rPr>
              <w:t>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Borders>
              <w:bottom w:val="single" w:sz="8" w:color="D5EAEA"/>
            </w:tcBorders>
          </w:tcPr>
          <w:p>
            <w:pPr>
              <w:ind w:left="3760"/>
              <w:spacing w:after="0"/>
              <w:rPr>
                <w:sz w:val="20"/>
                <w:szCs w:val="20"/>
                <w:color w:val="auto"/>
              </w:rPr>
            </w:pPr>
            <w:r>
              <w:rPr>
                <w:rFonts w:ascii="Arial" w:cs="Arial" w:eastAsia="Arial" w:hAnsi="Arial"/>
                <w:sz w:val="17"/>
                <w:szCs w:val="17"/>
                <w:b w:val="1"/>
                <w:bCs w:val="1"/>
                <w:color w:val="auto"/>
              </w:rPr>
              <w:t>in CHF thousands</w:t>
            </w:r>
          </w:p>
        </w:tc>
        <w:tc>
          <w:tcPr>
            <w:tcW w:w="10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1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16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top w:val="single" w:sz="8" w:color="auto"/>
              <w:bottom w:val="single" w:sz="8" w:color="D5EAEA"/>
            </w:tcBorders>
          </w:tcPr>
          <w:p>
            <w:pPr>
              <w:spacing w:after="0"/>
              <w:rPr>
                <w:sz w:val="18"/>
                <w:szCs w:val="18"/>
                <w:color w:val="auto"/>
              </w:rPr>
            </w:pPr>
          </w:p>
        </w:tc>
        <w:tc>
          <w:tcPr>
            <w:tcW w:w="100" w:type="dxa"/>
            <w:vAlign w:val="bottom"/>
            <w:tcBorders>
              <w:top w:val="single" w:sz="8" w:color="auto"/>
              <w:bottom w:val="single" w:sz="8" w:color="D5EAEA"/>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color w:val="auto"/>
              </w:rPr>
              <w:t>Rental deposit (restricted cash)</w:t>
            </w:r>
          </w:p>
        </w:tc>
        <w:tc>
          <w:tcPr>
            <w:tcW w:w="10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1140" w:type="dxa"/>
            <w:vAlign w:val="bottom"/>
            <w:gridSpan w:val="2"/>
            <w:shd w:val="clear" w:color="auto" w:fill="D5EAEA"/>
          </w:tcPr>
          <w:p>
            <w:pPr>
              <w:jc w:val="right"/>
              <w:ind w:right="13"/>
              <w:spacing w:after="0"/>
              <w:rPr>
                <w:sz w:val="20"/>
                <w:szCs w:val="20"/>
                <w:color w:val="auto"/>
              </w:rPr>
            </w:pPr>
            <w:r>
              <w:rPr>
                <w:rFonts w:ascii="Arial" w:cs="Arial" w:eastAsia="Arial" w:hAnsi="Arial"/>
                <w:sz w:val="17"/>
                <w:szCs w:val="17"/>
                <w:color w:val="auto"/>
              </w:rPr>
              <w:t>83</w:t>
            </w:r>
          </w:p>
        </w:tc>
        <w:tc>
          <w:tcPr>
            <w:tcW w:w="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Security Deposit</w:t>
            </w:r>
          </w:p>
        </w:tc>
        <w:tc>
          <w:tcPr>
            <w:tcW w:w="106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6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60" w:type="dxa"/>
            <w:vAlign w:val="bottom"/>
            <w:tcBorders>
              <w:bottom w:val="single" w:sz="8" w:color="D5EAEA"/>
            </w:tcBorders>
          </w:tcPr>
          <w:p>
            <w:pPr>
              <w:spacing w:after="0"/>
              <w:rPr>
                <w:sz w:val="19"/>
                <w:szCs w:val="19"/>
                <w:color w:val="auto"/>
              </w:rPr>
            </w:pPr>
          </w:p>
        </w:tc>
        <w:tc>
          <w:tcPr>
            <w:tcW w:w="8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3</w:t>
            </w:r>
          </w:p>
        </w:tc>
        <w:tc>
          <w:tcPr>
            <w:tcW w:w="2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Total</w:t>
            </w:r>
          </w:p>
        </w:tc>
        <w:tc>
          <w:tcPr>
            <w:tcW w:w="10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2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86</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9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D5EAEA"/>
            </w:tcBorders>
          </w:tcPr>
          <w:p>
            <w:pPr>
              <w:spacing w:after="0" w:line="20" w:lineRule="exact"/>
              <w:rPr>
                <w:sz w:val="1"/>
                <w:szCs w:val="1"/>
                <w:color w:val="auto"/>
              </w:rPr>
            </w:pPr>
          </w:p>
        </w:tc>
        <w:tc>
          <w:tcPr>
            <w:tcW w:w="2460" w:type="dxa"/>
            <w:vAlign w:val="bottom"/>
            <w:tcBorders>
              <w:top w:val="single" w:sz="8" w:color="D5EAEA"/>
              <w:bottom w:val="single" w:sz="8" w:color="D5EAEA"/>
            </w:tcBorders>
            <w:gridSpan w:val="4"/>
            <w:vMerge w:val="restart"/>
          </w:tcPr>
          <w:p>
            <w:pPr>
              <w:ind w:left="220"/>
              <w:spacing w:after="0"/>
              <w:rPr>
                <w:sz w:val="20"/>
                <w:szCs w:val="20"/>
                <w:color w:val="auto"/>
              </w:rPr>
            </w:pPr>
            <w:r>
              <w:rPr>
                <w:rFonts w:ascii="Arial" w:cs="Arial" w:eastAsia="Arial" w:hAnsi="Arial"/>
                <w:sz w:val="17"/>
                <w:szCs w:val="17"/>
                <w:color w:val="auto"/>
              </w:rPr>
              <w:t>F-14</w:t>
            </w:r>
          </w:p>
        </w:tc>
        <w:tc>
          <w:tcPr>
            <w:tcW w:w="1160" w:type="dxa"/>
            <w:vAlign w:val="bottom"/>
            <w:tcBorders>
              <w:top w:val="single" w:sz="8" w:color="D5EAEA"/>
            </w:tcBorders>
          </w:tcPr>
          <w:p>
            <w:pPr>
              <w:spacing w:after="0" w:line="20" w:lineRule="exact"/>
              <w:rPr>
                <w:sz w:val="1"/>
                <w:szCs w:val="1"/>
                <w:color w:val="auto"/>
              </w:rPr>
            </w:pPr>
          </w:p>
        </w:tc>
        <w:tc>
          <w:tcPr>
            <w:tcW w:w="80" w:type="dxa"/>
            <w:vAlign w:val="bottom"/>
            <w:tcBorders>
              <w:top w:val="single" w:sz="8" w:color="D5EAE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5EAEA"/>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9" w:right="239" w:bottom="1440" w:gutter="0" w:footer="0" w:header="0"/>
        </w:sectPr>
      </w:pPr>
    </w:p>
    <w:bookmarkStart w:id="155" w:name="page156"/>
    <w:bookmarkEnd w:id="155"/>
    <w:p>
      <w:pPr>
        <w:ind w:left="320"/>
        <w:spacing w:after="0"/>
        <w:rPr>
          <w:sz w:val="20"/>
          <w:szCs w:val="20"/>
          <w:color w:val="auto"/>
        </w:rPr>
      </w:pPr>
      <w:r>
        <w:rPr>
          <w:rFonts w:ascii="Arial" w:cs="Arial" w:eastAsia="Arial" w:hAnsi="Arial"/>
          <w:sz w:val="17"/>
          <w:szCs w:val="17"/>
          <w:color w:val="auto"/>
        </w:rPr>
        <w:t>AC Immune has two deposits in escrow accounts totaling CHF 86 thousand associated with the lease of the Company’s premises.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040" w:type="dxa"/>
            <w:vAlign w:val="bottom"/>
          </w:tcPr>
          <w:p>
            <w:pPr>
              <w:spacing w:after="0"/>
              <w:rPr>
                <w:sz w:val="20"/>
                <w:szCs w:val="20"/>
                <w:color w:val="auto"/>
              </w:rPr>
            </w:pPr>
            <w:r>
              <w:rPr>
                <w:rFonts w:ascii="Arial" w:cs="Arial" w:eastAsia="Arial" w:hAnsi="Arial"/>
                <w:sz w:val="17"/>
                <w:szCs w:val="17"/>
                <w:b w:val="1"/>
                <w:bCs w:val="1"/>
                <w:color w:val="auto"/>
              </w:rPr>
              <w:t>6.  Prepaid expenses and accrued income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98"/>
        </w:trPr>
        <w:tc>
          <w:tcPr>
            <w:tcW w:w="904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17"/>
                <w:szCs w:val="17"/>
                <w:b w:val="1"/>
                <w:bCs w:val="1"/>
                <w:color w:val="auto"/>
                <w:w w:val="91"/>
              </w:rPr>
              <w:t>For the Years Ended December</w:t>
            </w:r>
          </w:p>
        </w:tc>
      </w:tr>
      <w:tr>
        <w:trPr>
          <w:trHeight w:val="226"/>
        </w:trPr>
        <w:tc>
          <w:tcPr>
            <w:tcW w:w="90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993"/>
              <w:spacing w:after="0"/>
              <w:rPr>
                <w:sz w:val="20"/>
                <w:szCs w:val="20"/>
                <w:color w:val="auto"/>
              </w:rPr>
            </w:pPr>
            <w:r>
              <w:rPr>
                <w:rFonts w:ascii="Arial" w:cs="Arial" w:eastAsia="Arial" w:hAnsi="Arial"/>
                <w:sz w:val="17"/>
                <w:szCs w:val="17"/>
                <w:b w:val="1"/>
                <w:bCs w:val="1"/>
                <w:color w:val="auto"/>
                <w:w w:val="92"/>
              </w:rPr>
              <w:t>31,</w:t>
            </w:r>
          </w:p>
        </w:tc>
      </w:tr>
      <w:tr>
        <w:trPr>
          <w:trHeight w:val="214"/>
        </w:trPr>
        <w:tc>
          <w:tcPr>
            <w:tcW w:w="9040" w:type="dxa"/>
            <w:vAlign w:val="bottom"/>
          </w:tcPr>
          <w:p>
            <w:pPr>
              <w:ind w:left="3780"/>
              <w:spacing w:after="0"/>
              <w:rPr>
                <w:sz w:val="20"/>
                <w:szCs w:val="20"/>
                <w:color w:val="auto"/>
              </w:rPr>
            </w:pPr>
            <w:r>
              <w:rPr>
                <w:rFonts w:ascii="Arial" w:cs="Arial" w:eastAsia="Arial" w:hAnsi="Arial"/>
                <w:sz w:val="17"/>
                <w:szCs w:val="17"/>
                <w:b w:val="1"/>
                <w:bCs w:val="1"/>
                <w:color w:val="auto"/>
              </w:rPr>
              <w:t>in CHF thousands</w:t>
            </w:r>
          </w:p>
        </w:tc>
        <w:tc>
          <w:tcPr>
            <w:tcW w:w="1060" w:type="dxa"/>
            <w:vAlign w:val="bottom"/>
          </w:tcPr>
          <w:p>
            <w:pPr>
              <w:jc w:val="right"/>
              <w:ind w:right="233"/>
              <w:spacing w:after="0"/>
              <w:rPr>
                <w:sz w:val="20"/>
                <w:szCs w:val="20"/>
                <w:color w:val="auto"/>
              </w:rPr>
            </w:pPr>
            <w:r>
              <w:rPr>
                <w:rFonts w:ascii="Arial" w:cs="Arial" w:eastAsia="Arial" w:hAnsi="Arial"/>
                <w:sz w:val="17"/>
                <w:szCs w:val="17"/>
                <w:b w:val="1"/>
                <w:bCs w:val="1"/>
                <w:color w:val="auto"/>
              </w:rPr>
              <w:t>2016</w:t>
            </w:r>
          </w:p>
        </w:tc>
        <w:tc>
          <w:tcPr>
            <w:tcW w:w="1320" w:type="dxa"/>
            <w:vAlign w:val="bottom"/>
            <w:gridSpan w:val="3"/>
          </w:tcPr>
          <w:p>
            <w:pPr>
              <w:jc w:val="right"/>
              <w:ind w:right="293"/>
              <w:spacing w:after="0"/>
              <w:rPr>
                <w:sz w:val="20"/>
                <w:szCs w:val="20"/>
                <w:color w:val="auto"/>
              </w:rPr>
            </w:pPr>
            <w:r>
              <w:rPr>
                <w:rFonts w:ascii="Arial" w:cs="Arial" w:eastAsia="Arial" w:hAnsi="Arial"/>
                <w:sz w:val="17"/>
                <w:szCs w:val="17"/>
                <w:b w:val="1"/>
                <w:bCs w:val="1"/>
                <w:color w:val="auto"/>
              </w:rPr>
              <w:t>2015</w:t>
            </w:r>
          </w:p>
        </w:tc>
      </w:tr>
      <w:tr>
        <w:trPr>
          <w:trHeight w:val="201"/>
        </w:trPr>
        <w:tc>
          <w:tcPr>
            <w:tcW w:w="90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Prepaid expenses</w:t>
            </w:r>
          </w:p>
        </w:tc>
        <w:tc>
          <w:tcPr>
            <w:tcW w:w="10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1,278</w:t>
            </w:r>
          </w:p>
        </w:tc>
        <w:tc>
          <w:tcPr>
            <w:tcW w:w="8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339</w:t>
            </w:r>
          </w:p>
        </w:tc>
      </w:tr>
      <w:tr>
        <w:trPr>
          <w:trHeight w:val="208"/>
        </w:trPr>
        <w:tc>
          <w:tcPr>
            <w:tcW w:w="9040" w:type="dxa"/>
            <w:vAlign w:val="bottom"/>
          </w:tcPr>
          <w:p>
            <w:pPr>
              <w:spacing w:after="0"/>
              <w:rPr>
                <w:sz w:val="20"/>
                <w:szCs w:val="20"/>
                <w:color w:val="auto"/>
              </w:rPr>
            </w:pPr>
            <w:r>
              <w:rPr>
                <w:rFonts w:ascii="Arial" w:cs="Arial" w:eastAsia="Arial" w:hAnsi="Arial"/>
                <w:sz w:val="17"/>
                <w:szCs w:val="17"/>
                <w:color w:val="auto"/>
              </w:rPr>
              <w:t>Deferred offering costs</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2,169</w:t>
            </w:r>
          </w:p>
        </w:tc>
      </w:tr>
      <w:tr>
        <w:trPr>
          <w:trHeight w:val="208"/>
        </w:trPr>
        <w:tc>
          <w:tcPr>
            <w:tcW w:w="9040" w:type="dxa"/>
            <w:vAlign w:val="bottom"/>
            <w:shd w:val="clear" w:color="auto" w:fill="D5EAEA"/>
          </w:tcPr>
          <w:p>
            <w:pPr>
              <w:spacing w:after="0"/>
              <w:rPr>
                <w:sz w:val="20"/>
                <w:szCs w:val="20"/>
                <w:color w:val="auto"/>
              </w:rPr>
            </w:pPr>
            <w:r>
              <w:rPr>
                <w:rFonts w:ascii="Arial" w:cs="Arial" w:eastAsia="Arial" w:hAnsi="Arial"/>
                <w:sz w:val="17"/>
                <w:szCs w:val="17"/>
                <w:color w:val="auto"/>
              </w:rPr>
              <w:t>Accrued income</w:t>
            </w:r>
          </w:p>
        </w:tc>
        <w:tc>
          <w:tcPr>
            <w:tcW w:w="10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889</w:t>
            </w:r>
          </w:p>
        </w:tc>
        <w:tc>
          <w:tcPr>
            <w:tcW w:w="132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w:t>
            </w:r>
          </w:p>
        </w:tc>
      </w:tr>
      <w:tr>
        <w:trPr>
          <w:trHeight w:val="221"/>
        </w:trPr>
        <w:tc>
          <w:tcPr>
            <w:tcW w:w="904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Grant receivable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47</w:t>
            </w:r>
          </w:p>
        </w:tc>
      </w:tr>
      <w:tr>
        <w:trPr>
          <w:trHeight w:val="214"/>
        </w:trPr>
        <w:tc>
          <w:tcPr>
            <w:tcW w:w="904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Total</w:t>
            </w:r>
          </w:p>
        </w:tc>
        <w:tc>
          <w:tcPr>
            <w:tcW w:w="10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2,167</w:t>
            </w:r>
          </w:p>
        </w:tc>
        <w:tc>
          <w:tcPr>
            <w:tcW w:w="132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2,555</w:t>
            </w:r>
          </w:p>
        </w:tc>
      </w:tr>
      <w:tr>
        <w:trPr>
          <w:trHeight w:val="20"/>
        </w:trPr>
        <w:tc>
          <w:tcPr>
            <w:tcW w:w="9040" w:type="dxa"/>
            <w:vAlign w:val="bottom"/>
            <w:tcBorders>
              <w:top w:val="single" w:sz="8" w:color="D5EAEA"/>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 related activities will start or continue into 2017.</w:t>
      </w:r>
    </w:p>
    <w:p>
      <w:pPr>
        <w:spacing w:after="0" w:line="232" w:lineRule="exact"/>
        <w:rPr>
          <w:sz w:val="20"/>
          <w:szCs w:val="20"/>
          <w:color w:val="auto"/>
        </w:rPr>
      </w:pPr>
    </w:p>
    <w:p>
      <w:pPr>
        <w:jc w:val="both"/>
        <w:ind w:right="380" w:firstLine="312"/>
        <w:spacing w:after="0" w:line="270" w:lineRule="auto"/>
        <w:rPr>
          <w:sz w:val="20"/>
          <w:szCs w:val="20"/>
          <w:color w:val="auto"/>
        </w:rPr>
      </w:pPr>
      <w:r>
        <w:rPr>
          <w:rFonts w:ascii="Arial" w:cs="Arial" w:eastAsia="Arial" w:hAnsi="Arial"/>
          <w:sz w:val="17"/>
          <w:szCs w:val="17"/>
          <w:color w:val="auto"/>
        </w:rPr>
        <w:t>As of December 31, 2015, the deferred offering costs of CHF 2,169 thousand consisted primarily of direct incremental legal, accounting and printing costs relating to the Company’s then planned IPO. Upon successful completion of the IPO in September 2016, the deferred offering costs were an offset against IPO proceeds within equity share premium (see Note 3).</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Accrued income consists of 2016 services performed within our Biogen contract (see Note 11), which have not yet been invoiced.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40" w:type="dxa"/>
            <w:vAlign w:val="bottom"/>
            <w:gridSpan w:val="2"/>
          </w:tcPr>
          <w:p>
            <w:pPr>
              <w:spacing w:after="0"/>
              <w:rPr>
                <w:sz w:val="20"/>
                <w:szCs w:val="20"/>
                <w:color w:val="auto"/>
              </w:rPr>
            </w:pPr>
            <w:r>
              <w:rPr>
                <w:rFonts w:ascii="Arial" w:cs="Arial" w:eastAsia="Arial" w:hAnsi="Arial"/>
                <w:sz w:val="17"/>
                <w:szCs w:val="17"/>
                <w:b w:val="1"/>
                <w:bCs w:val="1"/>
                <w:color w:val="auto"/>
              </w:rPr>
              <w:t>7.  Other current receivables</w:t>
            </w:r>
          </w:p>
        </w:tc>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8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For the Years Ended 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973"/>
              <w:spacing w:after="0"/>
              <w:rPr>
                <w:sz w:val="20"/>
                <w:szCs w:val="20"/>
                <w:color w:val="auto"/>
              </w:rPr>
            </w:pPr>
            <w:r>
              <w:rPr>
                <w:rFonts w:ascii="Arial" w:cs="Arial" w:eastAsia="Arial" w:hAnsi="Arial"/>
                <w:sz w:val="17"/>
                <w:szCs w:val="17"/>
                <w:b w:val="1"/>
                <w:bCs w:val="1"/>
                <w:color w:val="auto"/>
                <w:w w:val="92"/>
              </w:rPr>
              <w:t>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ind w:left="3760"/>
              <w:spacing w:after="0"/>
              <w:rPr>
                <w:sz w:val="20"/>
                <w:szCs w:val="20"/>
                <w:color w:val="auto"/>
              </w:rPr>
            </w:pPr>
            <w:r>
              <w:rPr>
                <w:rFonts w:ascii="Arial" w:cs="Arial" w:eastAsia="Arial" w:hAnsi="Arial"/>
                <w:sz w:val="17"/>
                <w:szCs w:val="17"/>
                <w:b w:val="1"/>
                <w:bCs w:val="1"/>
                <w:color w:val="auto"/>
              </w:rPr>
              <w:t>in CHF thousands</w:t>
            </w:r>
          </w:p>
        </w:tc>
        <w:tc>
          <w:tcPr>
            <w:tcW w:w="3700" w:type="dxa"/>
            <w:vAlign w:val="bottom"/>
          </w:tcPr>
          <w:p>
            <w:pPr>
              <w:spacing w:after="0"/>
              <w:rPr>
                <w:sz w:val="18"/>
                <w:szCs w:val="18"/>
                <w:color w:val="auto"/>
              </w:rPr>
            </w:pPr>
          </w:p>
        </w:tc>
        <w:tc>
          <w:tcPr>
            <w:tcW w:w="1060" w:type="dxa"/>
            <w:vAlign w:val="bottom"/>
          </w:tcPr>
          <w:p>
            <w:pPr>
              <w:jc w:val="right"/>
              <w:ind w:right="233"/>
              <w:spacing w:after="0"/>
              <w:rPr>
                <w:sz w:val="20"/>
                <w:szCs w:val="20"/>
                <w:color w:val="auto"/>
              </w:rPr>
            </w:pPr>
            <w:r>
              <w:rPr>
                <w:rFonts w:ascii="Arial" w:cs="Arial" w:eastAsia="Arial" w:hAnsi="Arial"/>
                <w:sz w:val="17"/>
                <w:szCs w:val="17"/>
                <w:b w:val="1"/>
                <w:bCs w:val="1"/>
                <w:color w:val="auto"/>
              </w:rPr>
              <w:t>2016</w:t>
            </w:r>
          </w:p>
        </w:tc>
        <w:tc>
          <w:tcPr>
            <w:tcW w:w="1320" w:type="dxa"/>
            <w:vAlign w:val="bottom"/>
            <w:gridSpan w:val="3"/>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Other receivables</w:t>
            </w:r>
          </w:p>
        </w:tc>
        <w:tc>
          <w:tcPr>
            <w:tcW w:w="3700" w:type="dxa"/>
            <w:vAlign w:val="bottom"/>
            <w:tcBorders>
              <w:top w:val="single" w:sz="8" w:color="D5EAEA"/>
            </w:tcBorders>
            <w:shd w:val="clear" w:color="auto" w:fill="D5EAEA"/>
          </w:tcPr>
          <w:p>
            <w:pPr>
              <w:spacing w:after="0"/>
              <w:rPr>
                <w:sz w:val="17"/>
                <w:szCs w:val="17"/>
                <w:color w:val="auto"/>
              </w:rPr>
            </w:pPr>
          </w:p>
        </w:tc>
        <w:tc>
          <w:tcPr>
            <w:tcW w:w="10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182</w:t>
            </w:r>
          </w:p>
        </w:tc>
        <w:tc>
          <w:tcPr>
            <w:tcW w:w="8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Swiss VAT</w:t>
            </w: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320</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color w:val="auto"/>
              </w:rPr>
              <w:t>Withholding tax</w:t>
            </w:r>
          </w:p>
        </w:tc>
        <w:tc>
          <w:tcPr>
            <w:tcW w:w="3700" w:type="dxa"/>
            <w:vAlign w:val="bottom"/>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37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11400" w:type="dxa"/>
            <w:vAlign w:val="bottom"/>
            <w:gridSpan w:val="6"/>
          </w:tcPr>
          <w:p>
            <w:pPr>
              <w:jc w:val="right"/>
              <w:ind w:right="293"/>
              <w:spacing w:after="0"/>
              <w:rPr>
                <w:sz w:val="20"/>
                <w:szCs w:val="20"/>
                <w:color w:val="auto"/>
              </w:rPr>
            </w:pPr>
            <w:r>
              <w:rPr>
                <w:rFonts w:ascii="Arial" w:cs="Arial" w:eastAsia="Arial" w:hAnsi="Arial"/>
                <w:sz w:val="17"/>
                <w:szCs w:val="17"/>
                <w:color w:val="auto"/>
                <w:w w:val="93"/>
              </w:rPr>
              <w:t>The maturity of these assets is less than three months. The Company considers the counterparty risk as low and the carrying amount of these receivables is</w:t>
            </w:r>
          </w:p>
        </w:tc>
        <w:tc>
          <w:tcPr>
            <w:tcW w:w="0" w:type="dxa"/>
            <w:vAlign w:val="bottom"/>
          </w:tcPr>
          <w:p>
            <w:pPr>
              <w:spacing w:after="0"/>
              <w:rPr>
                <w:sz w:val="1"/>
                <w:szCs w:val="1"/>
                <w:color w:val="auto"/>
              </w:rPr>
            </w:pPr>
          </w:p>
        </w:tc>
      </w:tr>
      <w:tr>
        <w:trPr>
          <w:trHeight w:val="220"/>
        </w:trPr>
        <w:tc>
          <w:tcPr>
            <w:tcW w:w="5340" w:type="dxa"/>
            <w:vAlign w:val="bottom"/>
            <w:gridSpan w:val="2"/>
          </w:tcPr>
          <w:p>
            <w:pPr>
              <w:spacing w:after="0"/>
              <w:rPr>
                <w:sz w:val="20"/>
                <w:szCs w:val="20"/>
                <w:color w:val="auto"/>
              </w:rPr>
            </w:pPr>
            <w:r>
              <w:rPr>
                <w:rFonts w:ascii="Arial" w:cs="Arial" w:eastAsia="Arial" w:hAnsi="Arial"/>
                <w:sz w:val="17"/>
                <w:szCs w:val="17"/>
                <w:color w:val="auto"/>
              </w:rPr>
              <w:t>considered to correspond to their fair value.</w:t>
            </w:r>
          </w:p>
        </w:tc>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340" w:type="dxa"/>
            <w:vAlign w:val="bottom"/>
            <w:gridSpan w:val="2"/>
          </w:tcPr>
          <w:p>
            <w:pPr>
              <w:spacing w:after="0"/>
              <w:rPr>
                <w:sz w:val="20"/>
                <w:szCs w:val="20"/>
                <w:color w:val="auto"/>
              </w:rPr>
            </w:pPr>
            <w:r>
              <w:rPr>
                <w:rFonts w:ascii="Arial" w:cs="Arial" w:eastAsia="Arial" w:hAnsi="Arial"/>
                <w:sz w:val="17"/>
                <w:szCs w:val="17"/>
                <w:b w:val="1"/>
                <w:bCs w:val="1"/>
                <w:color w:val="auto"/>
              </w:rPr>
              <w:t>8.  Cash and cash equivalents</w:t>
            </w:r>
          </w:p>
        </w:tc>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8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For the Years Ended 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973"/>
              <w:spacing w:after="0"/>
              <w:rPr>
                <w:sz w:val="20"/>
                <w:szCs w:val="20"/>
                <w:color w:val="auto"/>
              </w:rPr>
            </w:pPr>
            <w:r>
              <w:rPr>
                <w:rFonts w:ascii="Arial" w:cs="Arial" w:eastAsia="Arial" w:hAnsi="Arial"/>
                <w:sz w:val="17"/>
                <w:szCs w:val="17"/>
                <w:b w:val="1"/>
                <w:bCs w:val="1"/>
                <w:color w:val="auto"/>
                <w:w w:val="92"/>
              </w:rPr>
              <w:t>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ind w:left="3760"/>
              <w:spacing w:after="0"/>
              <w:rPr>
                <w:sz w:val="20"/>
                <w:szCs w:val="20"/>
                <w:color w:val="auto"/>
              </w:rPr>
            </w:pPr>
            <w:r>
              <w:rPr>
                <w:rFonts w:ascii="Arial" w:cs="Arial" w:eastAsia="Arial" w:hAnsi="Arial"/>
                <w:sz w:val="17"/>
                <w:szCs w:val="17"/>
                <w:b w:val="1"/>
                <w:bCs w:val="1"/>
                <w:color w:val="auto"/>
              </w:rPr>
              <w:t>in CHF thousands</w:t>
            </w:r>
          </w:p>
        </w:tc>
        <w:tc>
          <w:tcPr>
            <w:tcW w:w="3700" w:type="dxa"/>
            <w:vAlign w:val="bottom"/>
          </w:tcPr>
          <w:p>
            <w:pPr>
              <w:spacing w:after="0"/>
              <w:rPr>
                <w:sz w:val="18"/>
                <w:szCs w:val="18"/>
                <w:color w:val="auto"/>
              </w:rPr>
            </w:pPr>
          </w:p>
        </w:tc>
        <w:tc>
          <w:tcPr>
            <w:tcW w:w="1060" w:type="dxa"/>
            <w:vAlign w:val="bottom"/>
          </w:tcPr>
          <w:p>
            <w:pPr>
              <w:jc w:val="right"/>
              <w:ind w:right="233"/>
              <w:spacing w:after="0"/>
              <w:rPr>
                <w:sz w:val="20"/>
                <w:szCs w:val="20"/>
                <w:color w:val="auto"/>
              </w:rPr>
            </w:pPr>
            <w:r>
              <w:rPr>
                <w:rFonts w:ascii="Arial" w:cs="Arial" w:eastAsia="Arial" w:hAnsi="Arial"/>
                <w:sz w:val="17"/>
                <w:szCs w:val="17"/>
                <w:b w:val="1"/>
                <w:bCs w:val="1"/>
                <w:color w:val="auto"/>
              </w:rPr>
              <w:t>2016</w:t>
            </w:r>
          </w:p>
        </w:tc>
        <w:tc>
          <w:tcPr>
            <w:tcW w:w="1320" w:type="dxa"/>
            <w:vAlign w:val="bottom"/>
            <w:gridSpan w:val="3"/>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Cash</w:t>
            </w:r>
          </w:p>
        </w:tc>
        <w:tc>
          <w:tcPr>
            <w:tcW w:w="3700" w:type="dxa"/>
            <w:vAlign w:val="bottom"/>
            <w:tcBorders>
              <w:top w:val="single" w:sz="8" w:color="D5EAEA"/>
            </w:tcBorders>
            <w:shd w:val="clear" w:color="auto" w:fill="D5EAEA"/>
          </w:tcPr>
          <w:p>
            <w:pPr>
              <w:spacing w:after="0"/>
              <w:rPr>
                <w:sz w:val="17"/>
                <w:szCs w:val="17"/>
                <w:color w:val="auto"/>
              </w:rPr>
            </w:pPr>
          </w:p>
        </w:tc>
        <w:tc>
          <w:tcPr>
            <w:tcW w:w="10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152,210</w:t>
            </w:r>
          </w:p>
        </w:tc>
        <w:tc>
          <w:tcPr>
            <w:tcW w:w="8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76,522</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152,210</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76,522</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320" w:type="dxa"/>
            <w:vAlign w:val="bottom"/>
            <w:tcBorders>
              <w:top w:val="single" w:sz="8" w:color="D5EAEA"/>
            </w:tcBorders>
            <w:shd w:val="clear" w:color="auto" w:fill="D5EAEA"/>
          </w:tcPr>
          <w:p>
            <w:pPr>
              <w:spacing w:after="0"/>
              <w:rPr>
                <w:sz w:val="16"/>
                <w:szCs w:val="16"/>
                <w:color w:val="auto"/>
              </w:rPr>
            </w:pPr>
          </w:p>
        </w:tc>
        <w:tc>
          <w:tcPr>
            <w:tcW w:w="3700" w:type="dxa"/>
            <w:vAlign w:val="bottom"/>
            <w:tcBorders>
              <w:top w:val="single" w:sz="8" w:color="D5EAEA"/>
            </w:tcBorders>
            <w:shd w:val="clear" w:color="auto" w:fill="D5EAEA"/>
          </w:tcPr>
          <w:p>
            <w:pPr>
              <w:spacing w:after="0"/>
              <w:rPr>
                <w:sz w:val="16"/>
                <w:szCs w:val="16"/>
                <w:color w:val="auto"/>
              </w:rPr>
            </w:pPr>
          </w:p>
        </w:tc>
        <w:tc>
          <w:tcPr>
            <w:tcW w:w="1060" w:type="dxa"/>
            <w:vAlign w:val="bottom"/>
            <w:tcBorders>
              <w:top w:val="single" w:sz="8" w:color="auto"/>
            </w:tcBorders>
            <w:shd w:val="clear" w:color="auto" w:fill="D5EAEA"/>
          </w:tcPr>
          <w:p>
            <w:pPr>
              <w:spacing w:after="0"/>
              <w:rPr>
                <w:sz w:val="16"/>
                <w:szCs w:val="16"/>
                <w:color w:val="auto"/>
              </w:rPr>
            </w:pPr>
          </w:p>
        </w:tc>
        <w:tc>
          <w:tcPr>
            <w:tcW w:w="8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b w:val="1"/>
                <w:bCs w:val="1"/>
                <w:color w:val="auto"/>
              </w:rPr>
              <w:t>By Currency</w:t>
            </w:r>
          </w:p>
        </w:tc>
        <w:tc>
          <w:tcPr>
            <w:tcW w:w="3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color w:val="auto"/>
              </w:rPr>
              <w:t>CHF</w:t>
            </w:r>
          </w:p>
        </w:tc>
        <w:tc>
          <w:tcPr>
            <w:tcW w:w="476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41,322</w:t>
            </w:r>
          </w:p>
        </w:tc>
        <w:tc>
          <w:tcPr>
            <w:tcW w:w="132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19,812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EUR</w:t>
            </w: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6,727</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2,371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shd w:val="clear" w:color="auto" w:fill="D5EAEA"/>
          </w:tcPr>
          <w:p>
            <w:pPr>
              <w:spacing w:after="0"/>
              <w:rPr>
                <w:sz w:val="20"/>
                <w:szCs w:val="20"/>
                <w:color w:val="auto"/>
              </w:rPr>
            </w:pPr>
            <w:r>
              <w:rPr>
                <w:rFonts w:ascii="Arial" w:cs="Arial" w:eastAsia="Arial" w:hAnsi="Arial"/>
                <w:sz w:val="17"/>
                <w:szCs w:val="17"/>
                <w:color w:val="auto"/>
              </w:rPr>
              <w:t>USD</w:t>
            </w:r>
          </w:p>
        </w:tc>
        <w:tc>
          <w:tcPr>
            <w:tcW w:w="3700" w:type="dxa"/>
            <w:vAlign w:val="bottom"/>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104,161</w:t>
            </w:r>
          </w:p>
        </w:tc>
        <w:tc>
          <w:tcPr>
            <w:tcW w:w="8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54,339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37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152,210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76,522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2"/>
          </w:tcPr>
          <w:p>
            <w:pPr>
              <w:jc w:val="right"/>
              <w:ind w:right="4133"/>
              <w:spacing w:after="0"/>
              <w:rPr>
                <w:sz w:val="20"/>
                <w:szCs w:val="20"/>
                <w:color w:val="auto"/>
              </w:rPr>
            </w:pPr>
            <w:r>
              <w:rPr>
                <w:rFonts w:ascii="Arial" w:cs="Arial" w:eastAsia="Arial" w:hAnsi="Arial"/>
                <w:sz w:val="17"/>
                <w:szCs w:val="17"/>
                <w:color w:val="auto"/>
              </w:rPr>
              <w:t>F-15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9" w:right="239" w:bottom="1440" w:gutter="0" w:footer="0" w:header="0"/>
        </w:sectPr>
      </w:pPr>
    </w:p>
    <w:bookmarkStart w:id="156" w:name="page157"/>
    <w:bookmarkEnd w:id="156"/>
    <w:p>
      <w:pPr>
        <w:ind w:firstLine="312"/>
        <w:spacing w:after="0" w:line="286" w:lineRule="auto"/>
        <w:rPr>
          <w:sz w:val="20"/>
          <w:szCs w:val="20"/>
          <w:color w:val="auto"/>
        </w:rPr>
      </w:pPr>
      <w:r>
        <w:rPr>
          <w:rFonts w:ascii="Arial" w:cs="Arial" w:eastAsia="Arial" w:hAnsi="Arial"/>
          <w:sz w:val="17"/>
          <w:szCs w:val="17"/>
          <w:color w:val="auto"/>
        </w:rPr>
        <w:t>At the balance sheet dates, Company funds were held in CHF, EUR and USD bank accounts. As of December 31, 2016, funds in EUR and USD were translated into CHF at a rate of 1.0721 and 1.0160, respectively.</w:t>
      </w:r>
    </w:p>
    <w:p>
      <w:pPr>
        <w:spacing w:after="0" w:line="152" w:lineRule="exact"/>
        <w:rPr>
          <w:sz w:val="20"/>
          <w:szCs w:val="20"/>
          <w:color w:val="auto"/>
        </w:rPr>
      </w:pPr>
    </w:p>
    <w:p>
      <w:pPr>
        <w:ind w:left="320" w:hanging="316"/>
        <w:spacing w:after="0"/>
        <w:tabs>
          <w:tab w:leader="none" w:pos="32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Share capital</w:t>
      </w:r>
    </w:p>
    <w:p>
      <w:pPr>
        <w:spacing w:after="0" w:line="227"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As of December 31, 2016 and 2015, the issued share capital amounted to CHF 1,135,468 and CHF 928,050 respectively and comprised of 56,773,392 Common Shares and 46,402,500 Common and Preferred Shares,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20" w:type="dxa"/>
            <w:vAlign w:val="bottom"/>
          </w:tcPr>
          <w:p>
            <w:pPr>
              <w:ind w:left="320"/>
              <w:spacing w:after="0"/>
              <w:rPr>
                <w:sz w:val="20"/>
                <w:szCs w:val="20"/>
                <w:color w:val="auto"/>
              </w:rPr>
            </w:pPr>
            <w:r>
              <w:rPr>
                <w:rFonts w:ascii="Arial" w:cs="Arial" w:eastAsia="Arial" w:hAnsi="Arial"/>
                <w:sz w:val="17"/>
                <w:szCs w:val="17"/>
                <w:color w:val="auto"/>
              </w:rPr>
              <w:t>The table below summarizes the Company’s capital structure: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29"/>
        </w:trPr>
        <w:tc>
          <w:tcPr>
            <w:tcW w:w="65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7"/>
                <w:szCs w:val="17"/>
                <w:b w:val="1"/>
                <w:bCs w:val="1"/>
                <w:color w:val="auto"/>
                <w:w w:val="91"/>
              </w:rPr>
              <w:t>For the Years Ended December 31,</w:t>
            </w:r>
          </w:p>
        </w:tc>
        <w:tc>
          <w:tcPr>
            <w:tcW w:w="860" w:type="dxa"/>
            <w:vAlign w:val="bottom"/>
            <w:tcBorders>
              <w:bottom w:val="single" w:sz="8" w:color="auto"/>
            </w:tcBorders>
          </w:tcPr>
          <w:p>
            <w:pPr>
              <w:spacing w:after="0"/>
              <w:rPr>
                <w:sz w:val="24"/>
                <w:szCs w:val="24"/>
                <w:color w:val="auto"/>
              </w:rPr>
            </w:pPr>
          </w:p>
        </w:tc>
      </w:tr>
      <w:tr>
        <w:trPr>
          <w:trHeight w:val="214"/>
        </w:trPr>
        <w:tc>
          <w:tcPr>
            <w:tcW w:w="652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2016</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2015</w:t>
            </w:r>
          </w:p>
        </w:tc>
        <w:tc>
          <w:tcPr>
            <w:tcW w:w="860" w:type="dxa"/>
            <w:vAlign w:val="bottom"/>
            <w:tcBorders>
              <w:bottom w:val="single" w:sz="8" w:color="auto"/>
            </w:tcBorders>
          </w:tcPr>
          <w:p>
            <w:pPr>
              <w:spacing w:after="0"/>
              <w:rPr>
                <w:sz w:val="18"/>
                <w:szCs w:val="18"/>
                <w:color w:val="auto"/>
              </w:rPr>
            </w:pPr>
          </w:p>
        </w:tc>
      </w:tr>
      <w:tr>
        <w:trPr>
          <w:trHeight w:val="214"/>
        </w:trPr>
        <w:tc>
          <w:tcPr>
            <w:tcW w:w="652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7"/>
                <w:szCs w:val="17"/>
                <w:b w:val="1"/>
                <w:bCs w:val="1"/>
                <w:color w:val="auto"/>
              </w:rPr>
              <w:t>Number</w:t>
            </w:r>
          </w:p>
        </w:tc>
        <w:tc>
          <w:tcPr>
            <w:tcW w:w="940" w:type="dxa"/>
            <w:vAlign w:val="bottom"/>
          </w:tcPr>
          <w:p>
            <w:pPr>
              <w:jc w:val="right"/>
              <w:ind w:right="313"/>
              <w:spacing w:after="0"/>
              <w:rPr>
                <w:sz w:val="20"/>
                <w:szCs w:val="20"/>
                <w:color w:val="auto"/>
              </w:rPr>
            </w:pPr>
            <w:r>
              <w:rPr>
                <w:rFonts w:ascii="Arial" w:cs="Arial" w:eastAsia="Arial" w:hAnsi="Arial"/>
                <w:sz w:val="17"/>
                <w:szCs w:val="17"/>
                <w:b w:val="1"/>
                <w:bCs w:val="1"/>
                <w:color w:val="auto"/>
              </w:rPr>
              <w:t>CHF</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7"/>
                <w:szCs w:val="17"/>
                <w:b w:val="1"/>
                <w:bCs w:val="1"/>
                <w:color w:val="auto"/>
              </w:rPr>
              <w:t>Number</w:t>
            </w:r>
          </w:p>
        </w:tc>
        <w:tc>
          <w:tcPr>
            <w:tcW w:w="860" w:type="dxa"/>
            <w:vAlign w:val="bottom"/>
          </w:tcPr>
          <w:p>
            <w:pPr>
              <w:jc w:val="right"/>
              <w:ind w:right="293"/>
              <w:spacing w:after="0"/>
              <w:rPr>
                <w:sz w:val="20"/>
                <w:szCs w:val="20"/>
                <w:color w:val="auto"/>
              </w:rPr>
            </w:pPr>
            <w:r>
              <w:rPr>
                <w:rFonts w:ascii="Arial" w:cs="Arial" w:eastAsia="Arial" w:hAnsi="Arial"/>
                <w:sz w:val="17"/>
                <w:szCs w:val="17"/>
                <w:b w:val="1"/>
                <w:bCs w:val="1"/>
                <w:color w:val="auto"/>
              </w:rPr>
              <w:t>CHF</w:t>
            </w:r>
          </w:p>
        </w:tc>
      </w:tr>
      <w:tr>
        <w:trPr>
          <w:trHeight w:val="201"/>
        </w:trPr>
        <w:tc>
          <w:tcPr>
            <w:tcW w:w="65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Common shares with a nominal value of CHF 0.02 each</w:t>
            </w:r>
          </w:p>
        </w:tc>
        <w:tc>
          <w:tcPr>
            <w:tcW w:w="116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56,773,392</w:t>
            </w:r>
          </w:p>
        </w:tc>
        <w:tc>
          <w:tcPr>
            <w:tcW w:w="120" w:type="dxa"/>
            <w:vAlign w:val="bottom"/>
            <w:tcBorders>
              <w:top w:val="single" w:sz="8" w:color="D5EAEA"/>
            </w:tcBorders>
            <w:shd w:val="clear" w:color="auto" w:fill="D5EAEA"/>
          </w:tcPr>
          <w:p>
            <w:pPr>
              <w:spacing w:after="0"/>
              <w:rPr>
                <w:sz w:val="17"/>
                <w:szCs w:val="17"/>
                <w:color w:val="auto"/>
              </w:rPr>
            </w:pPr>
          </w:p>
        </w:tc>
        <w:tc>
          <w:tcPr>
            <w:tcW w:w="220" w:type="dxa"/>
            <w:vAlign w:val="bottom"/>
            <w:tcBorders>
              <w:top w:val="single" w:sz="8" w:color="auto"/>
            </w:tcBorders>
            <w:shd w:val="clear" w:color="auto" w:fill="D5EAEA"/>
          </w:tcPr>
          <w:p>
            <w:pPr>
              <w:spacing w:after="0"/>
              <w:rPr>
                <w:sz w:val="17"/>
                <w:szCs w:val="17"/>
                <w:color w:val="auto"/>
              </w:rPr>
            </w:pPr>
          </w:p>
        </w:tc>
        <w:tc>
          <w:tcPr>
            <w:tcW w:w="94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1,135,468</w:t>
            </w:r>
          </w:p>
        </w:tc>
        <w:tc>
          <w:tcPr>
            <w:tcW w:w="10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9,227,250</w:t>
            </w:r>
          </w:p>
        </w:tc>
        <w:tc>
          <w:tcPr>
            <w:tcW w:w="100" w:type="dxa"/>
            <w:vAlign w:val="bottom"/>
            <w:tcBorders>
              <w:top w:val="single" w:sz="8" w:color="D5EAEA"/>
            </w:tcBorders>
            <w:shd w:val="clear" w:color="auto" w:fill="D5EAEA"/>
          </w:tcPr>
          <w:p>
            <w:pPr>
              <w:spacing w:after="0"/>
              <w:rPr>
                <w:sz w:val="17"/>
                <w:szCs w:val="17"/>
                <w:color w:val="auto"/>
              </w:rPr>
            </w:pPr>
          </w:p>
        </w:tc>
        <w:tc>
          <w:tcPr>
            <w:tcW w:w="260" w:type="dxa"/>
            <w:vAlign w:val="bottom"/>
            <w:tcBorders>
              <w:top w:val="single" w:sz="8" w:color="auto"/>
            </w:tcBorders>
            <w:shd w:val="clear" w:color="auto" w:fill="D5EAEA"/>
          </w:tcPr>
          <w:p>
            <w:pPr>
              <w:spacing w:after="0"/>
              <w:rPr>
                <w:sz w:val="17"/>
                <w:szCs w:val="17"/>
                <w:color w:val="auto"/>
              </w:rPr>
            </w:pPr>
          </w:p>
        </w:tc>
        <w:tc>
          <w:tcPr>
            <w:tcW w:w="86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184,545</w:t>
            </w:r>
          </w:p>
        </w:tc>
      </w:tr>
      <w:tr>
        <w:trPr>
          <w:trHeight w:val="208"/>
        </w:trPr>
        <w:tc>
          <w:tcPr>
            <w:tcW w:w="6520" w:type="dxa"/>
            <w:vAlign w:val="bottom"/>
          </w:tcPr>
          <w:p>
            <w:pPr>
              <w:spacing w:after="0"/>
              <w:rPr>
                <w:sz w:val="20"/>
                <w:szCs w:val="20"/>
                <w:color w:val="auto"/>
              </w:rPr>
            </w:pPr>
            <w:r>
              <w:rPr>
                <w:rFonts w:ascii="Arial" w:cs="Arial" w:eastAsia="Arial" w:hAnsi="Arial"/>
                <w:sz w:val="17"/>
                <w:szCs w:val="17"/>
                <w:color w:val="auto"/>
              </w:rPr>
              <w:t>Preferred shares Series A with a nominal value of CHF 0.02 per share</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3,538,000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70,760</w:t>
            </w:r>
          </w:p>
        </w:tc>
      </w:tr>
      <w:tr>
        <w:trPr>
          <w:trHeight w:val="208"/>
        </w:trPr>
        <w:tc>
          <w:tcPr>
            <w:tcW w:w="6520" w:type="dxa"/>
            <w:vAlign w:val="bottom"/>
            <w:shd w:val="clear" w:color="auto" w:fill="D5EAEA"/>
          </w:tcPr>
          <w:p>
            <w:pPr>
              <w:spacing w:after="0"/>
              <w:rPr>
                <w:sz w:val="20"/>
                <w:szCs w:val="20"/>
                <w:color w:val="auto"/>
              </w:rPr>
            </w:pPr>
            <w:r>
              <w:rPr>
                <w:rFonts w:ascii="Arial" w:cs="Arial" w:eastAsia="Arial" w:hAnsi="Arial"/>
                <w:sz w:val="17"/>
                <w:szCs w:val="17"/>
                <w:color w:val="auto"/>
              </w:rPr>
              <w:t>Preferred shares Series B with a nominal value of CHF 0.02 per share</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94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16,782,500</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335,650</w:t>
            </w:r>
          </w:p>
        </w:tc>
      </w:tr>
      <w:tr>
        <w:trPr>
          <w:trHeight w:val="208"/>
        </w:trPr>
        <w:tc>
          <w:tcPr>
            <w:tcW w:w="6520" w:type="dxa"/>
            <w:vAlign w:val="bottom"/>
          </w:tcPr>
          <w:p>
            <w:pPr>
              <w:spacing w:after="0"/>
              <w:rPr>
                <w:sz w:val="20"/>
                <w:szCs w:val="20"/>
                <w:color w:val="auto"/>
              </w:rPr>
            </w:pPr>
            <w:r>
              <w:rPr>
                <w:rFonts w:ascii="Arial" w:cs="Arial" w:eastAsia="Arial" w:hAnsi="Arial"/>
                <w:sz w:val="17"/>
                <w:szCs w:val="17"/>
                <w:color w:val="auto"/>
              </w:rPr>
              <w:t>Preferred shares Series C with a nominal value of CHF 0.02 per share</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9,619,000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192,380</w:t>
            </w:r>
          </w:p>
        </w:tc>
      </w:tr>
      <w:tr>
        <w:trPr>
          <w:trHeight w:val="208"/>
        </w:trPr>
        <w:tc>
          <w:tcPr>
            <w:tcW w:w="6520" w:type="dxa"/>
            <w:vAlign w:val="bottom"/>
            <w:shd w:val="clear" w:color="auto" w:fill="D5EAEA"/>
          </w:tcPr>
          <w:p>
            <w:pPr>
              <w:spacing w:after="0"/>
              <w:rPr>
                <w:sz w:val="20"/>
                <w:szCs w:val="20"/>
                <w:color w:val="auto"/>
              </w:rPr>
            </w:pPr>
            <w:r>
              <w:rPr>
                <w:rFonts w:ascii="Arial" w:cs="Arial" w:eastAsia="Arial" w:hAnsi="Arial"/>
                <w:sz w:val="17"/>
                <w:szCs w:val="17"/>
                <w:color w:val="auto"/>
              </w:rPr>
              <w:t>Preferred shares Series D with a nominal value of CHF 0.02 per share</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94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4,122,500</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82,450</w:t>
            </w:r>
          </w:p>
        </w:tc>
      </w:tr>
      <w:tr>
        <w:trPr>
          <w:trHeight w:val="221"/>
        </w:trPr>
        <w:tc>
          <w:tcPr>
            <w:tcW w:w="652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Preferred shares Series E with a nominal value of CHF 0.02 per share</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D5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3,113,250</w:t>
            </w:r>
          </w:p>
        </w:tc>
        <w:tc>
          <w:tcPr>
            <w:tcW w:w="100" w:type="dxa"/>
            <w:vAlign w:val="bottom"/>
            <w:tcBorders>
              <w:bottom w:val="single" w:sz="8" w:color="D5EAE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62,265</w:t>
            </w:r>
          </w:p>
        </w:tc>
      </w:tr>
      <w:tr>
        <w:trPr>
          <w:trHeight w:val="214"/>
        </w:trPr>
        <w:tc>
          <w:tcPr>
            <w:tcW w:w="65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Total</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b w:val="1"/>
                <w:bCs w:val="1"/>
                <w:color w:val="auto"/>
              </w:rPr>
              <w:t>56,773,392</w:t>
            </w:r>
          </w:p>
        </w:tc>
        <w:tc>
          <w:tcPr>
            <w:tcW w:w="120" w:type="dxa"/>
            <w:vAlign w:val="bottom"/>
            <w:tcBorders>
              <w:bottom w:val="single" w:sz="8" w:color="D5EAEA"/>
            </w:tcBorders>
            <w:shd w:val="clear" w:color="auto" w:fill="D5EAEA"/>
          </w:tcPr>
          <w:p>
            <w:pPr>
              <w:spacing w:after="0"/>
              <w:rPr>
                <w:sz w:val="18"/>
                <w:szCs w:val="18"/>
                <w:color w:val="auto"/>
              </w:rPr>
            </w:pPr>
          </w:p>
        </w:tc>
        <w:tc>
          <w:tcPr>
            <w:tcW w:w="220" w:type="dxa"/>
            <w:vAlign w:val="bottom"/>
            <w:tcBorders>
              <w:bottom w:val="single" w:sz="8" w:color="auto"/>
            </w:tcBorders>
            <w:shd w:val="clear" w:color="auto" w:fill="D5EAEA"/>
          </w:tcPr>
          <w:p>
            <w:pPr>
              <w:spacing w:after="0"/>
              <w:rPr>
                <w:sz w:val="18"/>
                <w:szCs w:val="18"/>
                <w:color w:val="auto"/>
              </w:rPr>
            </w:pPr>
          </w:p>
        </w:tc>
        <w:tc>
          <w:tcPr>
            <w:tcW w:w="94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b w:val="1"/>
                <w:bCs w:val="1"/>
                <w:color w:val="auto"/>
              </w:rPr>
              <w:t>1,135,468</w:t>
            </w:r>
          </w:p>
        </w:tc>
        <w:tc>
          <w:tcPr>
            <w:tcW w:w="10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b w:val="1"/>
                <w:bCs w:val="1"/>
                <w:color w:val="auto"/>
              </w:rPr>
              <w:t>46,402,500</w:t>
            </w:r>
          </w:p>
        </w:tc>
        <w:tc>
          <w:tcPr>
            <w:tcW w:w="100" w:type="dxa"/>
            <w:vAlign w:val="bottom"/>
            <w:tcBorders>
              <w:bottom w:val="single" w:sz="8" w:color="D5EAEA"/>
            </w:tcBorders>
            <w:shd w:val="clear" w:color="auto" w:fill="D5EAEA"/>
          </w:tcPr>
          <w:p>
            <w:pPr>
              <w:spacing w:after="0"/>
              <w:rPr>
                <w:sz w:val="18"/>
                <w:szCs w:val="18"/>
                <w:color w:val="auto"/>
              </w:rPr>
            </w:pPr>
          </w:p>
        </w:tc>
        <w:tc>
          <w:tcPr>
            <w:tcW w:w="260" w:type="dxa"/>
            <w:vAlign w:val="bottom"/>
            <w:tcBorders>
              <w:bottom w:val="single" w:sz="8" w:color="auto"/>
            </w:tcBorders>
            <w:shd w:val="clear" w:color="auto" w:fill="D5EAEA"/>
          </w:tcPr>
          <w:p>
            <w:pPr>
              <w:spacing w:after="0"/>
              <w:rPr>
                <w:sz w:val="18"/>
                <w:szCs w:val="18"/>
                <w:color w:val="auto"/>
              </w:rPr>
            </w:pPr>
          </w:p>
        </w:tc>
        <w:tc>
          <w:tcPr>
            <w:tcW w:w="86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b w:val="1"/>
                <w:bCs w:val="1"/>
                <w:color w:val="auto"/>
              </w:rPr>
              <w:t>928,050</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60" w:firstLine="312"/>
        <w:spacing w:after="0" w:line="261" w:lineRule="auto"/>
        <w:rPr>
          <w:sz w:val="20"/>
          <w:szCs w:val="20"/>
          <w:color w:val="auto"/>
        </w:rPr>
      </w:pPr>
      <w:r>
        <w:rPr>
          <w:rFonts w:ascii="Arial" w:cs="Arial" w:eastAsia="Arial" w:hAnsi="Arial"/>
          <w:sz w:val="17"/>
          <w:szCs w:val="17"/>
          <w:color w:val="auto"/>
        </w:rPr>
        <w:t>The Common and Preferred Shares nominal values of CHF 0.02 per share are fully paid in. 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had substantially the same terms as the Series A, B, C and D preferred shares. As previously referenced in Note 3, all outstanding Preferred Shares were converted to common shares as a result of the IPO completed in September 2016.</w:t>
      </w:r>
    </w:p>
    <w:p>
      <w:pPr>
        <w:spacing w:after="0" w:line="181" w:lineRule="exact"/>
        <w:rPr>
          <w:sz w:val="20"/>
          <w:szCs w:val="20"/>
          <w:color w:val="auto"/>
        </w:rPr>
      </w:pPr>
    </w:p>
    <w:p>
      <w:pPr>
        <w:ind w:right="40" w:firstLine="312"/>
        <w:spacing w:after="0" w:line="295" w:lineRule="auto"/>
        <w:rPr>
          <w:sz w:val="20"/>
          <w:szCs w:val="20"/>
          <w:color w:val="auto"/>
        </w:rPr>
      </w:pPr>
      <w:r>
        <w:rPr>
          <w:rFonts w:ascii="Arial" w:cs="Arial" w:eastAsia="Arial" w:hAnsi="Arial"/>
          <w:sz w:val="16"/>
          <w:szCs w:val="16"/>
          <w:color w:val="auto"/>
        </w:rPr>
        <w:t>The change in common shares outstanding for the year ended December 31, 2016 represent 1) 6.9 million common shares issued as a result of the Company’s 2016 IPO, 2) 38,577,042 additional common shares as a result the conversion of all outstanding preferred shares (including the 1.4 million preferred Series E shares issued in April 2016) on a one-for-one basis as a result of the Company’s 2016 IPO, and 3) 2,069,100 share options exercised during 2016.</w:t>
      </w:r>
    </w:p>
    <w:p>
      <w:pPr>
        <w:spacing w:after="0" w:line="154" w:lineRule="exact"/>
        <w:rPr>
          <w:sz w:val="20"/>
          <w:szCs w:val="20"/>
          <w:color w:val="auto"/>
        </w:rPr>
      </w:pPr>
    </w:p>
    <w:p>
      <w:pPr>
        <w:ind w:right="340" w:firstLine="312"/>
        <w:spacing w:after="0" w:line="270" w:lineRule="auto"/>
        <w:rPr>
          <w:sz w:val="20"/>
          <w:szCs w:val="20"/>
          <w:color w:val="auto"/>
        </w:rPr>
      </w:pPr>
      <w:r>
        <w:rPr>
          <w:rFonts w:ascii="Arial" w:cs="Arial" w:eastAsia="Arial" w:hAnsi="Arial"/>
          <w:sz w:val="17"/>
          <w:szCs w:val="17"/>
          <w:color w:val="auto"/>
        </w:rPr>
        <w:t>On October 23, 2015, AC Immune completed a 250-for-1 stock split. The split applies to all of AC Immune’s outstanding common shares, preferred shares (Series A, B, C, D and E) and vested and unvested options. The stock split had an impact on the earnings per share (“EPS”). To facilitate a comparison of EPS figures, the 2015 and 2014 reported EPS figures were adjusted to reflect the stock split.</w:t>
      </w:r>
    </w:p>
    <w:p>
      <w:pPr>
        <w:spacing w:after="0" w:line="173" w:lineRule="exact"/>
        <w:rPr>
          <w:sz w:val="20"/>
          <w:szCs w:val="20"/>
          <w:color w:val="auto"/>
        </w:rPr>
      </w:pPr>
    </w:p>
    <w:p>
      <w:pPr>
        <w:ind w:right="180" w:firstLine="312"/>
        <w:spacing w:after="0" w:line="286" w:lineRule="auto"/>
        <w:rPr>
          <w:sz w:val="20"/>
          <w:szCs w:val="20"/>
          <w:color w:val="auto"/>
        </w:rPr>
      </w:pPr>
      <w:r>
        <w:rPr>
          <w:rFonts w:ascii="Arial" w:cs="Arial" w:eastAsia="Arial" w:hAnsi="Arial"/>
          <w:sz w:val="17"/>
          <w:szCs w:val="17"/>
          <w:color w:val="auto"/>
        </w:rPr>
        <w:t>On October 23, 2015 the Company successfully completed a preferred share financing round of USD 30 million (CHF 29.4 million). The split-adjusted share price of the round was $9.63624 for each of the 3,113,250 Series E Preferred Shares.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6"/>
        </w:trPr>
        <w:tc>
          <w:tcPr>
            <w:tcW w:w="9040" w:type="dxa"/>
            <w:vAlign w:val="bottom"/>
          </w:tcPr>
          <w:p>
            <w:pPr>
              <w:spacing w:after="0"/>
              <w:rPr>
                <w:sz w:val="20"/>
                <w:szCs w:val="20"/>
                <w:color w:val="auto"/>
              </w:rPr>
            </w:pPr>
            <w:r>
              <w:rPr>
                <w:rFonts w:ascii="Arial" w:cs="Arial" w:eastAsia="Arial" w:hAnsi="Arial"/>
                <w:sz w:val="17"/>
                <w:szCs w:val="17"/>
                <w:b w:val="1"/>
                <w:bCs w:val="1"/>
                <w:color w:val="auto"/>
              </w:rPr>
              <w:t>10. Trade payables and accrued liabilities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98"/>
        </w:trPr>
        <w:tc>
          <w:tcPr>
            <w:tcW w:w="904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17"/>
                <w:szCs w:val="17"/>
                <w:b w:val="1"/>
                <w:bCs w:val="1"/>
                <w:color w:val="auto"/>
                <w:w w:val="91"/>
              </w:rPr>
              <w:t>For the Years Ended December</w:t>
            </w:r>
          </w:p>
        </w:tc>
      </w:tr>
      <w:tr>
        <w:trPr>
          <w:trHeight w:val="226"/>
        </w:trPr>
        <w:tc>
          <w:tcPr>
            <w:tcW w:w="90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993"/>
              <w:spacing w:after="0"/>
              <w:rPr>
                <w:sz w:val="20"/>
                <w:szCs w:val="20"/>
                <w:color w:val="auto"/>
              </w:rPr>
            </w:pPr>
            <w:r>
              <w:rPr>
                <w:rFonts w:ascii="Arial" w:cs="Arial" w:eastAsia="Arial" w:hAnsi="Arial"/>
                <w:sz w:val="17"/>
                <w:szCs w:val="17"/>
                <w:b w:val="1"/>
                <w:bCs w:val="1"/>
                <w:color w:val="auto"/>
                <w:w w:val="92"/>
              </w:rPr>
              <w:t>31,</w:t>
            </w:r>
          </w:p>
        </w:tc>
      </w:tr>
      <w:tr>
        <w:trPr>
          <w:trHeight w:val="214"/>
        </w:trPr>
        <w:tc>
          <w:tcPr>
            <w:tcW w:w="9040" w:type="dxa"/>
            <w:vAlign w:val="bottom"/>
          </w:tcPr>
          <w:p>
            <w:pPr>
              <w:ind w:left="3780"/>
              <w:spacing w:after="0"/>
              <w:rPr>
                <w:sz w:val="20"/>
                <w:szCs w:val="20"/>
                <w:color w:val="auto"/>
              </w:rPr>
            </w:pPr>
            <w:r>
              <w:rPr>
                <w:rFonts w:ascii="Arial" w:cs="Arial" w:eastAsia="Arial" w:hAnsi="Arial"/>
                <w:sz w:val="17"/>
                <w:szCs w:val="17"/>
                <w:b w:val="1"/>
                <w:bCs w:val="1"/>
                <w:color w:val="auto"/>
              </w:rPr>
              <w:t>in CHF thousands</w:t>
            </w:r>
          </w:p>
        </w:tc>
        <w:tc>
          <w:tcPr>
            <w:tcW w:w="1060" w:type="dxa"/>
            <w:vAlign w:val="bottom"/>
          </w:tcPr>
          <w:p>
            <w:pPr>
              <w:jc w:val="right"/>
              <w:ind w:right="233"/>
              <w:spacing w:after="0"/>
              <w:rPr>
                <w:sz w:val="20"/>
                <w:szCs w:val="20"/>
                <w:color w:val="auto"/>
              </w:rPr>
            </w:pPr>
            <w:r>
              <w:rPr>
                <w:rFonts w:ascii="Arial" w:cs="Arial" w:eastAsia="Arial" w:hAnsi="Arial"/>
                <w:sz w:val="17"/>
                <w:szCs w:val="17"/>
                <w:b w:val="1"/>
                <w:bCs w:val="1"/>
                <w:color w:val="auto"/>
              </w:rPr>
              <w:t>2016</w:t>
            </w:r>
          </w:p>
        </w:tc>
        <w:tc>
          <w:tcPr>
            <w:tcW w:w="1320" w:type="dxa"/>
            <w:vAlign w:val="bottom"/>
            <w:gridSpan w:val="3"/>
          </w:tcPr>
          <w:p>
            <w:pPr>
              <w:jc w:val="right"/>
              <w:ind w:right="293"/>
              <w:spacing w:after="0"/>
              <w:rPr>
                <w:sz w:val="20"/>
                <w:szCs w:val="20"/>
                <w:color w:val="auto"/>
              </w:rPr>
            </w:pPr>
            <w:r>
              <w:rPr>
                <w:rFonts w:ascii="Arial" w:cs="Arial" w:eastAsia="Arial" w:hAnsi="Arial"/>
                <w:sz w:val="17"/>
                <w:szCs w:val="17"/>
                <w:b w:val="1"/>
                <w:bCs w:val="1"/>
                <w:color w:val="auto"/>
              </w:rPr>
              <w:t>2015</w:t>
            </w:r>
          </w:p>
        </w:tc>
      </w:tr>
      <w:tr>
        <w:trPr>
          <w:trHeight w:val="201"/>
        </w:trPr>
        <w:tc>
          <w:tcPr>
            <w:tcW w:w="90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Trade payables and other payables</w:t>
            </w:r>
          </w:p>
        </w:tc>
        <w:tc>
          <w:tcPr>
            <w:tcW w:w="10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4,035</w:t>
            </w:r>
          </w:p>
        </w:tc>
        <w:tc>
          <w:tcPr>
            <w:tcW w:w="8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1,719</w:t>
            </w:r>
          </w:p>
        </w:tc>
      </w:tr>
      <w:tr>
        <w:trPr>
          <w:trHeight w:val="208"/>
        </w:trPr>
        <w:tc>
          <w:tcPr>
            <w:tcW w:w="9040" w:type="dxa"/>
            <w:vAlign w:val="bottom"/>
          </w:tcPr>
          <w:p>
            <w:pPr>
              <w:spacing w:after="0"/>
              <w:rPr>
                <w:sz w:val="20"/>
                <w:szCs w:val="20"/>
                <w:color w:val="auto"/>
              </w:rPr>
            </w:pPr>
            <w:r>
              <w:rPr>
                <w:rFonts w:ascii="Arial" w:cs="Arial" w:eastAsia="Arial" w:hAnsi="Arial"/>
                <w:sz w:val="17"/>
                <w:szCs w:val="17"/>
                <w:color w:val="auto"/>
              </w:rPr>
              <w:t>Accrued research and development costs</w:t>
            </w:r>
          </w:p>
        </w:tc>
        <w:tc>
          <w:tcPr>
            <w:tcW w:w="1060" w:type="dxa"/>
            <w:vAlign w:val="bottom"/>
          </w:tcPr>
          <w:p>
            <w:pPr>
              <w:jc w:val="right"/>
              <w:spacing w:after="0"/>
              <w:rPr>
                <w:sz w:val="20"/>
                <w:szCs w:val="20"/>
                <w:color w:val="auto"/>
              </w:rPr>
            </w:pPr>
            <w:r>
              <w:rPr>
                <w:rFonts w:ascii="Arial" w:cs="Arial" w:eastAsia="Arial" w:hAnsi="Arial"/>
                <w:sz w:val="17"/>
                <w:szCs w:val="17"/>
                <w:color w:val="auto"/>
              </w:rPr>
              <w:t>3,265</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1,661</w:t>
            </w:r>
          </w:p>
        </w:tc>
      </w:tr>
      <w:tr>
        <w:trPr>
          <w:trHeight w:val="208"/>
        </w:trPr>
        <w:tc>
          <w:tcPr>
            <w:tcW w:w="9040" w:type="dxa"/>
            <w:vAlign w:val="bottom"/>
            <w:shd w:val="clear" w:color="auto" w:fill="D5EAEA"/>
          </w:tcPr>
          <w:p>
            <w:pPr>
              <w:spacing w:after="0"/>
              <w:rPr>
                <w:sz w:val="20"/>
                <w:szCs w:val="20"/>
                <w:color w:val="auto"/>
              </w:rPr>
            </w:pPr>
            <w:r>
              <w:rPr>
                <w:rFonts w:ascii="Arial" w:cs="Arial" w:eastAsia="Arial" w:hAnsi="Arial"/>
                <w:sz w:val="17"/>
                <w:szCs w:val="17"/>
                <w:color w:val="auto"/>
              </w:rPr>
              <w:t>Accrued payroll expenses</w:t>
            </w:r>
          </w:p>
        </w:tc>
        <w:tc>
          <w:tcPr>
            <w:tcW w:w="10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1,419</w:t>
            </w:r>
          </w:p>
        </w:tc>
        <w:tc>
          <w:tcPr>
            <w:tcW w:w="1320" w:type="dxa"/>
            <w:vAlign w:val="bottom"/>
            <w:gridSpan w:val="3"/>
            <w:shd w:val="clear" w:color="auto" w:fill="D5EAEA"/>
          </w:tcPr>
          <w:p>
            <w:pPr>
              <w:jc w:val="right"/>
              <w:ind w:right="13"/>
              <w:spacing w:after="0"/>
              <w:rPr>
                <w:sz w:val="20"/>
                <w:szCs w:val="20"/>
                <w:color w:val="auto"/>
              </w:rPr>
            </w:pPr>
            <w:r>
              <w:rPr>
                <w:rFonts w:ascii="Arial" w:cs="Arial" w:eastAsia="Arial" w:hAnsi="Arial"/>
                <w:sz w:val="17"/>
                <w:szCs w:val="17"/>
                <w:color w:val="auto"/>
              </w:rPr>
              <w:t>1,304</w:t>
            </w:r>
          </w:p>
        </w:tc>
      </w:tr>
      <w:tr>
        <w:trPr>
          <w:trHeight w:val="208"/>
        </w:trPr>
        <w:tc>
          <w:tcPr>
            <w:tcW w:w="9040" w:type="dxa"/>
            <w:vAlign w:val="bottom"/>
          </w:tcPr>
          <w:p>
            <w:pPr>
              <w:spacing w:after="0"/>
              <w:rPr>
                <w:sz w:val="20"/>
                <w:szCs w:val="20"/>
                <w:color w:val="auto"/>
              </w:rPr>
            </w:pPr>
            <w:r>
              <w:rPr>
                <w:rFonts w:ascii="Arial" w:cs="Arial" w:eastAsia="Arial" w:hAnsi="Arial"/>
                <w:sz w:val="17"/>
                <w:szCs w:val="17"/>
                <w:color w:val="auto"/>
              </w:rPr>
              <w:t>Other accrued expenses</w:t>
            </w:r>
          </w:p>
        </w:tc>
        <w:tc>
          <w:tcPr>
            <w:tcW w:w="1060" w:type="dxa"/>
            <w:vAlign w:val="bottom"/>
          </w:tcPr>
          <w:p>
            <w:pPr>
              <w:jc w:val="right"/>
              <w:spacing w:after="0"/>
              <w:rPr>
                <w:sz w:val="20"/>
                <w:szCs w:val="20"/>
                <w:color w:val="auto"/>
              </w:rPr>
            </w:pPr>
            <w:r>
              <w:rPr>
                <w:rFonts w:ascii="Arial" w:cs="Arial" w:eastAsia="Arial" w:hAnsi="Arial"/>
                <w:sz w:val="17"/>
                <w:szCs w:val="17"/>
                <w:color w:val="auto"/>
              </w:rPr>
              <w:t>682</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1,372</w:t>
            </w:r>
          </w:p>
        </w:tc>
      </w:tr>
      <w:tr>
        <w:trPr>
          <w:trHeight w:val="221"/>
        </w:trPr>
        <w:tc>
          <w:tcPr>
            <w:tcW w:w="9040" w:type="dxa"/>
            <w:vAlign w:val="bottom"/>
            <w:shd w:val="clear" w:color="auto" w:fill="D5EAEA"/>
          </w:tcPr>
          <w:p>
            <w:pPr>
              <w:spacing w:after="0"/>
              <w:rPr>
                <w:sz w:val="20"/>
                <w:szCs w:val="20"/>
                <w:color w:val="auto"/>
              </w:rPr>
            </w:pPr>
            <w:r>
              <w:rPr>
                <w:rFonts w:ascii="Arial" w:cs="Arial" w:eastAsia="Arial" w:hAnsi="Arial"/>
                <w:sz w:val="17"/>
                <w:szCs w:val="17"/>
                <w:color w:val="auto"/>
              </w:rPr>
              <w:t>Deferred income</w:t>
            </w: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521</w:t>
            </w:r>
          </w:p>
        </w:tc>
        <w:tc>
          <w:tcPr>
            <w:tcW w:w="8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45</w:t>
            </w:r>
          </w:p>
        </w:tc>
      </w:tr>
      <w:tr>
        <w:trPr>
          <w:trHeight w:val="214"/>
        </w:trPr>
        <w:tc>
          <w:tcPr>
            <w:tcW w:w="9040" w:type="dxa"/>
            <w:vAlign w:val="bottom"/>
          </w:tcPr>
          <w:p>
            <w:pPr>
              <w:spacing w:after="0"/>
              <w:rPr>
                <w:sz w:val="20"/>
                <w:szCs w:val="20"/>
                <w:color w:val="auto"/>
              </w:rPr>
            </w:pPr>
            <w:r>
              <w:rPr>
                <w:rFonts w:ascii="Arial" w:cs="Arial" w:eastAsia="Arial" w:hAnsi="Arial"/>
                <w:sz w:val="17"/>
                <w:szCs w:val="17"/>
                <w:color w:val="auto"/>
              </w:rPr>
              <w:t>Total</w:t>
            </w:r>
          </w:p>
        </w:tc>
        <w:tc>
          <w:tcPr>
            <w:tcW w:w="1060" w:type="dxa"/>
            <w:vAlign w:val="bottom"/>
          </w:tcPr>
          <w:p>
            <w:pPr>
              <w:jc w:val="right"/>
              <w:spacing w:after="0"/>
              <w:rPr>
                <w:sz w:val="20"/>
                <w:szCs w:val="20"/>
                <w:color w:val="auto"/>
              </w:rPr>
            </w:pPr>
            <w:r>
              <w:rPr>
                <w:rFonts w:ascii="Arial" w:cs="Arial" w:eastAsia="Arial" w:hAnsi="Arial"/>
                <w:sz w:val="17"/>
                <w:szCs w:val="17"/>
                <w:color w:val="auto"/>
              </w:rPr>
              <w:t>9,922</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6,101</w:t>
            </w:r>
          </w:p>
        </w:tc>
      </w:tr>
      <w:tr>
        <w:trPr>
          <w:trHeight w:val="20"/>
        </w:trPr>
        <w:tc>
          <w:tcPr>
            <w:tcW w:w="9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 accrual of CHF 1.0 million and CHF 880 thousand was recognized for performance-related remuneration relating to 2016 and 2015, respectively.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income</w:t>
      </w:r>
    </w:p>
    <w:p>
      <w:pPr>
        <w:spacing w:after="0" w:line="227" w:lineRule="exact"/>
        <w:rPr>
          <w:sz w:val="20"/>
          <w:szCs w:val="20"/>
          <w:color w:val="auto"/>
        </w:rPr>
      </w:pPr>
    </w:p>
    <w:p>
      <w:pPr>
        <w:ind w:right="40" w:firstLine="312"/>
        <w:spacing w:after="0" w:line="270" w:lineRule="auto"/>
        <w:rPr>
          <w:sz w:val="20"/>
          <w:szCs w:val="20"/>
          <w:color w:val="auto"/>
        </w:rPr>
      </w:pPr>
      <w:r>
        <w:rPr>
          <w:rFonts w:ascii="Arial" w:cs="Arial" w:eastAsia="Arial" w:hAnsi="Arial"/>
          <w:sz w:val="17"/>
          <w:szCs w:val="17"/>
          <w:color w:val="auto"/>
        </w:rPr>
        <w:t>In 2016 we received a research contribution from Biogen for research collaboration of $1.5 million (CHF 1.5 million) for the alpha-synuclein and TDP-43 PET imaging programs. As of December 31, 2016, the remaining CHF 521 thousand is recorded as a current liability in deferred income and is expected to be recognized as revenue in 2017 as remaining performance obligations are completed.</w:t>
      </w:r>
    </w:p>
    <w:p>
      <w:pPr>
        <w:spacing w:after="0" w:line="173" w:lineRule="exact"/>
        <w:rPr>
          <w:sz w:val="20"/>
          <w:szCs w:val="20"/>
          <w:color w:val="auto"/>
        </w:rPr>
      </w:pPr>
    </w:p>
    <w:p>
      <w:pPr>
        <w:ind w:right="180" w:firstLine="312"/>
        <w:spacing w:after="0" w:line="270" w:lineRule="auto"/>
        <w:rPr>
          <w:sz w:val="20"/>
          <w:szCs w:val="20"/>
          <w:color w:val="auto"/>
        </w:rPr>
      </w:pPr>
      <w:r>
        <w:rPr>
          <w:rFonts w:ascii="Arial" w:cs="Arial" w:eastAsia="Arial" w:hAnsi="Arial"/>
          <w:sz w:val="17"/>
          <w:szCs w:val="17"/>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was recorded as a current liability in deferred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tcPr>
          <w:p>
            <w:pPr>
              <w:spacing w:after="0"/>
              <w:rPr>
                <w:sz w:val="20"/>
                <w:szCs w:val="20"/>
                <w:color w:val="auto"/>
              </w:rPr>
            </w:pPr>
            <w:r>
              <w:rPr>
                <w:rFonts w:ascii="Arial" w:cs="Arial" w:eastAsia="Arial" w:hAnsi="Arial"/>
                <w:sz w:val="17"/>
                <w:szCs w:val="17"/>
                <w:b w:val="1"/>
                <w:bCs w:val="1"/>
                <w:color w:val="auto"/>
              </w:rPr>
              <w:t>11. Revenues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8"/>
        </w:trPr>
        <w:tc>
          <w:tcPr>
            <w:tcW w:w="7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w w:val="91"/>
              </w:rPr>
              <w:t>For the Years Ended</w:t>
            </w:r>
          </w:p>
        </w:tc>
        <w:tc>
          <w:tcPr>
            <w:tcW w:w="900" w:type="dxa"/>
            <w:vAlign w:val="bottom"/>
          </w:tcPr>
          <w:p>
            <w:pPr>
              <w:spacing w:after="0"/>
              <w:rPr>
                <w:sz w:val="24"/>
                <w:szCs w:val="24"/>
                <w:color w:val="auto"/>
              </w:rPr>
            </w:pPr>
          </w:p>
        </w:tc>
      </w:tr>
      <w:tr>
        <w:trPr>
          <w:trHeight w:val="226"/>
        </w:trPr>
        <w:tc>
          <w:tcPr>
            <w:tcW w:w="77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7"/>
                <w:szCs w:val="17"/>
                <w:b w:val="1"/>
                <w:bCs w:val="1"/>
                <w:color w:val="auto"/>
                <w:w w:val="90"/>
              </w:rPr>
              <w:t>December 31,</w:t>
            </w:r>
          </w:p>
        </w:tc>
        <w:tc>
          <w:tcPr>
            <w:tcW w:w="900" w:type="dxa"/>
            <w:vAlign w:val="bottom"/>
            <w:tcBorders>
              <w:bottom w:val="single" w:sz="8" w:color="auto"/>
            </w:tcBorders>
          </w:tcPr>
          <w:p>
            <w:pPr>
              <w:spacing w:after="0"/>
              <w:rPr>
                <w:sz w:val="19"/>
                <w:szCs w:val="19"/>
                <w:color w:val="auto"/>
              </w:rPr>
            </w:pPr>
          </w:p>
        </w:tc>
      </w:tr>
      <w:tr>
        <w:trPr>
          <w:trHeight w:val="214"/>
        </w:trPr>
        <w:tc>
          <w:tcPr>
            <w:tcW w:w="7780" w:type="dxa"/>
            <w:vAlign w:val="bottom"/>
          </w:tcPr>
          <w:p>
            <w:pPr>
              <w:ind w:left="3160"/>
              <w:spacing w:after="0"/>
              <w:rPr>
                <w:sz w:val="20"/>
                <w:szCs w:val="20"/>
                <w:color w:val="auto"/>
              </w:rPr>
            </w:pPr>
            <w:r>
              <w:rPr>
                <w:rFonts w:ascii="Arial" w:cs="Arial" w:eastAsia="Arial" w:hAnsi="Arial"/>
                <w:sz w:val="17"/>
                <w:szCs w:val="17"/>
                <w:b w:val="1"/>
                <w:bCs w:val="1"/>
                <w:color w:val="auto"/>
              </w:rPr>
              <w:t>in CHF thousands</w:t>
            </w:r>
          </w:p>
        </w:tc>
        <w:tc>
          <w:tcPr>
            <w:tcW w:w="1060" w:type="dxa"/>
            <w:vAlign w:val="bottom"/>
          </w:tcPr>
          <w:p>
            <w:pPr>
              <w:jc w:val="right"/>
              <w:ind w:right="213"/>
              <w:spacing w:after="0"/>
              <w:rPr>
                <w:sz w:val="20"/>
                <w:szCs w:val="20"/>
                <w:color w:val="auto"/>
              </w:rPr>
            </w:pPr>
            <w:r>
              <w:rPr>
                <w:rFonts w:ascii="Arial" w:cs="Arial" w:eastAsia="Arial" w:hAnsi="Arial"/>
                <w:sz w:val="17"/>
                <w:szCs w:val="17"/>
                <w:b w:val="1"/>
                <w:bCs w:val="1"/>
                <w:color w:val="auto"/>
              </w:rPr>
              <w:t>2016</w:t>
            </w:r>
          </w:p>
        </w:tc>
        <w:tc>
          <w:tcPr>
            <w:tcW w:w="1360" w:type="dxa"/>
            <w:vAlign w:val="bottom"/>
            <w:gridSpan w:val="3"/>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3"/>
              <w:spacing w:after="0"/>
              <w:rPr>
                <w:sz w:val="20"/>
                <w:szCs w:val="20"/>
                <w:color w:val="auto"/>
              </w:rPr>
            </w:pPr>
            <w:r>
              <w:rPr>
                <w:rFonts w:ascii="Arial" w:cs="Arial" w:eastAsia="Arial" w:hAnsi="Arial"/>
                <w:sz w:val="17"/>
                <w:szCs w:val="17"/>
                <w:b w:val="1"/>
                <w:bCs w:val="1"/>
                <w:color w:val="auto"/>
              </w:rPr>
              <w:t>2014</w:t>
            </w:r>
          </w:p>
        </w:tc>
      </w:tr>
      <w:tr>
        <w:trPr>
          <w:trHeight w:val="201"/>
        </w:trPr>
        <w:tc>
          <w:tcPr>
            <w:tcW w:w="77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Collaboration and license revenue</w:t>
            </w:r>
          </w:p>
        </w:tc>
        <w:tc>
          <w:tcPr>
            <w:tcW w:w="10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22,737</w:t>
            </w:r>
          </w:p>
        </w:tc>
        <w:tc>
          <w:tcPr>
            <w:tcW w:w="10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38,745</w:t>
            </w:r>
          </w:p>
        </w:tc>
        <w:tc>
          <w:tcPr>
            <w:tcW w:w="100" w:type="dxa"/>
            <w:vAlign w:val="bottom"/>
            <w:tcBorders>
              <w:top w:val="single" w:sz="8" w:color="D5EAEA"/>
            </w:tcBorders>
            <w:shd w:val="clear" w:color="auto" w:fill="D5EAEA"/>
          </w:tcPr>
          <w:p>
            <w:pPr>
              <w:spacing w:after="0"/>
              <w:rPr>
                <w:sz w:val="17"/>
                <w:szCs w:val="17"/>
                <w:color w:val="auto"/>
              </w:rPr>
            </w:pPr>
          </w:p>
        </w:tc>
        <w:tc>
          <w:tcPr>
            <w:tcW w:w="220" w:type="dxa"/>
            <w:vAlign w:val="bottom"/>
            <w:tcBorders>
              <w:top w:val="single" w:sz="8" w:color="auto"/>
            </w:tcBorders>
            <w:shd w:val="clear" w:color="auto" w:fill="D5EAEA"/>
          </w:tcPr>
          <w:p>
            <w:pPr>
              <w:spacing w:after="0"/>
              <w:rPr>
                <w:sz w:val="17"/>
                <w:szCs w:val="17"/>
                <w:color w:val="auto"/>
              </w:rPr>
            </w:pPr>
          </w:p>
        </w:tc>
        <w:tc>
          <w:tcPr>
            <w:tcW w:w="90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30,179</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Grant revenue</w:t>
            </w:r>
          </w:p>
        </w:tc>
        <w:tc>
          <w:tcPr>
            <w:tcW w:w="1060" w:type="dxa"/>
            <w:vAlign w:val="bottom"/>
          </w:tcPr>
          <w:p>
            <w:pPr>
              <w:jc w:val="right"/>
              <w:spacing w:after="0"/>
              <w:rPr>
                <w:sz w:val="20"/>
                <w:szCs w:val="20"/>
                <w:color w:val="auto"/>
              </w:rPr>
            </w:pPr>
            <w:r>
              <w:rPr>
                <w:rFonts w:ascii="Arial" w:cs="Arial" w:eastAsia="Arial" w:hAnsi="Arial"/>
                <w:sz w:val="17"/>
                <w:szCs w:val="17"/>
                <w:color w:val="auto"/>
              </w:rPr>
              <w:t>469</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7"/>
                <w:szCs w:val="17"/>
                <w:color w:val="auto"/>
              </w:rPr>
              <w:t>75</w:t>
            </w:r>
          </w:p>
        </w:tc>
      </w:tr>
      <w:tr>
        <w:trPr>
          <w:trHeight w:val="22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29</w:t>
            </w:r>
          </w:p>
        </w:tc>
        <w:tc>
          <w:tcPr>
            <w:tcW w:w="100" w:type="dxa"/>
            <w:vAlign w:val="bottom"/>
            <w:shd w:val="clear" w:color="auto" w:fill="D5EAEA"/>
          </w:tcPr>
          <w:p>
            <w:pPr>
              <w:spacing w:after="0"/>
              <w:rPr>
                <w:sz w:val="19"/>
                <w:szCs w:val="19"/>
                <w:color w:val="auto"/>
              </w:rPr>
            </w:pPr>
          </w:p>
        </w:tc>
        <w:tc>
          <w:tcPr>
            <w:tcW w:w="22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15</w:t>
            </w:r>
          </w:p>
        </w:tc>
      </w:tr>
      <w:tr>
        <w:trPr>
          <w:trHeight w:val="214"/>
        </w:trPr>
        <w:tc>
          <w:tcPr>
            <w:tcW w:w="7780" w:type="dxa"/>
            <w:vAlign w:val="bottom"/>
          </w:tcPr>
          <w:p>
            <w:pPr>
              <w:spacing w:after="0"/>
              <w:rPr>
                <w:sz w:val="20"/>
                <w:szCs w:val="20"/>
                <w:color w:val="auto"/>
              </w:rPr>
            </w:pPr>
            <w:r>
              <w:rPr>
                <w:rFonts w:ascii="Arial" w:cs="Arial" w:eastAsia="Arial" w:hAnsi="Arial"/>
                <w:sz w:val="17"/>
                <w:szCs w:val="17"/>
                <w:color w:val="auto"/>
              </w:rPr>
              <w:t>Total</w:t>
            </w:r>
          </w:p>
        </w:tc>
        <w:tc>
          <w:tcPr>
            <w:tcW w:w="1060" w:type="dxa"/>
            <w:vAlign w:val="bottom"/>
          </w:tcPr>
          <w:p>
            <w:pPr>
              <w:jc w:val="right"/>
              <w:spacing w:after="0"/>
              <w:rPr>
                <w:sz w:val="20"/>
                <w:szCs w:val="20"/>
                <w:color w:val="auto"/>
              </w:rPr>
            </w:pPr>
            <w:r>
              <w:rPr>
                <w:rFonts w:ascii="Arial" w:cs="Arial" w:eastAsia="Arial" w:hAnsi="Arial"/>
                <w:sz w:val="17"/>
                <w:szCs w:val="17"/>
                <w:color w:val="auto"/>
              </w:rPr>
              <w:t>23,214</w:t>
            </w:r>
          </w:p>
        </w:tc>
        <w:tc>
          <w:tcPr>
            <w:tcW w:w="1360" w:type="dxa"/>
            <w:vAlign w:val="bottom"/>
            <w:gridSpan w:val="3"/>
          </w:tcPr>
          <w:p>
            <w:pPr>
              <w:jc w:val="right"/>
              <w:ind w:right="13"/>
              <w:spacing w:after="0"/>
              <w:rPr>
                <w:sz w:val="20"/>
                <w:szCs w:val="20"/>
                <w:color w:val="auto"/>
              </w:rPr>
            </w:pPr>
            <w:r>
              <w:rPr>
                <w:rFonts w:ascii="Arial" w:cs="Arial" w:eastAsia="Arial" w:hAnsi="Arial"/>
                <w:sz w:val="17"/>
                <w:szCs w:val="17"/>
                <w:color w:val="auto"/>
              </w:rPr>
              <w:t>39,090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7"/>
                <w:szCs w:val="17"/>
                <w:color w:val="auto"/>
              </w:rPr>
              <w:t>30,269</w:t>
            </w:r>
          </w:p>
        </w:tc>
      </w:tr>
      <w:tr>
        <w:trPr>
          <w:trHeight w:val="20"/>
        </w:trPr>
        <w:tc>
          <w:tcPr>
            <w:tcW w:w="7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Anti-Abeta antibody in AD - Collaboration agreement of 2006 with Genentech</w:t>
      </w:r>
    </w:p>
    <w:p>
      <w:pPr>
        <w:spacing w:after="0" w:line="221" w:lineRule="exact"/>
        <w:rPr>
          <w:sz w:val="20"/>
          <w:szCs w:val="20"/>
          <w:color w:val="auto"/>
        </w:rPr>
      </w:pPr>
    </w:p>
    <w:p>
      <w:pPr>
        <w:ind w:right="20" w:firstLine="312"/>
        <w:spacing w:after="0" w:line="265" w:lineRule="auto"/>
        <w:rPr>
          <w:sz w:val="20"/>
          <w:szCs w:val="20"/>
          <w:color w:val="auto"/>
        </w:rPr>
      </w:pPr>
      <w:r>
        <w:rPr>
          <w:rFonts w:ascii="Arial" w:cs="Arial" w:eastAsia="Arial" w:hAnsi="Arial"/>
          <w:sz w:val="17"/>
          <w:szCs w:val="17"/>
          <w:color w:val="auto"/>
        </w:rPr>
        <w:t>In November 2006, AC Immune signed an exclusive, worldwide licensing agreement for crenezumab, our humanized monoclonal antibody targeting misfolded Abeta. Genentech commenced Phase 3 clinical studies for crenezumab in the first quarter of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7" w:lineRule="exact"/>
        <w:rPr>
          <w:sz w:val="20"/>
          <w:szCs w:val="20"/>
          <w:color w:val="auto"/>
        </w:rPr>
      </w:pPr>
    </w:p>
    <w:p>
      <w:pPr>
        <w:ind w:right="100" w:firstLine="312"/>
        <w:spacing w:after="0" w:line="270" w:lineRule="auto"/>
        <w:rPr>
          <w:sz w:val="20"/>
          <w:szCs w:val="20"/>
          <w:color w:val="auto"/>
        </w:rPr>
      </w:pPr>
      <w:r>
        <w:rPr>
          <w:rFonts w:ascii="Arial" w:cs="Arial" w:eastAsia="Arial" w:hAnsi="Arial"/>
          <w:sz w:val="17"/>
          <w:szCs w:val="17"/>
          <w:color w:val="auto"/>
        </w:rPr>
        <w:t>Under the agreement with Genentech, we may become eligible to receive payments totaling up to approximately $340 million, excluding royalties. As of December 31, 2016 we have received total payments of $65 million (CHF 70.1 million); $40 million (CHF 45.8 million) was received in three milestone payments prior to 2013 and $25 million (CHF 24.3 million) was received in July 2015.</w:t>
      </w:r>
    </w:p>
    <w:p>
      <w:pPr>
        <w:spacing w:after="0" w:line="173" w:lineRule="exact"/>
        <w:rPr>
          <w:sz w:val="20"/>
          <w:szCs w:val="20"/>
          <w:color w:val="auto"/>
        </w:rPr>
      </w:pPr>
    </w:p>
    <w:p>
      <w:pPr>
        <w:ind w:right="180" w:firstLine="312"/>
        <w:spacing w:after="0" w:line="265" w:lineRule="auto"/>
        <w:rPr>
          <w:sz w:val="20"/>
          <w:szCs w:val="20"/>
          <w:color w:val="auto"/>
        </w:rPr>
      </w:pPr>
      <w:r>
        <w:rPr>
          <w:rFonts w:ascii="Arial" w:cs="Arial" w:eastAsia="Arial" w:hAnsi="Arial"/>
          <w:sz w:val="17"/>
          <w:szCs w:val="17"/>
          <w:color w:val="auto"/>
        </w:rPr>
        <w:t>We recognized the Phase 3 July 2015 payment as revenue in our 2015 fiscal year since there was no further performance requirement to be met by the Company.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58" w:name="page159"/>
    <w:bookmarkEnd w:id="158"/>
    <w:p>
      <w:pPr>
        <w:ind w:left="160"/>
        <w:spacing w:after="0"/>
        <w:rPr>
          <w:sz w:val="20"/>
          <w:szCs w:val="20"/>
          <w:color w:val="auto"/>
        </w:rPr>
      </w:pPr>
      <w:r>
        <w:rPr>
          <w:rFonts w:ascii="Arial" w:cs="Arial" w:eastAsia="Arial" w:hAnsi="Arial"/>
          <w:sz w:val="17"/>
          <w:szCs w:val="17"/>
          <w:b w:val="1"/>
          <w:bCs w:val="1"/>
          <w:i w:val="1"/>
          <w:iCs w:val="1"/>
          <w:color w:val="auto"/>
        </w:rPr>
        <w:t>Anti-tau antibody in AD – Collaboration agreement of 2012 with Genentech</w:t>
      </w:r>
    </w:p>
    <w:p>
      <w:pPr>
        <w:spacing w:after="0" w:line="221" w:lineRule="exact"/>
        <w:rPr>
          <w:sz w:val="20"/>
          <w:szCs w:val="20"/>
          <w:color w:val="auto"/>
        </w:rPr>
      </w:pPr>
    </w:p>
    <w:p>
      <w:pPr>
        <w:ind w:right="140" w:firstLine="312"/>
        <w:spacing w:after="0" w:line="287"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60" w:lineRule="exact"/>
        <w:rPr>
          <w:sz w:val="20"/>
          <w:szCs w:val="20"/>
          <w:color w:val="auto"/>
        </w:rPr>
      </w:pPr>
    </w:p>
    <w:p>
      <w:pPr>
        <w:ind w:firstLine="312"/>
        <w:spacing w:after="0" w:line="270" w:lineRule="auto"/>
        <w:rPr>
          <w:sz w:val="20"/>
          <w:szCs w:val="20"/>
          <w:color w:val="auto"/>
        </w:rPr>
      </w:pPr>
      <w:r>
        <w:rPr>
          <w:rFonts w:ascii="Arial" w:cs="Arial" w:eastAsia="Arial" w:hAnsi="Arial"/>
          <w:sz w:val="17"/>
          <w:szCs w:val="17"/>
          <w:color w:val="auto"/>
        </w:rPr>
        <w:t>Until December 31, 2016, we have received payments totaling CHF 45 million, including a CHF 14 million milestone recognized in the second quarter of 2016 related to the start of phase 1 clinical trials for this program. Pursuant to the exclusive global license agreement, there was no further performance obligation attached to this payment, therefore we recognized the full amount as collaboration and license revenue in June 2016.</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Tau Vaccine in AD – Collaboration agreement of 2014 with Janssen Pharmaceuticals</w:t>
      </w:r>
    </w:p>
    <w:p>
      <w:pPr>
        <w:spacing w:after="0" w:line="221" w:lineRule="exact"/>
        <w:rPr>
          <w:sz w:val="20"/>
          <w:szCs w:val="20"/>
          <w:color w:val="auto"/>
        </w:rPr>
      </w:pPr>
    </w:p>
    <w:p>
      <w:pPr>
        <w:ind w:right="100" w:firstLine="312"/>
        <w:spacing w:after="0" w:line="263"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8" w:lineRule="exact"/>
        <w:rPr>
          <w:sz w:val="20"/>
          <w:szCs w:val="20"/>
          <w:color w:val="auto"/>
        </w:rPr>
      </w:pPr>
    </w:p>
    <w:p>
      <w:pPr>
        <w:ind w:right="280" w:firstLine="312"/>
        <w:spacing w:after="0" w:line="286" w:lineRule="auto"/>
        <w:rPr>
          <w:sz w:val="20"/>
          <w:szCs w:val="20"/>
          <w:color w:val="auto"/>
        </w:rPr>
      </w:pPr>
      <w:r>
        <w:rPr>
          <w:rFonts w:ascii="Arial" w:cs="Arial" w:eastAsia="Arial" w:hAnsi="Arial"/>
          <w:sz w:val="17"/>
          <w:szCs w:val="17"/>
          <w:color w:val="auto"/>
        </w:rPr>
        <w:t>The agreement also allows for the collaboration to be expanded to a second indication based on the same anti-tau vaccine program and intellectual property related to this program.</w:t>
      </w:r>
    </w:p>
    <w:p>
      <w:pPr>
        <w:spacing w:after="0" w:line="158" w:lineRule="exact"/>
        <w:rPr>
          <w:sz w:val="20"/>
          <w:szCs w:val="20"/>
          <w:color w:val="auto"/>
        </w:rPr>
      </w:pPr>
    </w:p>
    <w:p>
      <w:pPr>
        <w:ind w:right="60" w:firstLine="312"/>
        <w:spacing w:after="0" w:line="265" w:lineRule="auto"/>
        <w:rPr>
          <w:sz w:val="20"/>
          <w:szCs w:val="20"/>
          <w:color w:val="auto"/>
        </w:rPr>
      </w:pPr>
      <w:r>
        <w:rPr>
          <w:rFonts w:ascii="Arial" w:cs="Arial" w:eastAsia="Arial" w:hAnsi="Arial"/>
          <w:sz w:val="17"/>
          <w:szCs w:val="17"/>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177" w:lineRule="exact"/>
        <w:rPr>
          <w:sz w:val="20"/>
          <w:szCs w:val="20"/>
          <w:color w:val="auto"/>
        </w:rPr>
      </w:pPr>
    </w:p>
    <w:p>
      <w:pPr>
        <w:ind w:right="100" w:firstLine="312"/>
        <w:spacing w:after="0" w:line="265" w:lineRule="auto"/>
        <w:rPr>
          <w:sz w:val="20"/>
          <w:szCs w:val="20"/>
          <w:color w:val="auto"/>
        </w:rPr>
      </w:pPr>
      <w:r>
        <w:rPr>
          <w:rFonts w:ascii="Arial" w:cs="Arial" w:eastAsia="Arial" w:hAnsi="Arial"/>
          <w:sz w:val="17"/>
          <w:szCs w:val="17"/>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research and development support services due their extensive experience in vaccine development and production which would allow them to complete the phase 1b clinical trials.</w:t>
      </w:r>
    </w:p>
    <w:p>
      <w:pPr>
        <w:spacing w:after="0" w:line="177" w:lineRule="exact"/>
        <w:rPr>
          <w:sz w:val="20"/>
          <w:szCs w:val="20"/>
          <w:color w:val="auto"/>
        </w:rPr>
      </w:pPr>
    </w:p>
    <w:p>
      <w:pPr>
        <w:ind w:right="80" w:firstLine="312"/>
        <w:spacing w:after="0" w:line="265" w:lineRule="auto"/>
        <w:rPr>
          <w:sz w:val="20"/>
          <w:szCs w:val="20"/>
          <w:color w:val="auto"/>
        </w:rPr>
      </w:pPr>
      <w:r>
        <w:rPr>
          <w:rFonts w:ascii="Arial" w:cs="Arial" w:eastAsia="Arial" w:hAnsi="Arial"/>
          <w:sz w:val="17"/>
          <w:szCs w:val="17"/>
          <w:color w:val="auto"/>
        </w:rPr>
        <w:t>In January 2016, we received payments of CHF 1.5 million for pre-payment of research and external research costs. Pursuant to the terms of the collaboration agreement, there is a performance obligation until the end of the year. As a result, we recognized the proceeds from the milestone payment over a 12-month period on a straight-line basis. In May 2016, we received a CHF 4.9 million payment for reaching a clinical milestone in the phase 1b study. As we met all performance obligations on reaching the milestone, we have recognized this income as revenue.</w:t>
      </w:r>
    </w:p>
    <w:p>
      <w:pPr>
        <w:spacing w:after="0" w:line="177" w:lineRule="exact"/>
        <w:rPr>
          <w:sz w:val="20"/>
          <w:szCs w:val="20"/>
          <w:color w:val="auto"/>
        </w:rPr>
      </w:pPr>
    </w:p>
    <w:p>
      <w:pPr>
        <w:ind w:right="40" w:firstLine="312"/>
        <w:spacing w:after="0" w:line="265" w:lineRule="auto"/>
        <w:rPr>
          <w:sz w:val="20"/>
          <w:szCs w:val="20"/>
          <w:color w:val="auto"/>
        </w:rPr>
      </w:pPr>
      <w:r>
        <w:rPr>
          <w:rFonts w:ascii="Arial" w:cs="Arial" w:eastAsia="Arial" w:hAnsi="Arial"/>
          <w:sz w:val="17"/>
          <w:szCs w:val="17"/>
          <w:color w:val="auto"/>
        </w:rPr>
        <w:t>As part of this agreement, AC Immune and Janssen have committed to spend CHF 13.8 million in clinical development until the end of Phase 1b. Any remaining commitment not spent on the Phase 1b study will be carried forward to cover additional development costs with Janssen continuing to be responsible for any costs above the stated CHF 13.8 million. Under the terms of the agreement, Janssen may terminate the agreement at any time after completion of the Phase 1b clinical study by providing 90-day notice to us.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569" w:right="279" w:bottom="1440" w:gutter="0" w:footer="0" w:header="0"/>
        </w:sectPr>
      </w:pPr>
    </w:p>
    <w:bookmarkStart w:id="159" w:name="page160"/>
    <w:bookmarkEnd w:id="159"/>
    <w:p>
      <w:pPr>
        <w:ind w:left="160"/>
        <w:spacing w:after="0"/>
        <w:rPr>
          <w:sz w:val="20"/>
          <w:szCs w:val="20"/>
          <w:color w:val="auto"/>
        </w:rPr>
      </w:pPr>
      <w:r>
        <w:rPr>
          <w:rFonts w:ascii="Arial" w:cs="Arial" w:eastAsia="Arial" w:hAnsi="Arial"/>
          <w:sz w:val="17"/>
          <w:szCs w:val="17"/>
          <w:b w:val="1"/>
          <w:bCs w:val="1"/>
          <w:i w:val="1"/>
          <w:iCs w:val="1"/>
          <w:color w:val="auto"/>
        </w:rPr>
        <w:t>Tau-PET imaging agent in AD – Collaboration agreement of 2014 with Piramal Imaging</w:t>
      </w:r>
    </w:p>
    <w:p>
      <w:pPr>
        <w:spacing w:after="0" w:line="221" w:lineRule="exact"/>
        <w:rPr>
          <w:sz w:val="20"/>
          <w:szCs w:val="20"/>
          <w:color w:val="auto"/>
        </w:rPr>
      </w:pPr>
    </w:p>
    <w:p>
      <w:pPr>
        <w:ind w:right="240" w:firstLine="312"/>
        <w:spacing w:after="0" w:line="287" w:lineRule="auto"/>
        <w:rPr>
          <w:sz w:val="20"/>
          <w:szCs w:val="20"/>
          <w:color w:val="auto"/>
        </w:rPr>
      </w:pPr>
      <w:r>
        <w:rPr>
          <w:rFonts w:ascii="Arial" w:cs="Arial" w:eastAsia="Arial" w:hAnsi="Arial"/>
          <w:sz w:val="16"/>
          <w:szCs w:val="16"/>
          <w:color w:val="auto"/>
        </w:rPr>
        <w:t>In May 2014, AC Immune SA entered into our first diagnostic partnership with Piramal Imaging, a division of Piramal Enterprises, Ltd. The agreement with Piramal is an exclusive, worldwide licensing agreement for the research, development and commercialization of the Company’s tau protein positron emission tomography (PET) tracers supporting the diagnosis and clinical management of AD and potential tau-related disorders and includes upfront and sales milestone payments totaling up to EUR 157 million, plus royalties on sales at a percentage rate ranging from mid-single digits to low double digits.</w:t>
      </w:r>
    </w:p>
    <w:p>
      <w:pPr>
        <w:spacing w:after="0" w:line="160" w:lineRule="exact"/>
        <w:rPr>
          <w:sz w:val="20"/>
          <w:szCs w:val="20"/>
          <w:color w:val="auto"/>
        </w:rPr>
      </w:pPr>
    </w:p>
    <w:p>
      <w:pPr>
        <w:ind w:right="120" w:firstLine="312"/>
        <w:spacing w:after="0" w:line="265" w:lineRule="auto"/>
        <w:rPr>
          <w:sz w:val="20"/>
          <w:szCs w:val="20"/>
          <w:color w:val="auto"/>
        </w:rPr>
      </w:pPr>
      <w:r>
        <w:rPr>
          <w:rFonts w:ascii="Arial" w:cs="Arial" w:eastAsia="Arial" w:hAnsi="Arial"/>
          <w:sz w:val="17"/>
          <w:szCs w:val="17"/>
          <w:color w:val="auto"/>
        </w:rPr>
        <w:t>The upfront payment of EUR 500 thousand received from this collaboration was deferred over a period of 12 months which was the joint Research Collaboration period. As such, the residual balance in deferred revenue related to this collaboration at December 31, 2014, was recognized until May 2015. We are also entitled to further clinical milestones totaling EUR 7 million should the compound make it through to Phase 3 clinical studies and are further entitled to potential regulatory, commercialization and sales based milestones totaling EUR 150 million.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Piramal may terminate the agreement by providing three months’ notice to the Company.</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Alpha-synuclein and TDP-43 PET tracer in AD – Collaboration agreement of 2016 with Biogen</w:t>
      </w:r>
    </w:p>
    <w:p>
      <w:pPr>
        <w:spacing w:after="0" w:line="221" w:lineRule="exact"/>
        <w:rPr>
          <w:sz w:val="20"/>
          <w:szCs w:val="20"/>
          <w:color w:val="auto"/>
        </w:rPr>
      </w:pPr>
    </w:p>
    <w:p>
      <w:pPr>
        <w:ind w:right="20" w:firstLine="312"/>
        <w:spacing w:after="0" w:line="280" w:lineRule="auto"/>
        <w:rPr>
          <w:sz w:val="20"/>
          <w:szCs w:val="20"/>
          <w:color w:val="auto"/>
        </w:rPr>
      </w:pPr>
      <w:r>
        <w:rPr>
          <w:rFonts w:ascii="Arial" w:cs="Arial" w:eastAsia="Arial" w:hAnsi="Arial"/>
          <w:sz w:val="16"/>
          <w:szCs w:val="16"/>
          <w:color w:val="auto"/>
        </w:rPr>
        <w:t>On April 13, 2016, AC Immune entered into a non-exclusive research collaboration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69" w:lineRule="exact"/>
        <w:rPr>
          <w:sz w:val="20"/>
          <w:szCs w:val="20"/>
          <w:color w:val="auto"/>
        </w:rPr>
      </w:pPr>
    </w:p>
    <w:p>
      <w:pPr>
        <w:ind w:right="140" w:firstLine="312"/>
        <w:spacing w:after="0" w:line="265" w:lineRule="auto"/>
        <w:rPr>
          <w:sz w:val="20"/>
          <w:szCs w:val="20"/>
          <w:color w:val="auto"/>
        </w:rPr>
      </w:pPr>
      <w:r>
        <w:rPr>
          <w:rFonts w:ascii="Arial" w:cs="Arial" w:eastAsia="Arial" w:hAnsi="Arial"/>
          <w:sz w:val="17"/>
          <w:szCs w:val="17"/>
          <w:color w:val="auto"/>
        </w:rPr>
        <w:t>We expect to commence a Phase 1 clinical study of our alpha-synuclein PET imaging agent in 2017. As of December 31, 2016, we received CHF 1.5 million for the technology access fee, which is being deferred and recognized over a twelve month period. As of December 31, 2016, CHF 521 thousand is recorded as a current liability in deferred income and is expected to be recognized as revenue in 2017 as remaining performance obligations are completed, which is expected in the second quarter of 2017.</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Grants</w:t>
      </w:r>
    </w:p>
    <w:p>
      <w:pPr>
        <w:spacing w:after="0" w:line="221" w:lineRule="exact"/>
        <w:rPr>
          <w:sz w:val="20"/>
          <w:szCs w:val="20"/>
          <w:color w:val="auto"/>
        </w:rPr>
      </w:pPr>
    </w:p>
    <w:p>
      <w:pPr>
        <w:ind w:right="360" w:firstLine="312"/>
        <w:spacing w:after="0" w:line="286" w:lineRule="auto"/>
        <w:rPr>
          <w:sz w:val="20"/>
          <w:szCs w:val="20"/>
          <w:color w:val="auto"/>
        </w:rPr>
      </w:pPr>
      <w:r>
        <w:rPr>
          <w:rFonts w:ascii="Arial" w:cs="Arial" w:eastAsia="Arial" w:hAnsi="Arial"/>
          <w:sz w:val="17"/>
          <w:szCs w:val="17"/>
          <w:color w:val="auto"/>
        </w:rPr>
        <w:t>In February 2015, we received a grant from the Michael J. Fox Foundation for developing an alpha-synuclein protein positron emission tomography (PET) imaging agent. The grant covers an 18 month period.</w:t>
      </w:r>
    </w:p>
    <w:p>
      <w:pPr>
        <w:spacing w:after="0" w:line="158" w:lineRule="exact"/>
        <w:rPr>
          <w:sz w:val="20"/>
          <w:szCs w:val="20"/>
          <w:color w:val="auto"/>
        </w:rPr>
      </w:pPr>
    </w:p>
    <w:p>
      <w:pPr>
        <w:ind w:right="280" w:firstLine="312"/>
        <w:spacing w:after="0" w:line="286" w:lineRule="auto"/>
        <w:rPr>
          <w:sz w:val="20"/>
          <w:szCs w:val="20"/>
          <w:color w:val="auto"/>
        </w:rPr>
      </w:pPr>
      <w:r>
        <w:rPr>
          <w:rFonts w:ascii="Arial" w:cs="Arial" w:eastAsia="Arial" w:hAnsi="Arial"/>
          <w:sz w:val="17"/>
          <w:szCs w:val="17"/>
          <w:color w:val="auto"/>
        </w:rPr>
        <w:t>In January 2016, we were awarded a grant from the LuMind Research Down Syndrome Foundation to support our ACI-24 Phase 1 clinical study in patients with Down Syndrome. The grant covers a 12 month period.</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recognized revenues on a straight line basis over the period of the grant.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20" w:type="dxa"/>
            <w:vAlign w:val="bottom"/>
          </w:tcPr>
          <w:p>
            <w:pPr>
              <w:spacing w:after="0"/>
              <w:rPr>
                <w:sz w:val="20"/>
                <w:szCs w:val="20"/>
                <w:color w:val="auto"/>
              </w:rPr>
            </w:pPr>
            <w:r>
              <w:rPr>
                <w:rFonts w:ascii="Arial" w:cs="Arial" w:eastAsia="Arial" w:hAnsi="Arial"/>
                <w:sz w:val="17"/>
                <w:szCs w:val="17"/>
                <w:b w:val="1"/>
                <w:bCs w:val="1"/>
                <w:color w:val="auto"/>
              </w:rPr>
              <w:t>12. Expenses by category</w:t>
            </w:r>
          </w:p>
        </w:tc>
        <w:tc>
          <w:tcPr>
            <w:tcW w:w="2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6"/>
        </w:trPr>
        <w:tc>
          <w:tcPr>
            <w:tcW w:w="5020" w:type="dxa"/>
            <w:vAlign w:val="bottom"/>
          </w:tcPr>
          <w:p>
            <w:pPr>
              <w:ind w:left="160"/>
              <w:spacing w:after="0"/>
              <w:rPr>
                <w:sz w:val="20"/>
                <w:szCs w:val="20"/>
                <w:color w:val="auto"/>
              </w:rPr>
            </w:pPr>
            <w:r>
              <w:rPr>
                <w:rFonts w:ascii="Arial" w:cs="Arial" w:eastAsia="Arial" w:hAnsi="Arial"/>
                <w:sz w:val="17"/>
                <w:szCs w:val="17"/>
                <w:b w:val="1"/>
                <w:bCs w:val="1"/>
                <w:i w:val="1"/>
                <w:iCs w:val="1"/>
                <w:color w:val="auto"/>
              </w:rPr>
              <w:t>Research and Development</w:t>
            </w:r>
          </w:p>
        </w:tc>
        <w:tc>
          <w:tcPr>
            <w:tcW w:w="2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9"/>
        </w:trPr>
        <w:tc>
          <w:tcPr>
            <w:tcW w:w="50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7"/>
                <w:szCs w:val="17"/>
                <w:b w:val="1"/>
                <w:bCs w:val="1"/>
                <w:color w:val="auto"/>
              </w:rPr>
              <w:t>For the Years Ended December 31,</w:t>
            </w:r>
          </w:p>
        </w:tc>
      </w:tr>
      <w:tr>
        <w:trPr>
          <w:trHeight w:val="214"/>
        </w:trPr>
        <w:tc>
          <w:tcPr>
            <w:tcW w:w="5020" w:type="dxa"/>
            <w:vAlign w:val="bottom"/>
            <w:tcBorders>
              <w:bottom w:val="single" w:sz="8" w:color="D5EAEA"/>
            </w:tcBorders>
          </w:tcPr>
          <w:p>
            <w:pPr>
              <w:ind w:left="3160"/>
              <w:spacing w:after="0"/>
              <w:rPr>
                <w:sz w:val="20"/>
                <w:szCs w:val="20"/>
                <w:color w:val="auto"/>
              </w:rPr>
            </w:pPr>
            <w:r>
              <w:rPr>
                <w:rFonts w:ascii="Arial" w:cs="Arial" w:eastAsia="Arial" w:hAnsi="Arial"/>
                <w:sz w:val="17"/>
                <w:szCs w:val="17"/>
                <w:b w:val="1"/>
                <w:bCs w:val="1"/>
                <w:color w:val="auto"/>
              </w:rPr>
              <w:t>in CHF thousands</w:t>
            </w:r>
          </w:p>
        </w:tc>
        <w:tc>
          <w:tcPr>
            <w:tcW w:w="2760" w:type="dxa"/>
            <w:vAlign w:val="bottom"/>
            <w:tcBorders>
              <w:bottom w:val="single" w:sz="8" w:color="D5EAEA"/>
            </w:tcBorders>
          </w:tcPr>
          <w:p>
            <w:pPr>
              <w:spacing w:after="0"/>
              <w:rPr>
                <w:sz w:val="18"/>
                <w:szCs w:val="18"/>
                <w:color w:val="auto"/>
              </w:rPr>
            </w:pP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D5EAEA"/>
            </w:tcBorders>
          </w:tcPr>
          <w:p>
            <w:pPr>
              <w:spacing w:after="0"/>
              <w:rPr>
                <w:sz w:val="18"/>
                <w:szCs w:val="18"/>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2014</w:t>
            </w:r>
          </w:p>
        </w:tc>
      </w:tr>
      <w:tr>
        <w:trPr>
          <w:trHeight w:val="201"/>
        </w:trPr>
        <w:tc>
          <w:tcPr>
            <w:tcW w:w="5020" w:type="dxa"/>
            <w:vAlign w:val="bottom"/>
            <w:shd w:val="clear" w:color="auto" w:fill="D5EAEA"/>
          </w:tcPr>
          <w:p>
            <w:pPr>
              <w:spacing w:after="0"/>
              <w:rPr>
                <w:sz w:val="20"/>
                <w:szCs w:val="20"/>
                <w:color w:val="auto"/>
              </w:rPr>
            </w:pPr>
            <w:r>
              <w:rPr>
                <w:rFonts w:ascii="Arial" w:cs="Arial" w:eastAsia="Arial" w:hAnsi="Arial"/>
                <w:sz w:val="17"/>
                <w:szCs w:val="17"/>
                <w:color w:val="auto"/>
              </w:rPr>
              <w:t>Operating expenses</w:t>
            </w:r>
          </w:p>
        </w:tc>
        <w:tc>
          <w:tcPr>
            <w:tcW w:w="2760" w:type="dxa"/>
            <w:vAlign w:val="bottom"/>
            <w:shd w:val="clear" w:color="auto" w:fill="D5EAEA"/>
          </w:tcPr>
          <w:p>
            <w:pPr>
              <w:spacing w:after="0"/>
              <w:rPr>
                <w:sz w:val="17"/>
                <w:szCs w:val="17"/>
                <w:color w:val="auto"/>
              </w:rPr>
            </w:pP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18,489</w:t>
            </w: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10,476</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9,990</w:t>
            </w:r>
          </w:p>
        </w:tc>
      </w:tr>
      <w:tr>
        <w:trPr>
          <w:trHeight w:val="208"/>
        </w:trPr>
        <w:tc>
          <w:tcPr>
            <w:tcW w:w="5020" w:type="dxa"/>
            <w:vAlign w:val="bottom"/>
          </w:tcPr>
          <w:p>
            <w:pPr>
              <w:spacing w:after="0"/>
              <w:rPr>
                <w:sz w:val="20"/>
                <w:szCs w:val="20"/>
                <w:color w:val="auto"/>
              </w:rPr>
            </w:pPr>
            <w:r>
              <w:rPr>
                <w:rFonts w:ascii="Arial" w:cs="Arial" w:eastAsia="Arial" w:hAnsi="Arial"/>
                <w:sz w:val="17"/>
                <w:szCs w:val="17"/>
                <w:color w:val="auto"/>
              </w:rPr>
              <w:t>Payroll expenses</w:t>
            </w:r>
          </w:p>
        </w:tc>
        <w:tc>
          <w:tcPr>
            <w:tcW w:w="3920" w:type="dxa"/>
            <w:vAlign w:val="bottom"/>
            <w:gridSpan w:val="2"/>
          </w:tcPr>
          <w:p>
            <w:pPr>
              <w:jc w:val="right"/>
              <w:ind w:right="33"/>
              <w:spacing w:after="0"/>
              <w:rPr>
                <w:sz w:val="20"/>
                <w:szCs w:val="20"/>
                <w:color w:val="auto"/>
              </w:rPr>
            </w:pPr>
            <w:r>
              <w:rPr>
                <w:rFonts w:ascii="Arial" w:cs="Arial" w:eastAsia="Arial" w:hAnsi="Arial"/>
                <w:sz w:val="17"/>
                <w:szCs w:val="17"/>
                <w:color w:val="auto"/>
              </w:rPr>
              <w:t>6,450</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5,879</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5,669</w:t>
            </w:r>
          </w:p>
        </w:tc>
      </w:tr>
      <w:tr>
        <w:trPr>
          <w:trHeight w:val="208"/>
        </w:trPr>
        <w:tc>
          <w:tcPr>
            <w:tcW w:w="5020" w:type="dxa"/>
            <w:vAlign w:val="bottom"/>
            <w:shd w:val="clear" w:color="auto" w:fill="D5EAEA"/>
          </w:tcPr>
          <w:p>
            <w:pPr>
              <w:spacing w:after="0"/>
              <w:rPr>
                <w:sz w:val="20"/>
                <w:szCs w:val="20"/>
                <w:color w:val="auto"/>
              </w:rPr>
            </w:pPr>
            <w:r>
              <w:rPr>
                <w:rFonts w:ascii="Arial" w:cs="Arial" w:eastAsia="Arial" w:hAnsi="Arial"/>
                <w:sz w:val="17"/>
                <w:szCs w:val="17"/>
                <w:color w:val="auto"/>
              </w:rPr>
              <w:t>Share-based compensation</w:t>
            </w:r>
          </w:p>
        </w:tc>
        <w:tc>
          <w:tcPr>
            <w:tcW w:w="392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557</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407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159</w:t>
            </w:r>
          </w:p>
        </w:tc>
      </w:tr>
      <w:tr>
        <w:trPr>
          <w:trHeight w:val="221"/>
        </w:trPr>
        <w:tc>
          <w:tcPr>
            <w:tcW w:w="502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Depreciation of tangible fixed assets</w:t>
            </w:r>
          </w:p>
        </w:tc>
        <w:tc>
          <w:tcPr>
            <w:tcW w:w="2760" w:type="dxa"/>
            <w:vAlign w:val="bottom"/>
            <w:tcBorders>
              <w:bottom w:val="single" w:sz="8" w:color="D5EAEA"/>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278</w:t>
            </w: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287</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298</w:t>
            </w:r>
          </w:p>
        </w:tc>
      </w:tr>
      <w:tr>
        <w:trPr>
          <w:trHeight w:val="214"/>
        </w:trPr>
        <w:tc>
          <w:tcPr>
            <w:tcW w:w="502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Total research and development expenses</w:t>
            </w:r>
          </w:p>
        </w:tc>
        <w:tc>
          <w:tcPr>
            <w:tcW w:w="392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25,774</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17,049</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16,116</w:t>
            </w:r>
          </w:p>
        </w:tc>
      </w:tr>
      <w:tr>
        <w:trPr>
          <w:trHeight w:val="20"/>
        </w:trPr>
        <w:tc>
          <w:tcPr>
            <w:tcW w:w="5020" w:type="dxa"/>
            <w:vAlign w:val="bottom"/>
            <w:tcBorders>
              <w:top w:val="single" w:sz="8" w:color="D5EAEA"/>
            </w:tcBorders>
          </w:tcPr>
          <w:p>
            <w:pPr>
              <w:spacing w:after="0" w:line="20" w:lineRule="exact"/>
              <w:rPr>
                <w:sz w:val="1"/>
                <w:szCs w:val="1"/>
                <w:color w:val="auto"/>
              </w:rPr>
            </w:pPr>
          </w:p>
        </w:tc>
        <w:tc>
          <w:tcPr>
            <w:tcW w:w="2760" w:type="dxa"/>
            <w:vAlign w:val="bottom"/>
            <w:tcBorders>
              <w:top w:val="single" w:sz="8" w:color="D5EAE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5"/>
        </w:trPr>
        <w:tc>
          <w:tcPr>
            <w:tcW w:w="50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color w:val="auto"/>
              </w:rPr>
              <w:t>F-19</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9" w:right="2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80" w:type="dxa"/>
            <w:vAlign w:val="bottom"/>
          </w:tcPr>
          <w:p>
            <w:pPr>
              <w:ind w:left="160"/>
              <w:spacing w:after="0"/>
              <w:rPr>
                <w:sz w:val="20"/>
                <w:szCs w:val="20"/>
                <w:color w:val="auto"/>
              </w:rPr>
            </w:pPr>
            <w:r>
              <w:rPr>
                <w:rFonts w:ascii="Arial" w:cs="Arial" w:eastAsia="Arial" w:hAnsi="Arial"/>
                <w:sz w:val="17"/>
                <w:szCs w:val="17"/>
                <w:b w:val="1"/>
                <w:bCs w:val="1"/>
                <w:i w:val="1"/>
                <w:iCs w:val="1"/>
                <w:color w:val="auto"/>
              </w:rPr>
              <w:t>General and Administration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29"/>
        </w:trPr>
        <w:tc>
          <w:tcPr>
            <w:tcW w:w="778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7"/>
                <w:szCs w:val="17"/>
                <w:b w:val="1"/>
                <w:bCs w:val="1"/>
                <w:color w:val="auto"/>
              </w:rPr>
              <w:t>For the Years Ended December 31,</w:t>
            </w:r>
          </w:p>
        </w:tc>
      </w:tr>
      <w:tr>
        <w:trPr>
          <w:trHeight w:val="214"/>
        </w:trPr>
        <w:tc>
          <w:tcPr>
            <w:tcW w:w="7780" w:type="dxa"/>
            <w:vAlign w:val="bottom"/>
            <w:tcBorders>
              <w:bottom w:val="single" w:sz="8" w:color="D5EAEA"/>
            </w:tcBorders>
          </w:tcPr>
          <w:p>
            <w:pPr>
              <w:ind w:left="3160"/>
              <w:spacing w:after="0"/>
              <w:rPr>
                <w:sz w:val="20"/>
                <w:szCs w:val="20"/>
                <w:color w:val="auto"/>
              </w:rPr>
            </w:pPr>
            <w:r>
              <w:rPr>
                <w:rFonts w:ascii="Arial" w:cs="Arial" w:eastAsia="Arial" w:hAnsi="Arial"/>
                <w:sz w:val="17"/>
                <w:szCs w:val="17"/>
                <w:b w:val="1"/>
                <w:bCs w:val="1"/>
                <w:color w:val="auto"/>
              </w:rPr>
              <w:t>in CHF thousands</w:t>
            </w: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D5EAEA"/>
            </w:tcBorders>
          </w:tcPr>
          <w:p>
            <w:pPr>
              <w:spacing w:after="0"/>
              <w:rPr>
                <w:sz w:val="18"/>
                <w:szCs w:val="18"/>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2014</w:t>
            </w:r>
          </w:p>
        </w:tc>
      </w:tr>
      <w:tr>
        <w:trPr>
          <w:trHeight w:val="20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Operating expenses</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3,168</w:t>
            </w: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1,377</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1,437</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Payroll expenses</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3,969</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1,908</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1,947</w:t>
            </w:r>
          </w:p>
        </w:tc>
      </w:tr>
      <w:tr>
        <w:trPr>
          <w:trHeight w:val="22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Share-based compensation</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759</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52</w:t>
            </w:r>
          </w:p>
        </w:tc>
      </w:tr>
      <w:tr>
        <w:trPr>
          <w:trHeight w:val="214"/>
        </w:trPr>
        <w:tc>
          <w:tcPr>
            <w:tcW w:w="7780" w:type="dxa"/>
            <w:vAlign w:val="bottom"/>
          </w:tcPr>
          <w:p>
            <w:pPr>
              <w:spacing w:after="0"/>
              <w:rPr>
                <w:sz w:val="20"/>
                <w:szCs w:val="20"/>
                <w:color w:val="auto"/>
              </w:rPr>
            </w:pPr>
            <w:r>
              <w:rPr>
                <w:rFonts w:ascii="Arial" w:cs="Arial" w:eastAsia="Arial" w:hAnsi="Arial"/>
                <w:sz w:val="17"/>
                <w:szCs w:val="17"/>
                <w:b w:val="1"/>
                <w:bCs w:val="1"/>
                <w:color w:val="auto"/>
              </w:rPr>
              <w:t>Total general and administrative expenses</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7,896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3,417</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3,436</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20" w:hanging="316"/>
        <w:spacing w:after="0"/>
        <w:tabs>
          <w:tab w:leader="none" w:pos="32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Related-party transactions</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6"/>
          <w:szCs w:val="16"/>
          <w:color w:val="auto"/>
        </w:rPr>
        <w:t>Key management including the Board of Directors (five individuals excluding the CEO) and the Executive Management (four individuals) compensation is:</w:t>
      </w:r>
    </w:p>
    <w:p>
      <w:pPr>
        <w:sectPr>
          <w:pgSz w:w="11900" w:h="16838" w:orient="portrait"/>
          <w:cols w:equalWidth="0" w:num="1">
            <w:col w:w="11420"/>
          </w:cols>
          <w:pgMar w:left="240" w:top="5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Short-term employee benefits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Post-employment benefits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4620" w:type="dxa"/>
            <w:vAlign w:val="bottom"/>
          </w:tcPr>
          <w:p>
            <w:pPr>
              <w:spacing w:after="0"/>
              <w:rPr>
                <w:sz w:val="19"/>
                <w:szCs w:val="19"/>
                <w:color w:val="auto"/>
              </w:rPr>
            </w:pPr>
          </w:p>
        </w:tc>
        <w:tc>
          <w:tcPr>
            <w:tcW w:w="364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7"/>
                <w:szCs w:val="17"/>
                <w:b w:val="1"/>
                <w:bCs w:val="1"/>
                <w:color w:val="auto"/>
              </w:rPr>
              <w:t>For the Years Ended December 31,</w:t>
            </w:r>
          </w:p>
        </w:tc>
      </w:tr>
      <w:tr>
        <w:trPr>
          <w:trHeight w:val="214"/>
        </w:trPr>
        <w:tc>
          <w:tcPr>
            <w:tcW w:w="4620" w:type="dxa"/>
            <w:vAlign w:val="bottom"/>
          </w:tcPr>
          <w:p>
            <w:pPr>
              <w:spacing w:after="0"/>
              <w:rPr>
                <w:sz w:val="20"/>
                <w:szCs w:val="20"/>
                <w:color w:val="auto"/>
              </w:rPr>
            </w:pPr>
            <w:r>
              <w:rPr>
                <w:rFonts w:ascii="Arial" w:cs="Arial" w:eastAsia="Arial" w:hAnsi="Arial"/>
                <w:sz w:val="17"/>
                <w:szCs w:val="17"/>
                <w:b w:val="1"/>
                <w:bCs w:val="1"/>
                <w:color w:val="auto"/>
              </w:rPr>
              <w:t>in CHF thousands</w:t>
            </w: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2014</w:t>
            </w:r>
          </w:p>
        </w:tc>
      </w:tr>
      <w:tr>
        <w:trPr>
          <w:trHeight w:val="189"/>
        </w:trPr>
        <w:tc>
          <w:tcPr>
            <w:tcW w:w="4620" w:type="dxa"/>
            <w:vAlign w:val="bottom"/>
          </w:tcPr>
          <w:p>
            <w:pPr>
              <w:spacing w:after="0"/>
              <w:rPr>
                <w:sz w:val="16"/>
                <w:szCs w:val="16"/>
                <w:color w:val="auto"/>
              </w:rPr>
            </w:pPr>
          </w:p>
        </w:tc>
        <w:tc>
          <w:tcPr>
            <w:tcW w:w="1160" w:type="dxa"/>
            <w:vAlign w:val="bottom"/>
          </w:tcPr>
          <w:p>
            <w:pPr>
              <w:jc w:val="right"/>
              <w:ind w:right="33"/>
              <w:spacing w:after="0" w:line="189" w:lineRule="exact"/>
              <w:rPr>
                <w:sz w:val="20"/>
                <w:szCs w:val="20"/>
                <w:color w:val="auto"/>
              </w:rPr>
            </w:pPr>
            <w:r>
              <w:rPr>
                <w:rFonts w:ascii="Arial" w:cs="Arial" w:eastAsia="Arial" w:hAnsi="Arial"/>
                <w:sz w:val="17"/>
                <w:szCs w:val="17"/>
                <w:color w:val="auto"/>
              </w:rPr>
              <w:t>2,251</w:t>
            </w:r>
          </w:p>
        </w:tc>
        <w:tc>
          <w:tcPr>
            <w:tcW w:w="120" w:type="dxa"/>
            <w:vAlign w:val="bottom"/>
          </w:tcPr>
          <w:p>
            <w:pPr>
              <w:spacing w:after="0"/>
              <w:rPr>
                <w:sz w:val="16"/>
                <w:szCs w:val="16"/>
                <w:color w:val="auto"/>
              </w:rPr>
            </w:pPr>
          </w:p>
        </w:tc>
        <w:tc>
          <w:tcPr>
            <w:tcW w:w="1140" w:type="dxa"/>
            <w:vAlign w:val="bottom"/>
          </w:tcPr>
          <w:p>
            <w:pPr>
              <w:jc w:val="right"/>
              <w:ind w:right="13"/>
              <w:spacing w:after="0" w:line="189" w:lineRule="exact"/>
              <w:rPr>
                <w:sz w:val="20"/>
                <w:szCs w:val="20"/>
                <w:color w:val="auto"/>
              </w:rPr>
            </w:pPr>
            <w:r>
              <w:rPr>
                <w:rFonts w:ascii="Arial" w:cs="Arial" w:eastAsia="Arial" w:hAnsi="Arial"/>
                <w:sz w:val="17"/>
                <w:szCs w:val="17"/>
                <w:color w:val="auto"/>
              </w:rPr>
              <w:t>1,776</w:t>
            </w:r>
          </w:p>
        </w:tc>
        <w:tc>
          <w:tcPr>
            <w:tcW w:w="100" w:type="dxa"/>
            <w:vAlign w:val="bottom"/>
          </w:tcPr>
          <w:p>
            <w:pPr>
              <w:spacing w:after="0"/>
              <w:rPr>
                <w:sz w:val="16"/>
                <w:szCs w:val="16"/>
                <w:color w:val="auto"/>
              </w:rPr>
            </w:pPr>
          </w:p>
        </w:tc>
        <w:tc>
          <w:tcPr>
            <w:tcW w:w="1120" w:type="dxa"/>
            <w:vAlign w:val="bottom"/>
          </w:tcPr>
          <w:p>
            <w:pPr>
              <w:jc w:val="right"/>
              <w:ind w:right="13"/>
              <w:spacing w:after="0" w:line="189" w:lineRule="exact"/>
              <w:rPr>
                <w:sz w:val="20"/>
                <w:szCs w:val="20"/>
                <w:color w:val="auto"/>
              </w:rPr>
            </w:pPr>
            <w:r>
              <w:rPr>
                <w:rFonts w:ascii="Arial" w:cs="Arial" w:eastAsia="Arial" w:hAnsi="Arial"/>
                <w:sz w:val="17"/>
                <w:szCs w:val="17"/>
                <w:color w:val="auto"/>
              </w:rPr>
              <w:t>1,631</w:t>
            </w:r>
          </w:p>
        </w:tc>
      </w:tr>
      <w:tr>
        <w:trPr>
          <w:trHeight w:val="220"/>
        </w:trPr>
        <w:tc>
          <w:tcPr>
            <w:tcW w:w="46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97</w:t>
            </w:r>
          </w:p>
        </w:tc>
      </w:tr>
      <w:tr>
        <w:trPr>
          <w:trHeight w:val="221"/>
        </w:trPr>
        <w:tc>
          <w:tcPr>
            <w:tcW w:w="4620" w:type="dxa"/>
            <w:vAlign w:val="bottom"/>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832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8</w:t>
            </w:r>
          </w:p>
        </w:tc>
      </w:tr>
      <w:tr>
        <w:trPr>
          <w:trHeight w:val="214"/>
        </w:trPr>
        <w:tc>
          <w:tcPr>
            <w:tcW w:w="462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3,237</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1,908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1,736</w:t>
            </w:r>
          </w:p>
        </w:tc>
      </w:tr>
      <w:tr>
        <w:trPr>
          <w:trHeight w:val="20"/>
        </w:trPr>
        <w:tc>
          <w:tcPr>
            <w:tcW w:w="4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-585470</wp:posOffset>
            </wp:positionV>
            <wp:extent cx="7251700" cy="140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1700" cy="14033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-313055</wp:posOffset>
            </wp:positionV>
            <wp:extent cx="7251700" cy="140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440" w:space="720"/>
            <w:col w:w="8260"/>
          </w:cols>
          <w:pgMar w:left="240" w:top="569" w:right="239" w:bottom="1440" w:gutter="0" w:footer="0" w:header="0"/>
          <w:type w:val="continuous"/>
        </w:sectPr>
      </w:pPr>
    </w:p>
    <w:p>
      <w:pPr>
        <w:ind w:right="360" w:firstLine="312"/>
        <w:spacing w:after="0" w:line="270" w:lineRule="auto"/>
        <w:rPr>
          <w:sz w:val="20"/>
          <w:szCs w:val="20"/>
          <w:color w:val="auto"/>
        </w:rPr>
      </w:pPr>
      <w:r>
        <w:rPr>
          <w:rFonts w:ascii="Arial" w:cs="Arial" w:eastAsia="Arial" w:hAnsi="Arial"/>
          <w:sz w:val="17"/>
          <w:szCs w:val="17"/>
          <w:color w:val="auto"/>
        </w:rPr>
        <w:t>In July 2015, George Pavey joined AC Immune as Chief Financial Officer and a member of Executive Management. At the same time, Jean-Fabien Monin assumed the role of Chief Administrative Officer. He had previously been Chief Financial Officer since 2009. In April 2017, Joerg Hornstein will assume the responsibility as the Chief Financial Officer as a member of the Executive Management.</w:t>
      </w:r>
    </w:p>
    <w:p>
      <w:pPr>
        <w:spacing w:after="0" w:line="173" w:lineRule="exact"/>
        <w:rPr>
          <w:sz w:val="20"/>
          <w:szCs w:val="20"/>
          <w:color w:val="auto"/>
        </w:rPr>
      </w:pPr>
    </w:p>
    <w:p>
      <w:pPr>
        <w:ind w:right="80" w:firstLine="312"/>
        <w:spacing w:after="0" w:line="322" w:lineRule="auto"/>
        <w:rPr>
          <w:sz w:val="20"/>
          <w:szCs w:val="20"/>
          <w:color w:val="auto"/>
        </w:rPr>
      </w:pPr>
      <w:r>
        <w:rPr>
          <w:rFonts w:ascii="Arial" w:cs="Arial" w:eastAsia="Arial" w:hAnsi="Arial"/>
          <w:sz w:val="15"/>
          <w:szCs w:val="15"/>
          <w:color w:val="auto"/>
        </w:rPr>
        <w:t>Friedrich von Bohlen and Peter Bollmann joined the Board of Directors of AC Immune in October and December 2015, respectively. Friedrich von Bohlen replaced Christof Hettich who stepped down from the Board in August 2015. Hans-Beat Guertler resigned from the board in December 2015. His position was assumed by Peter Bollmann. In November 2016, Mr. Thomas Graney joined the Board of Directors of AC Immune, replacing Mathias Hothum as his term expired.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Short-term employee benefits comprise of salaries, bonus payments, social security and expenses allowances.</w:t>
      </w:r>
    </w:p>
    <w:p>
      <w:pPr>
        <w:spacing w:after="0" w:line="221" w:lineRule="exact"/>
        <w:rPr>
          <w:sz w:val="20"/>
          <w:szCs w:val="20"/>
          <w:color w:val="auto"/>
        </w:rPr>
      </w:pPr>
    </w:p>
    <w:p>
      <w:pPr>
        <w:ind w:right="60" w:firstLine="312"/>
        <w:spacing w:after="0" w:line="265" w:lineRule="auto"/>
        <w:rPr>
          <w:sz w:val="20"/>
          <w:szCs w:val="20"/>
          <w:color w:val="auto"/>
        </w:rPr>
      </w:pPr>
      <w:r>
        <w:rPr>
          <w:rFonts w:ascii="Arial" w:cs="Arial" w:eastAsia="Arial" w:hAnsi="Arial"/>
          <w:sz w:val="17"/>
          <w:szCs w:val="17"/>
          <w:color w:val="auto"/>
        </w:rPr>
        <w:t>98,500, 45,000 and 62,500 options were granted in 2016, 2015 and 2014, respectively, to the Executive Management of the Company. Zero options were granted in 2016, and 2015, and 51,250 in 2014, respectively, to the Directors of the Company. In connection with his departure in the fourth quarter of 2016, the Chief Financial Officer forfeited his initial 2016 grant (included in the aggregate 2016 total above), and in its place was awarded 49,250 options. The fourth quarter 2016 grant date fair value of the replacement award was CHF 674 thousand.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no income tax expense or deferred tax asset or liability positions for the years ended December 31, 2016,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80" w:type="dxa"/>
            <w:vAlign w:val="bottom"/>
          </w:tcPr>
          <w:p>
            <w:pPr>
              <w:ind w:left="320"/>
              <w:spacing w:after="0"/>
              <w:rPr>
                <w:sz w:val="20"/>
                <w:szCs w:val="20"/>
                <w:color w:val="auto"/>
              </w:rPr>
            </w:pPr>
            <w:r>
              <w:rPr>
                <w:rFonts w:ascii="Arial" w:cs="Arial" w:eastAsia="Arial" w:hAnsi="Arial"/>
                <w:sz w:val="17"/>
                <w:szCs w:val="17"/>
                <w:color w:val="auto"/>
              </w:rPr>
              <w:t>The income tax expense for each year can be reconciled to Income / (loss) before tax as follows: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778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7"/>
                <w:szCs w:val="17"/>
                <w:b w:val="1"/>
                <w:bCs w:val="1"/>
                <w:color w:val="auto"/>
              </w:rPr>
              <w:t>For the Years Ended December 31,</w:t>
            </w:r>
          </w:p>
        </w:tc>
        <w:tc>
          <w:tcPr>
            <w:tcW w:w="0" w:type="dxa"/>
            <w:vAlign w:val="bottom"/>
          </w:tcPr>
          <w:p>
            <w:pPr>
              <w:spacing w:after="0"/>
              <w:rPr>
                <w:sz w:val="1"/>
                <w:szCs w:val="1"/>
                <w:color w:val="auto"/>
              </w:rPr>
            </w:pPr>
          </w:p>
        </w:tc>
      </w:tr>
      <w:tr>
        <w:trPr>
          <w:trHeight w:val="214"/>
        </w:trPr>
        <w:tc>
          <w:tcPr>
            <w:tcW w:w="7780" w:type="dxa"/>
            <w:vAlign w:val="bottom"/>
            <w:tcBorders>
              <w:bottom w:val="single" w:sz="8" w:color="D5EAEA"/>
            </w:tcBorders>
          </w:tcPr>
          <w:p>
            <w:pPr>
              <w:ind w:left="3160"/>
              <w:spacing w:after="0"/>
              <w:rPr>
                <w:sz w:val="20"/>
                <w:szCs w:val="20"/>
                <w:color w:val="auto"/>
              </w:rPr>
            </w:pPr>
            <w:r>
              <w:rPr>
                <w:rFonts w:ascii="Arial" w:cs="Arial" w:eastAsia="Arial" w:hAnsi="Arial"/>
                <w:sz w:val="17"/>
                <w:szCs w:val="17"/>
                <w:b w:val="1"/>
                <w:bCs w:val="1"/>
                <w:color w:val="auto"/>
              </w:rPr>
              <w:t>in CHF thousands</w:t>
            </w: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D5EAEA"/>
            </w:tcBorders>
          </w:tcPr>
          <w:p>
            <w:pPr>
              <w:spacing w:after="0"/>
              <w:rPr>
                <w:sz w:val="18"/>
                <w:szCs w:val="18"/>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20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Income / (loss) before income tax</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(7,096)</w:t>
            </w: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20,270</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10,744</w:t>
            </w:r>
          </w:p>
        </w:tc>
        <w:tc>
          <w:tcPr>
            <w:tcW w:w="0" w:type="dxa"/>
            <w:vAlign w:val="bottom"/>
          </w:tcPr>
          <w:p>
            <w:pPr>
              <w:spacing w:after="0"/>
              <w:rPr>
                <w:sz w:val="1"/>
                <w:szCs w:val="1"/>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Tax expense / (benefit) calculated at the statutory rate of 21% (22% for 2015 and 2014)</w:t>
            </w:r>
          </w:p>
        </w:tc>
        <w:tc>
          <w:tcPr>
            <w:tcW w:w="1160" w:type="dxa"/>
            <w:vAlign w:val="bottom"/>
          </w:tcPr>
          <w:p>
            <w:pPr>
              <w:jc w:val="right"/>
              <w:spacing w:after="0"/>
              <w:rPr>
                <w:sz w:val="20"/>
                <w:szCs w:val="20"/>
                <w:color w:val="auto"/>
              </w:rPr>
            </w:pPr>
            <w:r>
              <w:rPr>
                <w:rFonts w:ascii="Arial" w:cs="Arial" w:eastAsia="Arial" w:hAnsi="Arial"/>
                <w:sz w:val="17"/>
                <w:szCs w:val="17"/>
                <w:color w:val="auto"/>
              </w:rPr>
              <w:t>(1,504)</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4,566</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2,420</w:t>
            </w:r>
          </w:p>
        </w:tc>
        <w:tc>
          <w:tcPr>
            <w:tcW w:w="0" w:type="dxa"/>
            <w:vAlign w:val="bottom"/>
          </w:tcPr>
          <w:p>
            <w:pPr>
              <w:spacing w:after="0"/>
              <w:rPr>
                <w:sz w:val="1"/>
                <w:szCs w:val="1"/>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Effect of Swiss Tax Holidays</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(2,420)</w:t>
            </w:r>
          </w:p>
        </w:tc>
        <w:tc>
          <w:tcPr>
            <w:tcW w:w="0" w:type="dxa"/>
            <w:vAlign w:val="bottom"/>
          </w:tcPr>
          <w:p>
            <w:pPr>
              <w:spacing w:after="0"/>
              <w:rPr>
                <w:sz w:val="1"/>
                <w:szCs w:val="1"/>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Permanent differences</w:t>
            </w:r>
          </w:p>
        </w:tc>
        <w:tc>
          <w:tcPr>
            <w:tcW w:w="1160" w:type="dxa"/>
            <w:vAlign w:val="bottom"/>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Effect of unrecognized carry forward tax loss</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(4,566)</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Effect of unused tax losses and tax offsets not recognized as deferred tax assets</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1,670</w:t>
            </w: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77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color w:val="auto"/>
              </w:rPr>
              <w:t>Effective income tax rate benefit / (expense)</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0</w:t>
            </w:r>
          </w:p>
        </w:tc>
        <w:tc>
          <w:tcPr>
            <w:tcW w:w="10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60"/>
              <w:spacing w:after="0"/>
              <w:rPr>
                <w:sz w:val="20"/>
                <w:szCs w:val="20"/>
                <w:color w:val="auto"/>
              </w:rPr>
            </w:pPr>
            <w:r>
              <w:rPr>
                <w:rFonts w:ascii="Arial" w:cs="Arial" w:eastAsia="Arial" w:hAnsi="Arial"/>
                <w:sz w:val="17"/>
                <w:szCs w:val="17"/>
                <w:color w:val="auto"/>
              </w:rPr>
              <w:t>F-20</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778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9" w:right="239" w:bottom="1440" w:gutter="0" w:footer="0" w:header="0"/>
          <w:type w:val="continuous"/>
        </w:sectPr>
      </w:pPr>
    </w:p>
    <w:bookmarkStart w:id="161" w:name="page162"/>
    <w:bookmarkEnd w:id="161"/>
    <w:p>
      <w:pPr>
        <w:ind w:right="40" w:firstLine="312"/>
        <w:spacing w:after="0" w:line="286" w:lineRule="auto"/>
        <w:rPr>
          <w:sz w:val="20"/>
          <w:szCs w:val="20"/>
          <w:color w:val="auto"/>
        </w:rPr>
      </w:pPr>
      <w:r>
        <w:rPr>
          <w:rFonts w:ascii="Arial" w:cs="Arial" w:eastAsia="Arial" w:hAnsi="Arial"/>
          <w:sz w:val="17"/>
          <w:szCs w:val="17"/>
          <w:color w:val="auto"/>
        </w:rPr>
        <w:t>The tax rate used for the 2016 reconciliations above is the corporate tax rate of 21% (22%: 2015 and 2014) payable by corporate entities in the Canton of Vaud, Switzerland on taxable profits under tax law in that jurisdiction.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2015, AC Immune was able to apply tax loss carryforwards to reduce its effective tax rate to zero.</w:t>
      </w:r>
    </w:p>
    <w:p>
      <w:pPr>
        <w:spacing w:after="0" w:line="221" w:lineRule="exact"/>
        <w:rPr>
          <w:sz w:val="20"/>
          <w:szCs w:val="20"/>
          <w:color w:val="auto"/>
        </w:rPr>
      </w:pPr>
    </w:p>
    <w:p>
      <w:pPr>
        <w:ind w:right="60" w:firstLine="312"/>
        <w:spacing w:after="0" w:line="270" w:lineRule="auto"/>
        <w:rPr>
          <w:sz w:val="20"/>
          <w:szCs w:val="20"/>
          <w:color w:val="auto"/>
        </w:rPr>
      </w:pPr>
      <w:r>
        <w:rPr>
          <w:rFonts w:ascii="Arial" w:cs="Arial" w:eastAsia="Arial" w:hAnsi="Arial"/>
          <w:sz w:val="17"/>
          <w:szCs w:val="17"/>
          <w:color w:val="auto"/>
        </w:rPr>
        <w:t>The Company was granted by the Canton of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ectPr>
          <w:pgSz w:w="11900" w:h="16838" w:orient="portrait"/>
          <w:cols w:equalWidth="0" w:num="1">
            <w:col w:w="11420"/>
          </w:cols>
          <w:pgMar w:left="240" w:top="569"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in CHF thousands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Unrecognized deductible temporary differences, unused tax losses and unused 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251700" cy="1403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pacing w:after="0" w:line="6" w:lineRule="exact"/>
        <w:rPr>
          <w:sz w:val="20"/>
          <w:szCs w:val="20"/>
          <w:color w:val="auto"/>
        </w:rPr>
      </w:pPr>
    </w:p>
    <w:p>
      <w:pPr>
        <w:ind w:left="180" w:hanging="172"/>
        <w:spacing w:after="0" w:line="255" w:lineRule="auto"/>
        <w:rPr>
          <w:sz w:val="20"/>
          <w:szCs w:val="20"/>
          <w:color w:val="auto"/>
        </w:rPr>
      </w:pPr>
      <w:r>
        <w:rPr>
          <w:rFonts w:ascii="Arial" w:cs="Arial" w:eastAsia="Arial" w:hAnsi="Arial"/>
          <w:sz w:val="17"/>
          <w:szCs w:val="17"/>
          <w:color w:val="auto"/>
        </w:rPr>
        <w:t>Deductible temporary differences, unused tax losses and unused tax credits for which no deferred tax assets have been recognized are attributable to the following:</w:t>
      </w:r>
    </w:p>
    <w:p>
      <w:pPr>
        <w:spacing w:after="0" w:line="1" w:lineRule="exact"/>
        <w:rPr>
          <w:sz w:val="20"/>
          <w:szCs w:val="20"/>
          <w:color w:val="auto"/>
        </w:rPr>
      </w:pPr>
    </w:p>
    <w:p>
      <w:pPr>
        <w:ind w:left="100" w:hanging="96"/>
        <w:spacing w:after="0"/>
        <w:tabs>
          <w:tab w:leader="none" w:pos="1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Tax losses</w:t>
      </w:r>
    </w:p>
    <w:p>
      <w:pPr>
        <w:spacing w:after="0" w:line="12" w:lineRule="exact"/>
        <w:rPr>
          <w:rFonts w:ascii="Arial" w:cs="Arial" w:eastAsia="Arial" w:hAnsi="Arial"/>
          <w:sz w:val="17"/>
          <w:szCs w:val="17"/>
          <w:color w:val="auto"/>
        </w:rPr>
      </w:pPr>
    </w:p>
    <w:p>
      <w:pPr>
        <w:ind w:left="100" w:hanging="96"/>
        <w:spacing w:after="0"/>
        <w:tabs>
          <w:tab w:leader="none" w:pos="1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Deductible temporary differences related to the retirement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251700" cy="1320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1700" cy="1320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7251700" cy="1320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1700" cy="13208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23126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9" w:lineRule="exact"/>
        <w:rPr>
          <w:sz w:val="20"/>
          <w:szCs w:val="20"/>
          <w:color w:val="auto"/>
        </w:rPr>
      </w:pPr>
    </w:p>
    <w:p>
      <w:pPr>
        <w:ind w:left="400"/>
        <w:spacing w:after="0"/>
        <w:tabs>
          <w:tab w:leader="none" w:pos="1660" w:val="left"/>
          <w:tab w:leader="none" w:pos="2900" w:val="left"/>
        </w:tabs>
        <w:rPr>
          <w:sz w:val="20"/>
          <w:szCs w:val="20"/>
          <w:color w:val="auto"/>
        </w:rPr>
      </w:pPr>
      <w:r>
        <w:rPr>
          <w:rFonts w:ascii="Arial" w:cs="Arial" w:eastAsia="Arial" w:hAnsi="Arial"/>
          <w:sz w:val="17"/>
          <w:szCs w:val="17"/>
          <w:b w:val="1"/>
          <w:bCs w:val="1"/>
          <w:color w:val="auto"/>
        </w:rPr>
        <w:t>2016</w:t>
      </w:r>
      <w:r>
        <w:rPr>
          <w:sz w:val="20"/>
          <w:szCs w:val="20"/>
          <w:color w:val="auto"/>
        </w:rPr>
        <w:tab/>
      </w:r>
      <w:r>
        <w:rPr>
          <w:rFonts w:ascii="Arial" w:cs="Arial" w:eastAsia="Arial" w:hAnsi="Arial"/>
          <w:sz w:val="17"/>
          <w:szCs w:val="17"/>
          <w:b w:val="1"/>
          <w:bCs w:val="1"/>
          <w:color w:val="auto"/>
        </w:rPr>
        <w:t>2015</w:t>
      </w:r>
      <w:r>
        <w:rPr>
          <w:sz w:val="20"/>
          <w:szCs w:val="20"/>
          <w:color w:val="auto"/>
        </w:rPr>
        <w:tab/>
      </w:r>
      <w:r>
        <w:rPr>
          <w:rFonts w:ascii="Arial" w:cs="Arial" w:eastAsia="Arial" w:hAnsi="Arial"/>
          <w:sz w:val="15"/>
          <w:szCs w:val="15"/>
          <w:b w:val="1"/>
          <w:bCs w:val="1"/>
          <w:color w:val="auto"/>
        </w:rPr>
        <w:t>2014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jc w:val="right"/>
              <w:ind w:right="33"/>
              <w:spacing w:after="0"/>
              <w:rPr>
                <w:sz w:val="20"/>
                <w:szCs w:val="20"/>
                <w:color w:val="auto"/>
              </w:rPr>
            </w:pPr>
            <w:r>
              <w:rPr>
                <w:rFonts w:ascii="Arial" w:cs="Arial" w:eastAsia="Arial" w:hAnsi="Arial"/>
                <w:sz w:val="17"/>
                <w:szCs w:val="17"/>
                <w:color w:val="auto"/>
              </w:rPr>
              <w:t>36,707</w:t>
            </w:r>
          </w:p>
        </w:tc>
        <w:tc>
          <w:tcPr>
            <w:tcW w:w="1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29,079</w:t>
            </w:r>
          </w:p>
        </w:tc>
        <w:tc>
          <w:tcPr>
            <w:tcW w:w="1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49,253</w:t>
            </w:r>
          </w:p>
        </w:tc>
      </w:tr>
      <w:tr>
        <w:trPr>
          <w:trHeight w:val="221"/>
        </w:trPr>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3,798</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2,787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2,410</w:t>
            </w:r>
          </w:p>
        </w:tc>
      </w:tr>
      <w:tr>
        <w:trPr>
          <w:trHeight w:val="422"/>
        </w:trPr>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40,505</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31,866</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51,663</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460" w:space="320"/>
            <w:col w:w="3640"/>
          </w:cols>
          <w:pgMar w:left="240" w:top="569" w:right="23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Deductible temporary differences related to the retirement benefit plan do not expire. Tax losses expiry dates are shown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tcPr>
          <w:p>
            <w:pPr>
              <w:ind w:left="3160"/>
              <w:spacing w:after="0"/>
              <w:rPr>
                <w:sz w:val="20"/>
                <w:szCs w:val="20"/>
                <w:color w:val="auto"/>
              </w:rPr>
            </w:pPr>
            <w:r>
              <w:rPr>
                <w:rFonts w:ascii="Arial" w:cs="Arial" w:eastAsia="Arial" w:hAnsi="Arial"/>
                <w:sz w:val="17"/>
                <w:szCs w:val="17"/>
                <w:b w:val="1"/>
                <w:bCs w:val="1"/>
                <w:color w:val="auto"/>
              </w:rPr>
              <w:t>in CHF thousands</w:t>
            </w: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2014</w:t>
            </w:r>
          </w:p>
        </w:tc>
      </w:tr>
      <w:tr>
        <w:trPr>
          <w:trHeight w:val="201"/>
        </w:trPr>
        <w:tc>
          <w:tcPr>
            <w:tcW w:w="7780" w:type="dxa"/>
            <w:vAlign w:val="bottom"/>
          </w:tcPr>
          <w:p>
            <w:pPr>
              <w:spacing w:after="0"/>
              <w:rPr>
                <w:sz w:val="20"/>
                <w:szCs w:val="20"/>
                <w:color w:val="auto"/>
              </w:rPr>
            </w:pPr>
            <w:r>
              <w:rPr>
                <w:rFonts w:ascii="Arial" w:cs="Arial" w:eastAsia="Arial" w:hAnsi="Arial"/>
                <w:sz w:val="17"/>
                <w:szCs w:val="17"/>
                <w:b w:val="1"/>
                <w:bCs w:val="1"/>
                <w:color w:val="auto"/>
              </w:rPr>
              <w:t>Tax losses split by expiry date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December 31, 2017</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11,961</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December 31, 2018</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2,175</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2,175</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10,388</w:t>
            </w: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December 31, 2019</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16,566</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16,566</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16,566</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December 31, 2020</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10,338</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10,338</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10,388</w:t>
            </w: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December 31, 2021</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December 31, 2022</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2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December 31, 2023</w:t>
            </w: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7,628</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w:t>
            </w:r>
          </w:p>
        </w:tc>
      </w:tr>
      <w:tr>
        <w:trPr>
          <w:trHeight w:val="214"/>
        </w:trPr>
        <w:tc>
          <w:tcPr>
            <w:tcW w:w="778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36,707</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29,079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49,253</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80" w:firstLine="312"/>
        <w:spacing w:after="0" w:line="286" w:lineRule="auto"/>
        <w:rPr>
          <w:sz w:val="20"/>
          <w:szCs w:val="20"/>
          <w:color w:val="auto"/>
        </w:rPr>
      </w:pPr>
      <w:r>
        <w:rPr>
          <w:rFonts w:ascii="Arial" w:cs="Arial" w:eastAsia="Arial" w:hAnsi="Arial"/>
          <w:sz w:val="17"/>
          <w:szCs w:val="17"/>
          <w:color w:val="auto"/>
        </w:rPr>
        <w:t>The tax losses available for future offset against taxable profits have increased by CHF 7.6 million from 2015, representing the amount of tax losses that are additionally available as an offset, subject to expiration as disclosed in the table above, against future taxable income.</w:t>
      </w:r>
    </w:p>
    <w:p>
      <w:pPr>
        <w:spacing w:after="0" w:line="158" w:lineRule="exact"/>
        <w:rPr>
          <w:sz w:val="20"/>
          <w:szCs w:val="20"/>
          <w:color w:val="auto"/>
        </w:rPr>
      </w:pPr>
    </w:p>
    <w:p>
      <w:pPr>
        <w:ind w:right="160" w:firstLine="312"/>
        <w:spacing w:after="0" w:line="286" w:lineRule="auto"/>
        <w:rPr>
          <w:sz w:val="20"/>
          <w:szCs w:val="20"/>
          <w:color w:val="auto"/>
        </w:rPr>
      </w:pPr>
      <w:r>
        <w:rPr>
          <w:rFonts w:ascii="Arial" w:cs="Arial" w:eastAsia="Arial" w:hAnsi="Arial"/>
          <w:sz w:val="17"/>
          <w:szCs w:val="17"/>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Retirement benefit plan</w:t>
      </w:r>
    </w:p>
    <w:p>
      <w:pPr>
        <w:spacing w:after="0" w:line="227" w:lineRule="exact"/>
        <w:rPr>
          <w:sz w:val="20"/>
          <w:szCs w:val="20"/>
          <w:color w:val="auto"/>
        </w:rPr>
      </w:pPr>
    </w:p>
    <w:p>
      <w:pPr>
        <w:ind w:right="220" w:firstLine="312"/>
        <w:spacing w:after="0" w:line="286" w:lineRule="auto"/>
        <w:rPr>
          <w:sz w:val="20"/>
          <w:szCs w:val="20"/>
          <w:color w:val="auto"/>
        </w:rPr>
      </w:pPr>
      <w:r>
        <w:rPr>
          <w:rFonts w:ascii="Arial" w:cs="Arial" w:eastAsia="Arial" w:hAnsi="Arial"/>
          <w:sz w:val="17"/>
          <w:szCs w:val="17"/>
          <w:color w:val="auto"/>
        </w:rPr>
        <w:t>The Company participates in a collective foundation covering all of its employees including its executive officers. In addition to retirement benefits, the plan provides death or long-term disability benefits.</w:t>
      </w:r>
    </w:p>
    <w:p>
      <w:pPr>
        <w:spacing w:after="0" w:line="158" w:lineRule="exact"/>
        <w:rPr>
          <w:sz w:val="20"/>
          <w:szCs w:val="20"/>
          <w:color w:val="auto"/>
        </w:rPr>
      </w:pPr>
    </w:p>
    <w:p>
      <w:pPr>
        <w:ind w:right="640" w:firstLine="312"/>
        <w:spacing w:after="0" w:line="286" w:lineRule="auto"/>
        <w:rPr>
          <w:sz w:val="20"/>
          <w:szCs w:val="20"/>
          <w:color w:val="auto"/>
        </w:rPr>
      </w:pPr>
      <w:r>
        <w:rPr>
          <w:rFonts w:ascii="Arial" w:cs="Arial" w:eastAsia="Arial" w:hAnsi="Arial"/>
          <w:sz w:val="17"/>
          <w:szCs w:val="17"/>
          <w:color w:val="auto"/>
        </w:rPr>
        <w:t>Contributions paid to the plan are computed as a percentage of salary, adjusted for the age of the employee and shared approximately 46% and 54% by employee and employer,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type w:val="continuous"/>
        </w:sectPr>
      </w:pPr>
    </w:p>
    <w:bookmarkStart w:id="162" w:name="page163"/>
    <w:bookmarkEnd w:id="162"/>
    <w:p>
      <w:pPr>
        <w:ind w:right="140" w:firstLine="312"/>
        <w:spacing w:after="0" w:line="265" w:lineRule="auto"/>
        <w:rPr>
          <w:sz w:val="20"/>
          <w:szCs w:val="20"/>
          <w:color w:val="auto"/>
        </w:rPr>
      </w:pPr>
      <w:r>
        <w:rPr>
          <w:rFonts w:ascii="Arial" w:cs="Arial" w:eastAsia="Arial" w:hAnsi="Arial"/>
          <w:sz w:val="17"/>
          <w:szCs w:val="17"/>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77" w:lineRule="exact"/>
        <w:rPr>
          <w:sz w:val="20"/>
          <w:szCs w:val="20"/>
          <w:color w:val="auto"/>
        </w:rPr>
      </w:pPr>
    </w:p>
    <w:p>
      <w:pPr>
        <w:ind w:right="500" w:firstLine="312"/>
        <w:spacing w:after="0" w:line="286"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58" w:lineRule="exact"/>
        <w:rPr>
          <w:sz w:val="20"/>
          <w:szCs w:val="20"/>
          <w:color w:val="auto"/>
        </w:rPr>
      </w:pPr>
    </w:p>
    <w:p>
      <w:pPr>
        <w:ind w:right="140" w:firstLine="312"/>
        <w:spacing w:after="0" w:line="260" w:lineRule="auto"/>
        <w:rPr>
          <w:sz w:val="20"/>
          <w:szCs w:val="20"/>
          <w:color w:val="auto"/>
        </w:rPr>
      </w:pPr>
      <w:r>
        <w:rPr>
          <w:rFonts w:ascii="Arial" w:cs="Arial" w:eastAsia="Arial" w:hAnsi="Arial"/>
          <w:sz w:val="17"/>
          <w:szCs w:val="17"/>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pension plan is exposed to Swiss inflation, interest rate risks and changes in the life expectancy for pensioners.</w:t>
      </w:r>
    </w:p>
    <w:p>
      <w:pPr>
        <w:spacing w:after="0" w:line="221" w:lineRule="exact"/>
        <w:rPr>
          <w:sz w:val="20"/>
          <w:szCs w:val="20"/>
          <w:color w:val="auto"/>
        </w:rPr>
      </w:pPr>
    </w:p>
    <w:p>
      <w:pPr>
        <w:ind w:firstLine="312"/>
        <w:spacing w:after="0" w:line="286" w:lineRule="auto"/>
        <w:rPr>
          <w:sz w:val="20"/>
          <w:szCs w:val="20"/>
          <w:color w:val="auto"/>
        </w:rPr>
      </w:pPr>
      <w:r>
        <w:rPr>
          <w:rFonts w:ascii="Arial" w:cs="Arial" w:eastAsia="Arial" w:hAnsi="Arial"/>
          <w:sz w:val="17"/>
          <w:szCs w:val="17"/>
          <w:color w:val="auto"/>
        </w:rPr>
        <w:t>For accounting purposes under IFRS, the plan is treated as a defined benefit plan. Liabilities are calculated annually by an independent actuary. Plan assets have been estimated at their fair market value and liabilities have been calculated according to the “Projected Unit Credit” method.</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status of the defined benefit pension plan and the amount that should be recognized in the balance sheet: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1"/>
              </w:rPr>
              <w:t>For the Years Ended December</w:t>
            </w:r>
          </w:p>
        </w:tc>
        <w:tc>
          <w:tcPr>
            <w:tcW w:w="0" w:type="dxa"/>
            <w:vAlign w:val="bottom"/>
          </w:tcPr>
          <w:p>
            <w:pPr>
              <w:spacing w:after="0"/>
              <w:rPr>
                <w:sz w:val="1"/>
                <w:szCs w:val="1"/>
                <w:color w:val="auto"/>
              </w:rPr>
            </w:pPr>
          </w:p>
        </w:tc>
      </w:tr>
      <w:tr>
        <w:trPr>
          <w:trHeight w:val="226"/>
        </w:trPr>
        <w:tc>
          <w:tcPr>
            <w:tcW w:w="7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7"/>
                <w:szCs w:val="17"/>
                <w:b w:val="1"/>
                <w:bCs w:val="1"/>
                <w:color w:val="auto"/>
              </w:rPr>
              <w:t>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80" w:type="dxa"/>
            <w:vAlign w:val="bottom"/>
            <w:tcBorders>
              <w:bottom w:val="single" w:sz="8" w:color="D5EAEA"/>
            </w:tcBorders>
          </w:tcPr>
          <w:p>
            <w:pPr>
              <w:ind w:left="3780"/>
              <w:spacing w:after="0"/>
              <w:rPr>
                <w:sz w:val="20"/>
                <w:szCs w:val="20"/>
                <w:color w:val="auto"/>
              </w:rPr>
            </w:pPr>
            <w:r>
              <w:rPr>
                <w:rFonts w:ascii="Arial" w:cs="Arial" w:eastAsia="Arial" w:hAnsi="Arial"/>
                <w:sz w:val="17"/>
                <w:szCs w:val="17"/>
                <w:b w:val="1"/>
                <w:bCs w:val="1"/>
                <w:color w:val="auto"/>
              </w:rPr>
              <w:t>in CHF thousands</w:t>
            </w:r>
          </w:p>
        </w:tc>
        <w:tc>
          <w:tcPr>
            <w:tcW w:w="116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14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01"/>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Defined benefit obligation</w:t>
            </w:r>
          </w:p>
        </w:tc>
        <w:tc>
          <w:tcPr>
            <w:tcW w:w="11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(11,596)</w:t>
            </w:r>
          </w:p>
        </w:tc>
        <w:tc>
          <w:tcPr>
            <w:tcW w:w="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7"/>
                <w:szCs w:val="17"/>
                <w:color w:val="auto"/>
              </w:rPr>
              <w:t>(9,439)</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Fair value of plan assets</w:t>
            </w:r>
          </w:p>
        </w:tc>
        <w:tc>
          <w:tcPr>
            <w:tcW w:w="116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7,798</w:t>
            </w:r>
          </w:p>
        </w:tc>
        <w:tc>
          <w:tcPr>
            <w:tcW w:w="2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6,652</w:t>
            </w:r>
          </w:p>
        </w:tc>
        <w:tc>
          <w:tcPr>
            <w:tcW w:w="0" w:type="dxa"/>
            <w:vAlign w:val="bottom"/>
          </w:tcPr>
          <w:p>
            <w:pPr>
              <w:spacing w:after="0"/>
              <w:rPr>
                <w:sz w:val="1"/>
                <w:szCs w:val="1"/>
                <w:color w:val="auto"/>
              </w:rPr>
            </w:pPr>
          </w:p>
        </w:tc>
      </w:tr>
      <w:tr>
        <w:trPr>
          <w:trHeight w:val="214"/>
        </w:trPr>
        <w:tc>
          <w:tcPr>
            <w:tcW w:w="77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color w:val="auto"/>
              </w:rPr>
              <w:t>Total liability</w:t>
            </w:r>
          </w:p>
        </w:tc>
        <w:tc>
          <w:tcPr>
            <w:tcW w:w="116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gridSpan w:val="2"/>
            <w:shd w:val="clear" w:color="auto" w:fill="D5EAEA"/>
          </w:tcPr>
          <w:p>
            <w:pPr>
              <w:jc w:val="right"/>
              <w:spacing w:after="0"/>
              <w:rPr>
                <w:sz w:val="20"/>
                <w:szCs w:val="20"/>
                <w:color w:val="auto"/>
              </w:rPr>
            </w:pPr>
            <w:r>
              <w:rPr>
                <w:rFonts w:ascii="Arial" w:cs="Arial" w:eastAsia="Arial" w:hAnsi="Arial"/>
                <w:sz w:val="17"/>
                <w:szCs w:val="17"/>
                <w:color w:val="auto"/>
              </w:rPr>
              <w:t>(3,798)</w:t>
            </w:r>
          </w:p>
        </w:tc>
        <w:tc>
          <w:tcPr>
            <w:tcW w:w="2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D5EAEA"/>
            </w:tcBorders>
            <w:shd w:val="clear" w:color="auto" w:fill="D5EAEA"/>
          </w:tcPr>
          <w:p>
            <w:pPr>
              <w:spacing w:after="0"/>
              <w:rPr>
                <w:sz w:val="18"/>
                <w:szCs w:val="18"/>
                <w:color w:val="auto"/>
              </w:rPr>
            </w:pPr>
          </w:p>
        </w:tc>
        <w:tc>
          <w:tcPr>
            <w:tcW w:w="220" w:type="dxa"/>
            <w:vAlign w:val="bottom"/>
            <w:tcBorders>
              <w:bottom w:val="single" w:sz="8" w:color="auto"/>
            </w:tcBorders>
            <w:shd w:val="clear" w:color="auto" w:fill="D5EAEA"/>
          </w:tcPr>
          <w:p>
            <w:pPr>
              <w:spacing w:after="0"/>
              <w:rPr>
                <w:sz w:val="18"/>
                <w:szCs w:val="18"/>
                <w:color w:val="auto"/>
              </w:rPr>
            </w:pPr>
          </w:p>
        </w:tc>
        <w:tc>
          <w:tcPr>
            <w:tcW w:w="9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(2,787)</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320"/>
              <w:spacing w:after="0"/>
              <w:rPr>
                <w:sz w:val="20"/>
                <w:szCs w:val="20"/>
                <w:color w:val="auto"/>
              </w:rPr>
            </w:pPr>
            <w:r>
              <w:rPr>
                <w:rFonts w:ascii="Arial" w:cs="Arial" w:eastAsia="Arial" w:hAnsi="Arial"/>
                <w:sz w:val="17"/>
                <w:szCs w:val="17"/>
                <w:color w:val="auto"/>
              </w:rPr>
              <w:t>The following amounts have been recorded as net pension cost in the statement of income:</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780" w:type="dxa"/>
            <w:vAlign w:val="bottom"/>
          </w:tcPr>
          <w:p>
            <w:pPr>
              <w:spacing w:after="0"/>
              <w:rPr>
                <w:sz w:val="24"/>
                <w:szCs w:val="24"/>
                <w:color w:val="auto"/>
              </w:rPr>
            </w:pPr>
          </w:p>
        </w:tc>
        <w:tc>
          <w:tcPr>
            <w:tcW w:w="3640" w:type="dxa"/>
            <w:vAlign w:val="bottom"/>
            <w:tcBorders>
              <w:bottom w:val="single" w:sz="8" w:color="auto"/>
            </w:tcBorders>
            <w:gridSpan w:val="8"/>
          </w:tcPr>
          <w:p>
            <w:pPr>
              <w:jc w:val="right"/>
              <w:ind w:right="433"/>
              <w:spacing w:after="0"/>
              <w:rPr>
                <w:sz w:val="20"/>
                <w:szCs w:val="20"/>
                <w:color w:val="auto"/>
              </w:rPr>
            </w:pPr>
            <w:r>
              <w:rPr>
                <w:rFonts w:ascii="Arial" w:cs="Arial" w:eastAsia="Arial" w:hAnsi="Arial"/>
                <w:sz w:val="17"/>
                <w:szCs w:val="17"/>
                <w:b w:val="1"/>
                <w:bCs w:val="1"/>
                <w:color w:val="auto"/>
              </w:rPr>
              <w:t>For the Years Ended December 31,</w:t>
            </w:r>
          </w:p>
        </w:tc>
        <w:tc>
          <w:tcPr>
            <w:tcW w:w="0" w:type="dxa"/>
            <w:vAlign w:val="bottom"/>
          </w:tcPr>
          <w:p>
            <w:pPr>
              <w:spacing w:after="0"/>
              <w:rPr>
                <w:sz w:val="1"/>
                <w:szCs w:val="1"/>
                <w:color w:val="auto"/>
              </w:rPr>
            </w:pPr>
          </w:p>
        </w:tc>
      </w:tr>
      <w:tr>
        <w:trPr>
          <w:trHeight w:val="214"/>
        </w:trPr>
        <w:tc>
          <w:tcPr>
            <w:tcW w:w="7780" w:type="dxa"/>
            <w:vAlign w:val="bottom"/>
          </w:tcPr>
          <w:p>
            <w:pPr>
              <w:ind w:left="3160"/>
              <w:spacing w:after="0"/>
              <w:rPr>
                <w:sz w:val="20"/>
                <w:szCs w:val="20"/>
                <w:color w:val="auto"/>
              </w:rPr>
            </w:pPr>
            <w:r>
              <w:rPr>
                <w:rFonts w:ascii="Arial" w:cs="Arial" w:eastAsia="Arial" w:hAnsi="Arial"/>
                <w:sz w:val="17"/>
                <w:szCs w:val="17"/>
                <w:b w:val="1"/>
                <w:bCs w:val="1"/>
                <w:color w:val="auto"/>
              </w:rPr>
              <w:t>in CHF thousands</w:t>
            </w:r>
          </w:p>
        </w:tc>
        <w:tc>
          <w:tcPr>
            <w:tcW w:w="1160" w:type="dxa"/>
            <w:vAlign w:val="bottom"/>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3"/>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201"/>
        </w:trPr>
        <w:tc>
          <w:tcPr>
            <w:tcW w:w="77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Service cost</w:t>
            </w:r>
          </w:p>
        </w:tc>
        <w:tc>
          <w:tcPr>
            <w:tcW w:w="116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742</w:t>
            </w:r>
          </w:p>
        </w:tc>
        <w:tc>
          <w:tcPr>
            <w:tcW w:w="100" w:type="dxa"/>
            <w:vAlign w:val="bottom"/>
            <w:tcBorders>
              <w:top w:val="single" w:sz="8" w:color="D5EAEA"/>
            </w:tcBorders>
            <w:shd w:val="clear" w:color="auto" w:fill="D5EAEA"/>
          </w:tcPr>
          <w:p>
            <w:pPr>
              <w:spacing w:after="0"/>
              <w:rPr>
                <w:sz w:val="17"/>
                <w:szCs w:val="17"/>
                <w:color w:val="auto"/>
              </w:rPr>
            </w:pPr>
          </w:p>
        </w:tc>
        <w:tc>
          <w:tcPr>
            <w:tcW w:w="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641</w:t>
            </w:r>
          </w:p>
        </w:tc>
        <w:tc>
          <w:tcPr>
            <w:tcW w:w="2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220" w:type="dxa"/>
            <w:vAlign w:val="bottom"/>
            <w:tcBorders>
              <w:top w:val="single" w:sz="8" w:color="auto"/>
            </w:tcBorders>
            <w:shd w:val="clear" w:color="auto" w:fill="D5EAEA"/>
          </w:tcPr>
          <w:p>
            <w:pPr>
              <w:spacing w:after="0"/>
              <w:rPr>
                <w:sz w:val="17"/>
                <w:szCs w:val="17"/>
                <w:color w:val="auto"/>
              </w:rPr>
            </w:pPr>
          </w:p>
        </w:tc>
        <w:tc>
          <w:tcPr>
            <w:tcW w:w="90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Interest cost</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8"/>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Interest income</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(76)</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Impact of plan amendment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D5EAEA"/>
            </w:tcBorders>
          </w:tcPr>
          <w:p>
            <w:pPr>
              <w:spacing w:after="0"/>
              <w:rPr>
                <w:sz w:val="19"/>
                <w:szCs w:val="19"/>
                <w:color w:val="auto"/>
              </w:rPr>
            </w:pPr>
          </w:p>
        </w:tc>
        <w:tc>
          <w:tcPr>
            <w:tcW w:w="2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Net pension cost</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82</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0"/>
        </w:trPr>
        <w:tc>
          <w:tcPr>
            <w:tcW w:w="7780" w:type="dxa"/>
            <w:vAlign w:val="bottom"/>
            <w:tcBorders>
              <w:top w:val="single" w:sz="8" w:color="D5EAE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defined benefit obligation, fair value of plan assets and unrecognized (gains) / losses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20" w:type="dxa"/>
            <w:vAlign w:val="bottom"/>
          </w:tcPr>
          <w:p>
            <w:pPr>
              <w:spacing w:after="0"/>
              <w:rPr>
                <w:sz w:val="20"/>
                <w:szCs w:val="20"/>
                <w:color w:val="auto"/>
              </w:rPr>
            </w:pPr>
            <w:r>
              <w:rPr>
                <w:rFonts w:ascii="Arial" w:cs="Arial" w:eastAsia="Arial" w:hAnsi="Arial"/>
                <w:sz w:val="17"/>
                <w:szCs w:val="17"/>
                <w:b w:val="1"/>
                <w:bCs w:val="1"/>
                <w:color w:val="auto"/>
              </w:rPr>
              <w:t>A. Change in defined benefit obligation</w:t>
            </w:r>
          </w:p>
        </w:tc>
        <w:tc>
          <w:tcPr>
            <w:tcW w:w="2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29"/>
        </w:trPr>
        <w:tc>
          <w:tcPr>
            <w:tcW w:w="5020" w:type="dxa"/>
            <w:vAlign w:val="bottom"/>
          </w:tcPr>
          <w:p>
            <w:pPr>
              <w:ind w:left="3160"/>
              <w:spacing w:after="0"/>
              <w:rPr>
                <w:sz w:val="20"/>
                <w:szCs w:val="20"/>
                <w:color w:val="auto"/>
              </w:rPr>
            </w:pPr>
            <w:r>
              <w:rPr>
                <w:rFonts w:ascii="Arial" w:cs="Arial" w:eastAsia="Arial" w:hAnsi="Arial"/>
                <w:sz w:val="17"/>
                <w:szCs w:val="17"/>
                <w:b w:val="1"/>
                <w:bCs w:val="1"/>
                <w:color w:val="auto"/>
              </w:rPr>
              <w:t>in CHF thousands</w:t>
            </w:r>
          </w:p>
        </w:tc>
        <w:tc>
          <w:tcPr>
            <w:tcW w:w="3920" w:type="dxa"/>
            <w:vAlign w:val="bottom"/>
            <w:gridSpan w:val="2"/>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24"/>
                <w:szCs w:val="24"/>
                <w:color w:val="auto"/>
              </w:rPr>
            </w:pPr>
          </w:p>
        </w:tc>
        <w:tc>
          <w:tcPr>
            <w:tcW w:w="1140" w:type="dxa"/>
            <w:vAlign w:val="bottom"/>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4"/>
                <w:szCs w:val="24"/>
                <w:color w:val="auto"/>
              </w:rPr>
            </w:pPr>
          </w:p>
        </w:tc>
        <w:tc>
          <w:tcPr>
            <w:tcW w:w="1120" w:type="dxa"/>
            <w:vAlign w:val="bottom"/>
          </w:tcPr>
          <w:p>
            <w:pPr>
              <w:jc w:val="right"/>
              <w:ind w:right="293"/>
              <w:spacing w:after="0"/>
              <w:rPr>
                <w:sz w:val="20"/>
                <w:szCs w:val="20"/>
                <w:color w:val="auto"/>
              </w:rPr>
            </w:pPr>
            <w:r>
              <w:rPr>
                <w:rFonts w:ascii="Arial" w:cs="Arial" w:eastAsia="Arial" w:hAnsi="Arial"/>
                <w:sz w:val="17"/>
                <w:szCs w:val="17"/>
                <w:b w:val="1"/>
                <w:bCs w:val="1"/>
                <w:color w:val="auto"/>
              </w:rPr>
              <w:t>2014</w:t>
            </w:r>
          </w:p>
        </w:tc>
      </w:tr>
      <w:tr>
        <w:trPr>
          <w:trHeight w:val="201"/>
        </w:trPr>
        <w:tc>
          <w:tcPr>
            <w:tcW w:w="50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Defined benefit obligation as of January 1</w:t>
            </w:r>
          </w:p>
        </w:tc>
        <w:tc>
          <w:tcPr>
            <w:tcW w:w="276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(9,439)</w:t>
            </w: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(8,091)</w:t>
            </w: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(6,044)</w:t>
            </w:r>
          </w:p>
        </w:tc>
      </w:tr>
      <w:tr>
        <w:trPr>
          <w:trHeight w:val="208"/>
        </w:trPr>
        <w:tc>
          <w:tcPr>
            <w:tcW w:w="5020" w:type="dxa"/>
            <w:vAlign w:val="bottom"/>
          </w:tcPr>
          <w:p>
            <w:pPr>
              <w:spacing w:after="0"/>
              <w:rPr>
                <w:sz w:val="20"/>
                <w:szCs w:val="20"/>
                <w:color w:val="auto"/>
              </w:rPr>
            </w:pPr>
            <w:r>
              <w:rPr>
                <w:rFonts w:ascii="Arial" w:cs="Arial" w:eastAsia="Arial" w:hAnsi="Arial"/>
                <w:sz w:val="17"/>
                <w:szCs w:val="17"/>
                <w:color w:val="auto"/>
              </w:rPr>
              <w:t>Service cost</w:t>
            </w:r>
          </w:p>
        </w:tc>
        <w:tc>
          <w:tcPr>
            <w:tcW w:w="3920" w:type="dxa"/>
            <w:vAlign w:val="bottom"/>
            <w:gridSpan w:val="2"/>
          </w:tcPr>
          <w:p>
            <w:pPr>
              <w:jc w:val="right"/>
              <w:spacing w:after="0"/>
              <w:rPr>
                <w:sz w:val="20"/>
                <w:szCs w:val="20"/>
                <w:color w:val="auto"/>
              </w:rPr>
            </w:pPr>
            <w:r>
              <w:rPr>
                <w:rFonts w:ascii="Arial" w:cs="Arial" w:eastAsia="Arial" w:hAnsi="Arial"/>
                <w:sz w:val="17"/>
                <w:szCs w:val="17"/>
                <w:color w:val="auto"/>
              </w:rPr>
              <w:t>(742)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(521)</w:t>
            </w:r>
          </w:p>
        </w:tc>
      </w:tr>
      <w:tr>
        <w:trPr>
          <w:trHeight w:val="208"/>
        </w:trPr>
        <w:tc>
          <w:tcPr>
            <w:tcW w:w="5020" w:type="dxa"/>
            <w:vAlign w:val="bottom"/>
            <w:shd w:val="clear" w:color="auto" w:fill="D5EAEA"/>
          </w:tcPr>
          <w:p>
            <w:pPr>
              <w:spacing w:after="0"/>
              <w:rPr>
                <w:sz w:val="20"/>
                <w:szCs w:val="20"/>
                <w:color w:val="auto"/>
              </w:rPr>
            </w:pPr>
            <w:r>
              <w:rPr>
                <w:rFonts w:ascii="Arial" w:cs="Arial" w:eastAsia="Arial" w:hAnsi="Arial"/>
                <w:sz w:val="17"/>
                <w:szCs w:val="17"/>
                <w:color w:val="auto"/>
              </w:rPr>
              <w:t>Interest cost</w:t>
            </w:r>
          </w:p>
        </w:tc>
        <w:tc>
          <w:tcPr>
            <w:tcW w:w="392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(137)</w:t>
            </w:r>
          </w:p>
        </w:tc>
      </w:tr>
      <w:tr>
        <w:trPr>
          <w:trHeight w:val="208"/>
        </w:trPr>
        <w:tc>
          <w:tcPr>
            <w:tcW w:w="5020" w:type="dxa"/>
            <w:vAlign w:val="bottom"/>
          </w:tcPr>
          <w:p>
            <w:pPr>
              <w:spacing w:after="0"/>
              <w:rPr>
                <w:sz w:val="20"/>
                <w:szCs w:val="20"/>
                <w:color w:val="auto"/>
              </w:rPr>
            </w:pPr>
            <w:r>
              <w:rPr>
                <w:rFonts w:ascii="Arial" w:cs="Arial" w:eastAsia="Arial" w:hAnsi="Arial"/>
                <w:sz w:val="17"/>
                <w:szCs w:val="17"/>
                <w:color w:val="auto"/>
              </w:rPr>
              <w:t>Change in demographic assumptions</w:t>
            </w:r>
          </w:p>
        </w:tc>
        <w:tc>
          <w:tcPr>
            <w:tcW w:w="3920" w:type="dxa"/>
            <w:vAlign w:val="bottom"/>
            <w:gridSpan w:val="2"/>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08"/>
        </w:trPr>
        <w:tc>
          <w:tcPr>
            <w:tcW w:w="5020" w:type="dxa"/>
            <w:vAlign w:val="bottom"/>
            <w:shd w:val="clear" w:color="auto" w:fill="D5EAEA"/>
          </w:tcPr>
          <w:p>
            <w:pPr>
              <w:spacing w:after="0"/>
              <w:rPr>
                <w:sz w:val="20"/>
                <w:szCs w:val="20"/>
                <w:color w:val="auto"/>
              </w:rPr>
            </w:pPr>
            <w:r>
              <w:rPr>
                <w:rFonts w:ascii="Arial" w:cs="Arial" w:eastAsia="Arial" w:hAnsi="Arial"/>
                <w:sz w:val="17"/>
                <w:szCs w:val="17"/>
                <w:color w:val="auto"/>
              </w:rPr>
              <w:t>Change in financial assumptions</w:t>
            </w:r>
          </w:p>
        </w:tc>
        <w:tc>
          <w:tcPr>
            <w:tcW w:w="392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(591)</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(1,303)</w:t>
            </w:r>
          </w:p>
        </w:tc>
      </w:tr>
      <w:tr>
        <w:trPr>
          <w:trHeight w:val="208"/>
        </w:trPr>
        <w:tc>
          <w:tcPr>
            <w:tcW w:w="5020" w:type="dxa"/>
            <w:vAlign w:val="bottom"/>
          </w:tcPr>
          <w:p>
            <w:pPr>
              <w:spacing w:after="0"/>
              <w:rPr>
                <w:sz w:val="20"/>
                <w:szCs w:val="20"/>
                <w:color w:val="auto"/>
              </w:rPr>
            </w:pPr>
            <w:r>
              <w:rPr>
                <w:rFonts w:ascii="Arial" w:cs="Arial" w:eastAsia="Arial" w:hAnsi="Arial"/>
                <w:sz w:val="17"/>
                <w:szCs w:val="17"/>
                <w:color w:val="auto"/>
              </w:rPr>
              <w:t>Other actuarial gains / (losses)</w:t>
            </w:r>
          </w:p>
        </w:tc>
        <w:tc>
          <w:tcPr>
            <w:tcW w:w="3920" w:type="dxa"/>
            <w:vAlign w:val="bottom"/>
            <w:gridSpan w:val="2"/>
          </w:tcPr>
          <w:p>
            <w:pPr>
              <w:jc w:val="right"/>
              <w:spacing w:after="0"/>
              <w:rPr>
                <w:sz w:val="20"/>
                <w:szCs w:val="20"/>
                <w:color w:val="auto"/>
              </w:rPr>
            </w:pPr>
            <w:r>
              <w:rPr>
                <w:rFonts w:ascii="Arial" w:cs="Arial" w:eastAsia="Arial" w:hAnsi="Arial"/>
                <w:sz w:val="17"/>
                <w:szCs w:val="17"/>
                <w:color w:val="auto"/>
              </w:rPr>
              <w:t>(378)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9</w:t>
            </w:r>
          </w:p>
        </w:tc>
      </w:tr>
      <w:tr>
        <w:trPr>
          <w:trHeight w:val="208"/>
        </w:trPr>
        <w:tc>
          <w:tcPr>
            <w:tcW w:w="5020" w:type="dxa"/>
            <w:vAlign w:val="bottom"/>
            <w:shd w:val="clear" w:color="auto" w:fill="D5EAEA"/>
          </w:tcPr>
          <w:p>
            <w:pPr>
              <w:spacing w:after="0"/>
              <w:rPr>
                <w:sz w:val="20"/>
                <w:szCs w:val="20"/>
                <w:color w:val="auto"/>
              </w:rPr>
            </w:pPr>
            <w:r>
              <w:rPr>
                <w:rFonts w:ascii="Arial" w:cs="Arial" w:eastAsia="Arial" w:hAnsi="Arial"/>
                <w:sz w:val="17"/>
                <w:szCs w:val="17"/>
                <w:color w:val="auto"/>
              </w:rPr>
              <w:t>Plan amendment</w:t>
            </w:r>
          </w:p>
        </w:tc>
        <w:tc>
          <w:tcPr>
            <w:tcW w:w="276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584</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r>
      <w:tr>
        <w:trPr>
          <w:trHeight w:val="208"/>
        </w:trPr>
        <w:tc>
          <w:tcPr>
            <w:tcW w:w="5020" w:type="dxa"/>
            <w:vAlign w:val="bottom"/>
          </w:tcPr>
          <w:p>
            <w:pPr>
              <w:spacing w:after="0"/>
              <w:rPr>
                <w:sz w:val="20"/>
                <w:szCs w:val="20"/>
                <w:color w:val="auto"/>
              </w:rPr>
            </w:pPr>
            <w:r>
              <w:rPr>
                <w:rFonts w:ascii="Arial" w:cs="Arial" w:eastAsia="Arial" w:hAnsi="Arial"/>
                <w:sz w:val="17"/>
                <w:szCs w:val="17"/>
                <w:color w:val="auto"/>
              </w:rPr>
              <w:t>Benefit payments</w:t>
            </w:r>
          </w:p>
        </w:tc>
        <w:tc>
          <w:tcPr>
            <w:tcW w:w="3920" w:type="dxa"/>
            <w:vAlign w:val="bottom"/>
            <w:gridSpan w:val="2"/>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227</w:t>
            </w:r>
          </w:p>
        </w:tc>
      </w:tr>
      <w:tr>
        <w:trPr>
          <w:trHeight w:val="221"/>
        </w:trPr>
        <w:tc>
          <w:tcPr>
            <w:tcW w:w="5020" w:type="dxa"/>
            <w:vAlign w:val="bottom"/>
            <w:shd w:val="clear" w:color="auto" w:fill="D5EAEA"/>
          </w:tcPr>
          <w:p>
            <w:pPr>
              <w:spacing w:after="0"/>
              <w:rPr>
                <w:sz w:val="20"/>
                <w:szCs w:val="20"/>
                <w:color w:val="auto"/>
              </w:rPr>
            </w:pPr>
            <w:r>
              <w:rPr>
                <w:rFonts w:ascii="Arial" w:cs="Arial" w:eastAsia="Arial" w:hAnsi="Arial"/>
                <w:sz w:val="17"/>
                <w:szCs w:val="17"/>
                <w:color w:val="auto"/>
              </w:rPr>
              <w:t>Employees’ contributions</w:t>
            </w:r>
          </w:p>
        </w:tc>
        <w:tc>
          <w:tcPr>
            <w:tcW w:w="276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(436)</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(322)</w:t>
            </w:r>
          </w:p>
        </w:tc>
      </w:tr>
      <w:tr>
        <w:trPr>
          <w:trHeight w:val="214"/>
        </w:trPr>
        <w:tc>
          <w:tcPr>
            <w:tcW w:w="5020" w:type="dxa"/>
            <w:vAlign w:val="bottom"/>
          </w:tcPr>
          <w:p>
            <w:pPr>
              <w:spacing w:after="0"/>
              <w:rPr>
                <w:sz w:val="20"/>
                <w:szCs w:val="20"/>
                <w:color w:val="auto"/>
              </w:rPr>
            </w:pPr>
            <w:r>
              <w:rPr>
                <w:rFonts w:ascii="Arial" w:cs="Arial" w:eastAsia="Arial" w:hAnsi="Arial"/>
                <w:sz w:val="17"/>
                <w:szCs w:val="17"/>
                <w:b w:val="1"/>
                <w:bCs w:val="1"/>
                <w:color w:val="auto"/>
              </w:rPr>
              <w:t>Defined benefit obligation as of December 31</w:t>
            </w:r>
          </w:p>
        </w:tc>
        <w:tc>
          <w:tcPr>
            <w:tcW w:w="3920" w:type="dxa"/>
            <w:vAlign w:val="bottom"/>
            <w:gridSpan w:val="2"/>
          </w:tcPr>
          <w:p>
            <w:pPr>
              <w:jc w:val="right"/>
              <w:spacing w:after="0"/>
              <w:rPr>
                <w:sz w:val="20"/>
                <w:szCs w:val="20"/>
                <w:color w:val="auto"/>
              </w:rPr>
            </w:pPr>
            <w:r>
              <w:rPr>
                <w:rFonts w:ascii="Arial" w:cs="Arial" w:eastAsia="Arial" w:hAnsi="Arial"/>
                <w:sz w:val="17"/>
                <w:szCs w:val="17"/>
                <w:color w:val="auto"/>
              </w:rPr>
              <w:t>(11,596)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(9,439)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(8,091)</w:t>
            </w:r>
          </w:p>
        </w:tc>
      </w:tr>
      <w:tr>
        <w:trPr>
          <w:trHeight w:val="20"/>
        </w:trPr>
        <w:tc>
          <w:tcPr>
            <w:tcW w:w="50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5"/>
        </w:trPr>
        <w:tc>
          <w:tcPr>
            <w:tcW w:w="50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color w:val="auto"/>
              </w:rPr>
              <w:t>F-22</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9" w:right="2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00" w:type="dxa"/>
            <w:vAlign w:val="bottom"/>
            <w:gridSpan w:val="2"/>
          </w:tcPr>
          <w:p>
            <w:pPr>
              <w:spacing w:after="0"/>
              <w:rPr>
                <w:sz w:val="20"/>
                <w:szCs w:val="20"/>
                <w:color w:val="auto"/>
              </w:rPr>
            </w:pPr>
            <w:r>
              <w:rPr>
                <w:rFonts w:ascii="Arial" w:cs="Arial" w:eastAsia="Arial" w:hAnsi="Arial"/>
                <w:sz w:val="17"/>
                <w:szCs w:val="17"/>
                <w:b w:val="1"/>
                <w:bCs w:val="1"/>
                <w:color w:val="auto"/>
              </w:rPr>
              <w:t>B.  Change in fair value of plan assets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8100" w:type="dxa"/>
            <w:vAlign w:val="bottom"/>
            <w:tcBorders>
              <w:bottom w:val="single" w:sz="8" w:color="D5EAEA"/>
            </w:tcBorders>
            <w:gridSpan w:val="2"/>
          </w:tcPr>
          <w:p>
            <w:pPr>
              <w:ind w:left="3780"/>
              <w:spacing w:after="0"/>
              <w:rPr>
                <w:sz w:val="20"/>
                <w:szCs w:val="20"/>
                <w:color w:val="auto"/>
              </w:rPr>
            </w:pPr>
            <w:r>
              <w:rPr>
                <w:rFonts w:ascii="Arial" w:cs="Arial" w:eastAsia="Arial" w:hAnsi="Arial"/>
                <w:sz w:val="17"/>
                <w:szCs w:val="17"/>
                <w:b w:val="1"/>
                <w:bCs w:val="1"/>
                <w:color w:val="auto"/>
              </w:rPr>
              <w:t>in CHF thousands</w:t>
            </w:r>
          </w:p>
        </w:tc>
        <w:tc>
          <w:tcPr>
            <w:tcW w:w="840" w:type="dxa"/>
            <w:vAlign w:val="bottom"/>
            <w:tcBorders>
              <w:bottom w:val="single" w:sz="8" w:color="D5EAEA"/>
            </w:tcBorders>
          </w:tcPr>
          <w:p>
            <w:pPr>
              <w:spacing w:after="0"/>
              <w:rPr>
                <w:sz w:val="24"/>
                <w:szCs w:val="24"/>
                <w:color w:val="auto"/>
              </w:rPr>
            </w:pPr>
          </w:p>
        </w:tc>
        <w:tc>
          <w:tcPr>
            <w:tcW w:w="100" w:type="dxa"/>
            <w:vAlign w:val="bottom"/>
            <w:tcBorders>
              <w:bottom w:val="single" w:sz="8" w:color="D5EAEA"/>
            </w:tcBorders>
          </w:tcPr>
          <w:p>
            <w:pPr>
              <w:spacing w:after="0"/>
              <w:rPr>
                <w:sz w:val="24"/>
                <w:szCs w:val="24"/>
                <w:color w:val="auto"/>
              </w:rPr>
            </w:pPr>
          </w:p>
        </w:tc>
        <w:tc>
          <w:tcPr>
            <w:tcW w:w="114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bottom w:val="single" w:sz="8" w:color="D5EAEA"/>
            </w:tcBorders>
          </w:tcPr>
          <w:p>
            <w:pPr>
              <w:spacing w:after="0"/>
              <w:rPr>
                <w:sz w:val="24"/>
                <w:szCs w:val="24"/>
                <w:color w:val="auto"/>
              </w:rPr>
            </w:pPr>
          </w:p>
        </w:tc>
        <w:tc>
          <w:tcPr>
            <w:tcW w:w="100" w:type="dxa"/>
            <w:vAlign w:val="bottom"/>
            <w:tcBorders>
              <w:bottom w:val="single" w:sz="8" w:color="D5EAEA"/>
            </w:tcBorders>
          </w:tcPr>
          <w:p>
            <w:pPr>
              <w:spacing w:after="0"/>
              <w:rPr>
                <w:sz w:val="24"/>
                <w:szCs w:val="24"/>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01"/>
        </w:trPr>
        <w:tc>
          <w:tcPr>
            <w:tcW w:w="810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Fair value of plan assets as of January 1</w:t>
            </w:r>
          </w:p>
        </w:tc>
        <w:tc>
          <w:tcPr>
            <w:tcW w:w="8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40" w:type="dxa"/>
            <w:vAlign w:val="bottom"/>
            <w:gridSpan w:val="2"/>
            <w:shd w:val="clear" w:color="auto" w:fill="D5EAEA"/>
          </w:tcPr>
          <w:p>
            <w:pPr>
              <w:jc w:val="right"/>
              <w:ind w:right="13"/>
              <w:spacing w:after="0"/>
              <w:rPr>
                <w:sz w:val="20"/>
                <w:szCs w:val="20"/>
                <w:color w:val="auto"/>
              </w:rPr>
            </w:pPr>
            <w:r>
              <w:rPr>
                <w:rFonts w:ascii="Arial" w:cs="Arial" w:eastAsia="Arial" w:hAnsi="Arial"/>
                <w:sz w:val="17"/>
                <w:szCs w:val="17"/>
                <w:color w:val="auto"/>
              </w:rPr>
              <w:t>6,652</w:t>
            </w:r>
          </w:p>
        </w:tc>
        <w:tc>
          <w:tcPr>
            <w:tcW w:w="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5,681</w:t>
            </w:r>
          </w:p>
        </w:tc>
        <w:tc>
          <w:tcPr>
            <w:tcW w:w="0" w:type="dxa"/>
            <w:vAlign w:val="bottom"/>
          </w:tcPr>
          <w:p>
            <w:pPr>
              <w:spacing w:after="0"/>
              <w:rPr>
                <w:sz w:val="1"/>
                <w:szCs w:val="1"/>
                <w:color w:val="auto"/>
              </w:rPr>
            </w:pPr>
          </w:p>
        </w:tc>
      </w:tr>
      <w:tr>
        <w:trPr>
          <w:trHeight w:val="208"/>
        </w:trPr>
        <w:tc>
          <w:tcPr>
            <w:tcW w:w="810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3"/>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8"/>
        </w:trPr>
        <w:tc>
          <w:tcPr>
            <w:tcW w:w="810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Employees’ contributions</w:t>
            </w:r>
          </w:p>
        </w:tc>
        <w:tc>
          <w:tcPr>
            <w:tcW w:w="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13"/>
              <w:spacing w:after="0"/>
              <w:rPr>
                <w:sz w:val="20"/>
                <w:szCs w:val="20"/>
                <w:color w:val="auto"/>
              </w:rPr>
            </w:pPr>
            <w:r>
              <w:rPr>
                <w:rFonts w:ascii="Arial" w:cs="Arial" w:eastAsia="Arial" w:hAnsi="Arial"/>
                <w:sz w:val="17"/>
                <w:szCs w:val="17"/>
                <w:color w:val="auto"/>
              </w:rPr>
              <w:t>436</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08"/>
        </w:trPr>
        <w:tc>
          <w:tcPr>
            <w:tcW w:w="8100" w:type="dxa"/>
            <w:vAlign w:val="bottom"/>
            <w:gridSpan w:val="2"/>
          </w:tcPr>
          <w:p>
            <w:pPr>
              <w:spacing w:after="0"/>
              <w:rPr>
                <w:sz w:val="20"/>
                <w:szCs w:val="20"/>
                <w:color w:val="auto"/>
              </w:rPr>
            </w:pPr>
            <w:r>
              <w:rPr>
                <w:rFonts w:ascii="Arial" w:cs="Arial" w:eastAsia="Arial" w:hAnsi="Arial"/>
                <w:sz w:val="17"/>
                <w:szCs w:val="17"/>
                <w:color w:val="auto"/>
              </w:rPr>
              <w:t>Employer’s contributions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3"/>
              <w:spacing w:after="0"/>
              <w:rPr>
                <w:sz w:val="20"/>
                <w:szCs w:val="20"/>
                <w:color w:val="auto"/>
              </w:rPr>
            </w:pPr>
            <w:r>
              <w:rPr>
                <w:rFonts w:ascii="Arial" w:cs="Arial" w:eastAsia="Arial" w:hAnsi="Arial"/>
                <w:sz w:val="17"/>
                <w:szCs w:val="17"/>
                <w:color w:val="auto"/>
              </w:rPr>
              <w:t>511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08"/>
        </w:trPr>
        <w:tc>
          <w:tcPr>
            <w:tcW w:w="810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Benefits payments</w:t>
            </w:r>
          </w:p>
        </w:tc>
        <w:tc>
          <w:tcPr>
            <w:tcW w:w="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13"/>
              <w:spacing w:after="0"/>
              <w:rPr>
                <w:sz w:val="20"/>
                <w:szCs w:val="20"/>
                <w:color w:val="auto"/>
              </w:rPr>
            </w:pPr>
            <w:r>
              <w:rPr>
                <w:rFonts w:ascii="Arial" w:cs="Arial" w:eastAsia="Arial" w:hAnsi="Arial"/>
                <w:sz w:val="17"/>
                <w:szCs w:val="17"/>
                <w:color w:val="auto"/>
              </w:rPr>
              <w:t>111</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1"/>
        </w:trPr>
        <w:tc>
          <w:tcPr>
            <w:tcW w:w="8100" w:type="dxa"/>
            <w:vAlign w:val="bottom"/>
            <w:tcBorders>
              <w:bottom w:val="single" w:sz="8" w:color="D5EAEA"/>
            </w:tcBorders>
            <w:gridSpan w:val="2"/>
          </w:tcPr>
          <w:p>
            <w:pPr>
              <w:spacing w:after="0"/>
              <w:rPr>
                <w:sz w:val="20"/>
                <w:szCs w:val="20"/>
                <w:color w:val="auto"/>
              </w:rPr>
            </w:pPr>
            <w:r>
              <w:rPr>
                <w:rFonts w:ascii="Arial" w:cs="Arial" w:eastAsia="Arial" w:hAnsi="Arial"/>
                <w:sz w:val="17"/>
                <w:szCs w:val="17"/>
                <w:color w:val="auto"/>
              </w:rPr>
              <w:t>Plan assets gains</w:t>
            </w:r>
          </w:p>
        </w:tc>
        <w:tc>
          <w:tcPr>
            <w:tcW w:w="84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32</w:t>
            </w:r>
          </w:p>
        </w:tc>
        <w:tc>
          <w:tcPr>
            <w:tcW w:w="2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7"/>
                <w:szCs w:val="17"/>
                <w:color w:val="auto"/>
              </w:rPr>
              <w:t>Fair value of plan assets as of December 31</w:t>
            </w:r>
          </w:p>
        </w:tc>
        <w:tc>
          <w:tcPr>
            <w:tcW w:w="84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gridSpan w:val="2"/>
            <w:shd w:val="clear" w:color="auto" w:fill="D5EAEA"/>
          </w:tcPr>
          <w:p>
            <w:pPr>
              <w:jc w:val="right"/>
              <w:ind w:right="13"/>
              <w:spacing w:after="0"/>
              <w:rPr>
                <w:sz w:val="20"/>
                <w:szCs w:val="20"/>
                <w:color w:val="auto"/>
              </w:rPr>
            </w:pPr>
            <w:r>
              <w:rPr>
                <w:rFonts w:ascii="Arial" w:cs="Arial" w:eastAsia="Arial" w:hAnsi="Arial"/>
                <w:sz w:val="17"/>
                <w:szCs w:val="17"/>
                <w:color w:val="auto"/>
              </w:rPr>
              <w:t>7,798</w:t>
            </w:r>
          </w:p>
        </w:tc>
        <w:tc>
          <w:tcPr>
            <w:tcW w:w="2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6,652</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320"/>
              <w:spacing w:after="0"/>
              <w:rPr>
                <w:sz w:val="20"/>
                <w:szCs w:val="20"/>
                <w:color w:val="auto"/>
              </w:rPr>
            </w:pPr>
            <w:r>
              <w:rPr>
                <w:rFonts w:ascii="Arial" w:cs="Arial" w:eastAsia="Arial" w:hAnsi="Arial"/>
                <w:sz w:val="17"/>
                <w:szCs w:val="17"/>
                <w:color w:val="auto"/>
                <w:w w:val="93"/>
              </w:rPr>
              <w:t>Employer’s contribution to the pension plan for the financial year 2017 are estimated to be CHF 543 thousand.</w:t>
            </w: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1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100" w:type="dxa"/>
            <w:vAlign w:val="bottom"/>
            <w:gridSpan w:val="2"/>
          </w:tcPr>
          <w:p>
            <w:pPr>
              <w:spacing w:after="0"/>
              <w:rPr>
                <w:sz w:val="20"/>
                <w:szCs w:val="20"/>
                <w:color w:val="auto"/>
              </w:rPr>
            </w:pPr>
            <w:r>
              <w:rPr>
                <w:rFonts w:ascii="Arial" w:cs="Arial" w:eastAsia="Arial" w:hAnsi="Arial"/>
                <w:sz w:val="17"/>
                <w:szCs w:val="17"/>
                <w:b w:val="1"/>
                <w:bCs w:val="1"/>
                <w:color w:val="auto"/>
              </w:rPr>
              <w:t>C.  Change in net defined benefit liability</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100" w:type="dxa"/>
            <w:vAlign w:val="bottom"/>
            <w:gridSpan w:val="2"/>
          </w:tcPr>
          <w:p>
            <w:pPr>
              <w:ind w:left="3160"/>
              <w:spacing w:after="0"/>
              <w:rPr>
                <w:sz w:val="20"/>
                <w:szCs w:val="20"/>
                <w:color w:val="auto"/>
              </w:rPr>
            </w:pPr>
            <w:r>
              <w:rPr>
                <w:rFonts w:ascii="Arial" w:cs="Arial" w:eastAsia="Arial" w:hAnsi="Arial"/>
                <w:sz w:val="17"/>
                <w:szCs w:val="17"/>
                <w:b w:val="1"/>
                <w:bCs w:val="1"/>
                <w:color w:val="auto"/>
              </w:rPr>
              <w:t>in CHF thousands</w:t>
            </w:r>
          </w:p>
        </w:tc>
        <w:tc>
          <w:tcPr>
            <w:tcW w:w="840" w:type="dxa"/>
            <w:vAlign w:val="bottom"/>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93"/>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201"/>
        </w:trPr>
        <w:tc>
          <w:tcPr>
            <w:tcW w:w="77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Net defined benefit liabilities as of January 1</w:t>
            </w:r>
          </w:p>
        </w:tc>
        <w:tc>
          <w:tcPr>
            <w:tcW w:w="320" w:type="dxa"/>
            <w:vAlign w:val="bottom"/>
            <w:tcBorders>
              <w:top w:val="single" w:sz="8" w:color="auto"/>
            </w:tcBorders>
            <w:shd w:val="clear" w:color="auto" w:fill="D5EAEA"/>
          </w:tcPr>
          <w:p>
            <w:pPr>
              <w:spacing w:after="0"/>
              <w:rPr>
                <w:sz w:val="17"/>
                <w:szCs w:val="17"/>
                <w:color w:val="auto"/>
              </w:rPr>
            </w:pPr>
          </w:p>
        </w:tc>
        <w:tc>
          <w:tcPr>
            <w:tcW w:w="84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2,787</w:t>
            </w:r>
          </w:p>
        </w:tc>
        <w:tc>
          <w:tcPr>
            <w:tcW w:w="100" w:type="dxa"/>
            <w:vAlign w:val="bottom"/>
            <w:tcBorders>
              <w:top w:val="single" w:sz="8" w:color="D5EAEA"/>
            </w:tcBorders>
            <w:shd w:val="clear" w:color="auto" w:fill="D5EAEA"/>
          </w:tcPr>
          <w:p>
            <w:pPr>
              <w:spacing w:after="0"/>
              <w:rPr>
                <w:sz w:val="17"/>
                <w:szCs w:val="17"/>
                <w:color w:val="auto"/>
              </w:rPr>
            </w:pPr>
          </w:p>
        </w:tc>
        <w:tc>
          <w:tcPr>
            <w:tcW w:w="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2,410</w:t>
            </w:r>
          </w:p>
        </w:tc>
        <w:tc>
          <w:tcPr>
            <w:tcW w:w="2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929</w:t>
            </w:r>
          </w:p>
        </w:tc>
        <w:tc>
          <w:tcPr>
            <w:tcW w:w="0" w:type="dxa"/>
            <w:vAlign w:val="bottom"/>
          </w:tcPr>
          <w:p>
            <w:pPr>
              <w:spacing w:after="0"/>
              <w:rPr>
                <w:sz w:val="1"/>
                <w:szCs w:val="1"/>
                <w:color w:val="auto"/>
              </w:rPr>
            </w:pPr>
          </w:p>
        </w:tc>
      </w:tr>
      <w:tr>
        <w:trPr>
          <w:trHeight w:val="208"/>
        </w:trPr>
        <w:tc>
          <w:tcPr>
            <w:tcW w:w="8100" w:type="dxa"/>
            <w:vAlign w:val="bottom"/>
            <w:gridSpan w:val="2"/>
          </w:tcPr>
          <w:p>
            <w:pPr>
              <w:spacing w:after="0"/>
              <w:rPr>
                <w:sz w:val="20"/>
                <w:szCs w:val="20"/>
                <w:color w:val="auto"/>
              </w:rPr>
            </w:pPr>
            <w:r>
              <w:rPr>
                <w:rFonts w:ascii="Arial" w:cs="Arial" w:eastAsia="Arial" w:hAnsi="Arial"/>
                <w:sz w:val="17"/>
                <w:szCs w:val="17"/>
                <w:color w:val="auto"/>
              </w:rPr>
              <w:t>Net pension cost through statement of income</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761</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08"/>
        </w:trPr>
        <w:tc>
          <w:tcPr>
            <w:tcW w:w="810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Re-measurement through other comprehensive income</w:t>
            </w:r>
          </w:p>
        </w:tc>
        <w:tc>
          <w:tcPr>
            <w:tcW w:w="84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736</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1,318</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Employer’s contribution</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w:t>
            </w:r>
          </w:p>
        </w:tc>
        <w:tc>
          <w:tcPr>
            <w:tcW w:w="100" w:type="dxa"/>
            <w:vAlign w:val="bottom"/>
            <w:tcBorders>
              <w:bottom w:val="single" w:sz="8" w:color="D5EAEA"/>
            </w:tcBorders>
          </w:tcPr>
          <w:p>
            <w:pPr>
              <w:spacing w:after="0"/>
              <w:rPr>
                <w:sz w:val="19"/>
                <w:szCs w:val="19"/>
                <w:color w:val="auto"/>
              </w:rPr>
            </w:pPr>
          </w:p>
        </w:tc>
        <w:tc>
          <w:tcPr>
            <w:tcW w:w="2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14"/>
        </w:trPr>
        <w:tc>
          <w:tcPr>
            <w:tcW w:w="7780" w:type="dxa"/>
            <w:vAlign w:val="bottom"/>
            <w:shd w:val="clear" w:color="auto" w:fill="D5EAEA"/>
          </w:tcPr>
          <w:p>
            <w:pPr>
              <w:spacing w:after="0"/>
              <w:rPr>
                <w:sz w:val="20"/>
                <w:szCs w:val="20"/>
                <w:color w:val="auto"/>
              </w:rPr>
            </w:pPr>
            <w:r>
              <w:rPr>
                <w:rFonts w:ascii="Arial" w:cs="Arial" w:eastAsia="Arial" w:hAnsi="Arial"/>
                <w:sz w:val="17"/>
                <w:szCs w:val="17"/>
                <w:color w:val="auto"/>
              </w:rPr>
              <w:t>Net defined benefit liabilities as of December 31</w:t>
            </w:r>
          </w:p>
        </w:tc>
        <w:tc>
          <w:tcPr>
            <w:tcW w:w="320" w:type="dxa"/>
            <w:vAlign w:val="bottom"/>
            <w:shd w:val="clear" w:color="auto" w:fill="D5EAEA"/>
          </w:tcPr>
          <w:p>
            <w:pPr>
              <w:spacing w:after="0"/>
              <w:rPr>
                <w:sz w:val="18"/>
                <w:szCs w:val="18"/>
                <w:color w:val="auto"/>
              </w:rPr>
            </w:pPr>
          </w:p>
        </w:tc>
        <w:tc>
          <w:tcPr>
            <w:tcW w:w="84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3,798</w:t>
            </w:r>
          </w:p>
        </w:tc>
        <w:tc>
          <w:tcPr>
            <w:tcW w:w="1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2,787</w:t>
            </w: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2,410</w:t>
            </w:r>
          </w:p>
        </w:tc>
        <w:tc>
          <w:tcPr>
            <w:tcW w:w="0" w:type="dxa"/>
            <w:vAlign w:val="bottom"/>
          </w:tcPr>
          <w:p>
            <w:pPr>
              <w:spacing w:after="0"/>
              <w:rPr>
                <w:sz w:val="1"/>
                <w:szCs w:val="1"/>
                <w:color w:val="auto"/>
              </w:rPr>
            </w:pPr>
          </w:p>
        </w:tc>
      </w:tr>
      <w:tr>
        <w:trPr>
          <w:trHeight w:val="20"/>
        </w:trPr>
        <w:tc>
          <w:tcPr>
            <w:tcW w:w="7780" w:type="dxa"/>
            <w:vAlign w:val="bottom"/>
            <w:tcBorders>
              <w:top w:val="single" w:sz="8" w:color="D5EAE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20" w:firstLine="312"/>
        <w:spacing w:after="0" w:line="286" w:lineRule="auto"/>
        <w:rPr>
          <w:sz w:val="20"/>
          <w:szCs w:val="20"/>
          <w:color w:val="auto"/>
        </w:rPr>
      </w:pPr>
      <w:r>
        <w:rPr>
          <w:rFonts w:ascii="Arial" w:cs="Arial" w:eastAsia="Arial" w:hAnsi="Arial"/>
          <w:sz w:val="17"/>
          <w:szCs w:val="17"/>
          <w:color w:val="auto"/>
        </w:rPr>
        <w:t>The fair value of the plan assets is the cash surrender value of the insurance with AXA. The investment strategy defined by the board of trustees follows a conservative profile.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real estate and mortgages.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weighted average duration of the defined benefit obligation is 22.7 years as of December 31, 2016.</w:t>
      </w:r>
    </w:p>
    <w:p>
      <w:pPr>
        <w:spacing w:after="0" w:line="208" w:lineRule="exact"/>
        <w:rPr>
          <w:sz w:val="20"/>
          <w:szCs w:val="20"/>
          <w:color w:val="auto"/>
        </w:rPr>
      </w:pPr>
    </w:p>
    <w:p>
      <w:pPr>
        <w:ind w:right="160" w:firstLine="312"/>
        <w:spacing w:after="0" w:line="286" w:lineRule="auto"/>
        <w:rPr>
          <w:sz w:val="20"/>
          <w:szCs w:val="20"/>
          <w:color w:val="auto"/>
        </w:rPr>
      </w:pPr>
      <w:r>
        <w:rPr>
          <w:rFonts w:ascii="Arial" w:cs="Arial" w:eastAsia="Arial" w:hAnsi="Arial"/>
          <w:sz w:val="17"/>
          <w:szCs w:val="17"/>
          <w:color w:val="auto"/>
        </w:rPr>
        <w:t>The actuarial assumptions used for the calculation of the pension cost and the defined benefit obligation of the defined benefit pension plan for the year 2016, 2015 and 2014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00" w:type="dxa"/>
            <w:vAlign w:val="bottom"/>
          </w:tcPr>
          <w:p>
            <w:pPr>
              <w:spacing w:after="0"/>
              <w:rPr>
                <w:sz w:val="19"/>
                <w:szCs w:val="19"/>
                <w:color w:val="auto"/>
              </w:rPr>
            </w:pPr>
          </w:p>
        </w:tc>
        <w:tc>
          <w:tcPr>
            <w:tcW w:w="37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1"/>
              </w:rPr>
              <w:t>For the Years Ended December 31,</w:t>
            </w:r>
          </w:p>
        </w:tc>
      </w:tr>
      <w:tr>
        <w:trPr>
          <w:trHeight w:val="214"/>
        </w:trPr>
        <w:tc>
          <w:tcPr>
            <w:tcW w:w="7700" w:type="dxa"/>
            <w:vAlign w:val="bottom"/>
            <w:tcBorders>
              <w:bottom w:val="single" w:sz="8" w:color="D5EAEA"/>
            </w:tcBorders>
          </w:tcPr>
          <w:p>
            <w:pPr>
              <w:spacing w:after="0"/>
              <w:rPr>
                <w:sz w:val="18"/>
                <w:szCs w:val="18"/>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D5EAEA"/>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2015</w:t>
            </w:r>
          </w:p>
        </w:tc>
        <w:tc>
          <w:tcPr>
            <w:tcW w:w="120" w:type="dxa"/>
            <w:vAlign w:val="bottom"/>
            <w:tcBorders>
              <w:bottom w:val="single" w:sz="8" w:color="D5EAEA"/>
            </w:tcBorders>
          </w:tcPr>
          <w:p>
            <w:pPr>
              <w:spacing w:after="0"/>
              <w:rPr>
                <w:sz w:val="18"/>
                <w:szCs w:val="18"/>
                <w:color w:val="auto"/>
              </w:rPr>
            </w:pP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2014</w:t>
            </w:r>
          </w:p>
        </w:tc>
      </w:tr>
      <w:tr>
        <w:trPr>
          <w:trHeight w:val="201"/>
        </w:trPr>
        <w:tc>
          <w:tcPr>
            <w:tcW w:w="7700" w:type="dxa"/>
            <w:vAlign w:val="bottom"/>
            <w:shd w:val="clear" w:color="auto" w:fill="D5EAEA"/>
          </w:tcPr>
          <w:p>
            <w:pPr>
              <w:spacing w:after="0"/>
              <w:rPr>
                <w:sz w:val="20"/>
                <w:szCs w:val="20"/>
                <w:color w:val="auto"/>
              </w:rPr>
            </w:pPr>
            <w:r>
              <w:rPr>
                <w:rFonts w:ascii="Arial" w:cs="Arial" w:eastAsia="Arial" w:hAnsi="Arial"/>
                <w:sz w:val="17"/>
                <w:szCs w:val="17"/>
                <w:color w:val="auto"/>
              </w:rPr>
              <w:t>Discount rate</w:t>
            </w:r>
          </w:p>
        </w:tc>
        <w:tc>
          <w:tcPr>
            <w:tcW w:w="11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0.70%</w:t>
            </w:r>
          </w:p>
        </w:tc>
        <w:tc>
          <w:tcPr>
            <w:tcW w:w="100" w:type="dxa"/>
            <w:vAlign w:val="bottom"/>
            <w:shd w:val="clear" w:color="auto" w:fill="D5EAEA"/>
          </w:tcPr>
          <w:p>
            <w:pPr>
              <w:spacing w:after="0"/>
              <w:rPr>
                <w:sz w:val="17"/>
                <w:szCs w:val="17"/>
                <w:color w:val="auto"/>
              </w:rPr>
            </w:pP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0.80%</w:t>
            </w:r>
          </w:p>
        </w:tc>
        <w:tc>
          <w:tcPr>
            <w:tcW w:w="120" w:type="dxa"/>
            <w:vAlign w:val="bottom"/>
            <w:shd w:val="clear" w:color="auto" w:fill="D5EAEA"/>
          </w:tcPr>
          <w:p>
            <w:pPr>
              <w:spacing w:after="0"/>
              <w:rPr>
                <w:sz w:val="17"/>
                <w:szCs w:val="17"/>
                <w:color w:val="auto"/>
              </w:rPr>
            </w:pP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1.25%</w:t>
            </w:r>
          </w:p>
        </w:tc>
      </w:tr>
      <w:tr>
        <w:trPr>
          <w:trHeight w:val="208"/>
        </w:trPr>
        <w:tc>
          <w:tcPr>
            <w:tcW w:w="7700" w:type="dxa"/>
            <w:vAlign w:val="bottom"/>
          </w:tcPr>
          <w:p>
            <w:pPr>
              <w:spacing w:after="0"/>
              <w:rPr>
                <w:sz w:val="20"/>
                <w:szCs w:val="20"/>
                <w:color w:val="auto"/>
              </w:rPr>
            </w:pPr>
            <w:r>
              <w:rPr>
                <w:rFonts w:ascii="Arial" w:cs="Arial" w:eastAsia="Arial" w:hAnsi="Arial"/>
                <w:sz w:val="17"/>
                <w:szCs w:val="17"/>
                <w:color w:val="auto"/>
              </w:rPr>
              <w:t>Rate of future increase in compensations</w:t>
            </w:r>
          </w:p>
        </w:tc>
        <w:tc>
          <w:tcPr>
            <w:tcW w:w="118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08"/>
        </w:trPr>
        <w:tc>
          <w:tcPr>
            <w:tcW w:w="7700" w:type="dxa"/>
            <w:vAlign w:val="bottom"/>
            <w:shd w:val="clear" w:color="auto" w:fill="D5EAEA"/>
          </w:tcPr>
          <w:p>
            <w:pPr>
              <w:spacing w:after="0"/>
              <w:rPr>
                <w:sz w:val="20"/>
                <w:szCs w:val="20"/>
                <w:color w:val="auto"/>
              </w:rPr>
            </w:pPr>
            <w:r>
              <w:rPr>
                <w:rFonts w:ascii="Arial" w:cs="Arial" w:eastAsia="Arial" w:hAnsi="Arial"/>
                <w:sz w:val="17"/>
                <w:szCs w:val="17"/>
                <w:color w:val="auto"/>
              </w:rPr>
              <w:t>Rate of future increase in current pensions</w:t>
            </w:r>
          </w:p>
        </w:tc>
        <w:tc>
          <w:tcPr>
            <w:tcW w:w="11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D5EAEA"/>
          </w:tcPr>
          <w:p>
            <w:pPr>
              <w:spacing w:after="0"/>
              <w:rPr>
                <w:sz w:val="18"/>
                <w:szCs w:val="18"/>
                <w:color w:val="auto"/>
              </w:rPr>
            </w:pP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0.50%</w:t>
            </w: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0.50%</w:t>
            </w:r>
          </w:p>
        </w:tc>
      </w:tr>
      <w:tr>
        <w:trPr>
          <w:trHeight w:val="220"/>
        </w:trPr>
        <w:tc>
          <w:tcPr>
            <w:tcW w:w="7700" w:type="dxa"/>
            <w:vAlign w:val="bottom"/>
          </w:tcPr>
          <w:p>
            <w:pPr>
              <w:spacing w:after="0"/>
              <w:rPr>
                <w:sz w:val="20"/>
                <w:szCs w:val="20"/>
                <w:color w:val="auto"/>
              </w:rPr>
            </w:pPr>
            <w:r>
              <w:rPr>
                <w:rFonts w:ascii="Arial" w:cs="Arial" w:eastAsia="Arial" w:hAnsi="Arial"/>
                <w:sz w:val="17"/>
                <w:szCs w:val="17"/>
                <w:color w:val="auto"/>
              </w:rPr>
              <w:t>Mortality and disability rates</w:t>
            </w:r>
          </w:p>
        </w:tc>
        <w:tc>
          <w:tcPr>
            <w:tcW w:w="1280" w:type="dxa"/>
            <w:vAlign w:val="bottom"/>
            <w:gridSpan w:val="2"/>
          </w:tcPr>
          <w:p>
            <w:pPr>
              <w:ind w:left="140"/>
              <w:spacing w:after="0"/>
              <w:rPr>
                <w:sz w:val="20"/>
                <w:szCs w:val="20"/>
                <w:color w:val="auto"/>
              </w:rPr>
            </w:pPr>
            <w:r>
              <w:rPr>
                <w:rFonts w:ascii="Arial" w:cs="Arial" w:eastAsia="Arial" w:hAnsi="Arial"/>
                <w:sz w:val="17"/>
                <w:szCs w:val="17"/>
                <w:color w:val="auto"/>
              </w:rPr>
              <w:t>BVG 2015G</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BVG 2010G</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BVG 2010G</w:t>
            </w:r>
          </w:p>
        </w:tc>
      </w:tr>
    </w:tbl>
    <w:p>
      <w:pPr>
        <w:spacing w:after="0" w:line="183" w:lineRule="exact"/>
        <w:rPr>
          <w:sz w:val="20"/>
          <w:szCs w:val="20"/>
          <w:color w:val="auto"/>
        </w:rPr>
      </w:pPr>
    </w:p>
    <w:p>
      <w:pPr>
        <w:ind w:right="460" w:firstLine="312"/>
        <w:spacing w:after="0" w:line="286"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quantitative sensitivity analysis for significant assumption as of December 31, 2016 is as shown below:</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6"/>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3"/>
          </w:tcPr>
          <w:p>
            <w:pPr>
              <w:ind w:left="700"/>
              <w:spacing w:after="0"/>
              <w:rPr>
                <w:sz w:val="20"/>
                <w:szCs w:val="20"/>
                <w:color w:val="auto"/>
              </w:rPr>
            </w:pPr>
            <w:r>
              <w:rPr>
                <w:rFonts w:ascii="Arial" w:cs="Arial" w:eastAsia="Arial" w:hAnsi="Arial"/>
                <w:sz w:val="17"/>
                <w:szCs w:val="17"/>
                <w:b w:val="1"/>
                <w:bCs w:val="1"/>
                <w:color w:val="auto"/>
              </w:rPr>
              <w:t>Discount rate</w:t>
            </w:r>
          </w:p>
        </w:tc>
        <w:tc>
          <w:tcPr>
            <w:tcW w:w="2520" w:type="dxa"/>
            <w:vAlign w:val="bottom"/>
            <w:gridSpan w:val="3"/>
          </w:tcPr>
          <w:p>
            <w:pPr>
              <w:ind w:left="380"/>
              <w:spacing w:after="0"/>
              <w:rPr>
                <w:sz w:val="20"/>
                <w:szCs w:val="20"/>
                <w:color w:val="auto"/>
              </w:rPr>
            </w:pPr>
            <w:r>
              <w:rPr>
                <w:rFonts w:ascii="Arial" w:cs="Arial" w:eastAsia="Arial" w:hAnsi="Arial"/>
                <w:sz w:val="17"/>
                <w:szCs w:val="17"/>
                <w:b w:val="1"/>
                <w:bCs w:val="1"/>
                <w:color w:val="auto"/>
              </w:rPr>
              <w:t>Future salary increase</w:t>
            </w:r>
          </w:p>
        </w:tc>
        <w:tc>
          <w:tcPr>
            <w:tcW w:w="2340" w:type="dxa"/>
            <w:vAlign w:val="bottom"/>
            <w:gridSpan w:val="2"/>
          </w:tcPr>
          <w:p>
            <w:pPr>
              <w:jc w:val="right"/>
              <w:ind w:right="353"/>
              <w:spacing w:after="0"/>
              <w:rPr>
                <w:sz w:val="20"/>
                <w:szCs w:val="20"/>
                <w:color w:val="auto"/>
              </w:rPr>
            </w:pPr>
            <w:r>
              <w:rPr>
                <w:rFonts w:ascii="Arial" w:cs="Arial" w:eastAsia="Arial" w:hAnsi="Arial"/>
                <w:sz w:val="17"/>
                <w:szCs w:val="17"/>
                <w:b w:val="1"/>
                <w:bCs w:val="1"/>
                <w:color w:val="auto"/>
              </w:rPr>
              <w:t>Future pension cost</w:t>
            </w:r>
          </w:p>
        </w:tc>
      </w:tr>
      <w:tr>
        <w:trPr>
          <w:trHeight w:val="183"/>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jc w:val="right"/>
              <w:ind w:right="393"/>
              <w:spacing w:after="0" w:line="183" w:lineRule="exact"/>
              <w:rPr>
                <w:sz w:val="20"/>
                <w:szCs w:val="20"/>
                <w:color w:val="auto"/>
              </w:rPr>
            </w:pPr>
            <w:r>
              <w:rPr>
                <w:rFonts w:ascii="Arial" w:cs="Arial" w:eastAsia="Arial" w:hAnsi="Arial"/>
                <w:sz w:val="17"/>
                <w:szCs w:val="17"/>
                <w:b w:val="1"/>
                <w:bCs w:val="1"/>
                <w:color w:val="auto"/>
              </w:rPr>
              <w:t>+0.5%</w:t>
            </w:r>
          </w:p>
        </w:tc>
        <w:tc>
          <w:tcPr>
            <w:tcW w:w="1060" w:type="dxa"/>
            <w:vAlign w:val="bottom"/>
            <w:tcBorders>
              <w:top w:val="single" w:sz="8" w:color="auto"/>
            </w:tcBorders>
          </w:tcPr>
          <w:p>
            <w:pPr>
              <w:jc w:val="right"/>
              <w:ind w:right="253"/>
              <w:spacing w:after="0" w:line="183" w:lineRule="exact"/>
              <w:rPr>
                <w:sz w:val="20"/>
                <w:szCs w:val="20"/>
                <w:color w:val="auto"/>
              </w:rPr>
            </w:pPr>
            <w:r>
              <w:rPr>
                <w:rFonts w:ascii="Arial" w:cs="Arial" w:eastAsia="Arial" w:hAnsi="Arial"/>
                <w:sz w:val="17"/>
                <w:szCs w:val="17"/>
                <w:b w:val="1"/>
                <w:bCs w:val="1"/>
                <w:color w:val="auto"/>
              </w:rPr>
              <w:t>-0.5%</w:t>
            </w:r>
          </w:p>
        </w:tc>
      </w:tr>
      <w:tr>
        <w:trPr>
          <w:trHeight w:val="226"/>
        </w:trPr>
        <w:tc>
          <w:tcPr>
            <w:tcW w:w="4020" w:type="dxa"/>
            <w:vAlign w:val="bottom"/>
            <w:gridSpan w:val="2"/>
          </w:tcPr>
          <w:p>
            <w:pPr>
              <w:ind w:left="1480"/>
              <w:spacing w:after="0"/>
              <w:rPr>
                <w:sz w:val="20"/>
                <w:szCs w:val="20"/>
                <w:color w:val="auto"/>
              </w:rPr>
            </w:pPr>
            <w:r>
              <w:rPr>
                <w:rFonts w:ascii="Arial" w:cs="Arial" w:eastAsia="Arial" w:hAnsi="Arial"/>
                <w:sz w:val="17"/>
                <w:szCs w:val="17"/>
                <w:b w:val="1"/>
                <w:bCs w:val="1"/>
                <w:color w:val="auto"/>
              </w:rPr>
              <w:t>Assumptions</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w w:val="91"/>
              </w:rPr>
              <w:t>+0.5% increase</w:t>
            </w:r>
          </w:p>
        </w:tc>
        <w:tc>
          <w:tcPr>
            <w:tcW w:w="1340" w:type="dxa"/>
            <w:vAlign w:val="bottom"/>
            <w:gridSpan w:val="2"/>
          </w:tcPr>
          <w:p>
            <w:pPr>
              <w:ind w:left="80"/>
              <w:spacing w:after="0"/>
              <w:rPr>
                <w:sz w:val="20"/>
                <w:szCs w:val="20"/>
                <w:color w:val="auto"/>
              </w:rPr>
            </w:pPr>
            <w:r>
              <w:rPr>
                <w:rFonts w:ascii="Arial" w:cs="Arial" w:eastAsia="Arial" w:hAnsi="Arial"/>
                <w:sz w:val="17"/>
                <w:szCs w:val="17"/>
                <w:b w:val="1"/>
                <w:bCs w:val="1"/>
                <w:color w:val="auto"/>
              </w:rPr>
              <w:t>-0.5% decrease</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w w:val="91"/>
              </w:rPr>
              <w:t>+0.5% increase</w:t>
            </w:r>
          </w:p>
        </w:tc>
        <w:tc>
          <w:tcPr>
            <w:tcW w:w="1300" w:type="dxa"/>
            <w:vAlign w:val="bottom"/>
            <w:gridSpan w:val="2"/>
          </w:tcPr>
          <w:p>
            <w:pPr>
              <w:ind w:left="60"/>
              <w:spacing w:after="0"/>
              <w:rPr>
                <w:sz w:val="20"/>
                <w:szCs w:val="20"/>
                <w:color w:val="auto"/>
              </w:rPr>
            </w:pPr>
            <w:r>
              <w:rPr>
                <w:rFonts w:ascii="Arial" w:cs="Arial" w:eastAsia="Arial" w:hAnsi="Arial"/>
                <w:sz w:val="17"/>
                <w:szCs w:val="17"/>
                <w:b w:val="1"/>
                <w:bCs w:val="1"/>
                <w:color w:val="auto"/>
                <w:w w:val="99"/>
              </w:rPr>
              <w:t>-0.5% decrease</w:t>
            </w:r>
          </w:p>
        </w:tc>
        <w:tc>
          <w:tcPr>
            <w:tcW w:w="1280" w:type="dxa"/>
            <w:vAlign w:val="bottom"/>
          </w:tcPr>
          <w:p>
            <w:pPr>
              <w:jc w:val="right"/>
              <w:ind w:right="333"/>
              <w:spacing w:after="0"/>
              <w:rPr>
                <w:sz w:val="20"/>
                <w:szCs w:val="20"/>
                <w:color w:val="auto"/>
              </w:rPr>
            </w:pPr>
            <w:r>
              <w:rPr>
                <w:rFonts w:ascii="Arial" w:cs="Arial" w:eastAsia="Arial" w:hAnsi="Arial"/>
                <w:sz w:val="17"/>
                <w:szCs w:val="17"/>
                <w:b w:val="1"/>
                <w:bCs w:val="1"/>
                <w:color w:val="auto"/>
              </w:rPr>
              <w:t>increase</w:t>
            </w:r>
          </w:p>
        </w:tc>
        <w:tc>
          <w:tcPr>
            <w:tcW w:w="1060" w:type="dxa"/>
            <w:vAlign w:val="bottom"/>
          </w:tcPr>
          <w:p>
            <w:pPr>
              <w:jc w:val="right"/>
              <w:ind w:right="153"/>
              <w:spacing w:after="0"/>
              <w:rPr>
                <w:sz w:val="20"/>
                <w:szCs w:val="20"/>
                <w:color w:val="auto"/>
              </w:rPr>
            </w:pPr>
            <w:r>
              <w:rPr>
                <w:rFonts w:ascii="Arial" w:cs="Arial" w:eastAsia="Arial" w:hAnsi="Arial"/>
                <w:sz w:val="17"/>
                <w:szCs w:val="17"/>
                <w:b w:val="1"/>
                <w:bCs w:val="1"/>
                <w:color w:val="auto"/>
              </w:rPr>
              <w:t>decrease</w:t>
            </w:r>
          </w:p>
        </w:tc>
      </w:tr>
      <w:tr>
        <w:trPr>
          <w:trHeight w:val="201"/>
        </w:trPr>
        <w:tc>
          <w:tcPr>
            <w:tcW w:w="3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rPr>
              <w:t>in CHF thousands</w:t>
            </w:r>
          </w:p>
        </w:tc>
        <w:tc>
          <w:tcPr>
            <w:tcW w:w="1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08"/>
        </w:trPr>
        <w:tc>
          <w:tcPr>
            <w:tcW w:w="402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Defined benefit obligation</w:t>
            </w:r>
          </w:p>
        </w:tc>
        <w:tc>
          <w:tcPr>
            <w:tcW w:w="1200" w:type="dxa"/>
            <w:vAlign w:val="bottom"/>
            <w:shd w:val="clear" w:color="auto" w:fill="D5EAEA"/>
          </w:tcPr>
          <w:p>
            <w:pPr>
              <w:jc w:val="right"/>
              <w:ind w:right="73"/>
              <w:spacing w:after="0"/>
              <w:rPr>
                <w:sz w:val="20"/>
                <w:szCs w:val="20"/>
                <w:color w:val="auto"/>
              </w:rPr>
            </w:pPr>
            <w:r>
              <w:rPr>
                <w:rFonts w:ascii="Arial" w:cs="Arial" w:eastAsia="Arial" w:hAnsi="Arial"/>
                <w:sz w:val="17"/>
                <w:szCs w:val="17"/>
                <w:color w:val="auto"/>
              </w:rPr>
              <w:t>10,264</w:t>
            </w:r>
          </w:p>
        </w:tc>
        <w:tc>
          <w:tcPr>
            <w:tcW w:w="122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12,857</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93"/>
              <w:spacing w:after="0"/>
              <w:rPr>
                <w:sz w:val="20"/>
                <w:szCs w:val="20"/>
                <w:color w:val="auto"/>
              </w:rPr>
            </w:pPr>
            <w:r>
              <w:rPr>
                <w:rFonts w:ascii="Arial" w:cs="Arial" w:eastAsia="Arial" w:hAnsi="Arial"/>
                <w:sz w:val="17"/>
                <w:szCs w:val="17"/>
                <w:color w:val="auto"/>
              </w:rPr>
              <w:t>11,700</w:t>
            </w:r>
          </w:p>
        </w:tc>
        <w:tc>
          <w:tcPr>
            <w:tcW w:w="120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11,499</w:t>
            </w:r>
          </w:p>
        </w:tc>
        <w:tc>
          <w:tcPr>
            <w:tcW w:w="10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173"/>
              <w:spacing w:after="0"/>
              <w:rPr>
                <w:sz w:val="20"/>
                <w:szCs w:val="20"/>
                <w:color w:val="auto"/>
              </w:rPr>
            </w:pPr>
            <w:r>
              <w:rPr>
                <w:rFonts w:ascii="Arial" w:cs="Arial" w:eastAsia="Arial" w:hAnsi="Arial"/>
                <w:sz w:val="17"/>
                <w:szCs w:val="17"/>
                <w:color w:val="auto"/>
              </w:rPr>
              <w:t>12,215</w:t>
            </w:r>
          </w:p>
        </w:tc>
        <w:tc>
          <w:tcPr>
            <w:tcW w:w="106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10,763</w:t>
            </w:r>
          </w:p>
        </w:tc>
      </w:tr>
      <w:tr>
        <w:trPr>
          <w:trHeight w:val="220"/>
        </w:trPr>
        <w:tc>
          <w:tcPr>
            <w:tcW w:w="4020" w:type="dxa"/>
            <w:vAlign w:val="bottom"/>
            <w:gridSpan w:val="2"/>
          </w:tcPr>
          <w:p>
            <w:pPr>
              <w:spacing w:after="0"/>
              <w:rPr>
                <w:sz w:val="20"/>
                <w:szCs w:val="20"/>
                <w:color w:val="auto"/>
              </w:rPr>
            </w:pPr>
            <w:r>
              <w:rPr>
                <w:rFonts w:ascii="Arial" w:cs="Arial" w:eastAsia="Arial" w:hAnsi="Arial"/>
                <w:sz w:val="17"/>
                <w:szCs w:val="17"/>
                <w:color w:val="auto"/>
              </w:rPr>
              <w:t>Impact on the net defined benefit obligation</w:t>
            </w:r>
          </w:p>
        </w:tc>
        <w:tc>
          <w:tcPr>
            <w:tcW w:w="1200" w:type="dxa"/>
            <w:vAlign w:val="bottom"/>
          </w:tcPr>
          <w:p>
            <w:pPr>
              <w:jc w:val="right"/>
              <w:ind w:right="73"/>
              <w:spacing w:after="0"/>
              <w:rPr>
                <w:sz w:val="20"/>
                <w:szCs w:val="20"/>
                <w:color w:val="auto"/>
              </w:rPr>
            </w:pPr>
            <w:r>
              <w:rPr>
                <w:rFonts w:ascii="Arial" w:cs="Arial" w:eastAsia="Arial" w:hAnsi="Arial"/>
                <w:sz w:val="17"/>
                <w:szCs w:val="17"/>
                <w:color w:val="auto"/>
              </w:rPr>
              <w:t>1,332</w:t>
            </w:r>
          </w:p>
        </w:tc>
        <w:tc>
          <w:tcPr>
            <w:tcW w:w="1220" w:type="dxa"/>
            <w:vAlign w:val="bottom"/>
          </w:tcPr>
          <w:p>
            <w:pPr>
              <w:jc w:val="right"/>
              <w:spacing w:after="0"/>
              <w:rPr>
                <w:sz w:val="20"/>
                <w:szCs w:val="20"/>
                <w:color w:val="auto"/>
              </w:rPr>
            </w:pPr>
            <w:r>
              <w:rPr>
                <w:rFonts w:ascii="Arial" w:cs="Arial" w:eastAsia="Arial" w:hAnsi="Arial"/>
                <w:sz w:val="17"/>
                <w:szCs w:val="17"/>
                <w:color w:val="auto"/>
              </w:rPr>
              <w:t>(1,261)</w:t>
            </w:r>
          </w:p>
        </w:tc>
        <w:tc>
          <w:tcPr>
            <w:tcW w:w="1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(104)</w:t>
            </w: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7"/>
                <w:szCs w:val="17"/>
                <w:color w:val="auto"/>
              </w:rPr>
              <w:t>(619)</w:t>
            </w: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833</w:t>
            </w:r>
          </w:p>
        </w:tc>
      </w:tr>
    </w:tbl>
    <w:p>
      <w:pPr>
        <w:spacing w:after="0" w:line="183" w:lineRule="exact"/>
        <w:rPr>
          <w:sz w:val="20"/>
          <w:szCs w:val="20"/>
          <w:color w:val="auto"/>
        </w:rPr>
      </w:pPr>
    </w:p>
    <w:p>
      <w:pPr>
        <w:ind w:right="720" w:firstLine="312"/>
        <w:spacing w:after="0" w:line="286" w:lineRule="auto"/>
        <w:rPr>
          <w:sz w:val="20"/>
          <w:szCs w:val="20"/>
          <w:color w:val="auto"/>
        </w:rPr>
      </w:pPr>
      <w:r>
        <w:rPr>
          <w:rFonts w:ascii="Arial" w:cs="Arial" w:eastAsia="Arial" w:hAnsi="Arial"/>
          <w:sz w:val="17"/>
          <w:szCs w:val="17"/>
          <w:color w:val="auto"/>
        </w:rPr>
        <w:t>The sensitivity analyses above is subject to limitations and has been determined based on a method that extrapolates the impact on net defined benefit obligation as a result of reasonable changes in key assumptions occurring at the end of the reporting period.</w:t>
      </w:r>
    </w:p>
    <w:p>
      <w:pPr>
        <w:spacing w:after="0" w:line="152" w:lineRule="exact"/>
        <w:rPr>
          <w:sz w:val="20"/>
          <w:szCs w:val="20"/>
          <w:color w:val="auto"/>
        </w:rPr>
      </w:pPr>
    </w:p>
    <w:p>
      <w:pPr>
        <w:ind w:left="320" w:hanging="316"/>
        <w:spacing w:after="0"/>
        <w:tabs>
          <w:tab w:leader="none" w:pos="32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226"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The Company has the following equity settled share-based compensation plans outstanding: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Number of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6"/>
        </w:trPr>
        <w:tc>
          <w:tcPr>
            <w:tcW w:w="4800" w:type="dxa"/>
            <w:vAlign w:val="bottom"/>
            <w:gridSpan w:val="2"/>
          </w:tcPr>
          <w:p>
            <w:pPr>
              <w:ind w:left="2100"/>
              <w:spacing w:after="0"/>
              <w:rPr>
                <w:sz w:val="20"/>
                <w:szCs w:val="20"/>
                <w:color w:val="auto"/>
              </w:rPr>
            </w:pPr>
            <w:r>
              <w:rPr>
                <w:rFonts w:ascii="Arial" w:cs="Arial" w:eastAsia="Arial" w:hAnsi="Arial"/>
                <w:sz w:val="17"/>
                <w:szCs w:val="17"/>
                <w:b w:val="1"/>
                <w:bCs w:val="1"/>
                <w:color w:val="auto"/>
              </w:rPr>
              <w:t>PLAN</w:t>
            </w:r>
          </w:p>
        </w:tc>
        <w:tc>
          <w:tcPr>
            <w:tcW w:w="24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awarded</w:t>
            </w:r>
          </w:p>
        </w:tc>
        <w:tc>
          <w:tcPr>
            <w:tcW w:w="21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Vesting conditions</w:t>
            </w:r>
          </w:p>
        </w:tc>
        <w:tc>
          <w:tcPr>
            <w:tcW w:w="2060" w:type="dxa"/>
            <w:vAlign w:val="bottom"/>
          </w:tcPr>
          <w:p>
            <w:pPr>
              <w:jc w:val="center"/>
              <w:spacing w:after="0"/>
              <w:rPr>
                <w:sz w:val="20"/>
                <w:szCs w:val="20"/>
                <w:color w:val="auto"/>
              </w:rPr>
            </w:pPr>
            <w:r>
              <w:rPr>
                <w:rFonts w:ascii="Arial" w:cs="Arial" w:eastAsia="Arial" w:hAnsi="Arial"/>
                <w:sz w:val="17"/>
                <w:szCs w:val="17"/>
                <w:b w:val="1"/>
                <w:bCs w:val="1"/>
                <w:color w:val="auto"/>
                <w:w w:val="92"/>
              </w:rPr>
              <w:t>Contractual life of options</w:t>
            </w:r>
          </w:p>
        </w:tc>
      </w:tr>
      <w:tr>
        <w:trPr>
          <w:trHeight w:val="189"/>
        </w:trPr>
        <w:tc>
          <w:tcPr>
            <w:tcW w:w="468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230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2060" w:type="dxa"/>
            <w:vAlign w:val="bottom"/>
            <w:tcBorders>
              <w:top w:val="single" w:sz="8" w:color="auto"/>
            </w:tcBorders>
            <w:shd w:val="clear" w:color="auto" w:fill="D5EAEA"/>
          </w:tcPr>
          <w:p>
            <w:pPr>
              <w:jc w:val="center"/>
              <w:spacing w:after="0" w:line="189" w:lineRule="exact"/>
              <w:rPr>
                <w:sz w:val="20"/>
                <w:szCs w:val="20"/>
                <w:color w:val="auto"/>
              </w:rPr>
            </w:pPr>
            <w:r>
              <w:rPr>
                <w:rFonts w:ascii="Arial" w:cs="Arial" w:eastAsia="Arial" w:hAnsi="Arial"/>
                <w:sz w:val="17"/>
                <w:szCs w:val="17"/>
                <w:color w:val="auto"/>
                <w:w w:val="93"/>
              </w:rPr>
              <w:t>4 years’ service from grant</w:t>
            </w:r>
          </w:p>
        </w:tc>
        <w:tc>
          <w:tcPr>
            <w:tcW w:w="100" w:type="dxa"/>
            <w:vAlign w:val="bottom"/>
            <w:tcBorders>
              <w:top w:val="single" w:sz="8" w:color="D5EAEA"/>
            </w:tcBorders>
            <w:shd w:val="clear" w:color="auto" w:fill="D5EAEA"/>
          </w:tcPr>
          <w:p>
            <w:pPr>
              <w:spacing w:after="0"/>
              <w:rPr>
                <w:sz w:val="16"/>
                <w:szCs w:val="16"/>
                <w:color w:val="auto"/>
              </w:rPr>
            </w:pPr>
          </w:p>
        </w:tc>
        <w:tc>
          <w:tcPr>
            <w:tcW w:w="2060" w:type="dxa"/>
            <w:vAlign w:val="bottom"/>
            <w:tcBorders>
              <w:top w:val="single" w:sz="8" w:color="auto"/>
            </w:tcBorders>
            <w:shd w:val="clear" w:color="auto" w:fill="D5EAEA"/>
          </w:tcPr>
          <w:p>
            <w:pPr>
              <w:spacing w:after="0"/>
              <w:rPr>
                <w:sz w:val="16"/>
                <w:szCs w:val="16"/>
                <w:color w:val="auto"/>
              </w:rPr>
            </w:pPr>
          </w:p>
        </w:tc>
      </w:tr>
      <w:tr>
        <w:trPr>
          <w:trHeight w:val="221"/>
        </w:trPr>
        <w:tc>
          <w:tcPr>
            <w:tcW w:w="480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Stock option plan A</w:t>
            </w:r>
          </w:p>
        </w:tc>
        <w:tc>
          <w:tcPr>
            <w:tcW w:w="230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362,750</w:t>
            </w:r>
          </w:p>
        </w:tc>
        <w:tc>
          <w:tcPr>
            <w:tcW w:w="100" w:type="dxa"/>
            <w:vAlign w:val="bottom"/>
            <w:shd w:val="clear" w:color="auto" w:fill="D5EAEA"/>
          </w:tcPr>
          <w:p>
            <w:pPr>
              <w:spacing w:after="0"/>
              <w:rPr>
                <w:sz w:val="19"/>
                <w:szCs w:val="19"/>
                <w:color w:val="auto"/>
              </w:rPr>
            </w:pPr>
          </w:p>
        </w:tc>
        <w:tc>
          <w:tcPr>
            <w:tcW w:w="2160" w:type="dxa"/>
            <w:vAlign w:val="bottom"/>
            <w:gridSpan w:val="2"/>
            <w:shd w:val="clear" w:color="auto" w:fill="D5EAEA"/>
          </w:tcPr>
          <w:p>
            <w:pPr>
              <w:jc w:val="center"/>
              <w:ind w:right="80"/>
              <w:spacing w:after="0"/>
              <w:rPr>
                <w:sz w:val="20"/>
                <w:szCs w:val="20"/>
                <w:color w:val="auto"/>
              </w:rPr>
            </w:pPr>
            <w:r>
              <w:rPr>
                <w:rFonts w:ascii="Arial" w:cs="Arial" w:eastAsia="Arial" w:hAnsi="Arial"/>
                <w:sz w:val="17"/>
                <w:szCs w:val="17"/>
                <w:color w:val="auto"/>
                <w:w w:val="84"/>
              </w:rPr>
              <w:t>date</w:t>
            </w:r>
          </w:p>
        </w:tc>
        <w:tc>
          <w:tcPr>
            <w:tcW w:w="2060" w:type="dxa"/>
            <w:vAlign w:val="bottom"/>
            <w:shd w:val="clear" w:color="auto" w:fill="D5EAEA"/>
          </w:tcPr>
          <w:p>
            <w:pPr>
              <w:jc w:val="center"/>
              <w:spacing w:after="0"/>
              <w:rPr>
                <w:sz w:val="20"/>
                <w:szCs w:val="20"/>
                <w:color w:val="auto"/>
              </w:rPr>
            </w:pPr>
            <w:r>
              <w:rPr>
                <w:rFonts w:ascii="Arial" w:cs="Arial" w:eastAsia="Arial" w:hAnsi="Arial"/>
                <w:sz w:val="17"/>
                <w:szCs w:val="17"/>
                <w:color w:val="auto"/>
                <w:w w:val="90"/>
              </w:rPr>
              <w:t>12.5 years</w:t>
            </w:r>
          </w:p>
        </w:tc>
      </w:tr>
      <w:tr>
        <w:trPr>
          <w:trHeight w:val="196"/>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4 years’ service from grant</w:t>
            </w:r>
          </w:p>
        </w:tc>
        <w:tc>
          <w:tcPr>
            <w:tcW w:w="2060" w:type="dxa"/>
            <w:vAlign w:val="bottom"/>
          </w:tcPr>
          <w:p>
            <w:pPr>
              <w:spacing w:after="0"/>
              <w:rPr>
                <w:sz w:val="17"/>
                <w:szCs w:val="17"/>
                <w:color w:val="auto"/>
              </w:rPr>
            </w:pPr>
          </w:p>
        </w:tc>
      </w:tr>
      <w:tr>
        <w:trPr>
          <w:trHeight w:val="220"/>
        </w:trPr>
        <w:tc>
          <w:tcPr>
            <w:tcW w:w="4800" w:type="dxa"/>
            <w:vAlign w:val="bottom"/>
            <w:gridSpan w:val="2"/>
          </w:tcPr>
          <w:p>
            <w:pPr>
              <w:spacing w:after="0"/>
              <w:rPr>
                <w:sz w:val="20"/>
                <w:szCs w:val="20"/>
                <w:color w:val="auto"/>
              </w:rPr>
            </w:pPr>
            <w:r>
              <w:rPr>
                <w:rFonts w:ascii="Arial" w:cs="Arial" w:eastAsia="Arial" w:hAnsi="Arial"/>
                <w:sz w:val="17"/>
                <w:szCs w:val="17"/>
                <w:color w:val="auto"/>
              </w:rPr>
              <w:t>Stock option plan B</w:t>
            </w:r>
          </w:p>
        </w:tc>
        <w:tc>
          <w:tcPr>
            <w:tcW w:w="2300" w:type="dxa"/>
            <w:vAlign w:val="bottom"/>
          </w:tcPr>
          <w:p>
            <w:pPr>
              <w:jc w:val="right"/>
              <w:ind w:right="33"/>
              <w:spacing w:after="0"/>
              <w:rPr>
                <w:sz w:val="20"/>
                <w:szCs w:val="20"/>
                <w:color w:val="auto"/>
              </w:rPr>
            </w:pPr>
            <w:r>
              <w:rPr>
                <w:rFonts w:ascii="Arial" w:cs="Arial" w:eastAsia="Arial" w:hAnsi="Arial"/>
                <w:sz w:val="17"/>
                <w:szCs w:val="17"/>
                <w:color w:val="auto"/>
              </w:rPr>
              <w:t>819,000</w:t>
            </w:r>
          </w:p>
        </w:tc>
        <w:tc>
          <w:tcPr>
            <w:tcW w:w="100" w:type="dxa"/>
            <w:vAlign w:val="bottom"/>
          </w:tcPr>
          <w:p>
            <w:pPr>
              <w:spacing w:after="0"/>
              <w:rPr>
                <w:sz w:val="19"/>
                <w:szCs w:val="19"/>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7"/>
                <w:szCs w:val="17"/>
                <w:color w:val="auto"/>
                <w:w w:val="84"/>
              </w:rPr>
              <w:t>date</w:t>
            </w:r>
          </w:p>
        </w:tc>
        <w:tc>
          <w:tcPr>
            <w:tcW w:w="2060" w:type="dxa"/>
            <w:vAlign w:val="bottom"/>
          </w:tcPr>
          <w:p>
            <w:pPr>
              <w:jc w:val="center"/>
              <w:spacing w:after="0"/>
              <w:rPr>
                <w:sz w:val="20"/>
                <w:szCs w:val="20"/>
                <w:color w:val="auto"/>
              </w:rPr>
            </w:pPr>
            <w:r>
              <w:rPr>
                <w:rFonts w:ascii="Arial" w:cs="Arial" w:eastAsia="Arial" w:hAnsi="Arial"/>
                <w:sz w:val="17"/>
                <w:szCs w:val="17"/>
                <w:color w:val="auto"/>
                <w:w w:val="90"/>
              </w:rPr>
              <w:t>10.5 years</w:t>
            </w:r>
          </w:p>
        </w:tc>
      </w:tr>
      <w:tr>
        <w:trPr>
          <w:trHeight w:val="196"/>
        </w:trPr>
        <w:tc>
          <w:tcPr>
            <w:tcW w:w="46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3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160" w:type="dxa"/>
            <w:vAlign w:val="bottom"/>
            <w:gridSpan w:val="2"/>
            <w:shd w:val="clear" w:color="auto" w:fill="D5EAEA"/>
          </w:tcPr>
          <w:p>
            <w:pPr>
              <w:jc w:val="center"/>
              <w:ind w:right="80"/>
              <w:spacing w:after="0"/>
              <w:rPr>
                <w:sz w:val="20"/>
                <w:szCs w:val="20"/>
                <w:color w:val="auto"/>
              </w:rPr>
            </w:pPr>
            <w:r>
              <w:rPr>
                <w:rFonts w:ascii="Arial" w:cs="Arial" w:eastAsia="Arial" w:hAnsi="Arial"/>
                <w:sz w:val="17"/>
                <w:szCs w:val="17"/>
                <w:color w:val="auto"/>
                <w:w w:val="93"/>
              </w:rPr>
              <w:t>4 years’ service from grant</w:t>
            </w:r>
          </w:p>
        </w:tc>
        <w:tc>
          <w:tcPr>
            <w:tcW w:w="2060" w:type="dxa"/>
            <w:vAlign w:val="bottom"/>
            <w:shd w:val="clear" w:color="auto" w:fill="D5EAEA"/>
          </w:tcPr>
          <w:p>
            <w:pPr>
              <w:spacing w:after="0"/>
              <w:rPr>
                <w:sz w:val="17"/>
                <w:szCs w:val="17"/>
                <w:color w:val="auto"/>
              </w:rPr>
            </w:pPr>
          </w:p>
        </w:tc>
      </w:tr>
      <w:tr>
        <w:trPr>
          <w:trHeight w:val="221"/>
        </w:trPr>
        <w:tc>
          <w:tcPr>
            <w:tcW w:w="480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Stock option plan C1</w:t>
            </w:r>
          </w:p>
        </w:tc>
        <w:tc>
          <w:tcPr>
            <w:tcW w:w="230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6,775,250</w:t>
            </w:r>
          </w:p>
        </w:tc>
        <w:tc>
          <w:tcPr>
            <w:tcW w:w="100" w:type="dxa"/>
            <w:vAlign w:val="bottom"/>
            <w:shd w:val="clear" w:color="auto" w:fill="D5EAEA"/>
          </w:tcPr>
          <w:p>
            <w:pPr>
              <w:spacing w:after="0"/>
              <w:rPr>
                <w:sz w:val="19"/>
                <w:szCs w:val="19"/>
                <w:color w:val="auto"/>
              </w:rPr>
            </w:pPr>
          </w:p>
        </w:tc>
        <w:tc>
          <w:tcPr>
            <w:tcW w:w="2160" w:type="dxa"/>
            <w:vAlign w:val="bottom"/>
            <w:gridSpan w:val="2"/>
            <w:shd w:val="clear" w:color="auto" w:fill="D5EAEA"/>
          </w:tcPr>
          <w:p>
            <w:pPr>
              <w:jc w:val="center"/>
              <w:ind w:right="80"/>
              <w:spacing w:after="0"/>
              <w:rPr>
                <w:sz w:val="20"/>
                <w:szCs w:val="20"/>
                <w:color w:val="auto"/>
              </w:rPr>
            </w:pPr>
            <w:r>
              <w:rPr>
                <w:rFonts w:ascii="Arial" w:cs="Arial" w:eastAsia="Arial" w:hAnsi="Arial"/>
                <w:sz w:val="17"/>
                <w:szCs w:val="17"/>
                <w:color w:val="auto"/>
                <w:w w:val="84"/>
              </w:rPr>
              <w:t>date</w:t>
            </w:r>
          </w:p>
        </w:tc>
        <w:tc>
          <w:tcPr>
            <w:tcW w:w="2060" w:type="dxa"/>
            <w:vAlign w:val="bottom"/>
            <w:shd w:val="clear" w:color="auto" w:fill="D5EAEA"/>
          </w:tcPr>
          <w:p>
            <w:pPr>
              <w:jc w:val="center"/>
              <w:spacing w:after="0"/>
              <w:rPr>
                <w:sz w:val="20"/>
                <w:szCs w:val="20"/>
                <w:color w:val="auto"/>
              </w:rPr>
            </w:pPr>
            <w:r>
              <w:rPr>
                <w:rFonts w:ascii="Arial" w:cs="Arial" w:eastAsia="Arial" w:hAnsi="Arial"/>
                <w:sz w:val="17"/>
                <w:szCs w:val="17"/>
                <w:color w:val="auto"/>
                <w:w w:val="88"/>
              </w:rPr>
              <w:t>10 years</w:t>
            </w:r>
          </w:p>
        </w:tc>
      </w:tr>
      <w:tr>
        <w:trPr>
          <w:trHeight w:val="196"/>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4 years’ service from grant</w:t>
            </w:r>
          </w:p>
        </w:tc>
        <w:tc>
          <w:tcPr>
            <w:tcW w:w="2060" w:type="dxa"/>
            <w:vAlign w:val="bottom"/>
          </w:tcPr>
          <w:p>
            <w:pPr>
              <w:spacing w:after="0"/>
              <w:rPr>
                <w:sz w:val="17"/>
                <w:szCs w:val="17"/>
                <w:color w:val="auto"/>
              </w:rPr>
            </w:pPr>
          </w:p>
        </w:tc>
      </w:tr>
      <w:tr>
        <w:trPr>
          <w:trHeight w:val="220"/>
        </w:trPr>
        <w:tc>
          <w:tcPr>
            <w:tcW w:w="4800" w:type="dxa"/>
            <w:vAlign w:val="bottom"/>
            <w:gridSpan w:val="2"/>
          </w:tcPr>
          <w:p>
            <w:pPr>
              <w:spacing w:after="0"/>
              <w:rPr>
                <w:sz w:val="20"/>
                <w:szCs w:val="20"/>
                <w:color w:val="auto"/>
              </w:rPr>
            </w:pPr>
            <w:r>
              <w:rPr>
                <w:rFonts w:ascii="Arial" w:cs="Arial" w:eastAsia="Arial" w:hAnsi="Arial"/>
                <w:sz w:val="17"/>
                <w:szCs w:val="17"/>
                <w:color w:val="auto"/>
              </w:rPr>
              <w:t>Stock option plan C2</w:t>
            </w:r>
          </w:p>
        </w:tc>
        <w:tc>
          <w:tcPr>
            <w:tcW w:w="2300" w:type="dxa"/>
            <w:vAlign w:val="bottom"/>
          </w:tcPr>
          <w:p>
            <w:pPr>
              <w:jc w:val="right"/>
              <w:ind w:right="33"/>
              <w:spacing w:after="0"/>
              <w:rPr>
                <w:sz w:val="20"/>
                <w:szCs w:val="20"/>
                <w:color w:val="auto"/>
              </w:rPr>
            </w:pPr>
            <w:r>
              <w:rPr>
                <w:rFonts w:ascii="Arial" w:cs="Arial" w:eastAsia="Arial" w:hAnsi="Arial"/>
                <w:sz w:val="17"/>
                <w:szCs w:val="17"/>
                <w:color w:val="auto"/>
              </w:rPr>
              <w:t>735,500</w:t>
            </w:r>
          </w:p>
        </w:tc>
        <w:tc>
          <w:tcPr>
            <w:tcW w:w="100" w:type="dxa"/>
            <w:vAlign w:val="bottom"/>
          </w:tcPr>
          <w:p>
            <w:pPr>
              <w:spacing w:after="0"/>
              <w:rPr>
                <w:sz w:val="19"/>
                <w:szCs w:val="19"/>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7"/>
                <w:szCs w:val="17"/>
                <w:color w:val="auto"/>
                <w:w w:val="84"/>
              </w:rPr>
              <w:t>date</w:t>
            </w:r>
          </w:p>
        </w:tc>
        <w:tc>
          <w:tcPr>
            <w:tcW w:w="2060" w:type="dxa"/>
            <w:vAlign w:val="bottom"/>
          </w:tcPr>
          <w:p>
            <w:pPr>
              <w:jc w:val="center"/>
              <w:spacing w:after="0"/>
              <w:rPr>
                <w:sz w:val="20"/>
                <w:szCs w:val="20"/>
                <w:color w:val="auto"/>
              </w:rPr>
            </w:pPr>
            <w:r>
              <w:rPr>
                <w:rFonts w:ascii="Arial" w:cs="Arial" w:eastAsia="Arial" w:hAnsi="Arial"/>
                <w:sz w:val="17"/>
                <w:szCs w:val="17"/>
                <w:color w:val="auto"/>
                <w:w w:val="88"/>
              </w:rPr>
              <w:t>10 years</w:t>
            </w: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number and weighted average exercise prices (in CHF) of options under the share option programs for Plans A, B and C1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1"/>
              </w:rPr>
              <w:t>Weighted</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Weighted</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9"/>
              </w:rPr>
              <w:t>Average</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Number of</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Average</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0" w:type="dxa"/>
            <w:vAlign w:val="bottom"/>
          </w:tcPr>
          <w:p>
            <w:pPr>
              <w:spacing w:after="0"/>
              <w:rPr>
                <w:sz w:val="1"/>
                <w:szCs w:val="1"/>
                <w:color w:val="auto"/>
              </w:rPr>
            </w:pPr>
          </w:p>
        </w:tc>
      </w:tr>
      <w:tr>
        <w:trPr>
          <w:trHeight w:val="226"/>
        </w:trPr>
        <w:tc>
          <w:tcPr>
            <w:tcW w:w="40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Exercise Price</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4"/>
              </w:rPr>
              <w:t>Term (Years)</w:t>
            </w:r>
          </w:p>
        </w:tc>
        <w:tc>
          <w:tcPr>
            <w:tcW w:w="0" w:type="dxa"/>
            <w:vAlign w:val="bottom"/>
          </w:tcPr>
          <w:p>
            <w:pPr>
              <w:spacing w:after="0"/>
              <w:rPr>
                <w:sz w:val="1"/>
                <w:szCs w:val="1"/>
                <w:color w:val="auto"/>
              </w:rPr>
            </w:pPr>
          </w:p>
        </w:tc>
      </w:tr>
      <w:tr>
        <w:trPr>
          <w:trHeight w:val="201"/>
        </w:trPr>
        <w:tc>
          <w:tcPr>
            <w:tcW w:w="40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7"/>
                <w:szCs w:val="17"/>
                <w:color w:val="auto"/>
              </w:rPr>
              <w:t>Outstanding at January 1, 2014</w:t>
            </w:r>
          </w:p>
        </w:tc>
        <w:tc>
          <w:tcPr>
            <w:tcW w:w="376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3,768,000</w:t>
            </w: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0.22119</w:t>
            </w: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20"/>
                <w:szCs w:val="20"/>
                <w:color w:val="auto"/>
              </w:rPr>
            </w:pPr>
            <w:r>
              <w:rPr>
                <w:rFonts w:ascii="Arial" w:cs="Arial" w:eastAsia="Arial" w:hAnsi="Arial"/>
                <w:sz w:val="17"/>
                <w:szCs w:val="17"/>
                <w:color w:val="auto"/>
              </w:rPr>
              <w:t>Forfeited during the year</w:t>
            </w:r>
          </w:p>
        </w:tc>
        <w:tc>
          <w:tcPr>
            <w:tcW w:w="4920" w:type="dxa"/>
            <w:vAlign w:val="bottom"/>
            <w:gridSpan w:val="2"/>
          </w:tcPr>
          <w:p>
            <w:pPr>
              <w:jc w:val="right"/>
              <w:spacing w:after="0"/>
              <w:rPr>
                <w:sz w:val="20"/>
                <w:szCs w:val="20"/>
                <w:color w:val="auto"/>
              </w:rPr>
            </w:pPr>
            <w:r>
              <w:rPr>
                <w:rFonts w:ascii="Arial" w:cs="Arial" w:eastAsia="Arial" w:hAnsi="Arial"/>
                <w:sz w:val="17"/>
                <w:szCs w:val="17"/>
                <w:color w:val="auto"/>
              </w:rPr>
              <w:t>(4,500)</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Cancelled during the year</w:t>
            </w:r>
          </w:p>
        </w:tc>
        <w:tc>
          <w:tcPr>
            <w:tcW w:w="492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(19,000)</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20"/>
                <w:szCs w:val="20"/>
                <w:color w:val="auto"/>
              </w:rPr>
            </w:pPr>
            <w:r>
              <w:rPr>
                <w:rFonts w:ascii="Arial" w:cs="Arial" w:eastAsia="Arial" w:hAnsi="Arial"/>
                <w:sz w:val="17"/>
                <w:szCs w:val="17"/>
                <w:color w:val="auto"/>
              </w:rPr>
              <w:t>Exercised during the year</w:t>
            </w:r>
          </w:p>
        </w:tc>
        <w:tc>
          <w:tcPr>
            <w:tcW w:w="4920" w:type="dxa"/>
            <w:vAlign w:val="bottom"/>
            <w:gridSpan w:val="2"/>
          </w:tcPr>
          <w:p>
            <w:pPr>
              <w:jc w:val="right"/>
              <w:spacing w:after="0"/>
              <w:rPr>
                <w:sz w:val="20"/>
                <w:szCs w:val="20"/>
                <w:color w:val="auto"/>
              </w:rPr>
            </w:pPr>
            <w:r>
              <w:rPr>
                <w:rFonts w:ascii="Arial" w:cs="Arial" w:eastAsia="Arial" w:hAnsi="Arial"/>
                <w:sz w:val="17"/>
                <w:szCs w:val="17"/>
                <w:color w:val="auto"/>
              </w:rPr>
              <w:t>(21,250)</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Granted during the year</w:t>
            </w:r>
          </w:p>
        </w:tc>
        <w:tc>
          <w:tcPr>
            <w:tcW w:w="492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283,250</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Outstanding at December 31, 2014</w:t>
            </w:r>
          </w:p>
        </w:tc>
        <w:tc>
          <w:tcPr>
            <w:tcW w:w="3760" w:type="dxa"/>
            <w:vAlign w:val="bottom"/>
            <w:tcBorders>
              <w:bottom w:val="single" w:sz="8" w:color="D5EAEA"/>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4,006,500</w:t>
            </w: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0.21668</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4"/>
        </w:trPr>
        <w:tc>
          <w:tcPr>
            <w:tcW w:w="40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Exercisable at December 31, 2014</w:t>
            </w:r>
          </w:p>
        </w:tc>
        <w:tc>
          <w:tcPr>
            <w:tcW w:w="3760" w:type="dxa"/>
            <w:vAlign w:val="bottom"/>
            <w:tcBorders>
              <w:bottom w:val="single" w:sz="8" w:color="D5EAEA"/>
            </w:tcBorders>
            <w:shd w:val="clear" w:color="auto" w:fill="D5EAEA"/>
          </w:tcPr>
          <w:p>
            <w:pPr>
              <w:spacing w:after="0"/>
              <w:rPr>
                <w:sz w:val="18"/>
                <w:szCs w:val="18"/>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3,370,000</w:t>
            </w:r>
          </w:p>
        </w:tc>
        <w:tc>
          <w:tcPr>
            <w:tcW w:w="12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0.23013</w:t>
            </w:r>
          </w:p>
        </w:tc>
        <w:tc>
          <w:tcPr>
            <w:tcW w:w="10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7"/>
                <w:szCs w:val="17"/>
                <w:color w:val="auto"/>
              </w:rPr>
              <w:t>Outstanding at January 1, 2015</w:t>
            </w:r>
          </w:p>
        </w:tc>
        <w:tc>
          <w:tcPr>
            <w:tcW w:w="4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3760" w:type="dxa"/>
            <w:vAlign w:val="bottom"/>
          </w:tcPr>
          <w:p>
            <w:pPr>
              <w:spacing w:after="0"/>
              <w:rPr>
                <w:sz w:val="16"/>
                <w:szCs w:val="16"/>
                <w:color w:val="auto"/>
              </w:rPr>
            </w:pPr>
          </w:p>
        </w:tc>
        <w:tc>
          <w:tcPr>
            <w:tcW w:w="1160" w:type="dxa"/>
            <w:vAlign w:val="bottom"/>
            <w:tcBorders>
              <w:top w:val="single" w:sz="8" w:color="auto"/>
            </w:tcBorders>
          </w:tcPr>
          <w:p>
            <w:pPr>
              <w:jc w:val="right"/>
              <w:ind w:right="33"/>
              <w:spacing w:after="0" w:line="187" w:lineRule="exact"/>
              <w:rPr>
                <w:sz w:val="20"/>
                <w:szCs w:val="20"/>
                <w:color w:val="auto"/>
              </w:rPr>
            </w:pPr>
            <w:r>
              <w:rPr>
                <w:rFonts w:ascii="Arial" w:cs="Arial" w:eastAsia="Arial" w:hAnsi="Arial"/>
                <w:sz w:val="17"/>
                <w:szCs w:val="17"/>
                <w:color w:val="auto"/>
              </w:rPr>
              <w:t>4,006,500</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ind w:right="13"/>
              <w:spacing w:after="0" w:line="187" w:lineRule="exact"/>
              <w:rPr>
                <w:sz w:val="20"/>
                <w:szCs w:val="20"/>
                <w:color w:val="auto"/>
              </w:rPr>
            </w:pPr>
            <w:r>
              <w:rPr>
                <w:rFonts w:ascii="Arial" w:cs="Arial" w:eastAsia="Arial" w:hAnsi="Arial"/>
                <w:sz w:val="17"/>
                <w:szCs w:val="17"/>
                <w:color w:val="auto"/>
              </w:rPr>
              <w:t>0.21668</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13"/>
              <w:spacing w:after="0" w:line="187"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8"/>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Forfeited during the year</w:t>
            </w:r>
          </w:p>
        </w:tc>
        <w:tc>
          <w:tcPr>
            <w:tcW w:w="492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(23,250)</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20"/>
                <w:szCs w:val="20"/>
                <w:color w:val="auto"/>
              </w:rPr>
            </w:pPr>
            <w:r>
              <w:rPr>
                <w:rFonts w:ascii="Arial" w:cs="Arial" w:eastAsia="Arial" w:hAnsi="Arial"/>
                <w:sz w:val="17"/>
                <w:szCs w:val="17"/>
                <w:color w:val="auto"/>
              </w:rPr>
              <w:t>Cancelled during the year</w:t>
            </w:r>
          </w:p>
        </w:tc>
        <w:tc>
          <w:tcPr>
            <w:tcW w:w="4920" w:type="dxa"/>
            <w:vAlign w:val="bottom"/>
            <w:gridSpan w:val="2"/>
          </w:tcPr>
          <w:p>
            <w:pPr>
              <w:jc w:val="right"/>
              <w:spacing w:after="0"/>
              <w:rPr>
                <w:sz w:val="20"/>
                <w:szCs w:val="20"/>
                <w:color w:val="auto"/>
              </w:rPr>
            </w:pPr>
            <w:r>
              <w:rPr>
                <w:rFonts w:ascii="Arial" w:cs="Arial" w:eastAsia="Arial" w:hAnsi="Arial"/>
                <w:sz w:val="17"/>
                <w:szCs w:val="17"/>
                <w:color w:val="auto"/>
              </w:rPr>
              <w:t>(15,250)</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Exercised during the year</w:t>
            </w:r>
          </w:p>
        </w:tc>
        <w:tc>
          <w:tcPr>
            <w:tcW w:w="492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(594,250)</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20"/>
                <w:szCs w:val="20"/>
                <w:color w:val="auto"/>
              </w:rPr>
            </w:pPr>
            <w:r>
              <w:rPr>
                <w:rFonts w:ascii="Arial" w:cs="Arial" w:eastAsia="Arial" w:hAnsi="Arial"/>
                <w:sz w:val="17"/>
                <w:szCs w:val="17"/>
                <w:color w:val="auto"/>
              </w:rPr>
              <w:t>Granted during the year</w:t>
            </w:r>
          </w:p>
        </w:tc>
        <w:tc>
          <w:tcPr>
            <w:tcW w:w="4920" w:type="dxa"/>
            <w:vAlign w:val="bottom"/>
            <w:gridSpan w:val="2"/>
          </w:tcPr>
          <w:p>
            <w:pPr>
              <w:jc w:val="right"/>
              <w:ind w:right="33"/>
              <w:spacing w:after="0"/>
              <w:rPr>
                <w:sz w:val="20"/>
                <w:szCs w:val="20"/>
                <w:color w:val="auto"/>
              </w:rPr>
            </w:pPr>
            <w:r>
              <w:rPr>
                <w:rFonts w:ascii="Arial" w:cs="Arial" w:eastAsia="Arial" w:hAnsi="Arial"/>
                <w:sz w:val="17"/>
                <w:szCs w:val="17"/>
                <w:color w:val="auto"/>
              </w:rPr>
              <w:t>223,250</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Outstanding at December 31, 2015</w:t>
            </w:r>
          </w:p>
        </w:tc>
        <w:tc>
          <w:tcPr>
            <w:tcW w:w="376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7"/>
                <w:szCs w:val="17"/>
                <w:color w:val="auto"/>
              </w:rPr>
              <w:t>3,597,000</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0.14548</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54"/>
        </w:trPr>
        <w:tc>
          <w:tcPr>
            <w:tcW w:w="4020" w:type="dxa"/>
            <w:vAlign w:val="bottom"/>
            <w:tcBorders>
              <w:bottom w:val="single" w:sz="8" w:color="D5EAEA"/>
            </w:tcBorders>
          </w:tcPr>
          <w:p>
            <w:pPr>
              <w:spacing w:after="0"/>
              <w:rPr>
                <w:sz w:val="20"/>
                <w:szCs w:val="20"/>
                <w:color w:val="auto"/>
              </w:rPr>
            </w:pPr>
            <w:r>
              <w:rPr>
                <w:rFonts w:ascii="Arial" w:cs="Arial" w:eastAsia="Arial" w:hAnsi="Arial"/>
                <w:sz w:val="17"/>
                <w:szCs w:val="17"/>
                <w:b w:val="1"/>
                <w:bCs w:val="1"/>
                <w:color w:val="auto"/>
              </w:rPr>
              <w:t>Exercisable at December 31, 2015</w:t>
            </w:r>
          </w:p>
        </w:tc>
        <w:tc>
          <w:tcPr>
            <w:tcW w:w="3760" w:type="dxa"/>
            <w:vAlign w:val="bottom"/>
            <w:tcBorders>
              <w:bottom w:val="single" w:sz="8" w:color="D5EAEA"/>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3,032,500</w:t>
            </w:r>
          </w:p>
        </w:tc>
        <w:tc>
          <w:tcPr>
            <w:tcW w:w="120" w:type="dxa"/>
            <w:vAlign w:val="bottom"/>
            <w:tcBorders>
              <w:bottom w:val="single" w:sz="8" w:color="D5EAEA"/>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0.14548</w:t>
            </w:r>
          </w:p>
        </w:tc>
        <w:tc>
          <w:tcPr>
            <w:tcW w:w="10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7"/>
        </w:trPr>
        <w:tc>
          <w:tcPr>
            <w:tcW w:w="4020" w:type="dxa"/>
            <w:vAlign w:val="bottom"/>
            <w:shd w:val="clear" w:color="auto" w:fill="D5EAEA"/>
          </w:tcPr>
          <w:p>
            <w:pPr>
              <w:spacing w:after="0" w:line="187" w:lineRule="exact"/>
              <w:rPr>
                <w:sz w:val="20"/>
                <w:szCs w:val="20"/>
                <w:color w:val="auto"/>
              </w:rPr>
            </w:pPr>
            <w:r>
              <w:rPr>
                <w:rFonts w:ascii="Arial" w:cs="Arial" w:eastAsia="Arial" w:hAnsi="Arial"/>
                <w:sz w:val="17"/>
                <w:szCs w:val="17"/>
                <w:color w:val="auto"/>
              </w:rPr>
              <w:t>Outstanding at January 1, 2016</w:t>
            </w:r>
          </w:p>
        </w:tc>
        <w:tc>
          <w:tcPr>
            <w:tcW w:w="3760" w:type="dxa"/>
            <w:vAlign w:val="bottom"/>
            <w:shd w:val="clear" w:color="auto" w:fill="D5EAEA"/>
          </w:tcPr>
          <w:p>
            <w:pPr>
              <w:spacing w:after="0"/>
              <w:rPr>
                <w:sz w:val="16"/>
                <w:szCs w:val="16"/>
                <w:color w:val="auto"/>
              </w:rPr>
            </w:pPr>
          </w:p>
        </w:tc>
        <w:tc>
          <w:tcPr>
            <w:tcW w:w="1160" w:type="dxa"/>
            <w:vAlign w:val="bottom"/>
            <w:shd w:val="clear" w:color="auto" w:fill="D5EAEA"/>
          </w:tcPr>
          <w:p>
            <w:pPr>
              <w:jc w:val="right"/>
              <w:ind w:right="33"/>
              <w:spacing w:after="0" w:line="187" w:lineRule="exact"/>
              <w:rPr>
                <w:sz w:val="20"/>
                <w:szCs w:val="20"/>
                <w:color w:val="auto"/>
              </w:rPr>
            </w:pPr>
            <w:r>
              <w:rPr>
                <w:rFonts w:ascii="Arial" w:cs="Arial" w:eastAsia="Arial" w:hAnsi="Arial"/>
                <w:sz w:val="17"/>
                <w:szCs w:val="17"/>
                <w:color w:val="auto"/>
              </w:rPr>
              <w:t>3,597,000</w:t>
            </w:r>
          </w:p>
        </w:tc>
        <w:tc>
          <w:tcPr>
            <w:tcW w:w="120" w:type="dxa"/>
            <w:vAlign w:val="bottom"/>
            <w:shd w:val="clear" w:color="auto" w:fill="D5EAEA"/>
          </w:tcPr>
          <w:p>
            <w:pPr>
              <w:spacing w:after="0"/>
              <w:rPr>
                <w:sz w:val="16"/>
                <w:szCs w:val="16"/>
                <w:color w:val="auto"/>
              </w:rPr>
            </w:pPr>
          </w:p>
        </w:tc>
        <w:tc>
          <w:tcPr>
            <w:tcW w:w="1140" w:type="dxa"/>
            <w:vAlign w:val="bottom"/>
            <w:shd w:val="clear" w:color="auto" w:fill="D5EAEA"/>
          </w:tcPr>
          <w:p>
            <w:pPr>
              <w:jc w:val="right"/>
              <w:ind w:right="13"/>
              <w:spacing w:after="0" w:line="187" w:lineRule="exact"/>
              <w:rPr>
                <w:sz w:val="20"/>
                <w:szCs w:val="20"/>
                <w:color w:val="auto"/>
              </w:rPr>
            </w:pPr>
            <w:r>
              <w:rPr>
                <w:rFonts w:ascii="Arial" w:cs="Arial" w:eastAsia="Arial" w:hAnsi="Arial"/>
                <w:sz w:val="17"/>
                <w:szCs w:val="17"/>
                <w:color w:val="auto"/>
              </w:rPr>
              <w:t>0.14548</w:t>
            </w:r>
          </w:p>
        </w:tc>
        <w:tc>
          <w:tcPr>
            <w:tcW w:w="100" w:type="dxa"/>
            <w:vAlign w:val="bottom"/>
            <w:shd w:val="clear" w:color="auto" w:fill="D5EAEA"/>
          </w:tcPr>
          <w:p>
            <w:pPr>
              <w:spacing w:after="0"/>
              <w:rPr>
                <w:sz w:val="16"/>
                <w:szCs w:val="16"/>
                <w:color w:val="auto"/>
              </w:rPr>
            </w:pPr>
          </w:p>
        </w:tc>
        <w:tc>
          <w:tcPr>
            <w:tcW w:w="1120" w:type="dxa"/>
            <w:vAlign w:val="bottom"/>
            <w:shd w:val="clear" w:color="auto" w:fill="D5EAEA"/>
          </w:tcPr>
          <w:p>
            <w:pPr>
              <w:jc w:val="right"/>
              <w:ind w:right="13"/>
              <w:spacing w:after="0" w:line="187"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20"/>
                <w:szCs w:val="20"/>
                <w:color w:val="auto"/>
              </w:rPr>
            </w:pPr>
            <w:r>
              <w:rPr>
                <w:rFonts w:ascii="Arial" w:cs="Arial" w:eastAsia="Arial" w:hAnsi="Arial"/>
                <w:sz w:val="17"/>
                <w:szCs w:val="17"/>
                <w:color w:val="auto"/>
              </w:rPr>
              <w:t>Forfeited during the year</w:t>
            </w:r>
          </w:p>
        </w:tc>
        <w:tc>
          <w:tcPr>
            <w:tcW w:w="4920" w:type="dxa"/>
            <w:vAlign w:val="bottom"/>
            <w:gridSpan w:val="2"/>
          </w:tcPr>
          <w:p>
            <w:pPr>
              <w:jc w:val="right"/>
              <w:spacing w:after="0"/>
              <w:rPr>
                <w:sz w:val="20"/>
                <w:szCs w:val="20"/>
                <w:color w:val="auto"/>
              </w:rPr>
            </w:pPr>
            <w:r>
              <w:rPr>
                <w:rFonts w:ascii="Arial" w:cs="Arial" w:eastAsia="Arial" w:hAnsi="Arial"/>
                <w:sz w:val="17"/>
                <w:szCs w:val="17"/>
                <w:color w:val="auto"/>
              </w:rPr>
              <w:t>(106,000)</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Cancelled during the year</w:t>
            </w:r>
          </w:p>
        </w:tc>
        <w:tc>
          <w:tcPr>
            <w:tcW w:w="4920" w:type="dxa"/>
            <w:vAlign w:val="bottom"/>
            <w:gridSpan w:val="2"/>
            <w:shd w:val="clear" w:color="auto" w:fill="D5EAEA"/>
          </w:tcPr>
          <w:p>
            <w:pPr>
              <w:jc w:val="right"/>
              <w:spacing w:after="0"/>
              <w:rPr>
                <w:sz w:val="20"/>
                <w:szCs w:val="20"/>
                <w:color w:val="auto"/>
              </w:rPr>
            </w:pPr>
            <w:r>
              <w:rPr>
                <w:rFonts w:ascii="Arial" w:cs="Arial" w:eastAsia="Arial" w:hAnsi="Arial"/>
                <w:sz w:val="17"/>
                <w:szCs w:val="17"/>
                <w:color w:val="auto"/>
              </w:rPr>
              <w:t>(19,250)</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20"/>
                <w:szCs w:val="20"/>
                <w:color w:val="auto"/>
              </w:rPr>
            </w:pPr>
            <w:r>
              <w:rPr>
                <w:rFonts w:ascii="Arial" w:cs="Arial" w:eastAsia="Arial" w:hAnsi="Arial"/>
                <w:sz w:val="17"/>
                <w:szCs w:val="17"/>
                <w:color w:val="auto"/>
              </w:rPr>
              <w:t>Exercised during the year</w:t>
            </w:r>
          </w:p>
        </w:tc>
        <w:tc>
          <w:tcPr>
            <w:tcW w:w="4920" w:type="dxa"/>
            <w:vAlign w:val="bottom"/>
            <w:gridSpan w:val="2"/>
          </w:tcPr>
          <w:p>
            <w:pPr>
              <w:jc w:val="right"/>
              <w:spacing w:after="0"/>
              <w:rPr>
                <w:sz w:val="20"/>
                <w:szCs w:val="20"/>
                <w:color w:val="auto"/>
              </w:rPr>
            </w:pPr>
            <w:r>
              <w:rPr>
                <w:rFonts w:ascii="Arial" w:cs="Arial" w:eastAsia="Arial" w:hAnsi="Arial"/>
                <w:sz w:val="17"/>
                <w:szCs w:val="17"/>
                <w:color w:val="auto"/>
              </w:rPr>
              <w:t>(2,069,100)</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D5EAEA"/>
          </w:tcPr>
          <w:p>
            <w:pPr>
              <w:spacing w:after="0"/>
              <w:rPr>
                <w:sz w:val="20"/>
                <w:szCs w:val="20"/>
                <w:color w:val="auto"/>
              </w:rPr>
            </w:pPr>
            <w:r>
              <w:rPr>
                <w:rFonts w:ascii="Arial" w:cs="Arial" w:eastAsia="Arial" w:hAnsi="Arial"/>
                <w:sz w:val="17"/>
                <w:szCs w:val="17"/>
                <w:color w:val="auto"/>
              </w:rPr>
              <w:t>Granted during the year</w:t>
            </w:r>
          </w:p>
        </w:tc>
        <w:tc>
          <w:tcPr>
            <w:tcW w:w="492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285,250</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Outstanding at December 31, 2016</w:t>
            </w:r>
          </w:p>
        </w:tc>
        <w:tc>
          <w:tcPr>
            <w:tcW w:w="3760" w:type="dxa"/>
            <w:vAlign w:val="bottom"/>
            <w:tcBorders>
              <w:bottom w:val="single" w:sz="8" w:color="D5EAEA"/>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1,687,900</w:t>
            </w: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0.14548</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4"/>
        </w:trPr>
        <w:tc>
          <w:tcPr>
            <w:tcW w:w="402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Exercisable at December 31, 2016</w:t>
            </w:r>
          </w:p>
        </w:tc>
        <w:tc>
          <w:tcPr>
            <w:tcW w:w="4920" w:type="dxa"/>
            <w:vAlign w:val="bottom"/>
            <w:gridSpan w:val="2"/>
            <w:shd w:val="clear" w:color="auto" w:fill="D5EAEA"/>
          </w:tcPr>
          <w:p>
            <w:pPr>
              <w:jc w:val="right"/>
              <w:ind w:right="33"/>
              <w:spacing w:after="0"/>
              <w:rPr>
                <w:sz w:val="20"/>
                <w:szCs w:val="20"/>
                <w:color w:val="auto"/>
              </w:rPr>
            </w:pPr>
            <w:r>
              <w:rPr>
                <w:rFonts w:ascii="Arial" w:cs="Arial" w:eastAsia="Arial" w:hAnsi="Arial"/>
                <w:sz w:val="17"/>
                <w:szCs w:val="17"/>
                <w:color w:val="auto"/>
              </w:rPr>
              <w:t>1,284,525</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0.14548</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4020" w:type="dxa"/>
            <w:vAlign w:val="bottom"/>
            <w:tcBorders>
              <w:top w:val="single" w:sz="8" w:color="D5EAEA"/>
            </w:tcBorders>
          </w:tcPr>
          <w:p>
            <w:pPr>
              <w:spacing w:after="0" w:line="20" w:lineRule="exact"/>
              <w:rPr>
                <w:sz w:val="1"/>
                <w:szCs w:val="1"/>
                <w:color w:val="auto"/>
              </w:rPr>
            </w:pPr>
          </w:p>
        </w:tc>
        <w:tc>
          <w:tcPr>
            <w:tcW w:w="3760" w:type="dxa"/>
            <w:vAlign w:val="bottom"/>
            <w:tcBorders>
              <w:top w:val="single" w:sz="8" w:color="D5EAE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auto"/>
              </w:rPr>
              <w:t>F-24</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65" w:name="page166"/>
    <w:bookmarkEnd w:id="165"/>
    <w:p>
      <w:pPr>
        <w:ind w:left="320"/>
        <w:spacing w:after="0"/>
        <w:rPr>
          <w:sz w:val="20"/>
          <w:szCs w:val="20"/>
          <w:color w:val="auto"/>
        </w:rPr>
      </w:pPr>
      <w:r>
        <w:rPr>
          <w:rFonts w:ascii="Arial" w:cs="Arial" w:eastAsia="Arial" w:hAnsi="Arial"/>
          <w:sz w:val="17"/>
          <w:szCs w:val="17"/>
          <w:color w:val="auto"/>
        </w:rPr>
        <w:t>All 2016 and 2015 option related activity in the table above occurred at a weighted average exercise price of CHF 0.14548.</w:t>
      </w:r>
    </w:p>
    <w:p>
      <w:pPr>
        <w:spacing w:after="0" w:line="221" w:lineRule="exact"/>
        <w:rPr>
          <w:sz w:val="20"/>
          <w:szCs w:val="20"/>
          <w:color w:val="auto"/>
        </w:rPr>
      </w:pPr>
    </w:p>
    <w:p>
      <w:pPr>
        <w:ind w:right="20" w:firstLine="312"/>
        <w:spacing w:after="0" w:line="265" w:lineRule="auto"/>
        <w:rPr>
          <w:sz w:val="20"/>
          <w:szCs w:val="20"/>
          <w:color w:val="auto"/>
        </w:rPr>
      </w:pPr>
      <w:r>
        <w:rPr>
          <w:rFonts w:ascii="Arial" w:cs="Arial" w:eastAsia="Arial" w:hAnsi="Arial"/>
          <w:sz w:val="17"/>
          <w:szCs w:val="17"/>
          <w:color w:val="auto"/>
        </w:rPr>
        <w:t>The weighted average fair values of the options granted in 2016, 2015 and 2014 are CHF 5.85, CHF 1.77, and CHF 0.77, respectively. These fair values of options granted have been determined using the Black-Scholes option pricing model and an exercise price of CHF 0.14548 (2015 and 2014: CHF 0.14548), a share price of CHF 5.96 (2015: CHF 1.91 and 2014: CHF 0.90), a risk-free interest rate of 0% (2015: 0% and 2014: 0.23%) and a volatility of 80% (2015 and 2014: 50%) with an expected duration of 6 years (2015 and 2014: 6 years).</w:t>
      </w:r>
    </w:p>
    <w:p>
      <w:pPr>
        <w:spacing w:after="0" w:line="177" w:lineRule="exact"/>
        <w:rPr>
          <w:sz w:val="20"/>
          <w:szCs w:val="20"/>
          <w:color w:val="auto"/>
        </w:rPr>
      </w:pPr>
    </w:p>
    <w:p>
      <w:pPr>
        <w:ind w:firstLine="312"/>
        <w:spacing w:after="0" w:line="265" w:lineRule="auto"/>
        <w:rPr>
          <w:sz w:val="20"/>
          <w:szCs w:val="20"/>
          <w:color w:val="auto"/>
        </w:rPr>
      </w:pPr>
      <w:r>
        <w:rPr>
          <w:rFonts w:ascii="Arial" w:cs="Arial" w:eastAsia="Arial" w:hAnsi="Arial"/>
          <w:sz w:val="17"/>
          <w:szCs w:val="17"/>
          <w:color w:val="auto"/>
        </w:rPr>
        <w:t>Prior to the IPO, the exercise price was set by the Board of Directors; there were no options granted in 2016 subsequent to the IPO. The volatility is based on the historical trend of an appropriate sample of companies operating in the biotech and pharmaceutical industry. The risk-free interest rate is based on the CHF swap rate for the expected life of the option. The weighted average share price of common share options exercised in 2016 is CHF 6.22 (2015: CHF 1.91 and 2014: CHF 0.90).</w:t>
      </w:r>
    </w:p>
    <w:p>
      <w:pPr>
        <w:spacing w:after="0" w:line="177" w:lineRule="exact"/>
        <w:rPr>
          <w:sz w:val="20"/>
          <w:szCs w:val="20"/>
          <w:color w:val="auto"/>
        </w:rPr>
      </w:pPr>
    </w:p>
    <w:p>
      <w:pPr>
        <w:ind w:right="80" w:firstLine="312"/>
        <w:spacing w:after="0" w:line="259" w:lineRule="auto"/>
        <w:rPr>
          <w:sz w:val="20"/>
          <w:szCs w:val="20"/>
          <w:color w:val="auto"/>
        </w:rPr>
      </w:pPr>
      <w:r>
        <w:rPr>
          <w:rFonts w:ascii="Arial" w:cs="Arial" w:eastAsia="Arial" w:hAnsi="Arial"/>
          <w:sz w:val="17"/>
          <w:szCs w:val="17"/>
          <w:color w:val="auto"/>
        </w:rPr>
        <w:t>The expense charged against the income statement for the financial year 2016 amounts to CHF 1.317 thousand (2015: CHF 539 thousand and 2014: 211 thousands). The expense is revised by the Company based on the number of instruments that are expected to become exercisable. This 2016 expense also reflects a share based option award that was modified in 2016 to amend the option grant’s contractual life and the issuance of a replacement award. An incremental fair value of CHF 238 thousand was immediately recognized in 2016 as a result of the modification of the share options contractual life. Additionally, in connection with his departure in the fourth quarter of 2016, the Chief Financial Officer forfeited his initial 2016 grant (included in the aggregate 2016 total of 98,500), and in its place was awarded 49,250 options, which has been accounted for as a new award granted on the date of forfeiture of the original award. The fourth quarter 2016 grant date fair value of the replacement award was CHF 674 thousand. The fair value of the modified award was measured using the Black-Scholes option pricing model with similar assumptions to the 2016 option.</w:t>
      </w:r>
    </w:p>
    <w:p>
      <w:pPr>
        <w:spacing w:after="0" w:line="185" w:lineRule="exact"/>
        <w:rPr>
          <w:sz w:val="20"/>
          <w:szCs w:val="20"/>
          <w:color w:val="auto"/>
        </w:rPr>
      </w:pPr>
    </w:p>
    <w:p>
      <w:pPr>
        <w:ind w:right="160" w:firstLine="312"/>
        <w:spacing w:after="0" w:line="283" w:lineRule="auto"/>
        <w:rPr>
          <w:sz w:val="20"/>
          <w:szCs w:val="20"/>
          <w:color w:val="auto"/>
        </w:rPr>
      </w:pPr>
      <w:r>
        <w:rPr>
          <w:rFonts w:ascii="Arial" w:cs="Arial" w:eastAsia="Arial" w:hAnsi="Arial"/>
          <w:sz w:val="16"/>
          <w:szCs w:val="16"/>
          <w:color w:val="auto"/>
        </w:rPr>
        <w:t>An incremental fair value of CHF 238 thousand was immediately recognized in 2016 as a result of the modification of the share options contractual life. Additionally, due to the departure of the Chief Financial Officer in the fourth quarter of 2016, the initial referenced grant of 98,500 was considered a forfeiture as the vesting conditions would not be met. Subsequently, an agreement was formalized whereby 50% of the previously forfeited options (49,250 options) would be awarded as a replacement grant with no remaining service condition, which has been accounted for as a new award granted on the date of forfeiture of the original award. The fourth quarter 2016 grant date fair value of the replacement award was CHF 674 thousand.</w:t>
      </w:r>
    </w:p>
    <w:p>
      <w:pPr>
        <w:spacing w:after="0" w:line="164" w:lineRule="exact"/>
        <w:rPr>
          <w:sz w:val="20"/>
          <w:szCs w:val="20"/>
          <w:color w:val="auto"/>
        </w:rPr>
      </w:pPr>
    </w:p>
    <w:p>
      <w:pPr>
        <w:ind w:right="60" w:firstLine="312"/>
        <w:spacing w:after="0" w:line="286" w:lineRule="auto"/>
        <w:rPr>
          <w:sz w:val="20"/>
          <w:szCs w:val="20"/>
          <w:color w:val="auto"/>
        </w:rPr>
      </w:pPr>
      <w:r>
        <w:rPr>
          <w:rFonts w:ascii="Arial" w:cs="Arial" w:eastAsia="Arial" w:hAnsi="Arial"/>
          <w:sz w:val="17"/>
          <w:szCs w:val="17"/>
          <w:color w:val="auto"/>
        </w:rPr>
        <w:t>The fair value of the modified award was measured using the Black-Scholes option pricing model with similar assumptions to the 2016 option grants described above, except for a currently quoted common share price as of the date of the modification.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tcPr>
          <w:p>
            <w:pPr>
              <w:spacing w:after="0"/>
              <w:rPr>
                <w:sz w:val="20"/>
                <w:szCs w:val="20"/>
                <w:color w:val="auto"/>
              </w:rPr>
            </w:pPr>
            <w:r>
              <w:rPr>
                <w:rFonts w:ascii="Arial" w:cs="Arial" w:eastAsia="Arial" w:hAnsi="Arial"/>
                <w:sz w:val="17"/>
                <w:szCs w:val="17"/>
                <w:b w:val="1"/>
                <w:bCs w:val="1"/>
                <w:color w:val="auto"/>
              </w:rPr>
              <w:t>17. Commitments and contingencies</w:t>
            </w: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2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1"/>
              </w:rPr>
              <w:t>For the Years Ended December</w:t>
            </w:r>
          </w:p>
        </w:tc>
        <w:tc>
          <w:tcPr>
            <w:tcW w:w="0" w:type="dxa"/>
            <w:vAlign w:val="bottom"/>
          </w:tcPr>
          <w:p>
            <w:pPr>
              <w:spacing w:after="0"/>
              <w:rPr>
                <w:sz w:val="1"/>
                <w:szCs w:val="1"/>
                <w:color w:val="auto"/>
              </w:rPr>
            </w:pPr>
          </w:p>
        </w:tc>
      </w:tr>
      <w:tr>
        <w:trPr>
          <w:trHeight w:val="226"/>
        </w:trPr>
        <w:tc>
          <w:tcPr>
            <w:tcW w:w="32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2"/>
              </w:rPr>
              <w:t>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578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in CHF thousands</w:t>
            </w:r>
          </w:p>
        </w:tc>
        <w:tc>
          <w:tcPr>
            <w:tcW w:w="1060" w:type="dxa"/>
            <w:vAlign w:val="bottom"/>
          </w:tcPr>
          <w:p>
            <w:pPr>
              <w:jc w:val="right"/>
              <w:ind w:right="233"/>
              <w:spacing w:after="0"/>
              <w:rPr>
                <w:sz w:val="20"/>
                <w:szCs w:val="20"/>
                <w:color w:val="auto"/>
              </w:rPr>
            </w:pPr>
            <w:r>
              <w:rPr>
                <w:rFonts w:ascii="Arial" w:cs="Arial" w:eastAsia="Arial" w:hAnsi="Arial"/>
                <w:sz w:val="17"/>
                <w:szCs w:val="17"/>
                <w:b w:val="1"/>
                <w:bCs w:val="1"/>
                <w:color w:val="auto"/>
              </w:rPr>
              <w:t>2016</w:t>
            </w:r>
          </w:p>
        </w:tc>
        <w:tc>
          <w:tcPr>
            <w:tcW w:w="1320" w:type="dxa"/>
            <w:vAlign w:val="bottom"/>
            <w:gridSpan w:val="4"/>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194"/>
        </w:trPr>
        <w:tc>
          <w:tcPr>
            <w:tcW w:w="3260" w:type="dxa"/>
            <w:vAlign w:val="bottom"/>
          </w:tcPr>
          <w:p>
            <w:pPr>
              <w:spacing w:after="0"/>
              <w:rPr>
                <w:sz w:val="16"/>
                <w:szCs w:val="16"/>
                <w:color w:val="auto"/>
              </w:rPr>
            </w:pPr>
          </w:p>
        </w:tc>
        <w:tc>
          <w:tcPr>
            <w:tcW w:w="5780" w:type="dxa"/>
            <w:vAlign w:val="bottom"/>
            <w:gridSpan w:val="2"/>
            <w:vMerge w:val="continue"/>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7"/>
                <w:szCs w:val="17"/>
                <w:color w:val="auto"/>
              </w:rPr>
              <w:t>Within one year</w:t>
            </w:r>
          </w:p>
        </w:tc>
        <w:tc>
          <w:tcPr>
            <w:tcW w:w="56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9,175</w:t>
            </w:r>
          </w:p>
        </w:tc>
        <w:tc>
          <w:tcPr>
            <w:tcW w:w="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10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5,989</w:t>
            </w:r>
          </w:p>
        </w:tc>
        <w:tc>
          <w:tcPr>
            <w:tcW w:w="0" w:type="dxa"/>
            <w:vAlign w:val="bottom"/>
          </w:tcPr>
          <w:p>
            <w:pPr>
              <w:spacing w:after="0"/>
              <w:rPr>
                <w:sz w:val="1"/>
                <w:szCs w:val="1"/>
                <w:color w:val="auto"/>
              </w:rPr>
            </w:pPr>
          </w:p>
        </w:tc>
      </w:tr>
      <w:tr>
        <w:trPr>
          <w:trHeight w:val="221"/>
        </w:trPr>
        <w:tc>
          <w:tcPr>
            <w:tcW w:w="3260" w:type="dxa"/>
            <w:vAlign w:val="bottom"/>
            <w:tcBorders>
              <w:bottom w:val="single" w:sz="8" w:color="D5EAEA"/>
            </w:tcBorders>
          </w:tcPr>
          <w:p>
            <w:pPr>
              <w:spacing w:after="0"/>
              <w:rPr>
                <w:sz w:val="20"/>
                <w:szCs w:val="20"/>
                <w:color w:val="auto"/>
              </w:rPr>
            </w:pPr>
            <w:r>
              <w:rPr>
                <w:rFonts w:ascii="Arial" w:cs="Arial" w:eastAsia="Arial" w:hAnsi="Arial"/>
                <w:sz w:val="17"/>
                <w:szCs w:val="17"/>
                <w:color w:val="auto"/>
              </w:rPr>
              <w:t>Between one and five years</w:t>
            </w:r>
          </w:p>
        </w:tc>
        <w:tc>
          <w:tcPr>
            <w:tcW w:w="5780" w:type="dxa"/>
            <w:vAlign w:val="bottom"/>
            <w:tcBorders>
              <w:bottom w:val="single" w:sz="8" w:color="D5EAEA"/>
            </w:tcBorders>
            <w:gridSpan w:val="2"/>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1,624</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1,111</w:t>
            </w:r>
          </w:p>
        </w:tc>
        <w:tc>
          <w:tcPr>
            <w:tcW w:w="0" w:type="dxa"/>
            <w:vAlign w:val="bottom"/>
          </w:tcPr>
          <w:p>
            <w:pPr>
              <w:spacing w:after="0"/>
              <w:rPr>
                <w:sz w:val="1"/>
                <w:szCs w:val="1"/>
                <w:color w:val="auto"/>
              </w:rPr>
            </w:pPr>
          </w:p>
        </w:tc>
      </w:tr>
      <w:tr>
        <w:trPr>
          <w:trHeight w:val="214"/>
        </w:trPr>
        <w:tc>
          <w:tcPr>
            <w:tcW w:w="3260" w:type="dxa"/>
            <w:vAlign w:val="bottom"/>
            <w:shd w:val="clear" w:color="auto" w:fill="D5EAEA"/>
          </w:tcPr>
          <w:p>
            <w:pPr>
              <w:spacing w:after="0"/>
              <w:rPr>
                <w:sz w:val="20"/>
                <w:szCs w:val="20"/>
                <w:color w:val="auto"/>
              </w:rPr>
            </w:pPr>
            <w:r>
              <w:rPr>
                <w:rFonts w:ascii="Arial" w:cs="Arial" w:eastAsia="Arial" w:hAnsi="Arial"/>
                <w:sz w:val="17"/>
                <w:szCs w:val="17"/>
                <w:color w:val="auto"/>
              </w:rPr>
              <w:t>Total</w:t>
            </w:r>
          </w:p>
        </w:tc>
        <w:tc>
          <w:tcPr>
            <w:tcW w:w="6840" w:type="dxa"/>
            <w:vAlign w:val="bottom"/>
            <w:gridSpan w:val="3"/>
            <w:shd w:val="clear" w:color="auto" w:fill="D5EAEA"/>
          </w:tcPr>
          <w:p>
            <w:pPr>
              <w:jc w:val="right"/>
              <w:spacing w:after="0"/>
              <w:rPr>
                <w:sz w:val="20"/>
                <w:szCs w:val="20"/>
                <w:color w:val="auto"/>
              </w:rPr>
            </w:pPr>
            <w:r>
              <w:rPr>
                <w:rFonts w:ascii="Arial" w:cs="Arial" w:eastAsia="Arial" w:hAnsi="Arial"/>
                <w:sz w:val="17"/>
                <w:szCs w:val="17"/>
                <w:color w:val="auto"/>
              </w:rPr>
              <w:t>10,799</w:t>
            </w:r>
          </w:p>
        </w:tc>
        <w:tc>
          <w:tcPr>
            <w:tcW w:w="1320" w:type="dxa"/>
            <w:vAlign w:val="bottom"/>
            <w:gridSpan w:val="4"/>
            <w:shd w:val="clear" w:color="auto" w:fill="D5EAEA"/>
          </w:tcPr>
          <w:p>
            <w:pPr>
              <w:jc w:val="right"/>
              <w:ind w:right="13"/>
              <w:spacing w:after="0"/>
              <w:rPr>
                <w:sz w:val="20"/>
                <w:szCs w:val="20"/>
                <w:color w:val="auto"/>
              </w:rPr>
            </w:pPr>
            <w:r>
              <w:rPr>
                <w:rFonts w:ascii="Arial" w:cs="Arial" w:eastAsia="Arial" w:hAnsi="Arial"/>
                <w:sz w:val="17"/>
                <w:szCs w:val="17"/>
                <w:color w:val="auto"/>
              </w:rPr>
              <w:t>7,100</w:t>
            </w:r>
          </w:p>
        </w:tc>
        <w:tc>
          <w:tcPr>
            <w:tcW w:w="0" w:type="dxa"/>
            <w:vAlign w:val="bottom"/>
          </w:tcPr>
          <w:p>
            <w:pPr>
              <w:spacing w:after="0"/>
              <w:rPr>
                <w:sz w:val="1"/>
                <w:szCs w:val="1"/>
                <w:color w:val="auto"/>
              </w:rPr>
            </w:pPr>
          </w:p>
        </w:tc>
      </w:tr>
      <w:tr>
        <w:trPr>
          <w:trHeight w:val="20"/>
        </w:trPr>
        <w:tc>
          <w:tcPr>
            <w:tcW w:w="3260" w:type="dxa"/>
            <w:vAlign w:val="bottom"/>
            <w:tcBorders>
              <w:top w:val="single" w:sz="8" w:color="D5EAEA"/>
            </w:tcBorders>
          </w:tcPr>
          <w:p>
            <w:pPr>
              <w:spacing w:after="0" w:line="20" w:lineRule="exact"/>
              <w:rPr>
                <w:sz w:val="1"/>
                <w:szCs w:val="1"/>
                <w:color w:val="auto"/>
              </w:rPr>
            </w:pPr>
          </w:p>
        </w:tc>
        <w:tc>
          <w:tcPr>
            <w:tcW w:w="5660" w:type="dxa"/>
            <w:vAlign w:val="bottom"/>
            <w:tcBorders>
              <w:top w:val="single" w:sz="8" w:color="D5EAEA"/>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80" w:firstLine="312"/>
        <w:spacing w:after="0" w:line="322" w:lineRule="auto"/>
        <w:rPr>
          <w:sz w:val="20"/>
          <w:szCs w:val="20"/>
          <w:color w:val="auto"/>
        </w:rPr>
      </w:pPr>
      <w:r>
        <w:rPr>
          <w:rFonts w:ascii="Arial" w:cs="Arial" w:eastAsia="Arial" w:hAnsi="Arial"/>
          <w:sz w:val="15"/>
          <w:szCs w:val="15"/>
          <w:color w:val="auto"/>
        </w:rPr>
        <w:t>The Company has research contracts with several external service providers. As of December 31, 2016 external research projects for CHF 8.9 million were committed for 2017. Rental contract for laboratory and offices space at the EPFL Innovation Park in Ecublens/Lausanne can be cancelled within a 6 month notice period. Lease expense in 2016 was CHF 391 thousand. As of December 31, 2016, rental contracts for CHF 255 thousand were committed for 2017.</w:t>
      </w:r>
    </w:p>
    <w:p>
      <w:pPr>
        <w:spacing w:after="0" w:line="138" w:lineRule="exact"/>
        <w:rPr>
          <w:sz w:val="20"/>
          <w:szCs w:val="20"/>
          <w:color w:val="auto"/>
        </w:rPr>
      </w:pPr>
    </w:p>
    <w:p>
      <w:pPr>
        <w:ind w:right="780" w:firstLine="312"/>
        <w:spacing w:after="0" w:line="319" w:lineRule="auto"/>
        <w:rPr>
          <w:sz w:val="20"/>
          <w:szCs w:val="20"/>
          <w:color w:val="auto"/>
        </w:rPr>
      </w:pPr>
      <w:r>
        <w:rPr>
          <w:rFonts w:ascii="Arial" w:cs="Arial" w:eastAsia="Arial" w:hAnsi="Arial"/>
          <w:sz w:val="16"/>
          <w:szCs w:val="16"/>
          <w:color w:val="auto"/>
        </w:rPr>
        <w:t>The Company has a contractual obligation that require the payment of royalties to a third party, which is associated with the achievement of program milestones. As of December 31, 2016, the Company’s contractual obligation associated with this agreement was CHF 494 thousand.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Earnings per share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6"/>
        </w:trPr>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7"/>
                <w:szCs w:val="17"/>
                <w:b w:val="1"/>
                <w:bCs w:val="1"/>
                <w:color w:val="auto"/>
              </w:rPr>
              <w:t>For the Years Ended December 31,</w:t>
            </w:r>
          </w:p>
        </w:tc>
      </w:tr>
      <w:tr>
        <w:trPr>
          <w:trHeight w:val="214"/>
        </w:trPr>
        <w:tc>
          <w:tcPr>
            <w:tcW w:w="7780" w:type="dxa"/>
            <w:vAlign w:val="bottom"/>
            <w:gridSpan w:val="2"/>
          </w:tcPr>
          <w:p>
            <w:pPr>
              <w:ind w:left="1840"/>
              <w:spacing w:after="0"/>
              <w:rPr>
                <w:sz w:val="20"/>
                <w:szCs w:val="20"/>
                <w:color w:val="auto"/>
              </w:rPr>
            </w:pPr>
            <w:r>
              <w:rPr>
                <w:rFonts w:ascii="Arial" w:cs="Arial" w:eastAsia="Arial" w:hAnsi="Arial"/>
                <w:sz w:val="17"/>
                <w:szCs w:val="17"/>
                <w:b w:val="1"/>
                <w:bCs w:val="1"/>
                <w:color w:val="auto"/>
              </w:rPr>
              <w:t>in CHF thousands except for share and per share data</w:t>
            </w:r>
          </w:p>
        </w:tc>
        <w:tc>
          <w:tcPr>
            <w:tcW w:w="1160" w:type="dxa"/>
            <w:vAlign w:val="bottom"/>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8"/>
                <w:szCs w:val="18"/>
                <w:color w:val="auto"/>
              </w:rPr>
            </w:pPr>
          </w:p>
        </w:tc>
        <w:tc>
          <w:tcPr>
            <w:tcW w:w="1140" w:type="dxa"/>
            <w:vAlign w:val="bottom"/>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1120" w:type="dxa"/>
            <w:vAlign w:val="bottom"/>
          </w:tcPr>
          <w:p>
            <w:pPr>
              <w:jc w:val="right"/>
              <w:ind w:right="293"/>
              <w:spacing w:after="0"/>
              <w:rPr>
                <w:sz w:val="20"/>
                <w:szCs w:val="20"/>
                <w:color w:val="auto"/>
              </w:rPr>
            </w:pPr>
            <w:r>
              <w:rPr>
                <w:rFonts w:ascii="Arial" w:cs="Arial" w:eastAsia="Arial" w:hAnsi="Arial"/>
                <w:sz w:val="17"/>
                <w:szCs w:val="17"/>
                <w:b w:val="1"/>
                <w:bCs w:val="1"/>
                <w:color w:val="auto"/>
              </w:rPr>
              <w:t>2014</w:t>
            </w:r>
          </w:p>
        </w:tc>
      </w:tr>
      <w:tr>
        <w:trPr>
          <w:trHeight w:val="201"/>
        </w:trPr>
        <w:tc>
          <w:tcPr>
            <w:tcW w:w="76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7"/>
                <w:szCs w:val="17"/>
                <w:color w:val="auto"/>
              </w:rPr>
              <w:t>Net income / (loss) attributable to owners of the Company</w:t>
            </w:r>
          </w:p>
        </w:tc>
        <w:tc>
          <w:tcPr>
            <w:tcW w:w="12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7"/>
                <w:szCs w:val="17"/>
                <w:color w:val="auto"/>
              </w:rPr>
              <w:t>(7,096)</w:t>
            </w: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20,270</w:t>
            </w: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10,744</w:t>
            </w:r>
          </w:p>
        </w:tc>
      </w:tr>
      <w:tr>
        <w:trPr>
          <w:trHeight w:val="208"/>
        </w:trPr>
        <w:tc>
          <w:tcPr>
            <w:tcW w:w="7780" w:type="dxa"/>
            <w:vAlign w:val="bottom"/>
            <w:gridSpan w:val="2"/>
          </w:tcPr>
          <w:p>
            <w:pPr>
              <w:spacing w:after="0"/>
              <w:rPr>
                <w:sz w:val="20"/>
                <w:szCs w:val="20"/>
                <w:color w:val="auto"/>
              </w:rPr>
            </w:pPr>
            <w:r>
              <w:rPr>
                <w:rFonts w:ascii="Arial" w:cs="Arial" w:eastAsia="Arial" w:hAnsi="Arial"/>
                <w:sz w:val="17"/>
                <w:szCs w:val="17"/>
                <w:color w:val="auto"/>
              </w:rPr>
              <w:t>Earnings per share (EPS):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778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Basic, income / (loss) for the period attributable to equity holders</w:t>
            </w:r>
          </w:p>
        </w:tc>
        <w:tc>
          <w:tcPr>
            <w:tcW w:w="1160" w:type="dxa"/>
            <w:vAlign w:val="bottom"/>
            <w:shd w:val="clear" w:color="auto" w:fill="D5EAEA"/>
          </w:tcPr>
          <w:p>
            <w:pPr>
              <w:jc w:val="right"/>
              <w:spacing w:after="0"/>
              <w:rPr>
                <w:sz w:val="20"/>
                <w:szCs w:val="20"/>
                <w:color w:val="auto"/>
              </w:rPr>
            </w:pPr>
            <w:r>
              <w:rPr>
                <w:rFonts w:ascii="Arial" w:cs="Arial" w:eastAsia="Arial" w:hAnsi="Arial"/>
                <w:sz w:val="17"/>
                <w:szCs w:val="17"/>
                <w:color w:val="auto"/>
              </w:rPr>
              <w:t>(0.14)</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0.47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0.25</w:t>
            </w:r>
          </w:p>
        </w:tc>
      </w:tr>
      <w:tr>
        <w:trPr>
          <w:trHeight w:val="208"/>
        </w:trPr>
        <w:tc>
          <w:tcPr>
            <w:tcW w:w="7780" w:type="dxa"/>
            <w:vAlign w:val="bottom"/>
            <w:gridSpan w:val="2"/>
          </w:tcPr>
          <w:p>
            <w:pPr>
              <w:spacing w:after="0"/>
              <w:rPr>
                <w:sz w:val="20"/>
                <w:szCs w:val="20"/>
                <w:color w:val="auto"/>
              </w:rPr>
            </w:pPr>
            <w:r>
              <w:rPr>
                <w:rFonts w:ascii="Arial" w:cs="Arial" w:eastAsia="Arial" w:hAnsi="Arial"/>
                <w:sz w:val="17"/>
                <w:szCs w:val="17"/>
                <w:color w:val="auto"/>
              </w:rPr>
              <w:t>Diluted, income / (loss) for the period attributable to equity holders</w:t>
            </w:r>
          </w:p>
        </w:tc>
        <w:tc>
          <w:tcPr>
            <w:tcW w:w="1160" w:type="dxa"/>
            <w:vAlign w:val="bottom"/>
          </w:tcPr>
          <w:p>
            <w:pPr>
              <w:jc w:val="right"/>
              <w:spacing w:after="0"/>
              <w:rPr>
                <w:sz w:val="20"/>
                <w:szCs w:val="20"/>
                <w:color w:val="auto"/>
              </w:rPr>
            </w:pPr>
            <w:r>
              <w:rPr>
                <w:rFonts w:ascii="Arial" w:cs="Arial" w:eastAsia="Arial" w:hAnsi="Arial"/>
                <w:sz w:val="17"/>
                <w:szCs w:val="17"/>
                <w:color w:val="auto"/>
              </w:rPr>
              <w:t>(0.14)</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0.44</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0.24</w:t>
            </w:r>
          </w:p>
        </w:tc>
      </w:tr>
      <w:tr>
        <w:trPr>
          <w:trHeight w:val="208"/>
        </w:trPr>
        <w:tc>
          <w:tcPr>
            <w:tcW w:w="7780" w:type="dxa"/>
            <w:vAlign w:val="bottom"/>
            <w:gridSpan w:val="2"/>
            <w:shd w:val="clear" w:color="auto" w:fill="D5EAEA"/>
          </w:tcPr>
          <w:p>
            <w:pPr>
              <w:spacing w:after="0"/>
              <w:rPr>
                <w:sz w:val="20"/>
                <w:szCs w:val="20"/>
                <w:color w:val="auto"/>
              </w:rPr>
            </w:pPr>
            <w:r>
              <w:rPr>
                <w:rFonts w:ascii="Arial" w:cs="Arial" w:eastAsia="Arial" w:hAnsi="Arial"/>
                <w:sz w:val="17"/>
                <w:szCs w:val="17"/>
                <w:color w:val="auto"/>
              </w:rPr>
              <w:t>Weighted-average number of shares used to compute EPS basic</w:t>
            </w:r>
          </w:p>
        </w:tc>
        <w:tc>
          <w:tcPr>
            <w:tcW w:w="1160" w:type="dxa"/>
            <w:vAlign w:val="bottom"/>
            <w:shd w:val="clear" w:color="auto" w:fill="D5EAEA"/>
          </w:tcPr>
          <w:p>
            <w:pPr>
              <w:jc w:val="right"/>
              <w:ind w:right="33"/>
              <w:spacing w:after="0"/>
              <w:rPr>
                <w:sz w:val="20"/>
                <w:szCs w:val="20"/>
                <w:color w:val="auto"/>
              </w:rPr>
            </w:pPr>
            <w:r>
              <w:rPr>
                <w:rFonts w:ascii="Arial" w:cs="Arial" w:eastAsia="Arial" w:hAnsi="Arial"/>
                <w:sz w:val="17"/>
                <w:szCs w:val="17"/>
                <w:color w:val="auto"/>
              </w:rPr>
              <w:t>50,096,859</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43,412,250</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3"/>
              <w:spacing w:after="0"/>
              <w:rPr>
                <w:sz w:val="20"/>
                <w:szCs w:val="20"/>
                <w:color w:val="auto"/>
              </w:rPr>
            </w:pPr>
            <w:r>
              <w:rPr>
                <w:rFonts w:ascii="Arial" w:cs="Arial" w:eastAsia="Arial" w:hAnsi="Arial"/>
                <w:sz w:val="17"/>
                <w:szCs w:val="17"/>
                <w:color w:val="auto"/>
              </w:rPr>
              <w:t>42,684,750</w:t>
            </w:r>
          </w:p>
        </w:tc>
      </w:tr>
      <w:tr>
        <w:trPr>
          <w:trHeight w:val="220"/>
        </w:trPr>
        <w:tc>
          <w:tcPr>
            <w:tcW w:w="7780" w:type="dxa"/>
            <w:vAlign w:val="bottom"/>
            <w:gridSpan w:val="2"/>
          </w:tcPr>
          <w:p>
            <w:pPr>
              <w:spacing w:after="0"/>
              <w:rPr>
                <w:sz w:val="20"/>
                <w:szCs w:val="20"/>
                <w:color w:val="auto"/>
              </w:rPr>
            </w:pPr>
            <w:r>
              <w:rPr>
                <w:rFonts w:ascii="Arial" w:cs="Arial" w:eastAsia="Arial" w:hAnsi="Arial"/>
                <w:sz w:val="17"/>
                <w:szCs w:val="17"/>
                <w:color w:val="auto"/>
              </w:rPr>
              <w:t>Weighted-average number of shares used to compute EPS fully diluted</w:t>
            </w:r>
          </w:p>
        </w:tc>
        <w:tc>
          <w:tcPr>
            <w:tcW w:w="1160" w:type="dxa"/>
            <w:vAlign w:val="bottom"/>
          </w:tcPr>
          <w:p>
            <w:pPr>
              <w:jc w:val="right"/>
              <w:ind w:right="33"/>
              <w:spacing w:after="0"/>
              <w:rPr>
                <w:sz w:val="20"/>
                <w:szCs w:val="20"/>
                <w:color w:val="auto"/>
              </w:rPr>
            </w:pPr>
            <w:r>
              <w:rPr>
                <w:rFonts w:ascii="Arial" w:cs="Arial" w:eastAsia="Arial" w:hAnsi="Arial"/>
                <w:sz w:val="17"/>
                <w:szCs w:val="17"/>
                <w:color w:val="auto"/>
              </w:rPr>
              <w:t>50,096,859</w:t>
            </w:r>
          </w:p>
        </w:tc>
        <w:tc>
          <w:tcPr>
            <w:tcW w:w="1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46,043,198</w:t>
            </w:r>
          </w:p>
        </w:tc>
        <w:tc>
          <w:tcPr>
            <w:tcW w:w="1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45,552,500</w:t>
            </w:r>
          </w:p>
        </w:tc>
      </w:tr>
    </w:tbl>
    <w:p>
      <w:pPr>
        <w:spacing w:after="0" w:line="183" w:lineRule="exact"/>
        <w:rPr>
          <w:sz w:val="20"/>
          <w:szCs w:val="20"/>
          <w:color w:val="auto"/>
        </w:rPr>
      </w:pPr>
    </w:p>
    <w:p>
      <w:pPr>
        <w:ind w:right="120" w:firstLine="312"/>
        <w:spacing w:after="0" w:line="270" w:lineRule="auto"/>
        <w:rPr>
          <w:sz w:val="20"/>
          <w:szCs w:val="20"/>
          <w:color w:val="auto"/>
        </w:rPr>
      </w:pPr>
      <w:r>
        <w:rPr>
          <w:rFonts w:ascii="Arial" w:cs="Arial" w:eastAsia="Arial" w:hAnsi="Arial"/>
          <w:sz w:val="17"/>
          <w:szCs w:val="17"/>
          <w:color w:val="auto"/>
        </w:rPr>
        <w:t>For the years ended December 31, 2016, 2015 and 2014 basic and diluted earnings per share is based on the weighted average number of shares issued and outstanding. Weighted-average dilutive shares outstanding excludes antidilutive share options that totaled 1,687,900 from the computation of diluted income (loss) per common share for the year-ended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Financial instruments and risk management</w:t>
      </w:r>
    </w:p>
    <w:p>
      <w:pPr>
        <w:spacing w:after="0" w:line="227" w:lineRule="exact"/>
        <w:rPr>
          <w:sz w:val="20"/>
          <w:szCs w:val="20"/>
          <w:color w:val="auto"/>
        </w:rPr>
      </w:pPr>
    </w:p>
    <w:p>
      <w:pPr>
        <w:ind w:right="60" w:firstLine="312"/>
        <w:spacing w:after="0" w:line="356" w:lineRule="auto"/>
        <w:rPr>
          <w:sz w:val="20"/>
          <w:szCs w:val="20"/>
          <w:color w:val="auto"/>
        </w:rPr>
      </w:pPr>
      <w:r>
        <w:rPr>
          <w:rFonts w:ascii="Arial" w:cs="Arial" w:eastAsia="Arial" w:hAnsi="Arial"/>
          <w:sz w:val="15"/>
          <w:szCs w:val="15"/>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carrying amounts of financial assets and financial liabilities:</w:t>
      </w:r>
    </w:p>
    <w:p>
      <w:pPr>
        <w:spacing w:after="0" w:line="215" w:lineRule="exact"/>
        <w:rPr>
          <w:sz w:val="20"/>
          <w:szCs w:val="20"/>
          <w:color w:val="auto"/>
        </w:rPr>
      </w:pPr>
    </w:p>
    <w:p>
      <w:pPr>
        <w:jc w:val="center"/>
        <w:ind w:left="9040"/>
        <w:spacing w:after="0"/>
        <w:rPr>
          <w:sz w:val="20"/>
          <w:szCs w:val="20"/>
          <w:color w:val="auto"/>
        </w:rPr>
      </w:pPr>
      <w:r>
        <w:rPr>
          <w:rFonts w:ascii="Arial" w:cs="Arial" w:eastAsia="Arial" w:hAnsi="Arial"/>
          <w:sz w:val="16"/>
          <w:szCs w:val="16"/>
          <w:b w:val="1"/>
          <w:bCs w:val="1"/>
          <w:color w:val="auto"/>
        </w:rPr>
        <w:t>For the Years Ended December</w:t>
      </w:r>
    </w:p>
    <w:p>
      <w:pPr>
        <w:spacing w:after="0" w:line="42" w:lineRule="exact"/>
        <w:rPr>
          <w:sz w:val="20"/>
          <w:szCs w:val="20"/>
          <w:color w:val="auto"/>
        </w:rPr>
      </w:pPr>
    </w:p>
    <w:p>
      <w:pPr>
        <w:jc w:val="center"/>
        <w:ind w:left="9040"/>
        <w:spacing w:after="0"/>
        <w:rPr>
          <w:sz w:val="20"/>
          <w:szCs w:val="20"/>
          <w:color w:val="auto"/>
        </w:rPr>
      </w:pPr>
      <w:r>
        <w:rPr>
          <w:rFonts w:ascii="Arial" w:cs="Arial" w:eastAsia="Arial" w:hAnsi="Arial"/>
          <w:sz w:val="17"/>
          <w:szCs w:val="17"/>
          <w:b w:val="1"/>
          <w:bCs w:val="1"/>
          <w:color w:val="auto"/>
        </w:rPr>
        <w:t>31,</w:t>
      </w:r>
    </w:p>
    <w:p>
      <w:pPr>
        <w:sectPr>
          <w:pgSz w:w="11900" w:h="16838" w:orient="portrait"/>
          <w:cols w:equalWidth="0" w:num="1">
            <w:col w:w="11420"/>
          </w:cols>
          <w:pgMar w:left="240" w:top="576" w:right="23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CHF thousands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assets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Other receivables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Total financial assets</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Arial" w:cs="Arial" w:eastAsia="Arial" w:hAnsi="Arial"/>
          <w:sz w:val="17"/>
          <w:szCs w:val="17"/>
          <w:b w:val="1"/>
          <w:bCs w:val="1"/>
          <w:color w:val="auto"/>
        </w:rPr>
        <w:t>2016</w:t>
      </w:r>
      <w:r>
        <w:rPr>
          <w:sz w:val="20"/>
          <w:szCs w:val="20"/>
          <w:color w:val="auto"/>
        </w:rPr>
        <w:tab/>
      </w:r>
      <w:r>
        <w:rPr>
          <w:rFonts w:ascii="Arial" w:cs="Arial" w:eastAsia="Arial" w:hAnsi="Arial"/>
          <w:sz w:val="17"/>
          <w:szCs w:val="17"/>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16510</wp:posOffset>
            </wp:positionV>
            <wp:extent cx="7251700" cy="148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1700" cy="1485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-123190</wp:posOffset>
            </wp:positionV>
            <wp:extent cx="15195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19555" cy="8255"/>
                    </a:xfrm>
                    <a:prstGeom prst="rect">
                      <a:avLst/>
                    </a:prstGeom>
                    <a:noFill/>
                  </pic:spPr>
                </pic:pic>
              </a:graphicData>
            </a:graphic>
          </wp:anchor>
        </w:drawing>
      </w:r>
    </w:p>
    <w:p>
      <w:pPr>
        <w:spacing w:after="0" w:line="227"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15"/>
          <w:szCs w:val="15"/>
          <w:color w:val="auto"/>
        </w:rPr>
        <w:t>152,210</w:t>
      </w:r>
      <w:r>
        <w:rPr>
          <w:sz w:val="20"/>
          <w:szCs w:val="20"/>
          <w:color w:val="auto"/>
        </w:rPr>
        <w:tab/>
      </w:r>
      <w:r>
        <w:rPr>
          <w:rFonts w:ascii="Arial" w:cs="Arial" w:eastAsia="Arial" w:hAnsi="Arial"/>
          <w:sz w:val="15"/>
          <w:szCs w:val="15"/>
          <w:color w:val="auto"/>
        </w:rPr>
        <w:t>76,522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30480</wp:posOffset>
            </wp:positionV>
            <wp:extent cx="7251700" cy="140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pacing w:after="0" w:line="29" w:lineRule="exact"/>
        <w:rPr>
          <w:sz w:val="20"/>
          <w:szCs w:val="20"/>
          <w:color w:val="auto"/>
        </w:rPr>
      </w:pPr>
    </w:p>
    <w:p>
      <w:pPr>
        <w:ind w:left="1620" w:hanging="1249"/>
        <w:spacing w:after="0"/>
        <w:tabs>
          <w:tab w:leader="none" w:pos="162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269</w:t>
      </w:r>
    </w:p>
    <w:p>
      <w:pPr>
        <w:spacing w:after="0" w:line="61" w:lineRule="exact"/>
        <w:rPr>
          <w:rFonts w:ascii="Arial" w:cs="Arial" w:eastAsia="Arial" w:hAnsi="Arial"/>
          <w:sz w:val="15"/>
          <w:szCs w:val="15"/>
          <w:color w:val="auto"/>
        </w:rPr>
      </w:pPr>
    </w:p>
    <w:p>
      <w:pPr>
        <w:ind w:left="60"/>
        <w:spacing w:after="0"/>
        <w:rPr>
          <w:rFonts w:ascii="Arial" w:cs="Arial" w:eastAsia="Arial" w:hAnsi="Arial"/>
          <w:sz w:val="15"/>
          <w:szCs w:val="15"/>
          <w:color w:val="auto"/>
        </w:rPr>
      </w:pPr>
      <w:r>
        <w:rPr>
          <w:rFonts w:ascii="Arial" w:cs="Arial" w:eastAsia="Arial" w:hAnsi="Arial"/>
          <w:sz w:val="17"/>
          <w:szCs w:val="17"/>
          <w:color w:val="auto"/>
        </w:rPr>
        <w:t>152,727</w:t>
      </w:r>
      <w:r>
        <w:rPr>
          <w:rFonts w:ascii="Arial" w:cs="Arial" w:eastAsia="Arial" w:hAnsi="Arial"/>
          <w:sz w:val="15"/>
          <w:szCs w:val="15"/>
          <w:color w:val="auto"/>
        </w:rPr>
        <w:t>76,791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-132080</wp:posOffset>
            </wp:positionV>
            <wp:extent cx="15195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19555" cy="825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8720" w:space="720"/>
            <w:col w:w="198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9040" w:type="dxa"/>
            <w:vAlign w:val="bottom"/>
            <w:tcBorders>
              <w:top w:val="single" w:sz="8" w:color="D5EAEA"/>
            </w:tcBorders>
            <w:shd w:val="clear" w:color="auto" w:fill="D5EAEA"/>
          </w:tcPr>
          <w:p>
            <w:pPr>
              <w:spacing w:after="0"/>
              <w:rPr>
                <w:sz w:val="19"/>
                <w:szCs w:val="19"/>
                <w:color w:val="auto"/>
              </w:rPr>
            </w:pPr>
          </w:p>
        </w:tc>
        <w:tc>
          <w:tcPr>
            <w:tcW w:w="1140" w:type="dxa"/>
            <w:vAlign w:val="bottom"/>
            <w:tcBorders>
              <w:top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120" w:type="dxa"/>
            <w:vAlign w:val="bottom"/>
            <w:tcBorders>
              <w:top w:val="single" w:sz="8" w:color="auto"/>
            </w:tcBorders>
            <w:shd w:val="clear" w:color="auto" w:fill="D5EAEA"/>
          </w:tcPr>
          <w:p>
            <w:pPr>
              <w:spacing w:after="0"/>
              <w:rPr>
                <w:sz w:val="19"/>
                <w:szCs w:val="19"/>
                <w:color w:val="auto"/>
              </w:rPr>
            </w:pPr>
          </w:p>
        </w:tc>
      </w:tr>
      <w:tr>
        <w:trPr>
          <w:trHeight w:val="208"/>
        </w:trPr>
        <w:tc>
          <w:tcPr>
            <w:tcW w:w="9040" w:type="dxa"/>
            <w:vAlign w:val="bottom"/>
          </w:tcPr>
          <w:p>
            <w:pPr>
              <w:spacing w:after="0"/>
              <w:rPr>
                <w:sz w:val="20"/>
                <w:szCs w:val="20"/>
                <w:color w:val="auto"/>
              </w:rPr>
            </w:pPr>
            <w:r>
              <w:rPr>
                <w:rFonts w:ascii="Arial" w:cs="Arial" w:eastAsia="Arial" w:hAnsi="Arial"/>
                <w:sz w:val="17"/>
                <w:szCs w:val="17"/>
                <w:b w:val="1"/>
                <w:bCs w:val="1"/>
                <w:color w:val="auto"/>
              </w:rPr>
              <w:t>Financial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1"/>
        </w:trPr>
        <w:tc>
          <w:tcPr>
            <w:tcW w:w="9040" w:type="dxa"/>
            <w:vAlign w:val="bottom"/>
            <w:shd w:val="clear" w:color="auto" w:fill="D5EAEA"/>
          </w:tcPr>
          <w:p>
            <w:pPr>
              <w:spacing w:after="0"/>
              <w:rPr>
                <w:sz w:val="20"/>
                <w:szCs w:val="20"/>
                <w:color w:val="auto"/>
              </w:rPr>
            </w:pPr>
            <w:r>
              <w:rPr>
                <w:rFonts w:ascii="Arial" w:cs="Arial" w:eastAsia="Arial" w:hAnsi="Arial"/>
                <w:sz w:val="17"/>
                <w:szCs w:val="17"/>
                <w:color w:val="auto"/>
              </w:rPr>
              <w:t>Trade and accrued expenses</w:t>
            </w:r>
          </w:p>
        </w:tc>
        <w:tc>
          <w:tcPr>
            <w:tcW w:w="114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9,401</w:t>
            </w: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3"/>
              <w:spacing w:after="0"/>
              <w:rPr>
                <w:sz w:val="20"/>
                <w:szCs w:val="20"/>
                <w:color w:val="auto"/>
              </w:rPr>
            </w:pPr>
            <w:r>
              <w:rPr>
                <w:rFonts w:ascii="Arial" w:cs="Arial" w:eastAsia="Arial" w:hAnsi="Arial"/>
                <w:sz w:val="17"/>
                <w:szCs w:val="17"/>
                <w:color w:val="auto"/>
              </w:rPr>
              <w:t>6,056</w:t>
            </w:r>
          </w:p>
        </w:tc>
      </w:tr>
      <w:tr>
        <w:trPr>
          <w:trHeight w:val="214"/>
        </w:trPr>
        <w:tc>
          <w:tcPr>
            <w:tcW w:w="9040" w:type="dxa"/>
            <w:vAlign w:val="bottom"/>
          </w:tcPr>
          <w:p>
            <w:pPr>
              <w:spacing w:after="0"/>
              <w:rPr>
                <w:sz w:val="20"/>
                <w:szCs w:val="20"/>
                <w:color w:val="auto"/>
              </w:rPr>
            </w:pPr>
            <w:r>
              <w:rPr>
                <w:rFonts w:ascii="Arial" w:cs="Arial" w:eastAsia="Arial" w:hAnsi="Arial"/>
                <w:sz w:val="17"/>
                <w:szCs w:val="17"/>
                <w:color w:val="auto"/>
              </w:rPr>
              <w:t>Total financial liabilities</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9,401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6,056</w:t>
            </w:r>
          </w:p>
        </w:tc>
      </w:tr>
      <w:tr>
        <w:trPr>
          <w:trHeight w:val="20"/>
        </w:trPr>
        <w:tc>
          <w:tcPr>
            <w:tcW w:w="9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221" w:lineRule="exact"/>
        <w:rPr>
          <w:sz w:val="20"/>
          <w:szCs w:val="20"/>
          <w:color w:val="auto"/>
        </w:rPr>
      </w:pPr>
    </w:p>
    <w:p>
      <w:pPr>
        <w:ind w:right="220" w:firstLine="312"/>
        <w:spacing w:after="0" w:line="263" w:lineRule="auto"/>
        <w:rPr>
          <w:sz w:val="20"/>
          <w:szCs w:val="20"/>
          <w:color w:val="auto"/>
        </w:rPr>
      </w:pPr>
      <w:r>
        <w:rPr>
          <w:rFonts w:ascii="Arial" w:cs="Arial" w:eastAsia="Arial" w:hAnsi="Arial"/>
          <w:sz w:val="17"/>
          <w:szCs w:val="17"/>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EUR and USD (see also Notes 8 and 19). In the Company’s income statements for the years ended December 31, 2016, 2015 and 2014 a gain of CHF 3.5 million, CHF 1.6 million and CHF 9 thousands, respectively, is recognized in the financial statement line item “Finance Income.”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Credit risk</w:t>
      </w:r>
    </w:p>
    <w:p>
      <w:pPr>
        <w:spacing w:after="0" w:line="221" w:lineRule="exact"/>
        <w:rPr>
          <w:sz w:val="20"/>
          <w:szCs w:val="20"/>
          <w:color w:val="auto"/>
        </w:rPr>
      </w:pPr>
    </w:p>
    <w:p>
      <w:pPr>
        <w:ind w:right="160" w:firstLine="312"/>
        <w:spacing w:after="0" w:line="270" w:lineRule="auto"/>
        <w:rPr>
          <w:sz w:val="20"/>
          <w:szCs w:val="20"/>
          <w:color w:val="auto"/>
        </w:rPr>
      </w:pPr>
      <w:r>
        <w:rPr>
          <w:rFonts w:ascii="Arial" w:cs="Arial" w:eastAsia="Arial" w:hAnsi="Arial"/>
          <w:sz w:val="17"/>
          <w:szCs w:val="17"/>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167" w:name="page168"/>
    <w:bookmarkEnd w:id="167"/>
    <w:p>
      <w:pPr>
        <w:ind w:left="160"/>
        <w:spacing w:after="0"/>
        <w:rPr>
          <w:sz w:val="20"/>
          <w:szCs w:val="20"/>
          <w:color w:val="auto"/>
        </w:rPr>
      </w:pPr>
      <w:r>
        <w:rPr>
          <w:rFonts w:ascii="Arial" w:cs="Arial" w:eastAsia="Arial" w:hAnsi="Arial"/>
          <w:sz w:val="17"/>
          <w:szCs w:val="17"/>
          <w:b w:val="1"/>
          <w:bCs w:val="1"/>
          <w:i w:val="1"/>
          <w:iCs w:val="1"/>
          <w:color w:val="auto"/>
        </w:rPr>
        <w:t>Liquidity risk</w:t>
      </w:r>
    </w:p>
    <w:p>
      <w:pPr>
        <w:spacing w:after="0" w:line="221" w:lineRule="exact"/>
        <w:rPr>
          <w:sz w:val="20"/>
          <w:szCs w:val="20"/>
          <w:color w:val="auto"/>
        </w:rPr>
      </w:pPr>
    </w:p>
    <w:p>
      <w:pPr>
        <w:ind w:firstLine="312"/>
        <w:spacing w:after="0" w:line="265" w:lineRule="auto"/>
        <w:rPr>
          <w:sz w:val="20"/>
          <w:szCs w:val="20"/>
          <w:color w:val="auto"/>
        </w:rPr>
      </w:pPr>
      <w:r>
        <w:rPr>
          <w:rFonts w:ascii="Arial" w:cs="Arial" w:eastAsia="Arial" w:hAnsi="Arial"/>
          <w:sz w:val="17"/>
          <w:szCs w:val="17"/>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77" w:lineRule="exact"/>
        <w:rPr>
          <w:sz w:val="20"/>
          <w:szCs w:val="20"/>
          <w:color w:val="auto"/>
        </w:rPr>
      </w:pPr>
    </w:p>
    <w:p>
      <w:pPr>
        <w:ind w:right="160" w:firstLine="312"/>
        <w:spacing w:after="0" w:line="286"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the current cash position, the Company is well financed through the end of 2018.</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21" w:lineRule="exact"/>
        <w:rPr>
          <w:sz w:val="20"/>
          <w:szCs w:val="20"/>
          <w:color w:val="auto"/>
        </w:rPr>
      </w:pPr>
    </w:p>
    <w:p>
      <w:pPr>
        <w:ind w:right="700" w:firstLine="312"/>
        <w:spacing w:after="0" w:line="286" w:lineRule="auto"/>
        <w:rPr>
          <w:sz w:val="20"/>
          <w:szCs w:val="20"/>
          <w:color w:val="auto"/>
        </w:rPr>
      </w:pPr>
      <w:r>
        <w:rPr>
          <w:rFonts w:ascii="Arial" w:cs="Arial" w:eastAsia="Arial" w:hAnsi="Arial"/>
          <w:sz w:val="17"/>
          <w:szCs w:val="17"/>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58" w:lineRule="exact"/>
        <w:rPr>
          <w:sz w:val="20"/>
          <w:szCs w:val="20"/>
          <w:color w:val="auto"/>
        </w:rPr>
      </w:pPr>
    </w:p>
    <w:p>
      <w:pPr>
        <w:ind w:right="100" w:firstLine="312"/>
        <w:spacing w:after="0" w:line="270" w:lineRule="auto"/>
        <w:rPr>
          <w:sz w:val="20"/>
          <w:szCs w:val="20"/>
          <w:color w:val="auto"/>
        </w:rPr>
      </w:pPr>
      <w:r>
        <w:rPr>
          <w:rFonts w:ascii="Arial" w:cs="Arial" w:eastAsia="Arial" w:hAnsi="Arial"/>
          <w:sz w:val="17"/>
          <w:szCs w:val="17"/>
          <w:color w:val="auto"/>
        </w:rPr>
        <w:t>As of December 31, 2016, if the CHF had strengthened/weakened by 10% against the EUR and the USD with all other variables held constant, the net loss for the period would have been lower/higher by CHF 10.9 million (2015: CHF 5.6 million), mainly as a result of foreign exchange gains/losses on predominantly EUR/USD denominated cash and cash equivalents.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Interest rates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is not materially exposed to any interest rates fluctuations.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Capital risk management</w:t>
      </w:r>
    </w:p>
    <w:p>
      <w:pPr>
        <w:spacing w:after="0" w:line="227" w:lineRule="exact"/>
        <w:rPr>
          <w:sz w:val="20"/>
          <w:szCs w:val="20"/>
          <w:color w:val="auto"/>
        </w:rPr>
      </w:pPr>
    </w:p>
    <w:p>
      <w:pPr>
        <w:ind w:right="360" w:firstLine="312"/>
        <w:spacing w:after="0" w:line="286" w:lineRule="auto"/>
        <w:rPr>
          <w:sz w:val="20"/>
          <w:szCs w:val="20"/>
          <w:color w:val="auto"/>
        </w:rPr>
      </w:pPr>
      <w:r>
        <w:rPr>
          <w:rFonts w:ascii="Arial" w:cs="Arial" w:eastAsia="Arial" w:hAnsi="Arial"/>
          <w:sz w:val="17"/>
          <w:szCs w:val="17"/>
          <w:color w:val="auto"/>
        </w:rPr>
        <w:t>The Company’s objectives when managing capital are to safeguard the Company’s ability to continue as a going concern and to preserve the capital on the required statutory level in order to succeed in developing a cure against AD.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Post balance sheet events</w:t>
      </w:r>
    </w:p>
    <w:p>
      <w:pPr>
        <w:spacing w:after="0" w:line="227" w:lineRule="exact"/>
        <w:rPr>
          <w:sz w:val="20"/>
          <w:szCs w:val="20"/>
          <w:color w:val="auto"/>
        </w:rPr>
      </w:pPr>
    </w:p>
    <w:p>
      <w:pPr>
        <w:ind w:right="20" w:firstLine="312"/>
        <w:spacing w:after="0" w:line="286" w:lineRule="auto"/>
        <w:rPr>
          <w:sz w:val="20"/>
          <w:szCs w:val="20"/>
          <w:color w:val="auto"/>
        </w:rPr>
      </w:pPr>
      <w:r>
        <w:rPr>
          <w:rFonts w:ascii="Arial" w:cs="Arial" w:eastAsia="Arial" w:hAnsi="Arial"/>
          <w:sz w:val="17"/>
          <w:szCs w:val="17"/>
          <w:color w:val="auto"/>
        </w:rPr>
        <w:t>No events that would require adjustments to or disclosure in the financial statements occurred between the date of the balance sheet and the date these financial statements were approved by the Board of Directors of the Company.</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b w:val="1"/>
          <w:bCs w:val="1"/>
          <w:color w:val="auto"/>
        </w:rPr>
        <w:t>Exhibit 12.1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Andrea Pfeifer, certify that:</w:t>
      </w:r>
    </w:p>
    <w:p>
      <w:pPr>
        <w:spacing w:after="0" w:line="221" w:lineRule="exact"/>
        <w:rPr>
          <w:sz w:val="20"/>
          <w:szCs w:val="20"/>
          <w:color w:val="auto"/>
        </w:rPr>
      </w:pPr>
    </w:p>
    <w:p>
      <w:pPr>
        <w:ind w:left="440" w:hanging="436"/>
        <w:spacing w:after="0"/>
        <w:tabs>
          <w:tab w:leader="none" w:pos="4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AC Immune SA;</w:t>
      </w:r>
    </w:p>
    <w:p>
      <w:pPr>
        <w:spacing w:after="0" w:line="220" w:lineRule="exact"/>
        <w:rPr>
          <w:rFonts w:ascii="Arial" w:cs="Arial" w:eastAsia="Arial" w:hAnsi="Arial"/>
          <w:sz w:val="17"/>
          <w:szCs w:val="17"/>
          <w:color w:val="auto"/>
        </w:rPr>
      </w:pPr>
    </w:p>
    <w:p>
      <w:pPr>
        <w:ind w:right="120" w:firstLine="4"/>
        <w:spacing w:after="0" w:line="319" w:lineRule="auto"/>
        <w:tabs>
          <w:tab w:leader="none" w:pos="43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right="220" w:firstLine="4"/>
        <w:spacing w:after="0" w:line="286" w:lineRule="auto"/>
        <w:tabs>
          <w:tab w:leader="none" w:pos="43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Arial" w:cs="Arial" w:eastAsia="Arial" w:hAnsi="Arial"/>
          <w:sz w:val="17"/>
          <w:szCs w:val="17"/>
          <w:color w:val="auto"/>
        </w:rPr>
      </w:pPr>
    </w:p>
    <w:p>
      <w:pPr>
        <w:ind w:right="200" w:firstLine="4"/>
        <w:spacing w:after="0" w:line="286" w:lineRule="auto"/>
        <w:tabs>
          <w:tab w:leader="none" w:pos="43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for the company and have:</w:t>
      </w:r>
    </w:p>
    <w:p>
      <w:pPr>
        <w:spacing w:after="0" w:line="158" w:lineRule="exact"/>
        <w:rPr>
          <w:sz w:val="20"/>
          <w:szCs w:val="20"/>
          <w:color w:val="auto"/>
        </w:rPr>
      </w:pPr>
    </w:p>
    <w:p>
      <w:pPr>
        <w:jc w:val="both"/>
        <w:ind w:right="280" w:firstLine="4"/>
        <w:spacing w:after="0" w:line="270" w:lineRule="auto"/>
        <w:tabs>
          <w:tab w:leader="none" w:pos="49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right="200" w:firstLine="4"/>
        <w:spacing w:after="0" w:line="286" w:lineRule="auto"/>
        <w:tabs>
          <w:tab w:leader="none" w:pos="50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right="240" w:firstLine="4"/>
        <w:spacing w:after="0" w:line="286" w:lineRule="auto"/>
        <w:tabs>
          <w:tab w:leader="none" w:pos="49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8" w:lineRule="exact"/>
        <w:rPr>
          <w:sz w:val="20"/>
          <w:szCs w:val="20"/>
          <w:color w:val="auto"/>
        </w:rPr>
      </w:pPr>
    </w:p>
    <w:p>
      <w:pPr>
        <w:ind w:right="620" w:firstLine="4"/>
        <w:spacing w:after="0" w:line="319" w:lineRule="auto"/>
        <w:tabs>
          <w:tab w:leader="none" w:pos="43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sz w:val="20"/>
          <w:szCs w:val="20"/>
          <w:color w:val="auto"/>
        </w:rPr>
      </w:pPr>
    </w:p>
    <w:p>
      <w:pPr>
        <w:ind w:right="380" w:firstLine="4"/>
        <w:spacing w:after="0" w:line="286" w:lineRule="auto"/>
        <w:tabs>
          <w:tab w:leader="none" w:pos="48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Arial" w:cs="Arial" w:eastAsia="Arial" w:hAnsi="Arial"/>
          <w:sz w:val="17"/>
          <w:szCs w:val="17"/>
          <w:color w:val="auto"/>
        </w:rPr>
      </w:pPr>
    </w:p>
    <w:p>
      <w:pPr>
        <w:ind w:right="620" w:firstLine="4"/>
        <w:spacing w:after="0" w:line="286" w:lineRule="auto"/>
        <w:tabs>
          <w:tab w:leader="none" w:pos="49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March 17,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Andrea Pfeifer</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Andrea Pfeifer</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251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b w:val="1"/>
          <w:bCs w:val="1"/>
          <w:color w:val="auto"/>
        </w:rPr>
        <w:t>Exhibit 12.2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Jean-Fabien Monin, certify that:</w:t>
      </w:r>
    </w:p>
    <w:p>
      <w:pPr>
        <w:spacing w:after="0" w:line="221" w:lineRule="exact"/>
        <w:rPr>
          <w:sz w:val="20"/>
          <w:szCs w:val="20"/>
          <w:color w:val="auto"/>
        </w:rPr>
      </w:pPr>
    </w:p>
    <w:p>
      <w:pPr>
        <w:ind w:left="440" w:hanging="436"/>
        <w:spacing w:after="0"/>
        <w:tabs>
          <w:tab w:leader="none" w:pos="4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AC Immune SA;</w:t>
      </w:r>
    </w:p>
    <w:p>
      <w:pPr>
        <w:spacing w:after="0" w:line="220" w:lineRule="exact"/>
        <w:rPr>
          <w:rFonts w:ascii="Arial" w:cs="Arial" w:eastAsia="Arial" w:hAnsi="Arial"/>
          <w:sz w:val="17"/>
          <w:szCs w:val="17"/>
          <w:color w:val="auto"/>
        </w:rPr>
      </w:pPr>
    </w:p>
    <w:p>
      <w:pPr>
        <w:ind w:right="120" w:firstLine="4"/>
        <w:spacing w:after="0" w:line="319" w:lineRule="auto"/>
        <w:tabs>
          <w:tab w:leader="none" w:pos="43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right="220" w:firstLine="4"/>
        <w:spacing w:after="0" w:line="286" w:lineRule="auto"/>
        <w:tabs>
          <w:tab w:leader="none" w:pos="43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Arial" w:cs="Arial" w:eastAsia="Arial" w:hAnsi="Arial"/>
          <w:sz w:val="17"/>
          <w:szCs w:val="17"/>
          <w:color w:val="auto"/>
        </w:rPr>
      </w:pPr>
    </w:p>
    <w:p>
      <w:pPr>
        <w:ind w:right="200" w:firstLine="4"/>
        <w:spacing w:after="0" w:line="286" w:lineRule="auto"/>
        <w:tabs>
          <w:tab w:leader="none" w:pos="43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for the company and have:</w:t>
      </w:r>
    </w:p>
    <w:p>
      <w:pPr>
        <w:spacing w:after="0" w:line="158" w:lineRule="exact"/>
        <w:rPr>
          <w:sz w:val="20"/>
          <w:szCs w:val="20"/>
          <w:color w:val="auto"/>
        </w:rPr>
      </w:pPr>
    </w:p>
    <w:p>
      <w:pPr>
        <w:jc w:val="both"/>
        <w:ind w:right="280" w:firstLine="4"/>
        <w:spacing w:after="0" w:line="270" w:lineRule="auto"/>
        <w:tabs>
          <w:tab w:leader="none" w:pos="49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right="200" w:firstLine="4"/>
        <w:spacing w:after="0" w:line="286" w:lineRule="auto"/>
        <w:tabs>
          <w:tab w:leader="none" w:pos="50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right="240" w:firstLine="4"/>
        <w:spacing w:after="0" w:line="286" w:lineRule="auto"/>
        <w:tabs>
          <w:tab w:leader="none" w:pos="49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8" w:lineRule="exact"/>
        <w:rPr>
          <w:sz w:val="20"/>
          <w:szCs w:val="20"/>
          <w:color w:val="auto"/>
        </w:rPr>
      </w:pPr>
    </w:p>
    <w:p>
      <w:pPr>
        <w:ind w:right="620" w:firstLine="4"/>
        <w:spacing w:after="0" w:line="319" w:lineRule="auto"/>
        <w:tabs>
          <w:tab w:leader="none" w:pos="43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sz w:val="20"/>
          <w:szCs w:val="20"/>
          <w:color w:val="auto"/>
        </w:rPr>
      </w:pPr>
    </w:p>
    <w:p>
      <w:pPr>
        <w:ind w:right="380" w:firstLine="4"/>
        <w:spacing w:after="0" w:line="286" w:lineRule="auto"/>
        <w:tabs>
          <w:tab w:leader="none" w:pos="48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Arial" w:cs="Arial" w:eastAsia="Arial" w:hAnsi="Arial"/>
          <w:sz w:val="17"/>
          <w:szCs w:val="17"/>
          <w:color w:val="auto"/>
        </w:rPr>
      </w:pPr>
    </w:p>
    <w:p>
      <w:pPr>
        <w:ind w:right="620" w:firstLine="4"/>
        <w:spacing w:after="0" w:line="286" w:lineRule="auto"/>
        <w:tabs>
          <w:tab w:leader="none" w:pos="49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March 17,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Jean-Fabien Monin</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Jean-Fabien Monin</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251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b w:val="1"/>
          <w:bCs w:val="1"/>
          <w:color w:val="auto"/>
        </w:rPr>
        <w:t>Exhibit 13.1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certification set forth below is being submitted in connection with AC Immune SA’s annual report on Form 20-F for the year ended December 31, 2016 (the “Report”) for the purpose of complying with Rule 13a-14(b) or Rule 15d-14(b) of the Securities Exchange Act of 1934 (the “Exchange Act”) and Section 1350 of Chapter 63 of Title 18 of the United States Code.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Andrea Pfeifer, the Chief Executive Officer of AC Immune SA, certifies that, to the best of her knowledge:</w:t>
      </w:r>
    </w:p>
    <w:p>
      <w:pPr>
        <w:spacing w:after="0" w:line="221" w:lineRule="exact"/>
        <w:rPr>
          <w:sz w:val="20"/>
          <w:szCs w:val="20"/>
          <w:color w:val="auto"/>
        </w:rPr>
      </w:pPr>
    </w:p>
    <w:p>
      <w:pPr>
        <w:ind w:left="440" w:hanging="436"/>
        <w:spacing w:after="0"/>
        <w:tabs>
          <w:tab w:leader="none" w:pos="4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220" w:lineRule="exact"/>
        <w:rPr>
          <w:rFonts w:ascii="Arial" w:cs="Arial" w:eastAsia="Arial" w:hAnsi="Arial"/>
          <w:sz w:val="17"/>
          <w:szCs w:val="17"/>
          <w:color w:val="auto"/>
        </w:rPr>
      </w:pPr>
    </w:p>
    <w:p>
      <w:pPr>
        <w:ind w:right="780" w:firstLine="4"/>
        <w:spacing w:after="0" w:line="511" w:lineRule="auto"/>
        <w:tabs>
          <w:tab w:leader="none" w:pos="43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AC Immune SA. Date: March 17, 2017</w:t>
      </w:r>
    </w:p>
    <w:p>
      <w:pPr>
        <w:ind w:left="5720"/>
        <w:spacing w:after="0"/>
        <w:rPr>
          <w:sz w:val="20"/>
          <w:szCs w:val="20"/>
          <w:color w:val="auto"/>
        </w:rPr>
      </w:pPr>
      <w:r>
        <w:rPr>
          <w:rFonts w:ascii="Arial" w:cs="Arial" w:eastAsia="Arial" w:hAnsi="Arial"/>
          <w:sz w:val="17"/>
          <w:szCs w:val="17"/>
          <w:color w:val="auto"/>
        </w:rPr>
        <w:t>/s/ Andrea Pfeifer</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Andrea Pfeifer</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251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b w:val="1"/>
          <w:bCs w:val="1"/>
          <w:color w:val="auto"/>
        </w:rPr>
        <w:t>Exhibit 13.2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certification set forth below is being submitted in connection with AC Immune SA’s annual report on Form 20-F for the year ended December 31, 2016 (the “Report”) for the purpose of complying with Rule 13a-14(b) or Rule 15d-14(b) of the Securities Exchange Act of 1934 (the “Exchange Act”) and Section 1350 of Chapter 63 of Title 18 of the United States Code.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Jean-Fabien Monin, the Interim Principal Financial Officer of AC Immune SA, certifies that, to the best of his knowledge:</w:t>
      </w:r>
    </w:p>
    <w:p>
      <w:pPr>
        <w:spacing w:after="0" w:line="221" w:lineRule="exact"/>
        <w:rPr>
          <w:sz w:val="20"/>
          <w:szCs w:val="20"/>
          <w:color w:val="auto"/>
        </w:rPr>
      </w:pPr>
    </w:p>
    <w:p>
      <w:pPr>
        <w:ind w:left="440" w:hanging="436"/>
        <w:spacing w:after="0"/>
        <w:tabs>
          <w:tab w:leader="none" w:pos="4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220" w:lineRule="exact"/>
        <w:rPr>
          <w:rFonts w:ascii="Arial" w:cs="Arial" w:eastAsia="Arial" w:hAnsi="Arial"/>
          <w:sz w:val="17"/>
          <w:szCs w:val="17"/>
          <w:color w:val="auto"/>
        </w:rPr>
      </w:pPr>
    </w:p>
    <w:p>
      <w:pPr>
        <w:ind w:right="780" w:firstLine="4"/>
        <w:spacing w:after="0" w:line="511" w:lineRule="auto"/>
        <w:tabs>
          <w:tab w:leader="none" w:pos="43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AC Immune SA. Date: March 17, 2017</w:t>
      </w:r>
    </w:p>
    <w:p>
      <w:pPr>
        <w:ind w:left="5720"/>
        <w:spacing w:after="0"/>
        <w:rPr>
          <w:sz w:val="20"/>
          <w:szCs w:val="20"/>
          <w:color w:val="auto"/>
        </w:rPr>
      </w:pPr>
      <w:r>
        <w:rPr>
          <w:rFonts w:ascii="Arial" w:cs="Arial" w:eastAsia="Arial" w:hAnsi="Arial"/>
          <w:sz w:val="17"/>
          <w:szCs w:val="17"/>
          <w:color w:val="auto"/>
        </w:rPr>
        <w:t>/s/ Jean-Fabien Monin</w:t>
      </w:r>
    </w:p>
    <w:p>
      <w:pPr>
        <w:spacing w:after="0" w:line="25" w:lineRule="exact"/>
        <w:rPr>
          <w:sz w:val="20"/>
          <w:szCs w:val="20"/>
          <w:color w:val="auto"/>
        </w:rPr>
      </w:pPr>
    </w:p>
    <w:p>
      <w:pPr>
        <w:ind w:left="5720"/>
        <w:spacing w:after="0"/>
        <w:tabs>
          <w:tab w:leader="none" w:pos="6420" w:val="left"/>
        </w:tabs>
        <w:rPr>
          <w:sz w:val="20"/>
          <w:szCs w:val="20"/>
          <w:color w:val="auto"/>
        </w:rPr>
      </w:pPr>
      <w:r>
        <w:rPr>
          <w:rFonts w:ascii="Arial" w:cs="Arial" w:eastAsia="Arial" w:hAnsi="Arial"/>
          <w:sz w:val="17"/>
          <w:szCs w:val="17"/>
          <w:color w:val="auto"/>
        </w:rPr>
        <w:t>Name:</w:t>
        <w:tab/>
        <w:t>Jean-Fabien Monin</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251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b w:val="1"/>
          <w:bCs w:val="1"/>
          <w:color w:val="auto"/>
        </w:rPr>
        <w:t>EXHIBIT 15.1</w:t>
      </w:r>
    </w:p>
    <w:p>
      <w:pPr>
        <w:spacing w:after="0" w:line="221"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21" w:lineRule="exact"/>
        <w:rPr>
          <w:sz w:val="20"/>
          <w:szCs w:val="20"/>
          <w:color w:val="auto"/>
        </w:rPr>
      </w:pPr>
    </w:p>
    <w:p>
      <w:pPr>
        <w:ind w:left="320" w:right="140" w:hanging="316"/>
        <w:spacing w:after="0" w:line="286" w:lineRule="auto"/>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Registration Statement (Form S-8 No. 333-213865) pertaining to the AC Immune SA 2013 Equity Incentive Plan, the Employee Stock Option and Share Plan of AC Immune (2005), and the Stock Option Plan – AC Immune of December 31, 2004 of AC Immune SA, and</w:t>
      </w:r>
    </w:p>
    <w:p>
      <w:pPr>
        <w:spacing w:after="0" w:line="158" w:lineRule="exact"/>
        <w:rPr>
          <w:rFonts w:ascii="Arial" w:cs="Arial" w:eastAsia="Arial" w:hAnsi="Arial"/>
          <w:sz w:val="17"/>
          <w:szCs w:val="17"/>
          <w:color w:val="auto"/>
        </w:rPr>
      </w:pPr>
    </w:p>
    <w:p>
      <w:pPr>
        <w:ind w:left="320" w:hanging="316"/>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Registration Statement (Form S-8 No. 333-216539) pertaining to the AC Immune SA 2016 Stock Option and Incentive Plan of AC Immune SA</w:t>
      </w:r>
    </w:p>
    <w:p>
      <w:pPr>
        <w:spacing w:after="0" w:line="22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of our report dated March 17, 2017, with respect to the financial statements of AC Immune SA, included in this Annual Report (Form 20-F) for the year ended December 31, 2016.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AG</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Geneva, Switzerland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March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511175</wp:posOffset>
            </wp:positionV>
            <wp:extent cx="7251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1."/>
      <w:numFmt w:val="upperLetter"/>
      <w:start w:val="1"/>
    </w:lvl>
  </w:abstractNum>
  <w:abstractNum w:abstractNumId="15">
    <w:nsid w:val="42C296BD"/>
    <w:multiLevelType w:val="hybridMultilevel"/>
    <w:lvl w:ilvl="0">
      <w:lvlJc w:val="left"/>
      <w:lvlText w:val="%1."/>
      <w:numFmt w:val="upperLetter"/>
      <w:start w:val="1"/>
    </w:lvl>
  </w:abstractNum>
  <w:abstractNum w:abstractNumId="16">
    <w:nsid w:val="168E121F"/>
    <w:multiLevelType w:val="hybridMultilevel"/>
    <w:lvl w:ilvl="0">
      <w:lvlJc w:val="left"/>
      <w:lvlText w:val="(%1)"/>
      <w:numFmt w:val="decimal"/>
      <w:start w:val="1"/>
    </w:lvl>
  </w:abstractNum>
  <w:abstractNum w:abstractNumId="17">
    <w:nsid w:val="1EBA5D23"/>
    <w:multiLevelType w:val="hybridMultilevel"/>
    <w:lvl w:ilvl="0">
      <w:lvlJc w:val="left"/>
      <w:lvlText w:val="%1."/>
      <w:numFmt w:val="upperLetter"/>
      <w:start w:val="2"/>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1)"/>
      <w:numFmt w:val="decimal"/>
      <w:start w:val="4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lvl w:ilvl="1">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lvl w:ilvl="1">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1)"/>
      <w:numFmt w:val="decimal"/>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1."/>
      <w:numFmt w:val="upperLetter"/>
      <w:start w:val="4"/>
    </w:lvl>
  </w:abstractNum>
  <w:abstractNum w:abstractNumId="72">
    <w:nsid w:val="7D5E18F8"/>
    <w:multiLevelType w:val="hybridMultilevel"/>
    <w:lvl w:ilvl="0">
      <w:lvlJc w:val="left"/>
      <w:lvlText w:val="%1."/>
      <w:numFmt w:val="upperLetter"/>
      <w:start w:val="1"/>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1)"/>
      <w:numFmt w:val="lowerRoman"/>
      <w:start w:val="2"/>
    </w:lvl>
  </w:abstractNum>
  <w:abstractNum w:abstractNumId="76">
    <w:nsid w:val="555C55B5"/>
    <w:multiLevelType w:val="hybridMultilevel"/>
    <w:lvl w:ilvl="0">
      <w:lvlJc w:val="left"/>
      <w:lvlText w:val="(%1)"/>
      <w:numFmt w:val="lowerRoman"/>
      <w:start w:val="1"/>
    </w:lvl>
  </w:abstractNum>
  <w:abstractNum w:abstractNumId="77">
    <w:nsid w:val="3FA62ACA"/>
    <w:multiLevelType w:val="hybridMultilevel"/>
    <w:lvl w:ilvl="0">
      <w:lvlJc w:val="left"/>
      <w:lvlText w:val="(%1)"/>
      <w:numFmt w:val="lowerRoman"/>
      <w:start w:val="4"/>
    </w:lvl>
  </w:abstractNum>
  <w:abstractNum w:abstractNumId="78">
    <w:nsid w:val="14FCE74E"/>
    <w:multiLevelType w:val="hybridMultilevel"/>
    <w:lvl w:ilvl="0">
      <w:lvlJc w:val="left"/>
      <w:lvlText w:val="(%1)"/>
      <w:numFmt w:val="lowerRoman"/>
      <w:start w:val="2"/>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1)"/>
      <w:numFmt w:val="lowerRoman"/>
      <w:start w:val="1"/>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
      <w:numFmt w:val="bullet"/>
      <w:start w:val="1"/>
    </w:lvl>
  </w:abstractNum>
  <w:abstractNum w:abstractNumId="83">
    <w:nsid w:val="1FBFE8E0"/>
    <w:multiLevelType w:val="hybridMultilevel"/>
    <w:lvl w:ilvl="0">
      <w:lvlJc w:val="left"/>
      <w:lvlText w:val="%1."/>
      <w:numFmt w:val="upperLetter"/>
      <w:start w:val="4"/>
    </w:lvl>
  </w:abstractNum>
  <w:abstractNum w:abstractNumId="84">
    <w:nsid w:val="5092CA79"/>
    <w:multiLevelType w:val="hybridMultilevel"/>
    <w:lvl w:ilvl="0">
      <w:lvlJc w:val="left"/>
      <w:lvlText w:val="%1."/>
      <w:numFmt w:val="upperLetter"/>
      <w:start w:val="7"/>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1."/>
      <w:numFmt w:val="upperLetter"/>
      <w:start w:val="5"/>
    </w:lvl>
  </w:abstractNum>
  <w:abstractNum w:abstractNumId="87">
    <w:nsid w:val="288F1A34"/>
    <w:multiLevelType w:val="hybridMultilevel"/>
    <w:lvl w:ilvl="0">
      <w:lvlJc w:val="left"/>
      <w:lvlText w:val="%1."/>
      <w:numFmt w:val="upperLetter"/>
      <w:start w:val="1"/>
    </w:lvl>
    <w:lvl w:ilvl="1">
      <w:lvlJc w:val="left"/>
      <w:lvlText w:val="·"/>
      <w:numFmt w:val="bullet"/>
      <w:start w:val="1"/>
    </w:lvl>
  </w:abstractNum>
  <w:abstractNum w:abstractNumId="88">
    <w:nsid w:val="2A155DBC"/>
    <w:multiLevelType w:val="hybridMultilevel"/>
    <w:lvl w:ilvl="0">
      <w:lvlJc w:val="left"/>
      <w:lvlText w:val="(%1)"/>
      <w:numFmt w:val="decimal"/>
      <w:start w:val="1"/>
    </w:lvl>
  </w:abstractNum>
  <w:abstractNum w:abstractNumId="89">
    <w:nsid w:val="1D9F6E5F"/>
    <w:multiLevelType w:val="hybridMultilevel"/>
    <w:lvl w:ilvl="0">
      <w:lvlJc w:val="left"/>
      <w:lvlText w:val="%1."/>
      <w:numFmt w:val="upperLetter"/>
      <w:start w:val="3"/>
    </w:lvl>
  </w:abstractNum>
  <w:abstractNum w:abstractNumId="90">
    <w:nsid w:val="97E1B4E"/>
    <w:multiLevelType w:val="hybridMultilevel"/>
    <w:lvl w:ilvl="0">
      <w:lvlJc w:val="left"/>
      <w:lvlText w:val="%1."/>
      <w:numFmt w:val="upperLetter"/>
      <w:start w:val="1"/>
    </w:lvl>
  </w:abstractNum>
  <w:abstractNum w:abstractNumId="91">
    <w:nsid w:val="51088277"/>
    <w:multiLevelType w:val="hybridMultilevel"/>
    <w:lvl w:ilvl="0">
      <w:lvlJc w:val="left"/>
      <w:lvlText w:val="%1."/>
      <w:numFmt w:val="upperLetter"/>
      <w:start w:val="1"/>
    </w:lvl>
  </w:abstractNum>
  <w:abstractNum w:abstractNumId="92">
    <w:nsid w:val="1CA0C5FA"/>
    <w:multiLevelType w:val="hybridMultilevel"/>
    <w:lvl w:ilvl="0">
      <w:lvlJc w:val="left"/>
      <w:lvlText w:val="%1."/>
      <w:numFmt w:val="upperLetter"/>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
      <w:numFmt w:val="bullet"/>
      <w:start w:val="1"/>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1)"/>
      <w:numFmt w:val="lowerRoman"/>
      <w:start w:val="1"/>
    </w:lvl>
  </w:abstractNum>
  <w:abstractNum w:abstractNumId="98">
    <w:nsid w:val="5C10FE21"/>
    <w:multiLevelType w:val="hybridMultilevel"/>
    <w:lvl w:ilvl="0">
      <w:lvlJc w:val="left"/>
      <w:lvlText w:val="%1."/>
      <w:numFmt w:val="upperLetter"/>
      <w:start w:val="6"/>
    </w:lvl>
  </w:abstractNum>
  <w:abstractNum w:abstractNumId="99">
    <w:nsid w:val="E7FFA2B"/>
    <w:multiLevelType w:val="hybridMultilevel"/>
    <w:lvl w:ilvl="0">
      <w:lvlJc w:val="left"/>
      <w:lvlText w:val="%1."/>
      <w:numFmt w:val="upperLetter"/>
      <w:start w:val="9"/>
    </w:lvl>
  </w:abstractNum>
  <w:abstractNum w:abstractNumId="100">
    <w:nsid w:val="3C5991AA"/>
    <w:multiLevelType w:val="hybridMultilevel"/>
    <w:lvl w:ilvl="0">
      <w:lvlJc w:val="left"/>
      <w:lvlText w:val="%1."/>
      <w:numFmt w:val="upperLetter"/>
      <w:start w:val="1"/>
    </w:lvl>
  </w:abstractNum>
  <w:abstractNum w:abstractNumId="101">
    <w:nsid w:val="4BD8591A"/>
    <w:multiLevelType w:val="hybridMultilevel"/>
    <w:lvl w:ilvl="0">
      <w:lvlJc w:val="left"/>
      <w:lvlText w:val="%1."/>
      <w:numFmt w:val="upperLetter"/>
      <w:start w:val="1"/>
    </w:lvl>
  </w:abstractNum>
  <w:abstractNum w:abstractNumId="102">
    <w:nsid w:val="78DF6A55"/>
    <w:multiLevelType w:val="hybridMultilevel"/>
    <w:lvl w:ilvl="0">
      <w:lvlJc w:val="left"/>
      <w:lvlText w:val="(%1)"/>
      <w:numFmt w:val="lowerRoman"/>
      <w:start w:val="3"/>
    </w:lvl>
  </w:abstractNum>
  <w:abstractNum w:abstractNumId="103">
    <w:nsid w:val="39B7AAA2"/>
    <w:multiLevelType w:val="hybridMultilevel"/>
    <w:lvl w:ilvl="0">
      <w:lvlJc w:val="left"/>
      <w:lvlText w:val="(%1)"/>
      <w:numFmt w:val="lowerLetter"/>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lvl w:ilvl="1">
      <w:lvlJc w:val="left"/>
      <w:lvlText w:val="(%2)"/>
      <w:numFmt w:val="lowerLetter"/>
      <w:start w:val="2"/>
    </w:lvl>
  </w:abstractNum>
  <w:abstractNum w:abstractNumId="106">
    <w:nsid w:val="379E21B5"/>
    <w:multiLevelType w:val="hybridMultilevel"/>
    <w:lvl w:ilvl="0">
      <w:lvlJc w:val="left"/>
      <w:lvlText w:val="-"/>
      <w:numFmt w:val="bullet"/>
      <w:start w:val="1"/>
    </w:lvl>
  </w:abstractNum>
  <w:abstractNum w:abstractNumId="107">
    <w:nsid w:val="69E373"/>
    <w:multiLevelType w:val="hybridMultilevel"/>
    <w:lvl w:ilvl="0">
      <w:lvlJc w:val="left"/>
      <w:lvlText w:val="%1."/>
      <w:numFmt w:val="decimal"/>
      <w:start w:val="1"/>
    </w:lvl>
  </w:abstractNum>
  <w:abstractNum w:abstractNumId="108">
    <w:nsid w:val="2C27173B"/>
    <w:multiLevelType w:val="hybridMultilevel"/>
    <w:lvl w:ilvl="0">
      <w:lvlJc w:val="left"/>
      <w:lvlText w:val="%1."/>
      <w:numFmt w:val="decimal"/>
      <w:start w:val="2"/>
    </w:lvl>
  </w:abstractNum>
  <w:abstractNum w:abstractNumId="109">
    <w:nsid w:val="4C9B0904"/>
    <w:multiLevelType w:val="hybridMultilevel"/>
    <w:lvl w:ilvl="0">
      <w:lvlJc w:val="left"/>
      <w:lvlText w:val="%1."/>
      <w:numFmt w:val="decimal"/>
      <w:start w:val="3"/>
    </w:lvl>
  </w:abstractNum>
  <w:abstractNum w:abstractNumId="110">
    <w:nsid w:val="6AA7B75C"/>
    <w:multiLevelType w:val="hybridMultilevel"/>
    <w:lvl w:ilvl="0">
      <w:lvlJc w:val="left"/>
      <w:lvlText w:val="(%1)"/>
      <w:numFmt w:val="lowerRoman"/>
      <w:start w:val="3"/>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1."/>
      <w:numFmt w:val="decimal"/>
      <w:start w:val="9"/>
    </w:lvl>
  </w:abstractNum>
  <w:abstractNum w:abstractNumId="113">
    <w:nsid w:val="3DD15094"/>
    <w:multiLevelType w:val="hybridMultilevel"/>
    <w:lvl w:ilvl="0">
      <w:lvlJc w:val="left"/>
      <w:lvlText w:val="%1."/>
      <w:numFmt w:val="decimal"/>
      <w:start w:val="13"/>
    </w:lvl>
  </w:abstractNum>
  <w:abstractNum w:abstractNumId="114">
    <w:nsid w:val="3DB012B3"/>
    <w:multiLevelType w:val="hybridMultilevel"/>
    <w:lvl w:ilvl="0">
      <w:lvlJc w:val="left"/>
      <w:lvlText w:val="-"/>
      <w:numFmt w:val="bullet"/>
      <w:start w:val="1"/>
    </w:lvl>
  </w:abstractNum>
  <w:abstractNum w:abstractNumId="115">
    <w:nsid w:val="2708C9AF"/>
    <w:multiLevelType w:val="hybridMultilevel"/>
    <w:lvl w:ilvl="0">
      <w:lvlJc w:val="left"/>
      <w:lvlText w:val="%1."/>
      <w:numFmt w:val="decimal"/>
      <w:start w:val="16"/>
    </w:lvl>
  </w:abstractNum>
  <w:abstractNum w:abstractNumId="116">
    <w:nsid w:val="5B25ACE2"/>
    <w:multiLevelType w:val="hybridMultilevel"/>
    <w:lvl w:ilvl="0">
      <w:lvlJc w:val="left"/>
      <w:lvlText w:val="%1"/>
      <w:numFmt w:val="decimal"/>
      <w:start w:val="517"/>
    </w:lvl>
  </w:abstractNum>
  <w:abstractNum w:abstractNumId="117">
    <w:nsid w:val="175DFCF0"/>
    <w:multiLevelType w:val="hybridMultilevel"/>
    <w:lvl w:ilvl="0">
      <w:lvlJc w:val="left"/>
      <w:lvlText w:val="%1."/>
      <w:numFmt w:val="decimal"/>
      <w:start w:val="1"/>
    </w:lvl>
  </w:abstractNum>
  <w:abstractNum w:abstractNumId="118">
    <w:nsid w:val="4F97E3E4"/>
    <w:multiLevelType w:val="hybridMultilevel"/>
    <w:lvl w:ilvl="0">
      <w:lvlJc w:val="left"/>
      <w:lvlText w:val="(%1)"/>
      <w:numFmt w:val="lowerLetter"/>
      <w:start w:val="1"/>
    </w:lvl>
  </w:abstractNum>
  <w:abstractNum w:abstractNumId="119">
    <w:nsid w:val="53B0A9E"/>
    <w:multiLevelType w:val="hybridMultilevel"/>
    <w:lvl w:ilvl="0">
      <w:lvlJc w:val="left"/>
      <w:lvlText w:val="%1."/>
      <w:numFmt w:val="decimal"/>
      <w:start w:val="5"/>
    </w:lvl>
  </w:abstractNum>
  <w:abstractNum w:abstractNumId="120">
    <w:nsid w:val="34FD6B4F"/>
    <w:multiLevelType w:val="hybridMultilevel"/>
    <w:lvl w:ilvl="0">
      <w:lvlJc w:val="left"/>
      <w:lvlText w:val="(%1)"/>
      <w:numFmt w:val="lowerLetter"/>
      <w:start w:val="1"/>
    </w:lvl>
  </w:abstractNum>
  <w:abstractNum w:abstractNumId="121">
    <w:nsid w:val="5915FF32"/>
    <w:multiLevelType w:val="hybridMultilevel"/>
    <w:lvl w:ilvl="0">
      <w:lvlJc w:val="left"/>
      <w:lvlText w:val="%1."/>
      <w:numFmt w:val="decimal"/>
      <w:start w:val="1"/>
    </w:lvl>
  </w:abstractNum>
  <w:abstractNum w:abstractNumId="122">
    <w:nsid w:val="56438D15"/>
    <w:multiLevelType w:val="hybridMultilevel"/>
    <w:lvl w:ilvl="0">
      <w:lvlJc w:val="left"/>
      <w:lvlText w:val="(%1)"/>
      <w:numFmt w:val="lowerLetter"/>
      <w:start w:val="1"/>
    </w:lvl>
  </w:abstractNum>
  <w:abstractNum w:abstractNumId="123">
    <w:nsid w:val="519E3149"/>
    <w:multiLevelType w:val="hybridMultilevel"/>
    <w:lvl w:ilvl="0">
      <w:lvlJc w:val="left"/>
      <w:lvlText w:val="%1."/>
      <w:numFmt w:val="decimal"/>
      <w:start w:val="5"/>
    </w:lvl>
  </w:abstractNum>
  <w:abstractNum w:abstractNumId="124">
    <w:nsid w:val="2C6E4AFD"/>
    <w:multiLevelType w:val="hybridMultilevel"/>
    <w:lvl w:ilvl="0">
      <w:lvlJc w:val="left"/>
      <w:lvlText w:val="(%1)"/>
      <w:numFmt w:val="lowerLetter"/>
      <w:start w:val="1"/>
    </w:lvl>
  </w:abstractNum>
  <w:abstractNum w:abstractNumId="125">
    <w:nsid w:val="17A1B582"/>
    <w:multiLevelType w:val="hybridMultilevel"/>
    <w:lvl w:ilvl="0">
      <w:lvlJc w:val="left"/>
      <w:lvlText w:val="%1."/>
      <w:numFmt w:val="decimal"/>
      <w:start w:val="1"/>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2019-12-08T04:04:40Z</dcterms:created>
  <dcterms:modified xsi:type="dcterms:W3CDTF">2019-12-08T04:04:40Z</dcterms:modified>
</cp:coreProperties>
</file>