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6-K</w:t>
      </w:r>
    </w:p>
    <w:p>
      <w:pPr>
        <w:spacing w:after="0" w:line="242"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REPORT OF FOREIGN PRIVATE ISSUER PURSUANT TO RULE 13a-16</w:t>
      </w:r>
    </w:p>
    <w:p>
      <w:pPr>
        <w:spacing w:after="0" w:line="27" w:lineRule="exact"/>
        <w:rPr>
          <w:sz w:val="24"/>
          <w:szCs w:val="24"/>
          <w:color w:val="auto"/>
        </w:rPr>
      </w:pPr>
    </w:p>
    <w:p>
      <w:pPr>
        <w:ind w:left="1920"/>
        <w:spacing w:after="0"/>
        <w:rPr>
          <w:sz w:val="20"/>
          <w:szCs w:val="20"/>
          <w:color w:val="auto"/>
        </w:rPr>
      </w:pPr>
      <w:r>
        <w:rPr>
          <w:rFonts w:ascii="Arial" w:cs="Arial" w:eastAsia="Arial" w:hAnsi="Arial"/>
          <w:sz w:val="18"/>
          <w:szCs w:val="18"/>
          <w:b w:val="1"/>
          <w:bCs w:val="1"/>
          <w:color w:val="auto"/>
        </w:rPr>
        <w:t>OR 15d-16 UNDER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October,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160655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001-37891</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AC IMMUNE SA</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1640"/>
        <w:spacing w:after="0" w:line="207" w:lineRule="exact"/>
        <w:tabs>
          <w:tab w:leader="none" w:pos="3640" w:val="left"/>
          <w:tab w:leader="none" w:pos="5820" w:val="left"/>
          <w:tab w:leader="none" w:pos="760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15" w:lineRule="exact"/>
        <w:rPr>
          <w:sz w:val="24"/>
          <w:szCs w:val="24"/>
          <w:color w:val="auto"/>
        </w:rPr>
      </w:pPr>
    </w:p>
    <w:p>
      <w:pPr>
        <w:ind w:left="1900"/>
        <w:spacing w:after="0" w:line="207" w:lineRule="exact"/>
        <w:tabs>
          <w:tab w:leader="none" w:pos="3660" w:val="left"/>
          <w:tab w:leader="none" w:pos="6080" w:val="left"/>
          <w:tab w:leader="none" w:pos="762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8"/>
          <w:szCs w:val="18"/>
          <w:color w:val="auto"/>
        </w:rPr>
        <w:t>☒</w:t>
      </w:r>
    </w:p>
    <w:p>
      <w:pPr>
        <w:spacing w:after="0" w:line="25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15" w:lineRule="exact"/>
        <w:rPr>
          <w:sz w:val="24"/>
          <w:szCs w:val="24"/>
          <w:color w:val="auto"/>
        </w:rPr>
      </w:pPr>
    </w:p>
    <w:p>
      <w:pPr>
        <w:ind w:left="1900"/>
        <w:spacing w:after="0" w:line="207" w:lineRule="exact"/>
        <w:tabs>
          <w:tab w:leader="none" w:pos="3660" w:val="left"/>
          <w:tab w:leader="none" w:pos="6080" w:val="left"/>
          <w:tab w:leader="none" w:pos="762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353060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601345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sectPr>
      </w:pPr>
    </w:p>
    <w:bookmarkStart w:id="1" w:name="page2"/>
    <w:bookmarkEnd w:id="1"/>
    <w:p>
      <w:pPr>
        <w:ind w:right="460" w:firstLine="324"/>
        <w:spacing w:after="0" w:line="308" w:lineRule="auto"/>
        <w:rPr>
          <w:sz w:val="20"/>
          <w:szCs w:val="20"/>
          <w:color w:val="auto"/>
        </w:rPr>
      </w:pPr>
      <w:r>
        <w:rPr>
          <w:rFonts w:ascii="Arial" w:cs="Arial" w:eastAsia="Arial" w:hAnsi="Arial"/>
          <w:sz w:val="17"/>
          <w:szCs w:val="17"/>
          <w:color w:val="auto"/>
        </w:rPr>
        <w:t>On October 13, 2021, AC Immune SA (the “Company”) closed its acquisition with Affiris AG for the program portfolio of therapeutics targeting alpha-synuclein (a-syn), notably PD01, a clinically-validated active vaccine candidate for the treatment of Parkinson’s disease.</w:t>
      </w:r>
    </w:p>
    <w:p>
      <w:pPr>
        <w:spacing w:after="0" w:line="14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October 13, 2021, pursuant to the Convertible Note Agreements entered into on July 27, 2021 with entities affiliated with each of Athos Service GmbH and First Capital Partner GmbH (collectively, the “Investors”), the Company issued two unsecured subordinated convertible notes (the “Convertible Notes”), each with an aggregate principal amount of USD 12.5 million for total net proceeds of USD 25 million. The Convertible Notes are convertible into common shares at any time at the option of the Investors or of the Company at a conversion price of USD 8.26, subject to certain conversion price adjustments for changes in the market price of our common shares. This conversion option may be exercised by either the Investors or the Company until July 16, 2022 (the “Conversion Period”). If the Convertible Notes are not converted during the Conversion Period, the Company is required to repay them on July 26, 2022. The Convertible Notes do not permit partial conversion by either the Investors or the Company and do not bear interest.</w:t>
      </w:r>
    </w:p>
    <w:p>
      <w:pPr>
        <w:spacing w:after="0" w:line="16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This Report on Form 6-K is incorporated by reference into the Company’s registration statements on Form F-3 (File Nos. 333-227016, 333-249655 and 333-255576) and Form S-8 (File No. 333-233019).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5860"/>
        <w:spacing w:after="0"/>
        <w:tabs>
          <w:tab w:leader="none" w:pos="640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Joerg Hornstein</w:t>
      </w:r>
    </w:p>
    <w:p>
      <w:pPr>
        <w:spacing w:after="0" w:line="23" w:lineRule="exact"/>
        <w:rPr>
          <w:sz w:val="20"/>
          <w:szCs w:val="20"/>
          <w:color w:val="auto"/>
        </w:rPr>
      </w:pPr>
    </w:p>
    <w:p>
      <w:pPr>
        <w:ind w:left="5860"/>
        <w:spacing w:after="0"/>
        <w:tabs>
          <w:tab w:leader="none" w:pos="640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14605</wp:posOffset>
            </wp:positionV>
            <wp:extent cx="1585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55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600"/>
      </w:cols>
      <w:pgMar w:left="320" w:top="580"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2021-10-15T06:27:10Z</dcterms:created>
  <dcterms:modified xsi:type="dcterms:W3CDTF">2021-10-15T06:27:10Z</dcterms:modified>
</cp:coreProperties>
</file>