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106680</wp:posOffset>
            </wp:positionH>
            <wp:positionV relativeFrom="page">
              <wp:posOffset>175260</wp:posOffset>
            </wp:positionV>
            <wp:extent cx="733806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26035"/>
                    </a:xfrm>
                    <a:prstGeom prst="rect">
                      <a:avLst/>
                    </a:prstGeom>
                    <a:noFill/>
                  </pic:spPr>
                </pic:pic>
              </a:graphicData>
            </a:graphic>
          </wp:anchor>
        </w:drawing>
        <w:drawing>
          <wp:anchor simplePos="0" relativeHeight="251657728" behindDoc="1" locked="0" layoutInCell="0" allowOverlap="1">
            <wp:simplePos x="0" y="0"/>
            <wp:positionH relativeFrom="page">
              <wp:posOffset>106680</wp:posOffset>
            </wp:positionH>
            <wp:positionV relativeFrom="page">
              <wp:posOffset>209550</wp:posOffset>
            </wp:positionV>
            <wp:extent cx="7338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8060" cy="8255"/>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79" w:lineRule="exact"/>
        <w:rPr>
          <w:sz w:val="24"/>
          <w:szCs w:val="24"/>
          <w:color w:val="auto"/>
        </w:rPr>
      </w:pPr>
    </w:p>
    <w:p>
      <w:pPr>
        <w:ind w:left="860" w:right="419" w:hanging="462"/>
        <w:spacing w:after="0" w:line="303" w:lineRule="auto"/>
        <w:rPr>
          <w:sz w:val="20"/>
          <w:szCs w:val="20"/>
          <w:color w:val="auto"/>
        </w:rPr>
      </w:pPr>
      <w:r>
        <w:rPr>
          <w:rFonts w:ascii="Arial" w:cs="Arial" w:eastAsia="Arial" w:hAnsi="Arial"/>
          <w:sz w:val="24"/>
          <w:szCs w:val="24"/>
          <w:b w:val="1"/>
          <w:bCs w:val="1"/>
          <w:color w:val="auto"/>
        </w:rPr>
        <w:t>REPORT OF FOREIGN PRIVATE ISSUER PURSUANT TO RULE 13a-16 OR 15d-16 UNDER THE SECURITIES EXCHANGE ACT OF 1934</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For the month of January,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-807085</wp:posOffset>
            </wp:positionH>
            <wp:positionV relativeFrom="paragraph">
              <wp:posOffset>25400</wp:posOffset>
            </wp:positionV>
            <wp:extent cx="73380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001-37891</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EPFL Innovation Park</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Building B</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1015 Lausanne, Switzerland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2080"/>
        <w:spacing w:after="0"/>
        <w:tabs>
          <w:tab w:leader="none" w:pos="3620" w:val="left"/>
          <w:tab w:leader="none" w:pos="538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2098040</wp:posOffset>
            </wp:positionH>
            <wp:positionV relativeFrom="paragraph">
              <wp:posOffset>14605</wp:posOffset>
            </wp:positionV>
            <wp:extent cx="514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4189730</wp:posOffset>
            </wp:positionH>
            <wp:positionV relativeFrom="paragraph">
              <wp:posOffset>23495</wp:posOffset>
            </wp:positionV>
            <wp:extent cx="505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48" w:lineRule="exact"/>
        <w:rPr>
          <w:sz w:val="24"/>
          <w:szCs w:val="24"/>
          <w:color w:val="auto"/>
        </w:rPr>
      </w:pPr>
    </w:p>
    <w:p>
      <w:pPr>
        <w:ind w:left="2320"/>
        <w:spacing w:after="0"/>
        <w:tabs>
          <w:tab w:leader="none" w:pos="5660" w:val="left"/>
          <w:tab w:leader="none" w:pos="69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5054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5460" cy="889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23495</wp:posOffset>
            </wp:positionV>
            <wp:extent cx="514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48" w:lineRule="exact"/>
        <w:rPr>
          <w:sz w:val="24"/>
          <w:szCs w:val="24"/>
          <w:color w:val="auto"/>
        </w:rPr>
      </w:pPr>
    </w:p>
    <w:p>
      <w:pPr>
        <w:ind w:left="2320"/>
        <w:spacing w:after="0"/>
        <w:tabs>
          <w:tab w:leader="none" w:pos="5660" w:val="left"/>
          <w:tab w:leader="none" w:pos="69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5054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5460" cy="889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23495</wp:posOffset>
            </wp:positionV>
            <wp:extent cx="5143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528955</wp:posOffset>
            </wp:positionV>
            <wp:extent cx="73380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38060" cy="889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546100</wp:posOffset>
            </wp:positionV>
            <wp:extent cx="733806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38060" cy="25400"/>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This report on Form 6-K and exhibit 99.1 hereto shall be deemed to be incorporated by reference into the registration statement on Form F-3 (Registration Number: 333-224694), the registration statement on Form F-3 (Registration Number: 333-227016) and the registration statement on Form S-8 (Registration Number: 333-216539)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3380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ectPr>
          <w:pgSz w:w="11900" w:h="16838" w:orient="portrait"/>
          <w:cols w:equalWidth="0" w:num="1">
            <w:col w:w="11440"/>
          </w:cols>
          <w:pgMar w:left="160" w:top="500"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9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tbl>
      <w:tblPr>
        <w:tblLayout w:type="fixed"/>
        <w:tblInd w:w="73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56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100" w:type="dxa"/>
            <w:vAlign w:val="bottom"/>
          </w:tcPr>
          <w:p>
            <w:pPr>
              <w:ind w:left="100"/>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56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100" w:type="dxa"/>
            <w:vAlign w:val="bottom"/>
          </w:tcPr>
          <w:p>
            <w:pPr>
              <w:ind w:left="100"/>
              <w:spacing w:after="0" w:line="195" w:lineRule="exact"/>
              <w:rPr>
                <w:sz w:val="20"/>
                <w:szCs w:val="20"/>
                <w:color w:val="auto"/>
              </w:rPr>
            </w:pPr>
            <w:r>
              <w:rPr>
                <w:rFonts w:ascii="Arial" w:cs="Arial" w:eastAsia="Arial" w:hAnsi="Arial"/>
                <w:sz w:val="18"/>
                <w:szCs w:val="18"/>
                <w:color w:val="auto"/>
              </w:rPr>
              <w:t>Joerg Hornstein</w:t>
            </w:r>
          </w:p>
        </w:tc>
      </w:tr>
      <w:tr>
        <w:trPr>
          <w:trHeight w:val="230"/>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5715</wp:posOffset>
            </wp:positionV>
            <wp:extent cx="21342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3380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ectPr>
          <w:pgSz w:w="11900" w:h="16838" w:orient="portrait"/>
          <w:cols w:equalWidth="0" w:num="1">
            <w:col w:w="11560"/>
          </w:cols>
          <w:pgMar w:left="160" w:top="500" w:right="17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562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20320</wp:posOffset>
            </wp:positionV>
            <wp:extent cx="73380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12" w:lineRule="exact"/>
        <w:rPr>
          <w:sz w:val="20"/>
          <w:szCs w:val="20"/>
          <w:color w:val="auto"/>
        </w:rPr>
      </w:pPr>
    </w:p>
    <w:p>
      <w:pPr>
        <w:ind w:left="160"/>
        <w:spacing w:after="0"/>
        <w:tabs>
          <w:tab w:leader="none" w:pos="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648970</wp:posOffset>
            </wp:positionV>
            <wp:extent cx="73380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ectPr>
          <w:pgSz w:w="11900" w:h="16838" w:orient="portrait"/>
          <w:cols w:equalWidth="0" w:num="1">
            <w:col w:w="10199"/>
          </w:cols>
          <w:pgMar w:left="260" w:top="500" w:right="1440" w:bottom="1440" w:gutter="0" w:footer="0" w:header="0"/>
        </w:sectPr>
      </w:pPr>
    </w:p>
    <w:bookmarkStart w:id="4" w:name="page5"/>
    <w:bookmarkEnd w:id="4"/>
    <w:p>
      <w:pPr>
        <w:ind w:left="1046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169735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97355" cy="53149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966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Announces Appointment of</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Dr. Marie Kosco-Vilbois as Chief Scientific Officer</w:t>
      </w:r>
    </w:p>
    <w:p>
      <w:pPr>
        <w:spacing w:after="0" w:line="2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Lausanne, Switzerland, January 3, 2019 </w:t>
      </w:r>
      <w:r>
        <w:rPr>
          <w:rFonts w:ascii="Arial" w:cs="Arial" w:eastAsia="Arial" w:hAnsi="Arial"/>
          <w:sz w:val="18"/>
          <w:szCs w:val="18"/>
          <w:color w:val="auto"/>
        </w:rPr>
        <w:t>â€“ AC Immune SA (NASDAQ: ACIU), a Swiss-based, clinical-stage biopharmaceutical company with</w:t>
      </w:r>
      <w:r>
        <w:rPr>
          <w:rFonts w:ascii="Arial" w:cs="Arial" w:eastAsia="Arial" w:hAnsi="Arial"/>
          <w:sz w:val="18"/>
          <w:szCs w:val="18"/>
          <w:b w:val="1"/>
          <w:bCs w:val="1"/>
          <w:color w:val="auto"/>
        </w:rPr>
        <w:t xml:space="preserve"> </w:t>
      </w:r>
      <w:r>
        <w:rPr>
          <w:rFonts w:ascii="Arial" w:cs="Arial" w:eastAsia="Arial" w:hAnsi="Arial"/>
          <w:sz w:val="18"/>
          <w:szCs w:val="18"/>
          <w:color w:val="auto"/>
        </w:rPr>
        <w:t>a broad pipeline focused on Neurodegenerative Diseases, today announced that it has appointed Dr. Marie Kosco-Vilbois, as Chief Scientific Officer, effective January 3, 2019.</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Prof. Andrea Pfeifer, CEO of AC Immune SA, commented</w:t>
      </w:r>
      <w:r>
        <w:rPr>
          <w:rFonts w:ascii="Arial" w:cs="Arial" w:eastAsia="Arial" w:hAnsi="Arial"/>
          <w:sz w:val="18"/>
          <w:szCs w:val="18"/>
          <w:color w:val="auto"/>
        </w:rPr>
        <w:t>: â€œI am delighted to welcome Dr. Marie Kosco-Vilbois as our Chief Scientific</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The Company will benefit greatly from her extensive experience in Immunology and Drug Development, which will enhance growth of the Companyâ€™s robust pipeline in Neurodegenerative Diseases.â€</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In this position, Dr. Kosco-Vilbois will report directly to CEO Andrea Pfeifer. To facilitate her rapid integration into the Company she will be supported by Dr. David Lowe who has led AC Immuneâ€™s Research </w:t>
      </w:r>
      <w:r>
        <w:rPr>
          <w:rFonts w:ascii="Arial" w:cs="Arial" w:eastAsia="Arial" w:hAnsi="Arial"/>
          <w:sz w:val="18"/>
          <w:szCs w:val="18"/>
          <w:i w:val="1"/>
          <w:iCs w:val="1"/>
          <w:color w:val="auto"/>
        </w:rPr>
        <w:t>ad interim</w:t>
      </w:r>
      <w:r>
        <w:rPr>
          <w:rFonts w:ascii="Arial" w:cs="Arial" w:eastAsia="Arial" w:hAnsi="Arial"/>
          <w:sz w:val="18"/>
          <w:szCs w:val="18"/>
          <w:color w:val="auto"/>
        </w:rPr>
        <w:t xml:space="preserve"> and has held senior R&amp;D roles in the Company since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 Marie Kosco-Vilbois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Dr. Kosco-Vilbois, a US citizen, has extensive experience in the biopharmaceutical industry and has served as Chief Scientific Officer of Novimmune since 2005. Prior to joining Novimmune in 2002, Dr. Kosco-Vilbois was Head of Immunology and Preclinical Pharmacology at the Serono Pharmaceutical Research Institute, a Senior Scientist and then Head of Immunology at the Glaxo Wellcome Research Institute in Geneva and a Scientific Member of the Basel Institute for Immunology. During her career, she has taken numerous Biologicals from discovery into pre-clinical studies and clinical development, most notably filing market applications of a Biological for an Orphan indication.</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Dr. Kosco-Vilbois gained her Bachelorâ€™s Degree in Biology from Rutgers University, New Jersey, US, and a PhD in Anatomy and Immunology from the Medical College of Virginia/Virginia Commonwealth University School of Medicine,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 Immune SA is a clinical-stage Swiss-based biopharmaceutical company, listed on NASDAQ, which aims to become a global leader in precision medicine for Neurodegenerative Diseases. The Company designs, discovers and develops therapeutic as well as diagnostic products intended to prevent and modify diseases caused by misfolding proteins. AC Immuneâ€™s two proprietary technology platforms create antibodies, small molecules and vaccines designed to address a broad spectrum of neurodegenerative indications, such as Alzheimerâ€™s disease (AD). The Companyâ €™s pipeline features nine therapeutic and three diagnostic product candidates â€“ with five product candidates currently in clinical trials. The most advanced of these is crenezumab, a humanized anti-beta-amyloid monoclonal IgG4 antibody that targets monomeric and aggregated forms of beta-amyloid, with highest affinity for neurotoxic oligomers. Crenezumab is currently in two Phase 3 clinical studies for AD, under a global program conducted by collaboration partner</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3380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ectPr>
          <w:pgSz w:w="11900" w:h="16838" w:orient="portrait"/>
          <w:cols w:equalWidth="0" w:num="1">
            <w:col w:w="11560"/>
          </w:cols>
          <w:pgMar w:left="160" w:top="38" w:right="179" w:bottom="1440" w:gutter="0" w:footer="0" w:header="0"/>
        </w:sectPr>
      </w:pPr>
    </w:p>
    <w:bookmarkStart w:id="5" w:name="page6"/>
    <w:bookmarkEnd w:id="5"/>
    <w:p>
      <w:pPr>
        <w:spacing w:after="0" w:line="245" w:lineRule="auto"/>
        <w:rPr>
          <w:sz w:val="20"/>
          <w:szCs w:val="20"/>
          <w:color w:val="auto"/>
        </w:rPr>
      </w:pPr>
      <w:r>
        <w:rPr>
          <w:rFonts w:ascii="Arial" w:cs="Arial" w:eastAsia="Arial" w:hAnsi="Arial"/>
          <w:sz w:val="18"/>
          <w:szCs w:val="18"/>
          <w:color w:val="auto"/>
        </w:rPr>
        <w:t>Roche/Genentech. Other collaborations include Lilly, Biogen, Janssen Pharmaceuticals, NestlÃ© Institute of Health Sciences, Life Molecular Imaging (formerly Piramal Imaging) and Essex Bio-Technology.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contains statements that constitute â€œforward-looking statementsâ€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Immuneâ€™s strategies or expectations. In some cases, you can identify these statements by forward-looking words such as â€œmay,â€ â€œmight,â€ â€œwill,â€ â€œshould,â€ â€œexpects,â€ â €œplans,â€ â€œanticipates,â€ â€œbelieves,â€ â€œestimates,â€ â€œpredicts,â€ â€œprojects,â€ â€œpotential,â€ â€œoutlookâ € or â€œcontinue,â€ and other comparable terminology. Forward-looking statements are based on managementâ €™s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â€œItem 3. Key Information â€“ Risk Factorsâ€ and â€œItem 5. Operating and Financial Review and Prospectsâ€ in AC Immuneâ€ ™s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580" w:type="dxa"/>
            <w:vAlign w:val="bottom"/>
            <w:tcBorders>
              <w:top w:val="single" w:sz="8" w:color="auto"/>
              <w:left w:val="single" w:sz="8" w:color="auto"/>
              <w:right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rPr>
              <w:t>In Europe</w:t>
            </w:r>
          </w:p>
        </w:tc>
        <w:tc>
          <w:tcPr>
            <w:tcW w:w="6000" w:type="dxa"/>
            <w:vAlign w:val="bottom"/>
            <w:tcBorders>
              <w:top w:val="single" w:sz="8" w:color="auto"/>
              <w:righ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In the US</w:t>
            </w:r>
          </w:p>
        </w:tc>
      </w:tr>
      <w:tr>
        <w:trPr>
          <w:trHeight w:val="203"/>
        </w:trPr>
        <w:tc>
          <w:tcPr>
            <w:tcW w:w="5580" w:type="dxa"/>
            <w:vAlign w:val="bottom"/>
            <w:tcBorders>
              <w:left w:val="single" w:sz="8" w:color="auto"/>
              <w:right w:val="single" w:sz="8" w:color="auto"/>
            </w:tcBorders>
            <w:gridSpan w:val="7"/>
          </w:tcPr>
          <w:p>
            <w:pPr>
              <w:ind w:left="100"/>
              <w:spacing w:after="0" w:line="202" w:lineRule="exact"/>
              <w:rPr>
                <w:sz w:val="20"/>
                <w:szCs w:val="20"/>
                <w:color w:val="auto"/>
              </w:rPr>
            </w:pPr>
            <w:r>
              <w:rPr>
                <w:rFonts w:ascii="Arial" w:cs="Arial" w:eastAsia="Arial" w:hAnsi="Arial"/>
                <w:sz w:val="18"/>
                <w:szCs w:val="18"/>
                <w:color w:val="auto"/>
              </w:rPr>
              <w:t>David Lowe</w:t>
            </w:r>
          </w:p>
        </w:tc>
        <w:tc>
          <w:tcPr>
            <w:tcW w:w="6000" w:type="dxa"/>
            <w:vAlign w:val="bottom"/>
            <w:tcBorders>
              <w:right w:val="single" w:sz="8" w:color="auto"/>
            </w:tcBorders>
            <w:gridSpan w:val="3"/>
          </w:tcPr>
          <w:p>
            <w:pPr>
              <w:ind w:left="60"/>
              <w:spacing w:after="0" w:line="202" w:lineRule="exact"/>
              <w:rPr>
                <w:sz w:val="20"/>
                <w:szCs w:val="20"/>
                <w:color w:val="auto"/>
              </w:rPr>
            </w:pPr>
            <w:r>
              <w:rPr>
                <w:rFonts w:ascii="Arial" w:cs="Arial" w:eastAsia="Arial" w:hAnsi="Arial"/>
                <w:sz w:val="18"/>
                <w:szCs w:val="18"/>
                <w:color w:val="auto"/>
              </w:rPr>
              <w:t>Lisa Sher</w:t>
            </w:r>
          </w:p>
        </w:tc>
      </w:tr>
      <w:tr>
        <w:trPr>
          <w:trHeight w:val="203"/>
        </w:trPr>
        <w:tc>
          <w:tcPr>
            <w:tcW w:w="5580" w:type="dxa"/>
            <w:vAlign w:val="bottom"/>
            <w:tcBorders>
              <w:left w:val="single" w:sz="8" w:color="auto"/>
              <w:right w:val="single" w:sz="8" w:color="auto"/>
            </w:tcBorders>
            <w:gridSpan w:val="7"/>
          </w:tcPr>
          <w:p>
            <w:pPr>
              <w:ind w:left="100"/>
              <w:spacing w:after="0" w:line="202" w:lineRule="exact"/>
              <w:rPr>
                <w:sz w:val="20"/>
                <w:szCs w:val="20"/>
                <w:color w:val="auto"/>
              </w:rPr>
            </w:pPr>
            <w:r>
              <w:rPr>
                <w:rFonts w:ascii="Arial" w:cs="Arial" w:eastAsia="Arial" w:hAnsi="Arial"/>
                <w:sz w:val="18"/>
                <w:szCs w:val="18"/>
                <w:color w:val="auto"/>
              </w:rPr>
              <w:t>AC Immune Corporate</w:t>
            </w:r>
          </w:p>
        </w:tc>
        <w:tc>
          <w:tcPr>
            <w:tcW w:w="6000" w:type="dxa"/>
            <w:vAlign w:val="bottom"/>
            <w:tcBorders>
              <w:right w:val="single" w:sz="8" w:color="auto"/>
            </w:tcBorders>
            <w:gridSpan w:val="3"/>
          </w:tcPr>
          <w:p>
            <w:pPr>
              <w:ind w:left="60"/>
              <w:spacing w:after="0" w:line="202" w:lineRule="exact"/>
              <w:rPr>
                <w:sz w:val="20"/>
                <w:szCs w:val="20"/>
                <w:color w:val="auto"/>
              </w:rPr>
            </w:pPr>
            <w:r>
              <w:rPr>
                <w:rFonts w:ascii="Arial" w:cs="Arial" w:eastAsia="Arial" w:hAnsi="Arial"/>
                <w:sz w:val="18"/>
                <w:szCs w:val="18"/>
                <w:color w:val="auto"/>
              </w:rPr>
              <w:t>AC Immune Investor Relations</w:t>
            </w:r>
          </w:p>
        </w:tc>
      </w:tr>
      <w:tr>
        <w:trPr>
          <w:trHeight w:val="203"/>
        </w:trPr>
        <w:tc>
          <w:tcPr>
            <w:tcW w:w="5580" w:type="dxa"/>
            <w:vAlign w:val="bottom"/>
            <w:tcBorders>
              <w:left w:val="single" w:sz="8" w:color="auto"/>
              <w:right w:val="single" w:sz="8" w:color="auto"/>
            </w:tcBorders>
            <w:gridSpan w:val="7"/>
          </w:tcPr>
          <w:p>
            <w:pPr>
              <w:ind w:left="100"/>
              <w:spacing w:after="0" w:line="202" w:lineRule="exact"/>
              <w:rPr>
                <w:sz w:val="20"/>
                <w:szCs w:val="20"/>
                <w:color w:val="auto"/>
              </w:rPr>
            </w:pPr>
            <w:r>
              <w:rPr>
                <w:rFonts w:ascii="Arial" w:cs="Arial" w:eastAsia="Arial" w:hAnsi="Arial"/>
                <w:sz w:val="18"/>
                <w:szCs w:val="18"/>
                <w:color w:val="auto"/>
              </w:rPr>
              <w:t>Phone: +41 79 281 6494</w:t>
            </w:r>
          </w:p>
        </w:tc>
        <w:tc>
          <w:tcPr>
            <w:tcW w:w="6000" w:type="dxa"/>
            <w:vAlign w:val="bottom"/>
            <w:tcBorders>
              <w:right w:val="single" w:sz="8" w:color="auto"/>
            </w:tcBorders>
            <w:gridSpan w:val="3"/>
          </w:tcPr>
          <w:p>
            <w:pPr>
              <w:ind w:left="60"/>
              <w:spacing w:after="0" w:line="202" w:lineRule="exact"/>
              <w:rPr>
                <w:sz w:val="20"/>
                <w:szCs w:val="20"/>
                <w:color w:val="auto"/>
              </w:rPr>
            </w:pPr>
            <w:r>
              <w:rPr>
                <w:rFonts w:ascii="Arial" w:cs="Arial" w:eastAsia="Arial" w:hAnsi="Arial"/>
                <w:sz w:val="18"/>
                <w:szCs w:val="18"/>
                <w:color w:val="auto"/>
              </w:rPr>
              <w:t>Phone: +1 970 987 26 54</w:t>
            </w:r>
          </w:p>
        </w:tc>
      </w:tr>
      <w:tr>
        <w:trPr>
          <w:trHeight w:val="176"/>
        </w:trPr>
        <w:tc>
          <w:tcPr>
            <w:tcW w:w="5580" w:type="dxa"/>
            <w:vAlign w:val="bottom"/>
            <w:tcBorders>
              <w:left w:val="single" w:sz="8" w:color="auto"/>
              <w:right w:val="single" w:sz="8" w:color="auto"/>
            </w:tcBorders>
            <w:gridSpan w:val="7"/>
          </w:tcPr>
          <w:p>
            <w:pPr>
              <w:ind w:left="10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david.lowe@acimmune.com</w:t>
            </w:r>
          </w:p>
        </w:tc>
        <w:tc>
          <w:tcPr>
            <w:tcW w:w="6000" w:type="dxa"/>
            <w:vAlign w:val="bottom"/>
            <w:tcBorders>
              <w:right w:val="single" w:sz="8" w:color="auto"/>
            </w:tcBorders>
            <w:gridSpan w:val="3"/>
          </w:tcPr>
          <w:p>
            <w:pPr>
              <w:ind w:left="6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lisa.sher@acimmune.com</w:t>
            </w:r>
          </w:p>
        </w:tc>
      </w:tr>
      <w:tr>
        <w:trPr>
          <w:trHeight w:val="75"/>
        </w:trPr>
        <w:tc>
          <w:tcPr>
            <w:tcW w:w="700" w:type="dxa"/>
            <w:vAlign w:val="bottom"/>
            <w:tcBorders>
              <w:left w:val="single" w:sz="8" w:color="auto"/>
              <w:bottom w:val="single" w:sz="8" w:color="auto"/>
            </w:tcBorders>
          </w:tcPr>
          <w:p>
            <w:pPr>
              <w:spacing w:after="0"/>
              <w:rPr>
                <w:sz w:val="6"/>
                <w:szCs w:val="6"/>
                <w:color w:val="auto"/>
              </w:rPr>
            </w:pPr>
          </w:p>
        </w:tc>
        <w:tc>
          <w:tcPr>
            <w:tcW w:w="40" w:type="dxa"/>
            <w:vAlign w:val="bottom"/>
            <w:tcBorders>
              <w:top w:val="single" w:sz="8" w:color="0000FF"/>
              <w:bottom w:val="single" w:sz="8" w:color="auto"/>
            </w:tcBorders>
          </w:tcPr>
          <w:p>
            <w:pPr>
              <w:spacing w:after="0"/>
              <w:rPr>
                <w:sz w:val="6"/>
                <w:szCs w:val="6"/>
                <w:color w:val="auto"/>
              </w:rPr>
            </w:pPr>
          </w:p>
        </w:tc>
        <w:tc>
          <w:tcPr>
            <w:tcW w:w="20" w:type="dxa"/>
            <w:vAlign w:val="bottom"/>
            <w:tcBorders>
              <w:top w:val="single" w:sz="8" w:color="0000FF"/>
              <w:bottom w:val="single" w:sz="8" w:color="auto"/>
            </w:tcBorders>
          </w:tcPr>
          <w:p>
            <w:pPr>
              <w:spacing w:after="0"/>
              <w:rPr>
                <w:sz w:val="6"/>
                <w:szCs w:val="6"/>
                <w:color w:val="auto"/>
              </w:rPr>
            </w:pPr>
          </w:p>
        </w:tc>
        <w:tc>
          <w:tcPr>
            <w:tcW w:w="1320" w:type="dxa"/>
            <w:vAlign w:val="bottom"/>
            <w:tcBorders>
              <w:top w:val="single" w:sz="8" w:color="0000FF"/>
              <w:bottom w:val="single" w:sz="8" w:color="auto"/>
            </w:tcBorders>
          </w:tcPr>
          <w:p>
            <w:pPr>
              <w:spacing w:after="0"/>
              <w:rPr>
                <w:sz w:val="6"/>
                <w:szCs w:val="6"/>
                <w:color w:val="auto"/>
              </w:rPr>
            </w:pPr>
          </w:p>
        </w:tc>
        <w:tc>
          <w:tcPr>
            <w:tcW w:w="160" w:type="dxa"/>
            <w:vAlign w:val="bottom"/>
            <w:tcBorders>
              <w:top w:val="single" w:sz="8" w:color="0000FF"/>
              <w:bottom w:val="single" w:sz="8" w:color="auto"/>
            </w:tcBorders>
          </w:tcPr>
          <w:p>
            <w:pPr>
              <w:spacing w:after="0"/>
              <w:rPr>
                <w:sz w:val="6"/>
                <w:szCs w:val="6"/>
                <w:color w:val="auto"/>
              </w:rPr>
            </w:pPr>
          </w:p>
        </w:tc>
        <w:tc>
          <w:tcPr>
            <w:tcW w:w="720" w:type="dxa"/>
            <w:vAlign w:val="bottom"/>
            <w:tcBorders>
              <w:top w:val="single" w:sz="8" w:color="0000FF"/>
              <w:bottom w:val="single" w:sz="8" w:color="auto"/>
            </w:tcBorders>
          </w:tcPr>
          <w:p>
            <w:pPr>
              <w:spacing w:after="0"/>
              <w:rPr>
                <w:sz w:val="6"/>
                <w:szCs w:val="6"/>
                <w:color w:val="auto"/>
              </w:rPr>
            </w:pPr>
          </w:p>
        </w:tc>
        <w:tc>
          <w:tcPr>
            <w:tcW w:w="262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60" w:type="dxa"/>
            <w:vAlign w:val="bottom"/>
            <w:tcBorders>
              <w:top w:val="single" w:sz="8" w:color="0000FF"/>
              <w:bottom w:val="single" w:sz="8" w:color="auto"/>
            </w:tcBorders>
          </w:tcPr>
          <w:p>
            <w:pPr>
              <w:spacing w:after="0"/>
              <w:rPr>
                <w:sz w:val="6"/>
                <w:szCs w:val="6"/>
                <w:color w:val="auto"/>
              </w:rPr>
            </w:pPr>
          </w:p>
        </w:tc>
        <w:tc>
          <w:tcPr>
            <w:tcW w:w="3260" w:type="dxa"/>
            <w:vAlign w:val="bottom"/>
            <w:tcBorders>
              <w:bottom w:val="single" w:sz="8" w:color="auto"/>
              <w:right w:val="single" w:sz="8" w:color="auto"/>
            </w:tcBorders>
          </w:tcPr>
          <w:p>
            <w:pPr>
              <w:spacing w:after="0"/>
              <w:rPr>
                <w:sz w:val="6"/>
                <w:szCs w:val="6"/>
                <w:color w:val="auto"/>
              </w:rPr>
            </w:pPr>
          </w:p>
        </w:tc>
      </w:tr>
      <w:tr>
        <w:trPr>
          <w:trHeight w:val="263"/>
        </w:trPr>
        <w:tc>
          <w:tcPr>
            <w:tcW w:w="5580" w:type="dxa"/>
            <w:vAlign w:val="bottom"/>
            <w:tcBorders>
              <w:left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Nick Miles/Toomas Kull</w:t>
            </w:r>
          </w:p>
        </w:tc>
        <w:tc>
          <w:tcPr>
            <w:tcW w:w="6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260" w:type="dxa"/>
            <w:vAlign w:val="bottom"/>
            <w:tcBorders>
              <w:right w:val="single" w:sz="8" w:color="auto"/>
            </w:tcBorders>
          </w:tcPr>
          <w:p>
            <w:pPr>
              <w:spacing w:after="0"/>
              <w:rPr>
                <w:sz w:val="22"/>
                <w:szCs w:val="22"/>
                <w:color w:val="auto"/>
              </w:rPr>
            </w:pPr>
          </w:p>
        </w:tc>
      </w:tr>
      <w:tr>
        <w:trPr>
          <w:trHeight w:val="203"/>
        </w:trPr>
        <w:tc>
          <w:tcPr>
            <w:tcW w:w="5580" w:type="dxa"/>
            <w:vAlign w:val="bottom"/>
            <w:tcBorders>
              <w:left w:val="single" w:sz="8" w:color="auto"/>
              <w:right w:val="single" w:sz="8" w:color="auto"/>
            </w:tcBorders>
            <w:gridSpan w:val="7"/>
          </w:tcPr>
          <w:p>
            <w:pPr>
              <w:ind w:left="100"/>
              <w:spacing w:after="0" w:line="202" w:lineRule="exact"/>
              <w:rPr>
                <w:sz w:val="20"/>
                <w:szCs w:val="20"/>
                <w:color w:val="auto"/>
              </w:rPr>
            </w:pPr>
            <w:r>
              <w:rPr>
                <w:rFonts w:ascii="Arial" w:cs="Arial" w:eastAsia="Arial" w:hAnsi="Arial"/>
                <w:sz w:val="18"/>
                <w:szCs w:val="18"/>
                <w:color w:val="auto"/>
              </w:rPr>
              <w:t>Cabinet PrivÃ© de Conseils s.a.</w:t>
            </w:r>
          </w:p>
        </w:tc>
        <w:tc>
          <w:tcPr>
            <w:tcW w:w="6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r>
      <w:tr>
        <w:trPr>
          <w:trHeight w:val="203"/>
        </w:trPr>
        <w:tc>
          <w:tcPr>
            <w:tcW w:w="5580" w:type="dxa"/>
            <w:vAlign w:val="bottom"/>
            <w:tcBorders>
              <w:left w:val="single" w:sz="8" w:color="auto"/>
              <w:right w:val="single" w:sz="8" w:color="auto"/>
            </w:tcBorders>
            <w:gridSpan w:val="7"/>
          </w:tcPr>
          <w:p>
            <w:pPr>
              <w:ind w:left="100"/>
              <w:spacing w:after="0" w:line="202" w:lineRule="exact"/>
              <w:rPr>
                <w:sz w:val="20"/>
                <w:szCs w:val="20"/>
                <w:color w:val="auto"/>
              </w:rPr>
            </w:pPr>
            <w:r>
              <w:rPr>
                <w:rFonts w:ascii="Arial" w:cs="Arial" w:eastAsia="Arial" w:hAnsi="Arial"/>
                <w:sz w:val="18"/>
                <w:szCs w:val="18"/>
                <w:color w:val="auto"/>
              </w:rPr>
              <w:t>Phone: +41 22 552 46 46</w:t>
            </w:r>
          </w:p>
        </w:tc>
        <w:tc>
          <w:tcPr>
            <w:tcW w:w="6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r>
      <w:tr>
        <w:trPr>
          <w:trHeight w:val="176"/>
        </w:trPr>
        <w:tc>
          <w:tcPr>
            <w:tcW w:w="5580" w:type="dxa"/>
            <w:vAlign w:val="bottom"/>
            <w:tcBorders>
              <w:left w:val="single" w:sz="8" w:color="auto"/>
              <w:right w:val="single" w:sz="8" w:color="auto"/>
            </w:tcBorders>
            <w:gridSpan w:val="7"/>
          </w:tcPr>
          <w:p>
            <w:pPr>
              <w:ind w:left="10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miles@cpc-pr.com</w:t>
            </w:r>
          </w:p>
        </w:tc>
        <w:tc>
          <w:tcPr>
            <w:tcW w:w="6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r>
      <w:tr>
        <w:trPr>
          <w:trHeight w:val="20"/>
        </w:trPr>
        <w:tc>
          <w:tcPr>
            <w:tcW w:w="7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340" w:type="dxa"/>
            <w:vAlign w:val="bottom"/>
            <w:tcBorders>
              <w:right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60" w:type="dxa"/>
            <w:vAlign w:val="bottom"/>
            <w:tcBorders>
              <w:right w:val="single" w:sz="8" w:color="auto"/>
            </w:tcBorders>
          </w:tcPr>
          <w:p>
            <w:pPr>
              <w:spacing w:after="0" w:line="20" w:lineRule="exact"/>
              <w:rPr>
                <w:sz w:val="1"/>
                <w:szCs w:val="1"/>
                <w:color w:val="auto"/>
              </w:rPr>
            </w:pPr>
          </w:p>
        </w:tc>
      </w:tr>
      <w:tr>
        <w:trPr>
          <w:trHeight w:val="182"/>
        </w:trPr>
        <w:tc>
          <w:tcPr>
            <w:tcW w:w="700" w:type="dxa"/>
            <w:vAlign w:val="bottom"/>
            <w:tcBorders>
              <w:left w:val="single" w:sz="8" w:color="auto"/>
            </w:tcBorders>
          </w:tcPr>
          <w:p>
            <w:pPr>
              <w:spacing w:after="0"/>
              <w:rPr>
                <w:sz w:val="15"/>
                <w:szCs w:val="15"/>
                <w:color w:val="auto"/>
              </w:rPr>
            </w:pPr>
          </w:p>
        </w:tc>
        <w:tc>
          <w:tcPr>
            <w:tcW w:w="4880" w:type="dxa"/>
            <w:vAlign w:val="bottom"/>
            <w:tcBorders>
              <w:right w:val="single" w:sz="8" w:color="auto"/>
            </w:tcBorders>
            <w:gridSpan w:val="6"/>
          </w:tcPr>
          <w:p>
            <w:pPr>
              <w:ind w:left="40"/>
              <w:spacing w:after="0" w:line="182" w:lineRule="exact"/>
              <w:rPr>
                <w:sz w:val="20"/>
                <w:szCs w:val="20"/>
                <w:color w:val="auto"/>
              </w:rPr>
            </w:pPr>
            <w:r>
              <w:rPr>
                <w:rFonts w:ascii="Arial" w:cs="Arial" w:eastAsia="Arial" w:hAnsi="Arial"/>
                <w:sz w:val="18"/>
                <w:szCs w:val="18"/>
                <w:color w:val="0000FF"/>
              </w:rPr>
              <w:t>kull@cpc-pr.com</w:t>
            </w:r>
          </w:p>
        </w:tc>
        <w:tc>
          <w:tcPr>
            <w:tcW w:w="6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r>
      <w:tr>
        <w:trPr>
          <w:trHeight w:val="75"/>
        </w:trPr>
        <w:tc>
          <w:tcPr>
            <w:tcW w:w="700" w:type="dxa"/>
            <w:vAlign w:val="bottom"/>
            <w:tcBorders>
              <w:left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top w:val="single" w:sz="8" w:color="0000FF"/>
              <w:bottom w:val="single" w:sz="8" w:color="auto"/>
            </w:tcBorders>
          </w:tcPr>
          <w:p>
            <w:pPr>
              <w:spacing w:after="0"/>
              <w:rPr>
                <w:sz w:val="6"/>
                <w:szCs w:val="6"/>
                <w:color w:val="auto"/>
              </w:rPr>
            </w:pPr>
          </w:p>
        </w:tc>
        <w:tc>
          <w:tcPr>
            <w:tcW w:w="1320" w:type="dxa"/>
            <w:vAlign w:val="bottom"/>
            <w:tcBorders>
              <w:top w:val="single" w:sz="8" w:color="0000FF"/>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62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326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3380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sectPr>
      <w:pgSz w:w="11900" w:h="16838" w:orient="portrait"/>
      <w:cols w:equalWidth="0" w:num="1">
        <w:col w:w="11560"/>
      </w:cols>
      <w:pgMar w:left="160" w:top="60"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2019-12-15T15:53:57Z</dcterms:created>
  <dcterms:modified xsi:type="dcterms:W3CDTF">2019-12-15T15:53:57Z</dcterms:modified>
</cp:coreProperties>
</file>