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May,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213995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520"/>
        <w:spacing w:after="0"/>
        <w:tabs>
          <w:tab w:leader="none" w:pos="3800" w:val="left"/>
          <w:tab w:leader="none" w:pos="51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6350</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23495</wp:posOffset>
            </wp:positionV>
            <wp:extent cx="403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6350</wp:posOffset>
            </wp:positionV>
            <wp:extent cx="403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6350</wp:posOffset>
            </wp:positionV>
            <wp:extent cx="403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314960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366395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383540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4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18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891"/>
        </w:trPr>
        <w:tc>
          <w:tcPr>
            <w:tcW w:w="460" w:type="dxa"/>
            <w:vAlign w:val="bottom"/>
          </w:tcPr>
          <w:p>
            <w:pPr>
              <w:ind w:left="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46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4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1040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4"/>
                <w:szCs w:val="14"/>
                <w:color w:val="auto"/>
              </w:rPr>
            </w:pPr>
          </w:p>
        </w:tc>
        <w:tc>
          <w:tcPr>
            <w:tcW w:w="10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Interim Condensed Financial Statements (Unaudited) (IFRS) as of and for the Three Months Ended March 31, 2017</w:t>
      </w:r>
    </w:p>
    <w:p>
      <w:pPr>
        <w:spacing w:after="0" w:line="63"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63"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Press Release dated May 11, 2017</w:t>
      </w:r>
    </w:p>
    <w:p>
      <w:pPr>
        <w:spacing w:after="0" w:line="63"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AC Immune SA Articles of Association dated March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1026795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Interim Condensed Financial</w:t>
      </w:r>
    </w:p>
    <w:p>
      <w:pPr>
        <w:spacing w:after="0" w:line="32" w:lineRule="exact"/>
        <w:rPr>
          <w:sz w:val="20"/>
          <w:szCs w:val="20"/>
          <w:color w:val="auto"/>
        </w:rPr>
      </w:pPr>
    </w:p>
    <w:p>
      <w:pPr>
        <w:ind w:right="1120"/>
        <w:spacing w:after="0" w:line="239" w:lineRule="auto"/>
        <w:rPr>
          <w:sz w:val="20"/>
          <w:szCs w:val="20"/>
          <w:color w:val="auto"/>
        </w:rPr>
      </w:pPr>
      <w:r>
        <w:rPr>
          <w:rFonts w:ascii="Arial" w:cs="Arial" w:eastAsia="Arial" w:hAnsi="Arial"/>
          <w:sz w:val="40"/>
          <w:szCs w:val="40"/>
          <w:b w:val="1"/>
          <w:bCs w:val="1"/>
          <w:color w:val="auto"/>
        </w:rPr>
        <w:t>Statements (Unaudited) (IFRS) as of and for the three month period ended March 31,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Notes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146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2017</w:t>
            </w:r>
          </w:p>
        </w:tc>
        <w:tc>
          <w:tcPr>
            <w:tcW w:w="146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80"/>
        </w:trPr>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top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in CHF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250190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1,120</w:t>
            </w:r>
          </w:p>
        </w:tc>
      </w:tr>
      <w:tr>
        <w:trPr>
          <w:trHeight w:val="230"/>
        </w:trPr>
        <w:tc>
          <w:tcPr>
            <w:tcW w:w="84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r>
      <w:tr>
        <w:trPr>
          <w:trHeight w:val="210"/>
        </w:trPr>
        <w:tc>
          <w:tcPr>
            <w:tcW w:w="84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2,210</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-299720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40" w:space="720"/>
            <w:col w:w="4260"/>
          </w:cols>
          <w:pgMar w:left="240" w:top="472"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820" w:type="dxa"/>
            <w:vAlign w:val="bottom"/>
            <w:shd w:val="clear" w:color="auto" w:fill="D5EAEA"/>
          </w:tcPr>
          <w:p>
            <w:pPr>
              <w:spacing w:after="0"/>
              <w:rPr>
                <w:sz w:val="17"/>
                <w:szCs w:val="17"/>
                <w:color w:val="auto"/>
              </w:rPr>
            </w:pPr>
          </w:p>
        </w:tc>
        <w:tc>
          <w:tcPr>
            <w:tcW w:w="278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2780" w:type="dxa"/>
            <w:vAlign w:val="bottom"/>
            <w:shd w:val="clear" w:color="auto" w:fill="D5EAEA"/>
          </w:tcPr>
          <w:p>
            <w:pPr>
              <w:jc w:val="right"/>
              <w:ind w:right="650"/>
              <w:spacing w:after="0"/>
              <w:rPr>
                <w:sz w:val="20"/>
                <w:szCs w:val="20"/>
                <w:color w:val="auto"/>
              </w:rPr>
            </w:pPr>
            <w:r>
              <w:rPr>
                <w:rFonts w:ascii="Arial" w:cs="Arial" w:eastAsia="Arial" w:hAnsi="Arial"/>
                <w:sz w:val="18"/>
                <w:szCs w:val="18"/>
                <w:color w:val="auto"/>
              </w:rPr>
              <w:t>6</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income</w:t>
            </w:r>
          </w:p>
        </w:tc>
        <w:tc>
          <w:tcPr>
            <w:tcW w:w="27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27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138,084</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27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142,389</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154,894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144,599</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156,100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shd w:val="clear" w:color="auto" w:fill="D5EAEA"/>
          </w:tcPr>
          <w:p>
            <w:pPr>
              <w:spacing w:after="0"/>
              <w:rPr>
                <w:sz w:val="17"/>
                <w:szCs w:val="17"/>
                <w:color w:val="auto"/>
              </w:rPr>
            </w:pPr>
          </w:p>
        </w:tc>
        <w:tc>
          <w:tcPr>
            <w:tcW w:w="278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D5EAEA"/>
          </w:tcPr>
          <w:p>
            <w:pPr>
              <w:spacing w:after="0"/>
              <w:rPr>
                <w:sz w:val="18"/>
                <w:szCs w:val="18"/>
                <w:color w:val="auto"/>
              </w:rPr>
            </w:pPr>
          </w:p>
        </w:tc>
        <w:tc>
          <w:tcPr>
            <w:tcW w:w="27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27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 premium</w:t>
            </w:r>
          </w:p>
        </w:tc>
        <w:tc>
          <w:tcPr>
            <w:tcW w:w="27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188,191</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27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(56,276)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27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133,054</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142,380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D5EAEA"/>
          </w:tcPr>
          <w:p>
            <w:pPr>
              <w:spacing w:after="0"/>
              <w:rPr>
                <w:sz w:val="18"/>
                <w:szCs w:val="18"/>
                <w:color w:val="auto"/>
              </w:rPr>
            </w:pPr>
          </w:p>
        </w:tc>
        <w:tc>
          <w:tcPr>
            <w:tcW w:w="27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27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7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3,888</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D5EAEA"/>
          </w:tcPr>
          <w:p>
            <w:pPr>
              <w:spacing w:after="0"/>
              <w:rPr>
                <w:sz w:val="18"/>
                <w:szCs w:val="18"/>
                <w:color w:val="auto"/>
              </w:rPr>
            </w:pPr>
          </w:p>
        </w:tc>
        <w:tc>
          <w:tcPr>
            <w:tcW w:w="278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Trade payables and other payables</w:t>
            </w:r>
          </w:p>
        </w:tc>
        <w:tc>
          <w:tcPr>
            <w:tcW w:w="278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expenses</w:t>
            </w:r>
          </w:p>
        </w:tc>
        <w:tc>
          <w:tcPr>
            <w:tcW w:w="278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278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78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7,657</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278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11,545</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278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144,599</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 / (Loss)</w:t>
      </w:r>
    </w:p>
    <w:p>
      <w:pPr>
        <w:spacing w:after="0" w:line="221" w:lineRule="exact"/>
        <w:rPr>
          <w:sz w:val="20"/>
          <w:szCs w:val="20"/>
          <w:color w:val="auto"/>
        </w:rPr>
      </w:pPr>
    </w:p>
    <w:p>
      <w:pPr>
        <w:jc w:val="center"/>
        <w:ind w:left="8620"/>
        <w:spacing w:after="0"/>
        <w:rPr>
          <w:sz w:val="20"/>
          <w:szCs w:val="20"/>
          <w:color w:val="auto"/>
        </w:rPr>
      </w:pPr>
      <w:r>
        <w:rPr>
          <w:rFonts w:ascii="Arial" w:cs="Arial" w:eastAsia="Arial" w:hAnsi="Arial"/>
          <w:sz w:val="13"/>
          <w:szCs w:val="13"/>
          <w:b w:val="1"/>
          <w:bCs w:val="1"/>
          <w:color w:val="auto"/>
        </w:rPr>
        <w:t>For the Three Months Ended</w:t>
      </w:r>
    </w:p>
    <w:p>
      <w:pPr>
        <w:spacing w:after="0" w:line="9"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Contract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4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7"/>
              </w:rPr>
              <w:t>Notes</w:t>
            </w:r>
          </w:p>
        </w:tc>
        <w:tc>
          <w:tcPr>
            <w:tcW w:w="1340" w:type="dxa"/>
            <w:vAlign w:val="bottom"/>
            <w:tcBorders>
              <w:top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2016</w:t>
            </w:r>
          </w:p>
        </w:tc>
      </w:tr>
      <w:tr>
        <w:trPr>
          <w:trHeight w:val="119"/>
        </w:trPr>
        <w:tc>
          <w:tcPr>
            <w:tcW w:w="1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Borders>
              <w:top w:val="single" w:sz="8" w:color="auto"/>
            </w:tcBorders>
            <w:gridSpan w:val="3"/>
          </w:tcPr>
          <w:p>
            <w:pPr>
              <w:jc w:val="right"/>
              <w:ind w:right="436"/>
              <w:spacing w:after="0" w:line="119" w:lineRule="exact"/>
              <w:rPr>
                <w:sz w:val="20"/>
                <w:szCs w:val="20"/>
                <w:color w:val="auto"/>
              </w:rPr>
            </w:pPr>
            <w:r>
              <w:rPr>
                <w:rFonts w:ascii="Arial" w:cs="Arial" w:eastAsia="Arial" w:hAnsi="Arial"/>
                <w:sz w:val="13"/>
                <w:szCs w:val="13"/>
                <w:b w:val="1"/>
                <w:bCs w:val="1"/>
                <w:color w:val="auto"/>
              </w:rPr>
              <w:t>(in CHF thousands except for</w:t>
            </w:r>
          </w:p>
        </w:tc>
      </w:tr>
      <w:tr>
        <w:trPr>
          <w:trHeight w:val="186"/>
        </w:trPr>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share and per share data)</w:t>
            </w:r>
          </w:p>
        </w:tc>
      </w:tr>
      <w:tr>
        <w:trPr>
          <w:trHeight w:val="431"/>
        </w:trPr>
        <w:tc>
          <w:tcPr>
            <w:tcW w:w="1340" w:type="dxa"/>
            <w:vAlign w:val="bottom"/>
          </w:tcPr>
          <w:p>
            <w:pPr>
              <w:jc w:val="right"/>
              <w:ind w:right="539"/>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487</w:t>
            </w:r>
          </w:p>
        </w:tc>
      </w:tr>
      <w:tr>
        <w:trPr>
          <w:trHeight w:val="210"/>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-299720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440" w:space="720"/>
            <w:col w:w="426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(7,454)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General &amp; administrative expenses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(9,840)</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(6,271)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loss</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(7,834)</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(5,784)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Finance income</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Loss before tax</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for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(6,175)</w:t>
            </w:r>
          </w:p>
        </w:tc>
        <w:tc>
          <w:tcPr>
            <w:tcW w:w="0" w:type="dxa"/>
            <w:vAlign w:val="bottom"/>
          </w:tcPr>
          <w:p>
            <w:pPr>
              <w:spacing w:after="0"/>
              <w:rPr>
                <w:sz w:val="1"/>
                <w:szCs w:val="1"/>
                <w:color w:val="auto"/>
              </w:rPr>
            </w:pPr>
          </w:p>
        </w:tc>
      </w:tr>
      <w:tr>
        <w:trPr>
          <w:trHeight w:val="210"/>
        </w:trPr>
        <w:tc>
          <w:tcPr>
            <w:tcW w:w="840" w:type="dxa"/>
            <w:vAlign w:val="bottom"/>
            <w:vMerge w:val="restart"/>
          </w:tcPr>
          <w:p>
            <w:pPr>
              <w:jc w:val="right"/>
              <w:ind w:right="650"/>
              <w:spacing w:after="0"/>
              <w:rPr>
                <w:sz w:val="20"/>
                <w:szCs w:val="20"/>
                <w:color w:val="auto"/>
              </w:rPr>
            </w:pPr>
            <w:r>
              <w:rPr>
                <w:rFonts w:ascii="Arial" w:cs="Arial" w:eastAsia="Arial" w:hAnsi="Arial"/>
                <w:sz w:val="18"/>
                <w:szCs w:val="18"/>
                <w:color w:val="auto"/>
                <w:w w:val="79"/>
              </w:rPr>
              <w:t>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40" w:type="dxa"/>
            <w:vAlign w:val="bottom"/>
            <w:vMerge w:val="continue"/>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-299720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60" w:space="720"/>
            <w:col w:w="36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220" w:type="dxa"/>
            <w:vAlign w:val="bottom"/>
            <w:shd w:val="clear" w:color="auto" w:fill="D5EAEA"/>
          </w:tcPr>
          <w:p>
            <w:pPr>
              <w:spacing w:after="0"/>
              <w:rPr>
                <w:sz w:val="17"/>
                <w:szCs w:val="17"/>
                <w:color w:val="auto"/>
              </w:rPr>
            </w:pPr>
          </w:p>
        </w:tc>
        <w:tc>
          <w:tcPr>
            <w:tcW w:w="296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Loss per share (EPS):</w:t>
            </w:r>
          </w:p>
        </w:tc>
        <w:tc>
          <w:tcPr>
            <w:tcW w:w="2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D5EAEA"/>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2960" w:type="dxa"/>
            <w:vAlign w:val="bottom"/>
            <w:shd w:val="clear" w:color="auto" w:fill="D5EAEA"/>
          </w:tcPr>
          <w:p>
            <w:pPr>
              <w:jc w:val="right"/>
              <w:ind w:right="190"/>
              <w:spacing w:after="0"/>
              <w:rPr>
                <w:sz w:val="20"/>
                <w:szCs w:val="20"/>
                <w:color w:val="auto"/>
              </w:rPr>
            </w:pPr>
            <w:r>
              <w:rPr>
                <w:rFonts w:ascii="Arial" w:cs="Arial" w:eastAsia="Arial" w:hAnsi="Arial"/>
                <w:sz w:val="18"/>
                <w:szCs w:val="18"/>
                <w:color w:val="auto"/>
              </w:rPr>
              <w:t>(0.17)</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D5EAEA"/>
          </w:tcPr>
          <w:p>
            <w:pPr>
              <w:spacing w:after="0"/>
              <w:rPr>
                <w:sz w:val="20"/>
                <w:szCs w:val="20"/>
                <w:color w:val="auto"/>
              </w:rPr>
            </w:pPr>
            <w:r>
              <w:rPr>
                <w:rFonts w:ascii="Arial" w:cs="Arial" w:eastAsia="Arial" w:hAnsi="Arial"/>
                <w:sz w:val="18"/>
                <w:szCs w:val="18"/>
                <w:color w:val="auto"/>
              </w:rPr>
              <w:t>Weighted-average number of shares used to compute EPS basic and diluted</w:t>
            </w:r>
          </w:p>
        </w:tc>
        <w:tc>
          <w:tcPr>
            <w:tcW w:w="29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56,855,987</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46,402,500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 / (Loss)</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not to be reclassified to income or loss in subsequent periods (net of tax)</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Re-measurement losses on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comprehensive loss, net of tax</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form an integral part of these Interim Condensed Financial Statements (Unaudited).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For the Three Months Ended</w:t>
      </w:r>
    </w:p>
    <w:p>
      <w:pPr>
        <w:spacing w:after="0" w:line="15"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wp:posOffset>
            </wp:positionV>
            <wp:extent cx="17837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20"/>
        <w:spacing w:after="0"/>
        <w:tabs>
          <w:tab w:leader="none" w:pos="1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0</wp:posOffset>
            </wp:positionV>
            <wp:extent cx="1783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(in CHF thousands)</w:t>
      </w:r>
    </w:p>
    <w:p>
      <w:pPr>
        <w:jc w:val="both"/>
        <w:ind w:left="260"/>
        <w:spacing w:after="0"/>
        <w:tabs>
          <w:tab w:leader="none" w:pos="1700" w:val="left"/>
        </w:tabs>
        <w:rPr>
          <w:sz w:val="20"/>
          <w:szCs w:val="20"/>
          <w:color w:val="auto"/>
        </w:rPr>
      </w:pPr>
      <w:r>
        <w:rPr>
          <w:rFonts w:ascii="Arial" w:cs="Arial" w:eastAsia="Arial" w:hAnsi="Arial"/>
          <w:sz w:val="18"/>
          <w:szCs w:val="18"/>
          <w:b w:val="1"/>
          <w:bCs w:val="1"/>
          <w:color w:val="auto"/>
        </w:rPr>
        <w:t>(9,455)</w:t>
      </w:r>
      <w:r>
        <w:rPr>
          <w:sz w:val="20"/>
          <w:szCs w:val="20"/>
          <w:color w:val="auto"/>
        </w:rPr>
        <w:tab/>
      </w:r>
      <w:r>
        <w:rPr>
          <w:rFonts w:ascii="Arial" w:cs="Arial" w:eastAsia="Arial" w:hAnsi="Arial"/>
          <w:sz w:val="18"/>
          <w:szCs w:val="18"/>
          <w:b w:val="1"/>
          <w:bCs w:val="1"/>
          <w:color w:val="auto"/>
        </w:rPr>
        <w:t>(6,175)</w:t>
      </w:r>
    </w:p>
    <w:p>
      <w:pPr>
        <w:spacing w:after="0" w:line="219" w:lineRule="exact"/>
        <w:rPr>
          <w:sz w:val="20"/>
          <w:szCs w:val="20"/>
          <w:color w:val="auto"/>
        </w:rPr>
      </w:pPr>
    </w:p>
    <w:p>
      <w:pPr>
        <w:ind w:left="1860" w:hanging="1187"/>
        <w:spacing w:after="0"/>
        <w:tabs>
          <w:tab w:leader="none" w:pos="18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(184)</w:t>
      </w:r>
    </w:p>
    <w:p>
      <w:pPr>
        <w:spacing w:after="0" w:line="47"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b w:val="1"/>
          <w:bCs w:val="1"/>
          <w:color w:val="auto"/>
        </w:rPr>
        <w:t>(9,455)</w:t>
      </w:r>
      <w:r>
        <w:rPr>
          <w:rFonts w:ascii="Arial" w:cs="Arial" w:eastAsia="Arial" w:hAnsi="Arial"/>
          <w:sz w:val="17"/>
          <w:szCs w:val="17"/>
          <w:b w:val="1"/>
          <w:bCs w:val="1"/>
          <w:color w:val="auto"/>
        </w:rPr>
        <w:t>(6,359)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17837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715" cy="2603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-136525</wp:posOffset>
            </wp:positionV>
            <wp:extent cx="1783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8400" w:space="720"/>
            <w:col w:w="2300"/>
          </w:cols>
          <w:pgMar w:left="240" w:top="580" w:right="239" w:bottom="1440" w:gutter="0" w:footer="0" w:header="0"/>
          <w:type w:val="continuous"/>
        </w:sectPr>
      </w:pP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(in CHF thousands)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2016</w:t>
            </w:r>
          </w:p>
        </w:tc>
        <w:tc>
          <w:tcPr>
            <w:tcW w:w="1160" w:type="dxa"/>
            <w:vAlign w:val="bottom"/>
            <w:shd w:val="clear" w:color="auto" w:fill="D5EAEA"/>
          </w:tcPr>
          <w:p>
            <w:pPr>
              <w:jc w:val="right"/>
              <w:ind w:right="34"/>
              <w:spacing w:after="0"/>
              <w:rPr>
                <w:sz w:val="20"/>
                <w:szCs w:val="20"/>
                <w:color w:val="auto"/>
              </w:rPr>
            </w:pPr>
            <w:r>
              <w:rPr>
                <w:rFonts w:ascii="Arial" w:cs="Arial" w:eastAsia="Arial" w:hAnsi="Arial"/>
                <w:sz w:val="18"/>
                <w:szCs w:val="18"/>
                <w:b w:val="1"/>
                <w:bCs w:val="1"/>
                <w:color w:val="auto"/>
              </w:rPr>
              <w:t>928</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5"/>
              <w:spacing w:after="0"/>
              <w:rPr>
                <w:sz w:val="20"/>
                <w:szCs w:val="20"/>
                <w:color w:val="auto"/>
              </w:rPr>
            </w:pPr>
            <w:r>
              <w:rPr>
                <w:rFonts w:ascii="Arial" w:cs="Arial" w:eastAsia="Arial" w:hAnsi="Arial"/>
                <w:sz w:val="18"/>
                <w:szCs w:val="18"/>
                <w:b w:val="1"/>
                <w:bCs w:val="1"/>
                <w:color w:val="auto"/>
              </w:rPr>
              <w:t>110,496</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(40,381)</w:t>
            </w: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2"/>
              <w:spacing w:after="0"/>
              <w:rPr>
                <w:sz w:val="20"/>
                <w:szCs w:val="20"/>
                <w:color w:val="auto"/>
              </w:rPr>
            </w:pPr>
            <w:r>
              <w:rPr>
                <w:rFonts w:ascii="Arial" w:cs="Arial" w:eastAsia="Arial" w:hAnsi="Arial"/>
                <w:sz w:val="18"/>
                <w:szCs w:val="18"/>
                <w:b w:val="1"/>
                <w:bCs w:val="1"/>
                <w:color w:val="auto"/>
              </w:rPr>
              <w:t>71,043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D5EAEA"/>
            </w:tcBorders>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100" w:type="dxa"/>
            <w:vAlign w:val="bottom"/>
            <w:tcBorders>
              <w:bottom w:val="single" w:sz="8" w:color="D5EAEA"/>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Share-based payments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2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w:t>
            </w:r>
          </w:p>
        </w:tc>
        <w:tc>
          <w:tcPr>
            <w:tcW w:w="116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Balance as of March 31, 2016</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928</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110,453</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(46,702)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64,679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January 1,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80" w:type="dxa"/>
            <w:vAlign w:val="bottom"/>
            <w:gridSpan w:val="4"/>
          </w:tcPr>
          <w:p>
            <w:pPr>
              <w:ind w:left="540"/>
              <w:spacing w:after="0" w:line="137" w:lineRule="exact"/>
              <w:rPr>
                <w:sz w:val="20"/>
                <w:szCs w:val="20"/>
                <w:color w:val="auto"/>
              </w:rPr>
            </w:pPr>
            <w:r>
              <w:rPr>
                <w:rFonts w:ascii="Arial" w:cs="Arial" w:eastAsia="Arial" w:hAnsi="Arial"/>
                <w:sz w:val="14"/>
                <w:szCs w:val="14"/>
                <w:b w:val="1"/>
                <w:bCs w:val="1"/>
                <w:color w:val="auto"/>
              </w:rPr>
              <w:t>(in CHF thousands)</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1,135</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188,166</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(46,921)</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142,380</w:t>
            </w:r>
          </w:p>
        </w:tc>
        <w:tc>
          <w:tcPr>
            <w:tcW w:w="0" w:type="dxa"/>
            <w:vAlign w:val="bottom"/>
          </w:tcPr>
          <w:p>
            <w:pPr>
              <w:spacing w:after="0"/>
              <w:rPr>
                <w:sz w:val="1"/>
                <w:szCs w:val="1"/>
                <w:color w:val="auto"/>
              </w:rPr>
            </w:pPr>
          </w:p>
        </w:tc>
      </w:tr>
      <w:tr>
        <w:trPr>
          <w:trHeight w:val="209"/>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3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-591185</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-299720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20" w:space="720"/>
            <w:col w:w="488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54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Share-based payments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30"/>
        </w:trPr>
        <w:tc>
          <w:tcPr>
            <w:tcW w:w="654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11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29</w:t>
            </w: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Balance as of March 31, 2017</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188,191</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(56,276)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133,054</w:t>
            </w:r>
          </w:p>
        </w:tc>
      </w:tr>
      <w:tr>
        <w:trPr>
          <w:trHeight w:val="20"/>
        </w:trPr>
        <w:tc>
          <w:tcPr>
            <w:tcW w:w="6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For the Three Months Ended</w:t>
      </w:r>
    </w:p>
    <w:p>
      <w:pPr>
        <w:jc w:val="center"/>
        <w:ind w:left="86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2800" w:type="dxa"/>
            <w:vAlign w:val="bottom"/>
            <w:gridSpan w:val="3"/>
          </w:tcPr>
          <w:p>
            <w:pPr>
              <w:jc w:val="right"/>
              <w:ind w:right="711"/>
              <w:spacing w:after="0" w:line="142" w:lineRule="exact"/>
              <w:rPr>
                <w:sz w:val="20"/>
                <w:szCs w:val="20"/>
                <w:color w:val="auto"/>
              </w:rPr>
            </w:pPr>
            <w:r>
              <w:rPr>
                <w:rFonts w:ascii="Arial" w:cs="Arial" w:eastAsia="Arial" w:hAnsi="Arial"/>
                <w:sz w:val="14"/>
                <w:szCs w:val="14"/>
                <w:b w:val="1"/>
                <w:bCs w:val="1"/>
                <w:color w:val="auto"/>
              </w:rPr>
              <w:t>(in CHF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 :</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Finance result, net</w:t>
            </w:r>
          </w:p>
        </w:tc>
        <w:tc>
          <w:tcPr>
            <w:tcW w:w="134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Changes in pensions</w:t>
            </w:r>
          </w:p>
        </w:tc>
        <w:tc>
          <w:tcPr>
            <w:tcW w:w="134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income</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3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Deferral of unearned revenue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Accounts payable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(11,893)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Financial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Exchange differences - gain, on payables / receivables</w:t>
            </w:r>
          </w:p>
        </w:tc>
        <w:tc>
          <w:tcPr>
            <w:tcW w:w="1340" w:type="dxa"/>
            <w:vAlign w:val="bottom"/>
            <w:tcBorders>
              <w:bottom w:val="single" w:sz="8" w:color="auto"/>
            </w:tcBorders>
            <w:shd w:val="clear" w:color="auto" w:fill="D5EAEA"/>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(11,884)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Purchases of property, plant and equipment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Rent deposit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Transaction costs of issue of shares</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shares - option plan</w:t>
            </w:r>
          </w:p>
        </w:tc>
        <w:tc>
          <w:tcPr>
            <w:tcW w:w="134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Cost on issue of shares - option plan</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cash flows (used in) / provided by financing activities</w:t>
            </w:r>
          </w:p>
        </w:tc>
        <w:tc>
          <w:tcPr>
            <w:tcW w:w="1340" w:type="dxa"/>
            <w:vAlign w:val="bottom"/>
            <w:shd w:val="clear" w:color="auto" w:fill="D5EAEA"/>
          </w:tcPr>
          <w:p>
            <w:pPr>
              <w:jc w:val="right"/>
              <w:ind w:right="11"/>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(12,496)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(8,273)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Exchange gain / (loss) on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152,210</w:t>
      </w:r>
      <w:r>
        <w:rPr>
          <w:sz w:val="20"/>
          <w:szCs w:val="20"/>
          <w:color w:val="auto"/>
        </w:rPr>
        <w:tab/>
      </w:r>
      <w:r>
        <w:rPr>
          <w:rFonts w:ascii="Arial" w:cs="Arial" w:eastAsia="Arial" w:hAnsi="Arial"/>
          <w:sz w:val="18"/>
          <w:szCs w:val="18"/>
          <w:color w:val="auto"/>
        </w:rPr>
        <w:t>76,522</w:t>
      </w:r>
    </w:p>
    <w:p>
      <w:pPr>
        <w:spacing w:after="0" w:line="23" w:lineRule="exact"/>
        <w:rPr>
          <w:sz w:val="20"/>
          <w:szCs w:val="20"/>
          <w:color w:val="auto"/>
        </w:rPr>
      </w:pPr>
    </w:p>
    <w:p>
      <w:pPr>
        <w:ind w:left="120"/>
        <w:spacing w:after="0"/>
        <w:tabs>
          <w:tab w:leader="none" w:pos="1700" w:val="left"/>
        </w:tabs>
        <w:rPr>
          <w:sz w:val="20"/>
          <w:szCs w:val="20"/>
          <w:color w:val="auto"/>
        </w:rPr>
      </w:pPr>
      <w:r>
        <w:rPr>
          <w:rFonts w:ascii="Arial" w:cs="Arial" w:eastAsia="Arial" w:hAnsi="Arial"/>
          <w:sz w:val="17"/>
          <w:szCs w:val="17"/>
          <w:color w:val="auto"/>
        </w:rPr>
        <w:t>(1,630)</w:t>
      </w:r>
      <w:r>
        <w:rPr>
          <w:sz w:val="20"/>
          <w:szCs w:val="20"/>
          <w:color w:val="auto"/>
        </w:rPr>
        <w:tab/>
      </w:r>
      <w:r>
        <w:rPr>
          <w:rFonts w:ascii="Arial" w:cs="Arial" w:eastAsia="Arial" w:hAnsi="Arial"/>
          <w:sz w:val="17"/>
          <w:szCs w:val="17"/>
          <w:color w:val="auto"/>
        </w:rPr>
        <w:t>(389)</w:t>
      </w:r>
    </w:p>
    <w:p>
      <w:pPr>
        <w:spacing w:after="0" w:line="2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138,084</w:t>
      </w:r>
      <w:r>
        <w:rPr>
          <w:sz w:val="20"/>
          <w:szCs w:val="20"/>
          <w:color w:val="auto"/>
        </w:rPr>
        <w:tab/>
      </w:r>
      <w:r>
        <w:rPr>
          <w:rFonts w:ascii="Arial" w:cs="Arial" w:eastAsia="Arial" w:hAnsi="Arial"/>
          <w:sz w:val="18"/>
          <w:szCs w:val="18"/>
          <w:color w:val="auto"/>
        </w:rPr>
        <w:t>67,860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14605</wp:posOffset>
            </wp:positionV>
            <wp:extent cx="17837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1" w:lineRule="exact"/>
        <w:rPr>
          <w:sz w:val="20"/>
          <w:szCs w:val="20"/>
          <w:color w:val="auto"/>
        </w:rPr>
      </w:pPr>
    </w:p>
    <w:p>
      <w:pPr>
        <w:ind w:left="40"/>
        <w:spacing w:after="0"/>
        <w:tabs>
          <w:tab w:leader="none" w:pos="1560" w:val="left"/>
        </w:tabs>
        <w:rPr>
          <w:sz w:val="20"/>
          <w:szCs w:val="20"/>
          <w:color w:val="auto"/>
        </w:rPr>
      </w:pPr>
      <w:r>
        <w:rPr>
          <w:rFonts w:ascii="Arial" w:cs="Arial" w:eastAsia="Arial" w:hAnsi="Arial"/>
          <w:sz w:val="17"/>
          <w:szCs w:val="17"/>
          <w:b w:val="1"/>
          <w:bCs w:val="1"/>
          <w:color w:val="auto"/>
        </w:rPr>
        <w:t>(12,496)</w:t>
      </w:r>
      <w:r>
        <w:rPr>
          <w:sz w:val="20"/>
          <w:szCs w:val="20"/>
          <w:color w:val="auto"/>
        </w:rPr>
        <w:tab/>
      </w:r>
      <w:r>
        <w:rPr>
          <w:rFonts w:ascii="Arial" w:cs="Arial" w:eastAsia="Arial" w:hAnsi="Arial"/>
          <w:sz w:val="17"/>
          <w:szCs w:val="17"/>
          <w:b w:val="1"/>
          <w:bCs w:val="1"/>
          <w:color w:val="auto"/>
        </w:rPr>
        <w:t>(8,273)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24765</wp:posOffset>
            </wp:positionV>
            <wp:extent cx="17837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715" cy="26035"/>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8540" w:space="720"/>
            <w:col w:w="2160"/>
          </w:cols>
          <w:pgMar w:left="240" w:top="58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Non-cash property, plant and equipment purchase consideration was CHF 462 thousand for the three months ended March 2017.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0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AC Immune SA (the “Company,” or “AC Immune,”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months ended March 31, 2017 were authorized for issuance by the Company’s Audit Committee on May 10, 2017.</w:t>
      </w:r>
    </w:p>
    <w:p>
      <w:pPr>
        <w:spacing w:after="0" w:line="166" w:lineRule="exact"/>
        <w:rPr>
          <w:sz w:val="20"/>
          <w:szCs w:val="20"/>
          <w:color w:val="auto"/>
        </w:rPr>
      </w:pPr>
    </w:p>
    <w:p>
      <w:pPr>
        <w:ind w:right="5500" w:firstLine="8"/>
        <w:spacing w:after="0" w:line="503" w:lineRule="auto"/>
        <w:tabs>
          <w:tab w:leader="none" w:pos="45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These Interim Condensed Financial Statements as of and for the three months ended March 31, 2017 have been prepared in accordance with International Accounting Standard 34 (IAS34),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estimated tax expense for the three months ended March 31, 2017 is zero. The estimated tax expense is based on the best estimate of the weighted average annual income tax rate expected for the full financial year to December 31, 2017. As we expect to incur a loss for the full year, we do not anticipate any income tax expense.</w:t>
      </w:r>
    </w:p>
    <w:p>
      <w:pPr>
        <w:spacing w:after="0" w:line="15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Consistent with prior years, the Company has not recognized any deferred tax assets relating to tax losses available as the recognition criteria have not been met at the balance sheet date.</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2016, except for the adoption of new standards and interpretations effective as of January 1, 2017. The Company has not adopted any other standard, interpretation or amendment that has been issued but is not yet effective.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Company is currently analyzing the impact of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IFRS 16 (</w:t>
      </w:r>
      <w:r>
        <w:rPr>
          <w:rFonts w:ascii="Arial" w:cs="Arial" w:eastAsia="Arial" w:hAnsi="Arial"/>
          <w:sz w:val="18"/>
          <w:szCs w:val="18"/>
          <w:i w:val="1"/>
          <w:iCs w:val="1"/>
          <w:color w:val="auto"/>
        </w:rPr>
        <w:t>Leases</w:t>
      </w:r>
      <w:r>
        <w:rPr>
          <w:rFonts w:ascii="Arial" w:cs="Arial" w:eastAsia="Arial" w:hAnsi="Arial"/>
          <w:sz w:val="18"/>
          <w:szCs w:val="18"/>
          <w:color w:val="auto"/>
        </w:rPr>
        <w:t>) which have been issued by the IASB but not yet adopted on our financial statements. Further consideration of the pending adoption of IFRS is discussed below.</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The Company is currently analyzing the impact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amends revenue recognition requirements and establishes principles for reporting information about the nature, amount, timing and uncertainty of revenue and cash flows arising from contracts with customers. The standard replaces IAS 18 </w:t>
      </w:r>
      <w:r>
        <w:rPr>
          <w:rFonts w:ascii="Arial" w:cs="Arial" w:eastAsia="Arial" w:hAnsi="Arial"/>
          <w:sz w:val="17"/>
          <w:szCs w:val="17"/>
          <w:i w:val="1"/>
          <w:iCs w:val="1"/>
          <w:color w:val="auto"/>
        </w:rPr>
        <w:t>Revenu</w:t>
      </w:r>
      <w:r>
        <w:rPr>
          <w:rFonts w:ascii="Arial" w:cs="Arial" w:eastAsia="Arial" w:hAnsi="Arial"/>
          <w:sz w:val="17"/>
          <w:szCs w:val="17"/>
          <w:color w:val="auto"/>
        </w:rPr>
        <w:t xml:space="preserve">e and IAS 11 </w:t>
      </w:r>
      <w:r>
        <w:rPr>
          <w:rFonts w:ascii="Arial" w:cs="Arial" w:eastAsia="Arial" w:hAnsi="Arial"/>
          <w:sz w:val="17"/>
          <w:szCs w:val="17"/>
          <w:i w:val="1"/>
          <w:iCs w:val="1"/>
          <w:color w:val="auto"/>
        </w:rPr>
        <w:t>Construction Contracts and Related Interpretations</w:t>
      </w:r>
      <w:r>
        <w:rPr>
          <w:rFonts w:ascii="Arial" w:cs="Arial" w:eastAsia="Arial" w:hAnsi="Arial"/>
          <w:sz w:val="17"/>
          <w:szCs w:val="17"/>
          <w:color w:val="auto"/>
        </w:rPr>
        <w:t xml:space="preserve">. This analysis includes reviewing current accounting policies and practices to identify potential differences that would result from applying the requirements under the new standard. The Company has initiated contract reviews and expects to complete the contract evaluations and validate results by the end of the third quarter of 2017. The Company is also evaluating its accounting policies and the new disclosure requirements and expects to complete its evaluations of the impacts of the accounting and disclosure requirements on its business processes and controls by the end of the third quarter of 2017. Full implementation will be completed by the end of 2017. The Company will continue to evaluate the method of adoption and the potential impact that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may have on our financial position and results of operations.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interim condensed financial statements have been prepared on the basis that the Company will continue as a going concern after considering the Company’s cash position of CHF 138.1 million as of March 31, 2017.</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20" w:firstLine="8"/>
        <w:spacing w:after="0" w:line="323"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3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AC Immune generated revenues of CHF 2.0 million in the three months ended March 31, 2017, an increase of CHF 1.5 million over the comparable period in 2016. The increase in revenues was primarily driven by the EUR 1 million (CHF 1.1 million) milestone payment invoiced to Piramal Imaging for the initiation of “Part B” of the first-in-man phase 1 clinical trial for PSP (Progressive Supranuclear Palsy) and CHF 0.9 million in research contribution revenues related to the Alpha-synuclein and TDP-43 PET Imaging Tracers Biogen collaboration. In the three months ended March 31, 2017, revenues also included CHF 51 thousand for a research grant from the LuMind Research Down Syndrome Foundation to support our ACI-24 phase 1 clinical study in patients with Down Syndrome.</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For the Three Months Ended</w:t>
      </w:r>
    </w:p>
    <w:p>
      <w:pPr>
        <w:jc w:val="center"/>
        <w:ind w:left="8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w w:val="89"/>
              </w:rPr>
              <w:t>2016</w:t>
            </w:r>
          </w:p>
        </w:tc>
      </w:tr>
      <w:tr>
        <w:trPr>
          <w:trHeight w:val="142"/>
        </w:trPr>
        <w:tc>
          <w:tcPr>
            <w:tcW w:w="44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3"/>
              </w:rPr>
              <w:t>in CHF thousands</w:t>
            </w:r>
          </w:p>
        </w:tc>
        <w:tc>
          <w:tcPr>
            <w:tcW w:w="840" w:type="dxa"/>
            <w:vAlign w:val="bottom"/>
          </w:tcPr>
          <w:p>
            <w:pPr>
              <w:spacing w:after="0"/>
              <w:rPr>
                <w:sz w:val="12"/>
                <w:szCs w:val="12"/>
                <w:color w:val="auto"/>
              </w:rPr>
            </w:pPr>
          </w:p>
        </w:tc>
      </w:tr>
      <w:tr>
        <w:trPr>
          <w:trHeight w:val="216"/>
        </w:trPr>
        <w:tc>
          <w:tcPr>
            <w:tcW w:w="942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Collaboration and license revenue</w:t>
            </w:r>
          </w:p>
        </w:tc>
        <w:tc>
          <w:tcPr>
            <w:tcW w:w="540" w:type="dxa"/>
            <w:vAlign w:val="bottom"/>
            <w:shd w:val="clear" w:color="auto" w:fill="D5EAEA"/>
          </w:tcPr>
          <w:p>
            <w:pPr>
              <w:jc w:val="right"/>
              <w:ind w:right="14"/>
              <w:spacing w:after="0"/>
              <w:rPr>
                <w:sz w:val="20"/>
                <w:szCs w:val="20"/>
                <w:color w:val="auto"/>
              </w:rPr>
            </w:pPr>
            <w:r>
              <w:rPr>
                <w:rFonts w:ascii="Arial" w:cs="Arial" w:eastAsia="Arial" w:hAnsi="Arial"/>
                <w:sz w:val="18"/>
                <w:szCs w:val="18"/>
                <w:color w:val="auto"/>
                <w:w w:val="93"/>
              </w:rPr>
              <w:t>1,955</w:t>
            </w:r>
          </w:p>
        </w:tc>
        <w:tc>
          <w:tcPr>
            <w:tcW w:w="10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840" w:type="dxa"/>
            <w:vAlign w:val="bottom"/>
            <w:shd w:val="clear" w:color="auto" w:fill="D5EAEA"/>
          </w:tcPr>
          <w:p>
            <w:pPr>
              <w:jc w:val="right"/>
              <w:ind w:right="14"/>
              <w:spacing w:after="0"/>
              <w:rPr>
                <w:sz w:val="20"/>
                <w:szCs w:val="20"/>
                <w:color w:val="auto"/>
              </w:rPr>
            </w:pPr>
            <w:r>
              <w:rPr>
                <w:rFonts w:ascii="Arial" w:cs="Arial" w:eastAsia="Arial" w:hAnsi="Arial"/>
                <w:sz w:val="18"/>
                <w:szCs w:val="18"/>
                <w:color w:val="auto"/>
              </w:rPr>
              <w:t>381</w:t>
            </w: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color w:val="auto"/>
              </w:rPr>
              <w:t>Grant revenue</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23"/>
        </w:trPr>
        <w:tc>
          <w:tcPr>
            <w:tcW w:w="85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shd w:val="clear" w:color="auto" w:fill="D5EAEA"/>
          </w:tcPr>
          <w:p>
            <w:pPr>
              <w:spacing w:after="0"/>
              <w:rPr>
                <w:sz w:val="19"/>
                <w:szCs w:val="19"/>
                <w:color w:val="auto"/>
              </w:rPr>
            </w:pPr>
          </w:p>
        </w:tc>
        <w:tc>
          <w:tcPr>
            <w:tcW w:w="540" w:type="dxa"/>
            <w:vAlign w:val="bottom"/>
            <w:tcBorders>
              <w:top w:val="single" w:sz="8" w:color="auto"/>
              <w:bottom w:val="single" w:sz="8" w:color="auto"/>
            </w:tcBorders>
            <w:shd w:val="clear" w:color="auto" w:fill="D5EAEA"/>
          </w:tcPr>
          <w:p>
            <w:pPr>
              <w:jc w:val="right"/>
              <w:ind w:right="14"/>
              <w:spacing w:after="0"/>
              <w:rPr>
                <w:sz w:val="20"/>
                <w:szCs w:val="20"/>
                <w:color w:val="auto"/>
              </w:rPr>
            </w:pPr>
            <w:r>
              <w:rPr>
                <w:rFonts w:ascii="Arial" w:cs="Arial" w:eastAsia="Arial" w:hAnsi="Arial"/>
                <w:sz w:val="18"/>
                <w:szCs w:val="18"/>
                <w:color w:val="auto"/>
                <w:w w:val="93"/>
              </w:rPr>
              <w:t>2,006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520" w:type="dxa"/>
            <w:vAlign w:val="bottom"/>
            <w:tcBorders>
              <w:top w:val="single" w:sz="8" w:color="auto"/>
              <w:bottom w:val="single" w:sz="8" w:color="auto"/>
            </w:tcBorders>
            <w:shd w:val="clear" w:color="auto" w:fill="D5EAEA"/>
          </w:tcPr>
          <w:p>
            <w:pPr>
              <w:spacing w:after="0"/>
              <w:rPr>
                <w:sz w:val="19"/>
                <w:szCs w:val="19"/>
                <w:color w:val="auto"/>
              </w:rPr>
            </w:pPr>
          </w:p>
        </w:tc>
        <w:tc>
          <w:tcPr>
            <w:tcW w:w="840" w:type="dxa"/>
            <w:vAlign w:val="bottom"/>
            <w:tcBorders>
              <w:top w:val="single" w:sz="8" w:color="auto"/>
              <w:bottom w:val="single" w:sz="8" w:color="auto"/>
            </w:tcBorders>
            <w:shd w:val="clear" w:color="auto" w:fill="D5EAEA"/>
          </w:tcPr>
          <w:p>
            <w:pPr>
              <w:jc w:val="right"/>
              <w:ind w:right="14"/>
              <w:spacing w:after="0"/>
              <w:rPr>
                <w:sz w:val="20"/>
                <w:szCs w:val="20"/>
                <w:color w:val="auto"/>
              </w:rPr>
            </w:pPr>
            <w:r>
              <w:rPr>
                <w:rFonts w:ascii="Arial" w:cs="Arial" w:eastAsia="Arial" w:hAnsi="Arial"/>
                <w:sz w:val="18"/>
                <w:szCs w:val="18"/>
                <w:color w:val="auto"/>
              </w:rPr>
              <w:t>487</w:t>
            </w: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13"/>
        </w:trPr>
        <w:tc>
          <w:tcPr>
            <w:tcW w:w="440" w:type="dxa"/>
            <w:vAlign w:val="bottom"/>
          </w:tcPr>
          <w:p>
            <w:pPr>
              <w:spacing w:after="0"/>
              <w:rPr>
                <w:sz w:val="20"/>
                <w:szCs w:val="20"/>
                <w:color w:val="auto"/>
              </w:rPr>
            </w:pPr>
            <w:r>
              <w:rPr>
                <w:rFonts w:ascii="Arial" w:cs="Arial" w:eastAsia="Arial" w:hAnsi="Arial"/>
                <w:sz w:val="18"/>
                <w:szCs w:val="18"/>
                <w:b w:val="1"/>
                <w:bCs w:val="1"/>
                <w:color w:val="auto"/>
              </w:rPr>
              <w:t>3.1.</w:t>
            </w:r>
          </w:p>
        </w:tc>
        <w:tc>
          <w:tcPr>
            <w:tcW w:w="8980" w:type="dxa"/>
            <w:vAlign w:val="bottom"/>
            <w:gridSpan w:val="2"/>
          </w:tcPr>
          <w:p>
            <w:pPr>
              <w:jc w:val="right"/>
              <w:ind w:right="5688"/>
              <w:spacing w:after="0"/>
              <w:rPr>
                <w:sz w:val="20"/>
                <w:szCs w:val="20"/>
                <w:color w:val="auto"/>
              </w:rPr>
            </w:pPr>
            <w:r>
              <w:rPr>
                <w:rFonts w:ascii="Arial" w:cs="Arial" w:eastAsia="Arial" w:hAnsi="Arial"/>
                <w:sz w:val="18"/>
                <w:szCs w:val="18"/>
                <w:b w:val="1"/>
                <w:bCs w:val="1"/>
                <w:color w:val="auto"/>
                <w:w w:val="92"/>
              </w:rPr>
              <w:t>Licensing and collaboration agreements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3.1.1 Research Collaboration and license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Imaging Tracers - Collaboration with Biogen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April 13, 2016, AC Immune entered into a non-exclusive research collaboration agreement with Biogen International GmbH, or Biogen. Under the agreement, the Company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6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April 2016, we received CHF 1.5 million for the technology access fee, which is being deferred and recognized over a twelve month period. As of March 31, 2017, CHF 128 thousand is recorded as a current liability in deferred income and is expected to be recognized as revenue in 2017.</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March 2017, we invoiced Piramal for a EUR 1 million (CHF 1.1 million) milestone related to the initiation of “Part B” of the first-in-man Phase 1 clinical trial for PSP (Progressive Supranuclear Palsy). As we met all performance obligations on reaching the milestone, we have recognized this income as revenue.</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also entitled to further clinical milestones totaling EUR 6 million should the compound make it through to Phase 3 clinical studies and are further entitled to potential regulatory, commercialization and sales based milestones totaling EUR 150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3.1.2 Milestones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Tau Vaccine in AD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Collaboration agreement of 2014 with Janssen Pharmaceuticals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January 2016, we received payments of CHF 1.5 million for pre-payment of research and external research costs for 2016. We recognized the proceeds over a 12-month period on a straight-line basis pursuant to the terms of the collaboration agreement. In May 2016, we received a CHF 4.9 million payment for reaching a clinical milestone in the Phase 1b study. As we met all performance obligations on reaching the milestone, we have recognized this income as revenue.</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part of this agreement, AC Immune and Janssen have committed to spending CHF 13.8 million in clinical development until the end of Phase 1b. Any remaining commitment not spent on the Phase 1b study will be carried forward to cover additional development costs with Janssen continuing to be responsible for any costs above the stated CHF 13.8 million. Under the terms of the agreement, Janssen may terminate the agreement at any time after completion of the Phase 1b clinical study by providing 90 days notice to 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June 2012, we entered into an exclusive global license agreement and research collaboration with Genentech, Inc.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March 31, 2017 we have received payments totaling CHF 45 million including a CHF 14 million milestone recognized in the second quarter of 2016 related to the start of phase 1 clinical trials for this program.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Genentech may terminate the agreement at any time by providing 90 days notice to us. In such event all costs incurred are still refundable.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November 2006, AC Immune signed an exclusive, worldwide licensing agreement for crenezumab, our humanized monoclonal antibody targeting misfolded Abeta. Genentech commenced a first Phase 3 clinical study in the first quarter of fiscal 2016 and in February 2017, Genentech started a second Phase 3 clinical trial.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To date, we have received total payments of $65 million (CHF 70.1 million).</w:t>
      </w:r>
    </w:p>
    <w:p>
      <w:pPr>
        <w:spacing w:after="0" w:line="16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For the Three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040" w:type="dxa"/>
            <w:vAlign w:val="bottom"/>
          </w:tcPr>
          <w:p>
            <w:pPr>
              <w:spacing w:after="0"/>
              <w:rPr>
                <w:sz w:val="13"/>
                <w:szCs w:val="13"/>
                <w:color w:val="auto"/>
              </w:rPr>
            </w:pPr>
          </w:p>
        </w:tc>
        <w:tc>
          <w:tcPr>
            <w:tcW w:w="1280" w:type="dxa"/>
            <w:vAlign w:val="bottom"/>
            <w:tcBorders>
              <w:top w:val="single" w:sz="8" w:color="auto"/>
              <w:bottom w:val="single" w:sz="8" w:color="auto"/>
            </w:tcBorders>
          </w:tcPr>
          <w:p>
            <w:pPr>
              <w:jc w:val="right"/>
              <w:ind w:right="480"/>
              <w:spacing w:after="0" w:line="155"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r>
      <w:tr>
        <w:trPr>
          <w:trHeight w:val="119"/>
        </w:trPr>
        <w:tc>
          <w:tcPr>
            <w:tcW w:w="9040" w:type="dxa"/>
            <w:vAlign w:val="bottom"/>
          </w:tcPr>
          <w:p>
            <w:pPr>
              <w:spacing w:after="0"/>
              <w:rPr>
                <w:sz w:val="10"/>
                <w:szCs w:val="10"/>
                <w:color w:val="auto"/>
              </w:rPr>
            </w:pPr>
          </w:p>
        </w:tc>
        <w:tc>
          <w:tcPr>
            <w:tcW w:w="2380" w:type="dxa"/>
            <w:vAlign w:val="bottom"/>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(in CHF thousands except for share</w:t>
            </w:r>
          </w:p>
        </w:tc>
      </w:tr>
      <w:tr>
        <w:trPr>
          <w:trHeight w:val="171"/>
        </w:trPr>
        <w:tc>
          <w:tcPr>
            <w:tcW w:w="9040" w:type="dxa"/>
            <w:vAlign w:val="bottom"/>
          </w:tcPr>
          <w:p>
            <w:pPr>
              <w:spacing w:after="0"/>
              <w:rPr>
                <w:sz w:val="14"/>
                <w:szCs w:val="14"/>
                <w:color w:val="auto"/>
              </w:rPr>
            </w:pPr>
          </w:p>
        </w:tc>
        <w:tc>
          <w:tcPr>
            <w:tcW w:w="238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and per share data, unaudited)</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280" w:type="dxa"/>
            <w:vAlign w:val="bottom"/>
            <w:shd w:val="clear" w:color="auto" w:fill="D5EAEA"/>
          </w:tcPr>
          <w:p>
            <w:pPr>
              <w:jc w:val="right"/>
              <w:ind w:right="100"/>
              <w:spacing w:after="0"/>
              <w:rPr>
                <w:sz w:val="20"/>
                <w:szCs w:val="20"/>
                <w:color w:val="auto"/>
              </w:rPr>
            </w:pPr>
            <w:r>
              <w:rPr>
                <w:rFonts w:ascii="Arial" w:cs="Arial" w:eastAsia="Arial" w:hAnsi="Arial"/>
                <w:sz w:val="18"/>
                <w:szCs w:val="18"/>
                <w:color w:val="auto"/>
              </w:rPr>
              <w:t>(9,455)</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(6,175)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Loss per share (EPS):</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1280" w:type="dxa"/>
            <w:vAlign w:val="bottom"/>
            <w:shd w:val="clear" w:color="auto" w:fill="D5EAEA"/>
          </w:tcPr>
          <w:p>
            <w:pPr>
              <w:jc w:val="right"/>
              <w:ind w:right="100"/>
              <w:spacing w:after="0"/>
              <w:rPr>
                <w:sz w:val="20"/>
                <w:szCs w:val="20"/>
                <w:color w:val="auto"/>
              </w:rPr>
            </w:pPr>
            <w:r>
              <w:rPr>
                <w:rFonts w:ascii="Arial" w:cs="Arial" w:eastAsia="Arial" w:hAnsi="Arial"/>
                <w:sz w:val="18"/>
                <w:szCs w:val="18"/>
                <w:color w:val="auto"/>
              </w:rPr>
              <w:t>(0.17)</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 and diluted</w:t>
            </w:r>
          </w:p>
        </w:tc>
        <w:tc>
          <w:tcPr>
            <w:tcW w:w="1280" w:type="dxa"/>
            <w:vAlign w:val="bottom"/>
          </w:tcPr>
          <w:p>
            <w:pPr>
              <w:jc w:val="right"/>
              <w:ind w:right="160"/>
              <w:spacing w:after="0"/>
              <w:rPr>
                <w:sz w:val="20"/>
                <w:szCs w:val="20"/>
                <w:color w:val="auto"/>
              </w:rPr>
            </w:pPr>
            <w:r>
              <w:rPr>
                <w:rFonts w:ascii="Arial" w:cs="Arial" w:eastAsia="Arial" w:hAnsi="Arial"/>
                <w:sz w:val="18"/>
                <w:szCs w:val="18"/>
                <w:color w:val="auto"/>
              </w:rPr>
              <w:t>56,855,987</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46,402,500</w:t>
            </w:r>
          </w:p>
        </w:tc>
      </w:tr>
    </w:tbl>
    <w:p>
      <w:pPr>
        <w:spacing w:after="0" w:line="18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For the three months ended March 31, 2017 and 2016, basic and diluted earnings per share is based on the weighted average number of shares issued and outstanding. Weighted-average dilutive shares outstanding excludes antidilutive share options and non-vested restricted share awards that totaled 1,611,547 and 3,557,473, respectively from the computation of diluted loss per common share for the three-months ended March 31, 2017 and 2016.</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For the three months ended March 31, 2017, property, plant and equipment is CHF 2.1 million compared to CHF 1.1 million for the year ended December 31, 2016. The increase of CHF 1.0 million over the comparable period in 2016 was due to investments into our IT and laboratory infrastructure.</w:t>
      </w:r>
    </w:p>
    <w:p>
      <w:pPr>
        <w:spacing w:after="0" w:line="12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Prepaid expenses include prepaid research and development costs, administrative costs and pension expenses totaling CHF 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580"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months ended March 31, 2017 included as Exhibit 99.1 to this Report on Form 6-K. We also recommend that you read our management’s discussion and analysis and our audited financial statements and the notes thereto, which appear in our Annual Report on Form 20-F for the year ended December 31, 2016 on file with the U.S. Securities and Exchange Commission (the “SEC”).</w:t>
      </w:r>
    </w:p>
    <w:p>
      <w:pPr>
        <w:spacing w:after="0" w:line="18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May 10,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AC Immune generated revenues of CHF 2.0 million in the three months ended March 31, 2017, an increase of CHF 1.5 million over the comparable period in 2016. The following table summarizes our revenues during the three months ended March 31,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72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11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2820" w:type="dxa"/>
            <w:vAlign w:val="bottom"/>
            <w:gridSpan w:val="6"/>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Collaboration and license revenue</w:t>
            </w:r>
          </w:p>
        </w:tc>
        <w:tc>
          <w:tcPr>
            <w:tcW w:w="1160" w:type="dxa"/>
            <w:vAlign w:val="bottom"/>
            <w:shd w:val="clear" w:color="auto" w:fill="D5EAEA"/>
          </w:tcPr>
          <w:p>
            <w:pPr>
              <w:jc w:val="right"/>
              <w:ind w:right="40"/>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00" w:type="dxa"/>
            <w:vAlign w:val="bottom"/>
            <w:shd w:val="clear" w:color="auto" w:fill="D5EAEA"/>
          </w:tcPr>
          <w:p>
            <w:pPr>
              <w:jc w:val="right"/>
              <w:ind w:right="34"/>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4"/>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Grant revenue</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D5EAE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auto"/>
            </w:tcBorders>
            <w:shd w:val="clear" w:color="auto" w:fill="D5EAEA"/>
          </w:tcPr>
          <w:p>
            <w:pPr>
              <w:jc w:val="right"/>
              <w:ind w:right="40"/>
              <w:spacing w:after="0"/>
              <w:rPr>
                <w:sz w:val="20"/>
                <w:szCs w:val="20"/>
                <w:color w:val="auto"/>
              </w:rPr>
            </w:pPr>
            <w:r>
              <w:rPr>
                <w:rFonts w:ascii="Arial" w:cs="Arial" w:eastAsia="Arial" w:hAnsi="Arial"/>
                <w:sz w:val="18"/>
                <w:szCs w:val="18"/>
                <w:color w:val="auto"/>
              </w:rPr>
              <w:t>2,006</w:t>
            </w:r>
          </w:p>
        </w:tc>
        <w:tc>
          <w:tcPr>
            <w:tcW w:w="140" w:type="dxa"/>
            <w:vAlign w:val="bottom"/>
            <w:tcBorders>
              <w:bottom w:val="single" w:sz="8" w:color="D5EAEA"/>
            </w:tcBorders>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80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4"/>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increase in revenues was principally due to the EUR 1 million (CHF 1.1 million) milestone payment invoiced to Piramal Imaging for the initiation of “Part B” of the first-in-man phase 1 clinical trial for PSP (Progressive Supranuclear Palsy) and CHF 0.9 million in research contribution revenues related to the Alpha-synuclein and TDP-43 PET Imaging Tracers Biogen collaboration. In the three months ended March 31, 2017, revenues also included CHF 51 thousand for a research grant from the LuMind Research Down Syndrome Foundation to support our ACI-24 phase 1 clinical study in patients with Down Syndrome.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the three months ended March 31, 2017, research and development expenses totaled CHF 7.5 million compared with CHF 5.4 million in the same period in 2016, an increase of CHF 2.1 million. The following table presents the research and development expenses during the three months ended March 31, 2017 and 2016:</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Salaries and related costs(1)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tangible fixed assets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Total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  Includes share-based compensation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For the Three Months Ended</w:t>
      </w:r>
    </w:p>
    <w:p>
      <w:pPr>
        <w:jc w:val="center"/>
        <w:ind w:right="1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3"/>
              </w:rPr>
              <w:t>Change</w:t>
            </w:r>
          </w:p>
        </w:tc>
      </w:tr>
      <w:tr>
        <w:trPr>
          <w:trHeight w:val="128"/>
        </w:trPr>
        <w:tc>
          <w:tcPr>
            <w:tcW w:w="2820" w:type="dxa"/>
            <w:vAlign w:val="bottom"/>
            <w:gridSpan w:val="5"/>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r>
      <w:tr>
        <w:trPr>
          <w:trHeight w:val="216"/>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5,170</w:t>
            </w:r>
          </w:p>
        </w:tc>
        <w:tc>
          <w:tcPr>
            <w:tcW w:w="1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1,382</w:t>
            </w:r>
          </w:p>
        </w:tc>
      </w:tr>
      <w:tr>
        <w:trPr>
          <w:trHeight w:val="230"/>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665</w:t>
            </w:r>
          </w:p>
        </w:tc>
      </w:tr>
      <w:tr>
        <w:trPr>
          <w:trHeight w:val="23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r>
      <w:tr>
        <w:trPr>
          <w:trHeight w:val="223"/>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7,454</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-599440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-325120</wp:posOffset>
            </wp:positionV>
            <wp:extent cx="72466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7060" w:space="720"/>
            <w:col w:w="3640"/>
          </w:cols>
          <w:pgMar w:left="240" w:top="229" w:right="239" w:bottom="1440" w:gutter="0" w:footer="0" w:header="0"/>
          <w:type w:val="continuous"/>
        </w:sectPr>
      </w:pPr>
    </w:p>
    <w:p>
      <w:pPr>
        <w:spacing w:after="0" w:line="48"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increase in research and development programs is primarily driven by the new discovery programs and the two ACI 24 programs. The following table presents the research and development expenses by major development program during the three months ended March 31, 2017 and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820" w:type="dxa"/>
            <w:vAlign w:val="bottom"/>
            <w:gridSpan w:val="6"/>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Programs subject to collaboration agreements(2)</w:t>
            </w:r>
          </w:p>
        </w:tc>
        <w:tc>
          <w:tcPr>
            <w:tcW w:w="1160" w:type="dxa"/>
            <w:vAlign w:val="bottom"/>
            <w:shd w:val="clear" w:color="auto" w:fill="D5EAEA"/>
          </w:tcPr>
          <w:p>
            <w:pPr>
              <w:jc w:val="right"/>
              <w:ind w:right="36"/>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00" w:type="dxa"/>
            <w:vAlign w:val="bottom"/>
            <w:shd w:val="clear" w:color="auto" w:fill="D5EAEA"/>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ACI-35</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ACI-24 (for AD and Down syndrome)</w:t>
            </w:r>
          </w:p>
        </w:tc>
        <w:tc>
          <w:tcPr>
            <w:tcW w:w="1160" w:type="dxa"/>
            <w:vAlign w:val="bottom"/>
            <w:shd w:val="clear" w:color="auto" w:fill="D5EAEA"/>
          </w:tcPr>
          <w:p>
            <w:pPr>
              <w:jc w:val="right"/>
              <w:ind w:right="36"/>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00" w:type="dxa"/>
            <w:vAlign w:val="bottom"/>
            <w:shd w:val="clear" w:color="auto" w:fill="D5EAEA"/>
          </w:tcPr>
          <w:p>
            <w:pPr>
              <w:jc w:val="right"/>
              <w:ind w:right="32"/>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PD (therapeutics and diagnostics)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New discovery programs</w:t>
            </w:r>
          </w:p>
        </w:tc>
        <w:tc>
          <w:tcPr>
            <w:tcW w:w="1160" w:type="dxa"/>
            <w:vAlign w:val="bottom"/>
            <w:tcBorders>
              <w:bottom w:val="single" w:sz="8" w:color="auto"/>
            </w:tcBorders>
            <w:shd w:val="clear" w:color="auto" w:fill="D5EAEA"/>
          </w:tcPr>
          <w:p>
            <w:pPr>
              <w:jc w:val="right"/>
              <w:ind w:right="36"/>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800" w:type="dxa"/>
            <w:vAlign w:val="bottom"/>
            <w:tcBorders>
              <w:bottom w:val="single" w:sz="8" w:color="auto"/>
            </w:tcBorders>
            <w:shd w:val="clear" w:color="auto" w:fill="D5EAEA"/>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2"/>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programs</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4,999</w:t>
            </w:r>
          </w:p>
        </w:tc>
        <w:tc>
          <w:tcPr>
            <w:tcW w:w="140" w:type="dxa"/>
            <w:vAlign w:val="bottom"/>
            <w:tcBorders>
              <w:bottom w:val="single" w:sz="8" w:color="D5EA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D5EA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R&amp;D expenses not allocated to specific programs</w:t>
            </w:r>
          </w:p>
        </w:tc>
        <w:tc>
          <w:tcPr>
            <w:tcW w:w="1160" w:type="dxa"/>
            <w:vAlign w:val="bottom"/>
            <w:tcBorders>
              <w:bottom w:val="single" w:sz="8" w:color="auto"/>
            </w:tcBorders>
            <w:shd w:val="clear" w:color="auto" w:fill="D5EAEA"/>
          </w:tcPr>
          <w:p>
            <w:pPr>
              <w:jc w:val="right"/>
              <w:ind w:right="36"/>
              <w:spacing w:after="0"/>
              <w:rPr>
                <w:sz w:val="20"/>
                <w:szCs w:val="20"/>
                <w:color w:val="auto"/>
              </w:rPr>
            </w:pPr>
            <w:r>
              <w:rPr>
                <w:rFonts w:ascii="Arial" w:cs="Arial" w:eastAsia="Arial" w:hAnsi="Arial"/>
                <w:sz w:val="18"/>
                <w:szCs w:val="18"/>
                <w:color w:val="auto"/>
              </w:rPr>
              <w:t>2,455</w:t>
            </w:r>
          </w:p>
        </w:tc>
        <w:tc>
          <w:tcPr>
            <w:tcW w:w="140" w:type="dxa"/>
            <w:vAlign w:val="bottom"/>
            <w:shd w:val="clear" w:color="auto" w:fill="D5EAEA"/>
          </w:tcPr>
          <w:p>
            <w:pPr>
              <w:spacing w:after="0"/>
              <w:rPr>
                <w:sz w:val="18"/>
                <w:szCs w:val="18"/>
                <w:color w:val="auto"/>
              </w:rPr>
            </w:pPr>
          </w:p>
        </w:tc>
        <w:tc>
          <w:tcPr>
            <w:tcW w:w="320" w:type="dxa"/>
            <w:vAlign w:val="bottom"/>
            <w:tcBorders>
              <w:bottom w:val="single" w:sz="8" w:color="auto"/>
            </w:tcBorders>
            <w:shd w:val="clear" w:color="auto" w:fill="D5EAEA"/>
          </w:tcPr>
          <w:p>
            <w:pPr>
              <w:spacing w:after="0"/>
              <w:rPr>
                <w:sz w:val="18"/>
                <w:szCs w:val="18"/>
                <w:color w:val="auto"/>
              </w:rPr>
            </w:pPr>
          </w:p>
        </w:tc>
        <w:tc>
          <w:tcPr>
            <w:tcW w:w="800" w:type="dxa"/>
            <w:vAlign w:val="bottom"/>
            <w:tcBorders>
              <w:bottom w:val="single" w:sz="8" w:color="auto"/>
            </w:tcBorders>
            <w:shd w:val="clear" w:color="auto" w:fill="D5EAEA"/>
          </w:tcPr>
          <w:p>
            <w:pPr>
              <w:jc w:val="right"/>
              <w:ind w:right="32"/>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D5EAEA"/>
          </w:tcPr>
          <w:p>
            <w:pPr>
              <w:spacing w:after="0"/>
              <w:rPr>
                <w:sz w:val="18"/>
                <w:szCs w:val="18"/>
                <w:color w:val="auto"/>
              </w:rPr>
            </w:pPr>
          </w:p>
        </w:tc>
        <w:tc>
          <w:tcPr>
            <w:tcW w:w="300" w:type="dxa"/>
            <w:vAlign w:val="bottom"/>
            <w:tcBorders>
              <w:bottom w:val="single" w:sz="8" w:color="auto"/>
            </w:tcBorders>
            <w:shd w:val="clear" w:color="auto" w:fill="D5EAEA"/>
          </w:tcPr>
          <w:p>
            <w:pPr>
              <w:spacing w:after="0"/>
              <w:rPr>
                <w:sz w:val="18"/>
                <w:szCs w:val="18"/>
                <w:color w:val="auto"/>
              </w:rPr>
            </w:pPr>
          </w:p>
        </w:tc>
        <w:tc>
          <w:tcPr>
            <w:tcW w:w="820" w:type="dxa"/>
            <w:vAlign w:val="bottom"/>
            <w:tcBorders>
              <w:bottom w:val="single" w:sz="8" w:color="auto"/>
            </w:tcBorders>
            <w:shd w:val="clear" w:color="auto" w:fill="D5EAEA"/>
          </w:tcPr>
          <w:p>
            <w:pPr>
              <w:jc w:val="right"/>
              <w:ind w:right="12"/>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7,454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48"/>
        </w:trPr>
        <w:tc>
          <w:tcPr>
            <w:tcW w:w="2860" w:type="dxa"/>
            <w:vAlign w:val="bottom"/>
            <w:tcBorders>
              <w:bottom w:val="single" w:sz="8" w:color="auto"/>
            </w:tcBorders>
          </w:tcPr>
          <w:p>
            <w:pPr>
              <w:spacing w:after="0"/>
              <w:rPr>
                <w:sz w:val="4"/>
                <w:szCs w:val="4"/>
                <w:color w:val="auto"/>
              </w:rPr>
            </w:pPr>
          </w:p>
        </w:tc>
        <w:tc>
          <w:tcPr>
            <w:tcW w:w="4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2940" w:hanging="332"/>
        <w:spacing w:after="0" w:line="50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Includes research and development expenditures for crenezumab, anti-tau antibodies and tau PET imaging tracer. </w:t>
      </w:r>
      <w:r>
        <w:rPr>
          <w:rFonts w:ascii="Arial" w:cs="Arial" w:eastAsia="Arial" w:hAnsi="Arial"/>
          <w:sz w:val="18"/>
          <w:szCs w:val="18"/>
          <w:i w:val="1"/>
          <w:iCs w:val="1"/>
          <w:color w:val="auto"/>
        </w:rPr>
        <w:t>General and administrative expenses</w:t>
      </w:r>
    </w:p>
    <w:p>
      <w:pPr>
        <w:ind w:right="240" w:firstLine="324"/>
        <w:spacing w:after="0" w:line="286" w:lineRule="auto"/>
        <w:rPr>
          <w:sz w:val="20"/>
          <w:szCs w:val="20"/>
          <w:color w:val="auto"/>
        </w:rPr>
      </w:pPr>
      <w:r>
        <w:rPr>
          <w:rFonts w:ascii="Arial" w:cs="Arial" w:eastAsia="Arial" w:hAnsi="Arial"/>
          <w:sz w:val="17"/>
          <w:szCs w:val="17"/>
          <w:color w:val="auto"/>
        </w:rPr>
        <w:t>General and administrative expenses amounted to CHF 2.4 million in the three months ended March 31, 2017 compared with CHF 0.9 million in the same period in 2016, an increase of CHF 1.5 million. The increase is related to operating and salary related expenses for the three months ended March 31, 2017. The following table presents the general and administrative expenses for the three months ended March 31, 2017 and 2016: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72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820" w:type="dxa"/>
            <w:vAlign w:val="bottom"/>
            <w:gridSpan w:val="6"/>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shd w:val="clear" w:color="auto" w:fill="D5EAEA"/>
          </w:tcPr>
          <w:p>
            <w:pPr>
              <w:jc w:val="right"/>
              <w:ind w:right="4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00" w:type="dxa"/>
            <w:vAlign w:val="bottom"/>
            <w:shd w:val="clear" w:color="auto" w:fill="D5EAEA"/>
          </w:tcPr>
          <w:p>
            <w:pPr>
              <w:jc w:val="right"/>
              <w:ind w:right="34"/>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4"/>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Salaries and related costs(1)</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1,263</w:t>
            </w:r>
          </w:p>
        </w:tc>
        <w:tc>
          <w:tcPr>
            <w:tcW w:w="140" w:type="dxa"/>
            <w:vAlign w:val="bottom"/>
            <w:tcBorders>
              <w:bottom w:val="single" w:sz="8" w:color="D5EAE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general and administrative expenses</w:t>
            </w:r>
          </w:p>
        </w:tc>
        <w:tc>
          <w:tcPr>
            <w:tcW w:w="1160" w:type="dxa"/>
            <w:vAlign w:val="bottom"/>
            <w:tcBorders>
              <w:bottom w:val="single" w:sz="8" w:color="auto"/>
            </w:tcBorders>
            <w:shd w:val="clear" w:color="auto" w:fill="D5EAEA"/>
          </w:tcPr>
          <w:p>
            <w:pPr>
              <w:jc w:val="right"/>
              <w:ind w:right="40"/>
              <w:spacing w:after="0"/>
              <w:rPr>
                <w:sz w:val="20"/>
                <w:szCs w:val="20"/>
                <w:color w:val="auto"/>
              </w:rPr>
            </w:pPr>
            <w:r>
              <w:rPr>
                <w:rFonts w:ascii="Arial" w:cs="Arial" w:eastAsia="Arial" w:hAnsi="Arial"/>
                <w:sz w:val="18"/>
                <w:szCs w:val="18"/>
                <w:color w:val="auto"/>
              </w:rPr>
              <w:t>2,386</w:t>
            </w:r>
          </w:p>
        </w:tc>
        <w:tc>
          <w:tcPr>
            <w:tcW w:w="140" w:type="dxa"/>
            <w:vAlign w:val="bottom"/>
            <w:tcBorders>
              <w:bottom w:val="single" w:sz="8" w:color="D5EAEA"/>
            </w:tcBorders>
            <w:shd w:val="clear" w:color="auto" w:fill="D5EAEA"/>
          </w:tcPr>
          <w:p>
            <w:pPr>
              <w:spacing w:after="0"/>
              <w:rPr>
                <w:sz w:val="19"/>
                <w:szCs w:val="19"/>
                <w:color w:val="auto"/>
              </w:rPr>
            </w:pPr>
          </w:p>
        </w:tc>
        <w:tc>
          <w:tcPr>
            <w:tcW w:w="320" w:type="dxa"/>
            <w:vAlign w:val="bottom"/>
            <w:tcBorders>
              <w:bottom w:val="single" w:sz="8" w:color="auto"/>
            </w:tcBorders>
            <w:shd w:val="clear" w:color="auto" w:fill="D5EAEA"/>
          </w:tcPr>
          <w:p>
            <w:pPr>
              <w:spacing w:after="0"/>
              <w:rPr>
                <w:sz w:val="19"/>
                <w:szCs w:val="19"/>
                <w:color w:val="auto"/>
              </w:rPr>
            </w:pPr>
          </w:p>
        </w:tc>
        <w:tc>
          <w:tcPr>
            <w:tcW w:w="800" w:type="dxa"/>
            <w:vAlign w:val="bottom"/>
            <w:tcBorders>
              <w:bottom w:val="single" w:sz="8" w:color="auto"/>
            </w:tcBorders>
            <w:shd w:val="clear" w:color="auto" w:fill="D5EAEA"/>
          </w:tcPr>
          <w:p>
            <w:pPr>
              <w:jc w:val="right"/>
              <w:ind w:right="34"/>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D5EAEA"/>
            </w:tcBorders>
            <w:shd w:val="clear" w:color="auto" w:fill="D5EAEA"/>
          </w:tcPr>
          <w:p>
            <w:pPr>
              <w:spacing w:after="0"/>
              <w:rPr>
                <w:sz w:val="19"/>
                <w:szCs w:val="19"/>
                <w:color w:val="auto"/>
              </w:rPr>
            </w:pPr>
          </w:p>
        </w:tc>
        <w:tc>
          <w:tcPr>
            <w:tcW w:w="300" w:type="dxa"/>
            <w:vAlign w:val="bottom"/>
            <w:tcBorders>
              <w:bottom w:val="single" w:sz="8" w:color="auto"/>
            </w:tcBorders>
            <w:shd w:val="clear" w:color="auto" w:fill="D5EAEA"/>
          </w:tcPr>
          <w:p>
            <w:pPr>
              <w:spacing w:after="0"/>
              <w:rPr>
                <w:sz w:val="19"/>
                <w:szCs w:val="19"/>
                <w:color w:val="auto"/>
              </w:rPr>
            </w:pPr>
          </w:p>
        </w:tc>
        <w:tc>
          <w:tcPr>
            <w:tcW w:w="820" w:type="dxa"/>
            <w:vAlign w:val="bottom"/>
            <w:tcBorders>
              <w:bottom w:val="single" w:sz="8" w:color="auto"/>
            </w:tcBorders>
            <w:shd w:val="clear" w:color="auto" w:fill="D5EAEA"/>
          </w:tcPr>
          <w:p>
            <w:pPr>
              <w:jc w:val="right"/>
              <w:ind w:right="14"/>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860" w:type="dxa"/>
            <w:vAlign w:val="bottom"/>
            <w:tcBorders>
              <w:bottom w:val="single" w:sz="8" w:color="auto"/>
            </w:tcBorders>
          </w:tcPr>
          <w:p>
            <w:pPr>
              <w:spacing w:after="0"/>
              <w:rPr>
                <w:sz w:val="3"/>
                <w:szCs w:val="3"/>
                <w:color w:val="auto"/>
              </w:rPr>
            </w:pPr>
          </w:p>
        </w:tc>
        <w:tc>
          <w:tcPr>
            <w:tcW w:w="4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(1) Includes share-based compensation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29"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party comprises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For the Three Months Ended</w:t>
      </w:r>
    </w:p>
    <w:p>
      <w:pPr>
        <w:jc w:val="center"/>
        <w:ind w:right="1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3"/>
              </w:rPr>
              <w:t>Change</w:t>
            </w:r>
          </w:p>
        </w:tc>
      </w:tr>
      <w:tr>
        <w:trPr>
          <w:trHeight w:val="128"/>
        </w:trPr>
        <w:tc>
          <w:tcPr>
            <w:tcW w:w="2820" w:type="dxa"/>
            <w:vAlign w:val="bottom"/>
            <w:gridSpan w:val="5"/>
          </w:tcPr>
          <w:p>
            <w:pPr>
              <w:ind w:left="860"/>
              <w:spacing w:after="0" w:line="128"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1"/>
                <w:szCs w:val="11"/>
                <w:color w:val="auto"/>
              </w:rPr>
            </w:pPr>
          </w:p>
        </w:tc>
      </w:tr>
      <w:tr>
        <w:trPr>
          <w:trHeight w:val="216"/>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230"/>
        </w:trPr>
        <w:tc>
          <w:tcPr>
            <w:tcW w:w="1160" w:type="dxa"/>
            <w:vAlign w:val="bottom"/>
          </w:tcPr>
          <w:p>
            <w:pPr>
              <w:jc w:val="right"/>
              <w:ind w:right="36"/>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229" w:right="239" w:bottom="1440" w:gutter="0" w:footer="0" w:header="0"/>
          <w:type w:val="continuous"/>
        </w:sectPr>
      </w:pPr>
    </w:p>
    <w:p>
      <w:pPr>
        <w:spacing w:after="0" w:line="29" w:lineRule="exact"/>
        <w:rPr>
          <w:sz w:val="20"/>
          <w:szCs w:val="20"/>
          <w:color w:val="auto"/>
        </w:rPr>
      </w:pPr>
    </w:p>
    <w:p>
      <w:pPr>
        <w:ind w:left="340" w:right="1820" w:hanging="332"/>
        <w:spacing w:after="0" w:line="50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three months ended March 31, 2016 short-term employee benefits were revised to conform with current period presentation. Short-term employee benefits comprise of salaries, bonus, social security and expense allowances.</w:t>
      </w:r>
    </w:p>
    <w:p>
      <w:pPr>
        <w:ind w:right="80" w:firstLine="324"/>
        <w:spacing w:after="0" w:line="277" w:lineRule="auto"/>
        <w:rPr>
          <w:sz w:val="20"/>
          <w:szCs w:val="20"/>
          <w:color w:val="auto"/>
        </w:rPr>
      </w:pPr>
      <w:r>
        <w:rPr>
          <w:rFonts w:ascii="Arial" w:cs="Arial" w:eastAsia="Arial" w:hAnsi="Arial"/>
          <w:sz w:val="18"/>
          <w:szCs w:val="18"/>
          <w:color w:val="auto"/>
        </w:rPr>
        <w:t>No options were granted as of and for the three months ended March 31, 2017 and 2016, respectively, to the Directors and Executive Management of the Company.</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three months ended March 31, 2017, the Company granted 4,750 Restricted Shares as part of a Restricted Share Award to one of our Directors in accordance with our 2016 Stock Option and Incentive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April 2017, Joerg Hornstein assumed the role of the Chief Financial Officer as a member of Executive Management.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results, net</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the three months ended March 31, 2017, the Company reported a CHF 1.6 million net financial loss compared with net financial loss of CHF 0.4 million in the same period in 2016, a difference of CHF 1.2 million. The key driver for the higher financial costs during the three months ended March 31, 2017 were net unrealized losses of CHF 1.6 million on foreign currency cash balances incurred in the three months ended March 31, 2017 due to a weakening of the USD relative to the CHF at the end of the first quarter compared with foreign exchange loss of CHF 0.4 million in the same period in 2016.</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net financial income and expenses during the three months ended March 31,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For the Three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724"/>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6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20" w:type="dxa"/>
            <w:vAlign w:val="bottom"/>
            <w:gridSpan w:val="6"/>
          </w:tcPr>
          <w:p>
            <w:pPr>
              <w:ind w:left="860"/>
              <w:spacing w:after="0" w:line="142" w:lineRule="exact"/>
              <w:rPr>
                <w:sz w:val="20"/>
                <w:szCs w:val="20"/>
                <w:color w:val="auto"/>
              </w:rPr>
            </w:pPr>
            <w:r>
              <w:rPr>
                <w:rFonts w:ascii="Arial" w:cs="Arial" w:eastAsia="Arial" w:hAnsi="Arial"/>
                <w:sz w:val="14"/>
                <w:szCs w:val="14"/>
                <w:b w:val="1"/>
                <w:bCs w:val="1"/>
                <w:color w:val="auto"/>
                <w:w w:val="95"/>
              </w:rPr>
              <w:t>(in CHF thousands, unaudited)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D5EAEA"/>
          </w:tcPr>
          <w:p>
            <w:pPr>
              <w:spacing w:after="0"/>
              <w:rPr>
                <w:sz w:val="20"/>
                <w:szCs w:val="20"/>
                <w:color w:val="auto"/>
              </w:rPr>
            </w:pPr>
            <w:r>
              <w:rPr>
                <w:rFonts w:ascii="Arial" w:cs="Arial" w:eastAsia="Arial" w:hAnsi="Arial"/>
                <w:sz w:val="18"/>
                <w:szCs w:val="18"/>
                <w:color w:val="auto"/>
              </w:rPr>
              <w:t>Finance income</w:t>
            </w:r>
          </w:p>
        </w:tc>
        <w:tc>
          <w:tcPr>
            <w:tcW w:w="5260" w:type="dxa"/>
            <w:vAlign w:val="bottom"/>
            <w:gridSpan w:val="2"/>
            <w:shd w:val="clear" w:color="auto" w:fill="D5EAEA"/>
          </w:tcPr>
          <w:p>
            <w:pPr>
              <w:jc w:val="right"/>
              <w:ind w:right="44"/>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5EAEA"/>
          </w:tcPr>
          <w:p>
            <w:pPr>
              <w:spacing w:after="0"/>
              <w:rPr>
                <w:sz w:val="18"/>
                <w:szCs w:val="18"/>
                <w:color w:val="auto"/>
              </w:rPr>
            </w:pPr>
          </w:p>
        </w:tc>
        <w:tc>
          <w:tcPr>
            <w:tcW w:w="320" w:type="dxa"/>
            <w:vAlign w:val="bottom"/>
            <w:shd w:val="clear" w:color="auto" w:fill="D5EAEA"/>
          </w:tcPr>
          <w:p>
            <w:pPr>
              <w:spacing w:after="0"/>
              <w:rPr>
                <w:sz w:val="18"/>
                <w:szCs w:val="18"/>
                <w:color w:val="auto"/>
              </w:rPr>
            </w:pPr>
          </w:p>
        </w:tc>
        <w:tc>
          <w:tcPr>
            <w:tcW w:w="800" w:type="dxa"/>
            <w:vAlign w:val="bottom"/>
            <w:shd w:val="clear" w:color="auto" w:fill="D5EAEA"/>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820" w:type="dxa"/>
            <w:vAlign w:val="bottom"/>
            <w:shd w:val="clear" w:color="auto" w:fill="D5EAEA"/>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Finance costs</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3"/>
        </w:trPr>
        <w:tc>
          <w:tcPr>
            <w:tcW w:w="36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financial expense</w:t>
            </w:r>
          </w:p>
        </w:tc>
        <w:tc>
          <w:tcPr>
            <w:tcW w:w="410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320" w:type="dxa"/>
            <w:vAlign w:val="bottom"/>
            <w:tcBorders>
              <w:top w:val="single" w:sz="8" w:color="auto"/>
              <w:bottom w:val="single" w:sz="8" w:color="auto"/>
            </w:tcBorders>
            <w:shd w:val="clear" w:color="auto" w:fill="D5EAEA"/>
          </w:tcPr>
          <w:p>
            <w:pPr>
              <w:spacing w:after="0"/>
              <w:rPr>
                <w:sz w:val="19"/>
                <w:szCs w:val="19"/>
                <w:color w:val="auto"/>
              </w:rPr>
            </w:pPr>
          </w:p>
        </w:tc>
        <w:tc>
          <w:tcPr>
            <w:tcW w:w="8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300" w:type="dxa"/>
            <w:vAlign w:val="bottom"/>
            <w:tcBorders>
              <w:top w:val="single" w:sz="8" w:color="auto"/>
              <w:bottom w:val="single" w:sz="8" w:color="auto"/>
            </w:tcBorders>
            <w:shd w:val="clear" w:color="auto" w:fill="D5EAEA"/>
          </w:tcPr>
          <w:p>
            <w:pPr>
              <w:spacing w:after="0"/>
              <w:rPr>
                <w:sz w:val="19"/>
                <w:szCs w:val="19"/>
                <w:color w:val="auto"/>
              </w:rPr>
            </w:pPr>
          </w:p>
        </w:tc>
        <w:tc>
          <w:tcPr>
            <w:tcW w:w="8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00" w:type="dxa"/>
            <w:vAlign w:val="bottom"/>
            <w:vMerge w:val="restart"/>
          </w:tcPr>
          <w:p>
            <w:pPr>
              <w:jc w:val="right"/>
              <w:ind w:right="193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6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per share</w:t>
      </w:r>
    </w:p>
    <w:p>
      <w:pPr>
        <w:spacing w:after="0" w:line="217"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9040" w:type="dxa"/>
            <w:vAlign w:val="bottom"/>
          </w:tcPr>
          <w:p>
            <w:pPr>
              <w:spacing w:after="0"/>
              <w:rPr>
                <w:sz w:val="13"/>
                <w:szCs w:val="13"/>
                <w:color w:val="auto"/>
              </w:rPr>
            </w:pPr>
          </w:p>
        </w:tc>
        <w:tc>
          <w:tcPr>
            <w:tcW w:w="1280" w:type="dxa"/>
            <w:vAlign w:val="bottom"/>
            <w:tcBorders>
              <w:bottom w:val="single" w:sz="8" w:color="auto"/>
            </w:tcBorders>
          </w:tcPr>
          <w:p>
            <w:pPr>
              <w:jc w:val="right"/>
              <w:ind w:right="480"/>
              <w:spacing w:after="0" w:line="157"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right"/>
              <w:ind w:right="334"/>
              <w:spacing w:after="0" w:line="157" w:lineRule="exact"/>
              <w:rPr>
                <w:sz w:val="20"/>
                <w:szCs w:val="20"/>
                <w:color w:val="auto"/>
              </w:rPr>
            </w:pPr>
            <w:r>
              <w:rPr>
                <w:rFonts w:ascii="Arial" w:cs="Arial" w:eastAsia="Arial" w:hAnsi="Arial"/>
                <w:sz w:val="14"/>
                <w:szCs w:val="14"/>
                <w:b w:val="1"/>
                <w:bCs w:val="1"/>
                <w:color w:val="auto"/>
              </w:rPr>
              <w:t>2016</w:t>
            </w:r>
          </w:p>
        </w:tc>
      </w:tr>
      <w:tr>
        <w:trPr>
          <w:trHeight w:val="119"/>
        </w:trPr>
        <w:tc>
          <w:tcPr>
            <w:tcW w:w="9040" w:type="dxa"/>
            <w:vAlign w:val="bottom"/>
          </w:tcPr>
          <w:p>
            <w:pPr>
              <w:spacing w:after="0"/>
              <w:rPr>
                <w:sz w:val="10"/>
                <w:szCs w:val="10"/>
                <w:color w:val="auto"/>
              </w:rPr>
            </w:pPr>
          </w:p>
        </w:tc>
        <w:tc>
          <w:tcPr>
            <w:tcW w:w="2380" w:type="dxa"/>
            <w:vAlign w:val="bottom"/>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(in CHF thousands except for share</w:t>
            </w:r>
          </w:p>
        </w:tc>
      </w:tr>
      <w:tr>
        <w:trPr>
          <w:trHeight w:val="171"/>
        </w:trPr>
        <w:tc>
          <w:tcPr>
            <w:tcW w:w="9040" w:type="dxa"/>
            <w:vAlign w:val="bottom"/>
          </w:tcPr>
          <w:p>
            <w:pPr>
              <w:spacing w:after="0"/>
              <w:rPr>
                <w:sz w:val="14"/>
                <w:szCs w:val="14"/>
                <w:color w:val="auto"/>
              </w:rPr>
            </w:pPr>
          </w:p>
        </w:tc>
        <w:tc>
          <w:tcPr>
            <w:tcW w:w="238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and per share data, unaudited)</w:t>
            </w: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Net loss attributable to equity holders of the Company</w:t>
            </w:r>
          </w:p>
        </w:tc>
        <w:tc>
          <w:tcPr>
            <w:tcW w:w="1280" w:type="dxa"/>
            <w:vAlign w:val="bottom"/>
            <w:shd w:val="clear" w:color="auto" w:fill="D5EAEA"/>
          </w:tcPr>
          <w:p>
            <w:pPr>
              <w:jc w:val="right"/>
              <w:ind w:right="100"/>
              <w:spacing w:after="0"/>
              <w:rPr>
                <w:sz w:val="20"/>
                <w:szCs w:val="20"/>
                <w:color w:val="auto"/>
              </w:rPr>
            </w:pPr>
            <w:r>
              <w:rPr>
                <w:rFonts w:ascii="Arial" w:cs="Arial" w:eastAsia="Arial" w:hAnsi="Arial"/>
                <w:sz w:val="18"/>
                <w:szCs w:val="18"/>
                <w:color w:val="auto"/>
              </w:rPr>
              <w:t>(9,455)</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(6,175)</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Loss per share (EPS):</w:t>
            </w: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040" w:type="dxa"/>
            <w:vAlign w:val="bottom"/>
            <w:shd w:val="clear" w:color="auto" w:fill="D5EAEA"/>
          </w:tcPr>
          <w:p>
            <w:pPr>
              <w:spacing w:after="0"/>
              <w:rPr>
                <w:sz w:val="20"/>
                <w:szCs w:val="20"/>
                <w:color w:val="auto"/>
              </w:rPr>
            </w:pPr>
            <w:r>
              <w:rPr>
                <w:rFonts w:ascii="Arial" w:cs="Arial" w:eastAsia="Arial" w:hAnsi="Arial"/>
                <w:sz w:val="18"/>
                <w:szCs w:val="18"/>
                <w:color w:val="auto"/>
              </w:rPr>
              <w:t>Basic and diluted, loss for the period attributable to equity holders</w:t>
            </w:r>
          </w:p>
        </w:tc>
        <w:tc>
          <w:tcPr>
            <w:tcW w:w="1280" w:type="dxa"/>
            <w:vAlign w:val="bottom"/>
            <w:shd w:val="clear" w:color="auto" w:fill="D5EAEA"/>
          </w:tcPr>
          <w:p>
            <w:pPr>
              <w:jc w:val="right"/>
              <w:ind w:right="100"/>
              <w:spacing w:after="0"/>
              <w:rPr>
                <w:sz w:val="20"/>
                <w:szCs w:val="20"/>
                <w:color w:val="auto"/>
              </w:rPr>
            </w:pPr>
            <w:r>
              <w:rPr>
                <w:rFonts w:ascii="Arial" w:cs="Arial" w:eastAsia="Arial" w:hAnsi="Arial"/>
                <w:sz w:val="18"/>
                <w:szCs w:val="18"/>
                <w:color w:val="auto"/>
              </w:rPr>
              <w:t>(0.17)</w:t>
            </w: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 and diluted</w:t>
            </w:r>
          </w:p>
        </w:tc>
        <w:tc>
          <w:tcPr>
            <w:tcW w:w="1280" w:type="dxa"/>
            <w:vAlign w:val="bottom"/>
          </w:tcPr>
          <w:p>
            <w:pPr>
              <w:jc w:val="right"/>
              <w:ind w:right="160"/>
              <w:spacing w:after="0"/>
              <w:rPr>
                <w:sz w:val="20"/>
                <w:szCs w:val="20"/>
                <w:color w:val="auto"/>
              </w:rPr>
            </w:pPr>
            <w:r>
              <w:rPr>
                <w:rFonts w:ascii="Arial" w:cs="Arial" w:eastAsia="Arial" w:hAnsi="Arial"/>
                <w:sz w:val="18"/>
                <w:szCs w:val="18"/>
                <w:color w:val="auto"/>
              </w:rPr>
              <w:t>56,855,987</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46,402,500</w:t>
            </w:r>
          </w:p>
        </w:tc>
      </w:tr>
    </w:tbl>
    <w:p>
      <w:pPr>
        <w:spacing w:after="0" w:line="18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For the three months ended March 31, 2017 and 2016, basic and diluted earnings per share is based on the weighted average number of shares issued and outstanding. Weighted-average dilutive shares outstanding excludes antidilutive share options and non-vested restricted share awards that totaled 1,611,547 and 3,557,473, respectively from the computation of diluted income (loss) per common share for the three-months ended March 31, 2017 and 2016.</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common shares and preferred shares including the net proceeds raised in the initial public offering (“IPO”) in September 2016. As of March 31, 2017, we had cash and cash equivalents of CHF 138.1 million.</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ectPr>
          <w:pgSz w:w="11900" w:h="16838" w:orient="portrait"/>
          <w:cols w:equalWidth="0" w:num="1">
            <w:col w:w="11420"/>
          </w:cols>
          <w:pgMar w:left="240" w:top="229" w:right="23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For the Three Months Ended</w:t>
      </w:r>
    </w:p>
    <w:p>
      <w:pPr>
        <w:jc w:val="center"/>
        <w:ind w:right="1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Change</w:t>
            </w:r>
          </w:p>
        </w:tc>
      </w:tr>
      <w:tr>
        <w:trPr>
          <w:trHeight w:val="180"/>
        </w:trPr>
        <w:tc>
          <w:tcPr>
            <w:tcW w:w="116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(in CHF thousands)</w:t>
            </w:r>
          </w:p>
        </w:tc>
        <w:tc>
          <w:tcPr>
            <w:tcW w:w="1120" w:type="dxa"/>
            <w:vAlign w:val="bottom"/>
          </w:tcPr>
          <w:p>
            <w:pPr>
              <w:spacing w:after="0"/>
              <w:rPr>
                <w:sz w:val="15"/>
                <w:szCs w:val="15"/>
                <w:color w:val="auto"/>
              </w:rPr>
            </w:pPr>
          </w:p>
        </w:tc>
      </w:tr>
      <w:tr>
        <w:trPr>
          <w:trHeight w:val="380"/>
        </w:trPr>
        <w:tc>
          <w:tcPr>
            <w:tcW w:w="1160" w:type="dxa"/>
            <w:vAlign w:val="bottom"/>
          </w:tcPr>
          <w:p>
            <w:pPr>
              <w:jc w:val="right"/>
              <w:spacing w:after="0"/>
              <w:rPr>
                <w:sz w:val="20"/>
                <w:szCs w:val="20"/>
                <w:color w:val="auto"/>
              </w:rPr>
            </w:pPr>
            <w:r>
              <w:rPr>
                <w:rFonts w:ascii="Arial" w:cs="Arial" w:eastAsia="Arial" w:hAnsi="Arial"/>
                <w:sz w:val="18"/>
                <w:szCs w:val="18"/>
                <w:color w:val="auto"/>
              </w:rPr>
              <w:t>(11,884)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(7,685)</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(4,199)</w:t>
            </w: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407</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(4,223)</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229" w:right="2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29"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Net cash used in operating activities was CHF 11.9 million for the three months ended March 31, 2017 compared with net cash used in operating activities of CHF 7.7 million for the three months ended March 31, 2016. The change in cash used in operating activities in the first three months of 2017 was due to (i) the Company’s reporting net loss of CHF 9.5 million for three months ended March 31, 2017 compared with a CHF 6.2 million loss for the same period in 2016 driven primarily by the research and development cost in the first quarter of 2017, (ii) an increase in prepaid expenses primarily related to administrative expenses of CHF 1 million, and (iii) the decrease in accounts payable due to increased research expense payments in the first quarter of 2017 compared to the first quarter of 2016.</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Net cash used in investing activities rose to CHF 0.6 million for the three months ended March 31, 2017 compared with net cash used in investing activities of CHF 0.2 million in the three months ended March 31, 2016 due to increased capital expenditures to strengthen our manufacturing and research infrastructure.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Net cash provided by financing activities was CHF 29 thousand for the three months ended March 31, 2017 compared with net cash used in financing activities of CHF 0.4 million for the three months ended March 31, 2016. The increase is driven by employee stock option exercises compared with net cash used in financing activities of CHF 0.4 million primarily related to stock transaction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commercialize our current or any future product candidates. At March 31, 2017 we had cash balances totaling CHF 138.1 million. The decrease relative to December 31, 2016 is due to an increase in research and development spent on our major discovery and development programs and the strengthening of the company’s infrastructures,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up to the first quarter of 2019.</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2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During the three months ended March 31, 2017,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cease to be an emerging growth company if we have more than $1.07 billion in annual revenue, have more than $700 million in market value of our common shares held by non-affiliates or issue more than $1.07 billion of non-convertible debt over a three-year period.</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the Final Prospectus. These forward-looking statements speak only as of the date of this discussion and analysis and are subject to a number of risks, uncertainties and assumptions described under the sections in the Final Prospectus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29"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680845" cy="531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808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REPORTS FIRST QUARTER 2017 FINANCIAL RESULTS</w:t>
      </w:r>
    </w:p>
    <w:p>
      <w:pPr>
        <w:spacing w:after="0" w:line="202" w:lineRule="exact"/>
        <w:rPr>
          <w:sz w:val="20"/>
          <w:szCs w:val="20"/>
          <w:color w:val="auto"/>
        </w:rPr>
      </w:pPr>
    </w:p>
    <w:p>
      <w:pPr>
        <w:ind w:left="260" w:right="20" w:hanging="252"/>
        <w:spacing w:after="0" w:line="266" w:lineRule="auto"/>
        <w:tabs>
          <w:tab w:leader="none" w:pos="26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Strong cash position of CHF 138.1 million provides resources to advance pipeline of seven therapeutic and three diagnostic candidates</w:t>
      </w:r>
    </w:p>
    <w:p>
      <w:pPr>
        <w:ind w:left="260" w:hanging="252"/>
        <w:spacing w:after="0"/>
        <w:tabs>
          <w:tab w:leader="none" w:pos="26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Second pivotal Phase 3 clinical trial of crenezumab - CREAD 2 - started by partner Genentech</w:t>
      </w:r>
    </w:p>
    <w:p>
      <w:pPr>
        <w:spacing w:after="0" w:line="63" w:lineRule="exact"/>
        <w:rPr>
          <w:rFonts w:ascii="Arial" w:cs="Arial" w:eastAsia="Arial" w:hAnsi="Arial"/>
          <w:sz w:val="18"/>
          <w:szCs w:val="18"/>
          <w:color w:val="C00000"/>
        </w:rPr>
      </w:pPr>
    </w:p>
    <w:p>
      <w:pPr>
        <w:ind w:left="260" w:hanging="252"/>
        <w:spacing w:after="0"/>
        <w:tabs>
          <w:tab w:leader="none" w:pos="260" w:val="left"/>
        </w:tabs>
        <w:numPr>
          <w:ilvl w:val="0"/>
          <w:numId w:val="13"/>
        </w:numPr>
        <w:rPr>
          <w:rFonts w:ascii="Arial" w:cs="Arial" w:eastAsia="Arial" w:hAnsi="Arial"/>
          <w:sz w:val="18"/>
          <w:szCs w:val="18"/>
          <w:color w:val="C00000"/>
        </w:rPr>
      </w:pPr>
      <w:r>
        <w:rPr>
          <w:rFonts w:ascii="Arial" w:cs="Arial" w:eastAsia="Arial" w:hAnsi="Arial"/>
          <w:sz w:val="18"/>
          <w:szCs w:val="18"/>
          <w:b w:val="1"/>
          <w:bCs w:val="1"/>
          <w:color w:val="auto"/>
        </w:rPr>
        <w:t>Encouraging first clinical data of Tau-PET Imaging tracer in Alzheimer’s</w:t>
      </w:r>
    </w:p>
    <w:p>
      <w:pPr>
        <w:spacing w:after="0" w:line="54" w:lineRule="exact"/>
        <w:rPr>
          <w:rFonts w:ascii="Arial" w:cs="Arial" w:eastAsia="Arial" w:hAnsi="Arial"/>
          <w:sz w:val="18"/>
          <w:szCs w:val="18"/>
          <w:color w:val="C00000"/>
        </w:rPr>
      </w:pPr>
    </w:p>
    <w:p>
      <w:pPr>
        <w:ind w:left="260" w:hanging="252"/>
        <w:spacing w:after="0"/>
        <w:tabs>
          <w:tab w:leader="none" w:pos="260" w:val="left"/>
        </w:tabs>
        <w:numPr>
          <w:ilvl w:val="0"/>
          <w:numId w:val="13"/>
        </w:numPr>
        <w:rPr>
          <w:rFonts w:ascii="Arial" w:cs="Arial" w:eastAsia="Arial" w:hAnsi="Arial"/>
          <w:sz w:val="36"/>
          <w:szCs w:val="36"/>
          <w:color w:val="C00000"/>
          <w:vertAlign w:val="superscript"/>
        </w:rPr>
      </w:pPr>
      <w:r>
        <w:rPr>
          <w:rFonts w:ascii="Arial" w:cs="Arial" w:eastAsia="Arial" w:hAnsi="Arial"/>
          <w:sz w:val="18"/>
          <w:szCs w:val="18"/>
          <w:b w:val="1"/>
          <w:bCs w:val="1"/>
          <w:color w:val="auto"/>
        </w:rPr>
        <w:t>Milestone from Piramal Imaging for start of Phase 1 trial in PSP</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an orphan tauopathy disease</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Lausanne, Switzerland, May 11, 2017 </w:t>
      </w:r>
      <w:r>
        <w:rPr>
          <w:rFonts w:ascii="Arial" w:cs="Arial" w:eastAsia="Arial" w:hAnsi="Arial"/>
          <w:sz w:val="18"/>
          <w:szCs w:val="18"/>
          <w:color w:val="auto"/>
        </w:rPr>
        <w:t>– AC Immune SA (NASDAQ: ACIU), a Swiss-based, clinical stage biopharmaceutical company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broad pipeline focused on neurodegenerative diseases, today announced financial results for the first quarter ended March 31, 2017.</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Prof. Andrea Pfeifer, CEO of AC Immune, commented: </w:t>
      </w:r>
      <w:r>
        <w:rPr>
          <w:rFonts w:ascii="Arial" w:cs="Arial" w:eastAsia="Arial" w:hAnsi="Arial"/>
          <w:sz w:val="18"/>
          <w:szCs w:val="18"/>
          <w:color w:val="auto"/>
        </w:rPr>
        <w:t>“We have started 2017 with the very significant decision of our partner Genentech to</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undertake a second phase 3 clinical trial of crenezumab in patients with prodromal to mild Alzheimer’s disease. Our collaboration with Piramal for developing companion diagnostics is bearing fruit. These Q1 results reflect our strategic investments beyond Alzheimer’s disease, into other neurodegenerative indications, leveraging our core knowledge of misfolding proteins and our two discovery platforms.”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Data – (IFRS in CHF million, except for share and per share data)</w:t>
      </w:r>
      <w:r>
        <w:rPr>
          <w:rFonts w:ascii="Arial" w:cs="Arial" w:eastAsia="Arial" w:hAnsi="Arial"/>
          <w:sz w:val="30"/>
          <w:szCs w:val="30"/>
          <w:b w:val="1"/>
          <w:bCs w:val="1"/>
          <w:color w:val="auto"/>
          <w:vertAlign w:val="superscript"/>
        </w:rPr>
        <w:t>2</w:t>
      </w:r>
    </w:p>
    <w:tbl>
      <w:tblPr>
        <w:tblLayout w:type="fixed"/>
        <w:tblInd w:w="10" w:type="dxa"/>
        <w:tblCellMar>
          <w:top w:w="0" w:type="dxa"/>
          <w:left w:w="0" w:type="dxa"/>
          <w:bottom w:w="0" w:type="dxa"/>
          <w:right w:w="0" w:type="dxa"/>
        </w:tblCellMar>
      </w:tblPr>
      <w:tr>
        <w:trPr>
          <w:trHeight w:val="200"/>
        </w:trPr>
        <w:tc>
          <w:tcPr>
            <w:tcW w:w="8920" w:type="dxa"/>
            <w:vAlign w:val="bottom"/>
            <w:tcBorders>
              <w:top w:val="single" w:sz="8" w:color="auto"/>
              <w:left w:val="single" w:sz="8" w:color="auto"/>
              <w:right w:val="single" w:sz="8" w:color="auto"/>
            </w:tcBorders>
          </w:tcPr>
          <w:p>
            <w:pPr>
              <w:spacing w:after="0"/>
              <w:rPr>
                <w:sz w:val="17"/>
                <w:szCs w:val="17"/>
                <w:color w:val="auto"/>
              </w:rPr>
            </w:pPr>
          </w:p>
        </w:tc>
        <w:tc>
          <w:tcPr>
            <w:tcW w:w="2500" w:type="dxa"/>
            <w:vAlign w:val="bottom"/>
            <w:tcBorders>
              <w:top w:val="single" w:sz="8" w:color="auto"/>
              <w:right w:val="single" w:sz="8" w:color="auto"/>
            </w:tcBorders>
            <w:gridSpan w:val="2"/>
          </w:tcPr>
          <w:p>
            <w:pPr>
              <w:jc w:val="right"/>
              <w:ind w:right="190"/>
              <w:spacing w:after="0" w:line="201" w:lineRule="exact"/>
              <w:rPr>
                <w:sz w:val="20"/>
                <w:szCs w:val="20"/>
                <w:color w:val="auto"/>
              </w:rPr>
            </w:pPr>
            <w:r>
              <w:rPr>
                <w:rFonts w:ascii="Arial" w:cs="Arial" w:eastAsia="Arial" w:hAnsi="Arial"/>
                <w:sz w:val="18"/>
                <w:szCs w:val="18"/>
                <w:b w:val="1"/>
                <w:bCs w:val="1"/>
                <w:color w:val="auto"/>
              </w:rPr>
              <w:t>For the Three Months</w:t>
            </w:r>
          </w:p>
        </w:tc>
      </w:tr>
      <w:tr>
        <w:trPr>
          <w:trHeight w:val="225"/>
        </w:trPr>
        <w:tc>
          <w:tcPr>
            <w:tcW w:w="8920" w:type="dxa"/>
            <w:vAlign w:val="bottom"/>
            <w:tcBorders>
              <w:left w:val="single" w:sz="8" w:color="auto"/>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Ended March 31,</w:t>
            </w:r>
          </w:p>
        </w:tc>
      </w:tr>
      <w:tr>
        <w:trPr>
          <w:trHeight w:val="210"/>
        </w:trPr>
        <w:tc>
          <w:tcPr>
            <w:tcW w:w="892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10"/>
        </w:trPr>
        <w:tc>
          <w:tcPr>
            <w:tcW w:w="8920" w:type="dxa"/>
            <w:vAlign w:val="bottom"/>
            <w:tcBorders>
              <w:left w:val="single" w:sz="8" w:color="auto"/>
              <w:bottom w:val="single" w:sz="8" w:color="auto"/>
              <w:right w:val="single" w:sz="8" w:color="auto"/>
            </w:tcBorders>
            <w:shd w:val="clear" w:color="auto" w:fill="D5EAEA"/>
          </w:tcPr>
          <w:p>
            <w:pPr>
              <w:ind w:left="60"/>
              <w:spacing w:after="0"/>
              <w:rPr>
                <w:sz w:val="20"/>
                <w:szCs w:val="20"/>
                <w:color w:val="auto"/>
              </w:rPr>
            </w:pPr>
            <w:r>
              <w:rPr>
                <w:rFonts w:ascii="Arial" w:cs="Arial" w:eastAsia="Arial" w:hAnsi="Arial"/>
                <w:sz w:val="18"/>
                <w:szCs w:val="18"/>
                <w:color w:val="auto"/>
              </w:rPr>
              <w:t>Total revenues</w:t>
            </w:r>
          </w:p>
        </w:tc>
        <w:tc>
          <w:tcPr>
            <w:tcW w:w="1380" w:type="dxa"/>
            <w:vAlign w:val="bottom"/>
            <w:tcBorders>
              <w:bottom w:val="single" w:sz="8" w:color="auto"/>
              <w:right w:val="single" w:sz="8" w:color="auto"/>
            </w:tcBorders>
            <w:shd w:val="clear" w:color="auto" w:fill="D5EAEA"/>
          </w:tcPr>
          <w:p>
            <w:pPr>
              <w:jc w:val="right"/>
              <w:ind w:right="150"/>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right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0.5</w:t>
            </w:r>
          </w:p>
        </w:tc>
      </w:tr>
      <w:tr>
        <w:trPr>
          <w:trHeight w:val="210"/>
        </w:trPr>
        <w:tc>
          <w:tcPr>
            <w:tcW w:w="8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R&amp;D expenses</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r>
      <w:tr>
        <w:trPr>
          <w:trHeight w:val="210"/>
        </w:trPr>
        <w:tc>
          <w:tcPr>
            <w:tcW w:w="8920" w:type="dxa"/>
            <w:vAlign w:val="bottom"/>
            <w:tcBorders>
              <w:left w:val="single" w:sz="8" w:color="auto"/>
              <w:bottom w:val="single" w:sz="8" w:color="auto"/>
              <w:right w:val="single" w:sz="8" w:color="auto"/>
            </w:tcBorders>
            <w:shd w:val="clear" w:color="auto" w:fill="D5EAEA"/>
          </w:tcPr>
          <w:p>
            <w:pPr>
              <w:ind w:left="60"/>
              <w:spacing w:after="0"/>
              <w:rPr>
                <w:sz w:val="20"/>
                <w:szCs w:val="20"/>
                <w:color w:val="auto"/>
              </w:rPr>
            </w:pPr>
            <w:r>
              <w:rPr>
                <w:rFonts w:ascii="Arial" w:cs="Arial" w:eastAsia="Arial" w:hAnsi="Arial"/>
                <w:sz w:val="18"/>
                <w:szCs w:val="18"/>
                <w:color w:val="auto"/>
              </w:rPr>
              <w:t>G&amp;A expenses</w:t>
            </w:r>
          </w:p>
        </w:tc>
        <w:tc>
          <w:tcPr>
            <w:tcW w:w="1380" w:type="dxa"/>
            <w:vAlign w:val="bottom"/>
            <w:tcBorders>
              <w:bottom w:val="single" w:sz="8" w:color="auto"/>
              <w:right w:val="single" w:sz="8" w:color="auto"/>
            </w:tcBorders>
            <w:shd w:val="clear" w:color="auto" w:fill="D5EAEA"/>
          </w:tcPr>
          <w:p>
            <w:pPr>
              <w:jc w:val="right"/>
              <w:ind w:right="150"/>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right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0.9</w:t>
            </w:r>
          </w:p>
        </w:tc>
      </w:tr>
      <w:tr>
        <w:trPr>
          <w:trHeight w:val="210"/>
        </w:trPr>
        <w:tc>
          <w:tcPr>
            <w:tcW w:w="8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Loss for the period</w:t>
            </w:r>
          </w:p>
        </w:tc>
        <w:tc>
          <w:tcPr>
            <w:tcW w:w="13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8920" w:type="dxa"/>
            <w:vAlign w:val="bottom"/>
            <w:tcBorders>
              <w:left w:val="single" w:sz="8" w:color="auto"/>
              <w:bottom w:val="single" w:sz="8" w:color="auto"/>
              <w:right w:val="single" w:sz="8" w:color="auto"/>
            </w:tcBorders>
            <w:shd w:val="clear" w:color="auto" w:fill="D5EAEA"/>
          </w:tcPr>
          <w:p>
            <w:pPr>
              <w:ind w:left="60"/>
              <w:spacing w:after="0"/>
              <w:rPr>
                <w:sz w:val="20"/>
                <w:szCs w:val="20"/>
                <w:color w:val="auto"/>
              </w:rPr>
            </w:pPr>
            <w:r>
              <w:rPr>
                <w:rFonts w:ascii="Arial" w:cs="Arial" w:eastAsia="Arial" w:hAnsi="Arial"/>
                <w:sz w:val="18"/>
                <w:szCs w:val="18"/>
                <w:color w:val="auto"/>
              </w:rPr>
              <w:t>Basic and diluted, loss per share (EPS)</w:t>
            </w:r>
          </w:p>
        </w:tc>
        <w:tc>
          <w:tcPr>
            <w:tcW w:w="1380" w:type="dxa"/>
            <w:vAlign w:val="bottom"/>
            <w:tcBorders>
              <w:bottom w:val="single" w:sz="8" w:color="auto"/>
              <w:right w:val="single" w:sz="8" w:color="auto"/>
            </w:tcBorders>
            <w:shd w:val="clear" w:color="auto" w:fill="D5EAEA"/>
          </w:tcPr>
          <w:p>
            <w:pPr>
              <w:jc w:val="right"/>
              <w:ind w:right="90"/>
              <w:spacing w:after="0"/>
              <w:rPr>
                <w:sz w:val="20"/>
                <w:szCs w:val="20"/>
                <w:color w:val="auto"/>
              </w:rPr>
            </w:pPr>
            <w:r>
              <w:rPr>
                <w:rFonts w:ascii="Arial" w:cs="Arial" w:eastAsia="Arial" w:hAnsi="Arial"/>
                <w:sz w:val="18"/>
                <w:szCs w:val="18"/>
                <w:color w:val="auto"/>
              </w:rPr>
              <w:t>(0.17)</w:t>
            </w:r>
          </w:p>
        </w:tc>
        <w:tc>
          <w:tcPr>
            <w:tcW w:w="1120" w:type="dxa"/>
            <w:vAlign w:val="bottom"/>
            <w:tcBorders>
              <w:bottom w:val="single" w:sz="8" w:color="auto"/>
              <w:right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(0.13)</w:t>
            </w:r>
          </w:p>
        </w:tc>
      </w:tr>
      <w:tr>
        <w:trPr>
          <w:trHeight w:val="210"/>
        </w:trPr>
        <w:tc>
          <w:tcPr>
            <w:tcW w:w="8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Weighted-average no of shares basic and diluted</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56,855,987</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46,402,500</w:t>
            </w:r>
          </w:p>
        </w:tc>
      </w:tr>
      <w:tr>
        <w:trPr>
          <w:trHeight w:val="196"/>
        </w:trPr>
        <w:tc>
          <w:tcPr>
            <w:tcW w:w="8920" w:type="dxa"/>
            <w:vAlign w:val="bottom"/>
            <w:tcBorders>
              <w:left w:val="single" w:sz="8" w:color="auto"/>
              <w:bottom w:val="single" w:sz="8" w:color="auto"/>
              <w:right w:val="single" w:sz="8" w:color="auto"/>
            </w:tcBorders>
            <w:shd w:val="clear" w:color="auto" w:fill="D5EAEA"/>
          </w:tcPr>
          <w:p>
            <w:pPr>
              <w:spacing w:after="0"/>
              <w:rPr>
                <w:sz w:val="17"/>
                <w:szCs w:val="17"/>
                <w:color w:val="auto"/>
              </w:rPr>
            </w:pPr>
          </w:p>
        </w:tc>
        <w:tc>
          <w:tcPr>
            <w:tcW w:w="2500" w:type="dxa"/>
            <w:vAlign w:val="bottom"/>
            <w:tcBorders>
              <w:bottom w:val="single" w:sz="8" w:color="auto"/>
              <w:right w:val="single" w:sz="8" w:color="auto"/>
            </w:tcBorders>
            <w:gridSpan w:val="2"/>
            <w:shd w:val="clear" w:color="auto" w:fill="D5EAEA"/>
          </w:tcPr>
          <w:p>
            <w:pPr>
              <w:jc w:val="right"/>
              <w:ind w:right="830"/>
              <w:spacing w:after="0" w:line="196" w:lineRule="exact"/>
              <w:rPr>
                <w:sz w:val="20"/>
                <w:szCs w:val="20"/>
                <w:color w:val="auto"/>
              </w:rPr>
            </w:pPr>
            <w:r>
              <w:rPr>
                <w:rFonts w:ascii="Arial" w:cs="Arial" w:eastAsia="Arial" w:hAnsi="Arial"/>
                <w:sz w:val="18"/>
                <w:szCs w:val="18"/>
                <w:b w:val="1"/>
                <w:bCs w:val="1"/>
                <w:color w:val="auto"/>
              </w:rPr>
              <w:t>As of</w:t>
            </w:r>
          </w:p>
        </w:tc>
      </w:tr>
      <w:tr>
        <w:trPr>
          <w:trHeight w:val="173"/>
        </w:trPr>
        <w:tc>
          <w:tcPr>
            <w:tcW w:w="892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jc w:val="right"/>
              <w:ind w:right="150"/>
              <w:spacing w:after="0" w:line="173" w:lineRule="exact"/>
              <w:rPr>
                <w:sz w:val="20"/>
                <w:szCs w:val="20"/>
                <w:color w:val="auto"/>
              </w:rPr>
            </w:pPr>
            <w:r>
              <w:rPr>
                <w:rFonts w:ascii="Arial" w:cs="Arial" w:eastAsia="Arial" w:hAnsi="Arial"/>
                <w:sz w:val="18"/>
                <w:szCs w:val="18"/>
                <w:b w:val="1"/>
                <w:bCs w:val="1"/>
                <w:color w:val="auto"/>
              </w:rPr>
              <w:t>March 31,</w:t>
            </w:r>
          </w:p>
        </w:tc>
        <w:tc>
          <w:tcPr>
            <w:tcW w:w="1120" w:type="dxa"/>
            <w:vAlign w:val="bottom"/>
            <w:tcBorders>
              <w:right w:val="single" w:sz="8" w:color="auto"/>
            </w:tcBorders>
          </w:tcPr>
          <w:p>
            <w:pPr>
              <w:jc w:val="right"/>
              <w:ind w:right="30"/>
              <w:spacing w:after="0" w:line="173" w:lineRule="exact"/>
              <w:rPr>
                <w:sz w:val="20"/>
                <w:szCs w:val="20"/>
                <w:color w:val="auto"/>
              </w:rPr>
            </w:pPr>
            <w:r>
              <w:rPr>
                <w:rFonts w:ascii="Arial" w:cs="Arial" w:eastAsia="Arial" w:hAnsi="Arial"/>
                <w:sz w:val="18"/>
                <w:szCs w:val="18"/>
                <w:b w:val="1"/>
                <w:bCs w:val="1"/>
                <w:color w:val="auto"/>
              </w:rPr>
              <w:t>Dec 31,</w:t>
            </w:r>
          </w:p>
        </w:tc>
      </w:tr>
      <w:tr>
        <w:trPr>
          <w:trHeight w:val="225"/>
        </w:trPr>
        <w:tc>
          <w:tcPr>
            <w:tcW w:w="8920" w:type="dxa"/>
            <w:vAlign w:val="bottom"/>
            <w:tcBorders>
              <w:left w:val="single" w:sz="8" w:color="auto"/>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r>
      <w:tr>
        <w:trPr>
          <w:trHeight w:val="210"/>
        </w:trPr>
        <w:tc>
          <w:tcPr>
            <w:tcW w:w="8920" w:type="dxa"/>
            <w:vAlign w:val="bottom"/>
            <w:tcBorders>
              <w:left w:val="single" w:sz="8" w:color="auto"/>
              <w:bottom w:val="single" w:sz="8" w:color="auto"/>
              <w:right w:val="single" w:sz="8" w:color="auto"/>
            </w:tcBorders>
            <w:shd w:val="clear" w:color="auto" w:fill="D5EAEA"/>
          </w:tcPr>
          <w:p>
            <w:pPr>
              <w:ind w:left="60"/>
              <w:spacing w:after="0"/>
              <w:rPr>
                <w:sz w:val="20"/>
                <w:szCs w:val="20"/>
                <w:color w:val="auto"/>
              </w:rPr>
            </w:pPr>
            <w:r>
              <w:rPr>
                <w:rFonts w:ascii="Arial" w:cs="Arial" w:eastAsia="Arial" w:hAnsi="Arial"/>
                <w:sz w:val="18"/>
                <w:szCs w:val="18"/>
                <w:color w:val="auto"/>
              </w:rPr>
              <w:t>Cash and cash equivalents</w:t>
            </w:r>
          </w:p>
        </w:tc>
        <w:tc>
          <w:tcPr>
            <w:tcW w:w="1380" w:type="dxa"/>
            <w:vAlign w:val="bottom"/>
            <w:tcBorders>
              <w:bottom w:val="single" w:sz="8" w:color="auto"/>
              <w:right w:val="single" w:sz="8" w:color="auto"/>
            </w:tcBorders>
            <w:shd w:val="clear" w:color="auto" w:fill="D5EAEA"/>
          </w:tcPr>
          <w:p>
            <w:pPr>
              <w:jc w:val="right"/>
              <w:ind w:right="150"/>
              <w:spacing w:after="0"/>
              <w:rPr>
                <w:sz w:val="20"/>
                <w:szCs w:val="20"/>
                <w:color w:val="auto"/>
              </w:rPr>
            </w:pPr>
            <w:r>
              <w:rPr>
                <w:rFonts w:ascii="Arial" w:cs="Arial" w:eastAsia="Arial" w:hAnsi="Arial"/>
                <w:sz w:val="18"/>
                <w:szCs w:val="18"/>
                <w:color w:val="auto"/>
              </w:rPr>
              <w:t>138.1</w:t>
            </w:r>
          </w:p>
        </w:tc>
        <w:tc>
          <w:tcPr>
            <w:tcW w:w="1120" w:type="dxa"/>
            <w:vAlign w:val="bottom"/>
            <w:tcBorders>
              <w:bottom w:val="single" w:sz="8" w:color="auto"/>
              <w:right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152.2</w:t>
            </w:r>
          </w:p>
        </w:tc>
      </w:tr>
      <w:tr>
        <w:trPr>
          <w:trHeight w:val="210"/>
        </w:trPr>
        <w:tc>
          <w:tcPr>
            <w:tcW w:w="8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142.4</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154.9</w:t>
            </w:r>
          </w:p>
        </w:tc>
      </w:tr>
      <w:tr>
        <w:trPr>
          <w:trHeight w:val="210"/>
        </w:trPr>
        <w:tc>
          <w:tcPr>
            <w:tcW w:w="8920" w:type="dxa"/>
            <w:vAlign w:val="bottom"/>
            <w:tcBorders>
              <w:left w:val="single" w:sz="8" w:color="auto"/>
              <w:bottom w:val="single" w:sz="8" w:color="auto"/>
              <w:right w:val="single" w:sz="8" w:color="auto"/>
            </w:tcBorders>
            <w:shd w:val="clear" w:color="auto" w:fill="D5EAEA"/>
          </w:tcPr>
          <w:p>
            <w:pPr>
              <w:ind w:left="60"/>
              <w:spacing w:after="0"/>
              <w:rPr>
                <w:sz w:val="20"/>
                <w:szCs w:val="20"/>
                <w:color w:val="auto"/>
              </w:rPr>
            </w:pPr>
            <w:r>
              <w:rPr>
                <w:rFonts w:ascii="Arial" w:cs="Arial" w:eastAsia="Arial" w:hAnsi="Arial"/>
                <w:sz w:val="18"/>
                <w:szCs w:val="18"/>
                <w:color w:val="auto"/>
              </w:rPr>
              <w:t>Total shareholder’s equity</w:t>
            </w:r>
          </w:p>
        </w:tc>
        <w:tc>
          <w:tcPr>
            <w:tcW w:w="1380" w:type="dxa"/>
            <w:vAlign w:val="bottom"/>
            <w:tcBorders>
              <w:bottom w:val="single" w:sz="8" w:color="auto"/>
              <w:right w:val="single" w:sz="8" w:color="auto"/>
            </w:tcBorders>
            <w:shd w:val="clear" w:color="auto" w:fill="D5EAEA"/>
          </w:tcPr>
          <w:p>
            <w:pPr>
              <w:jc w:val="right"/>
              <w:ind w:right="150"/>
              <w:spacing w:after="0"/>
              <w:rPr>
                <w:sz w:val="20"/>
                <w:szCs w:val="20"/>
                <w:color w:val="auto"/>
              </w:rPr>
            </w:pPr>
            <w:r>
              <w:rPr>
                <w:rFonts w:ascii="Arial" w:cs="Arial" w:eastAsia="Arial" w:hAnsi="Arial"/>
                <w:sz w:val="18"/>
                <w:szCs w:val="18"/>
                <w:color w:val="auto"/>
              </w:rPr>
              <w:t>133.1</w:t>
            </w:r>
          </w:p>
        </w:tc>
        <w:tc>
          <w:tcPr>
            <w:tcW w:w="1120" w:type="dxa"/>
            <w:vAlign w:val="bottom"/>
            <w:tcBorders>
              <w:bottom w:val="single" w:sz="8" w:color="auto"/>
              <w:right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142.4</w:t>
            </w:r>
          </w:p>
        </w:tc>
      </w:tr>
    </w:tbl>
    <w:p>
      <w:pPr>
        <w:spacing w:after="0" w:line="234" w:lineRule="exact"/>
        <w:rPr>
          <w:sz w:val="20"/>
          <w:szCs w:val="20"/>
          <w:color w:val="auto"/>
        </w:rPr>
      </w:pPr>
    </w:p>
    <w:p>
      <w:pPr>
        <w:jc w:val="both"/>
        <w:ind w:firstLine="8"/>
        <w:spacing w:after="0"/>
        <w:tabs>
          <w:tab w:leader="none" w:pos="104"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 xml:space="preserve">This summary table should be read in conjunction with our unaudited condensed financial statements as of and for the period ended March 31, 2017, including the accompanying notes which form an integral part of the interim financial statements. These financial statements are available on our </w:t>
      </w:r>
      <w:r>
        <w:rPr>
          <w:rFonts w:ascii="Arial" w:cs="Arial" w:eastAsia="Arial" w:hAnsi="Arial"/>
          <w:sz w:val="14"/>
          <w:szCs w:val="14"/>
          <w:u w:val="single" w:color="auto"/>
          <w:color w:val="0000FF"/>
        </w:rPr>
        <w:t>website</w:t>
      </w:r>
      <w:r>
        <w:rPr>
          <w:rFonts w:ascii="Arial" w:cs="Arial" w:eastAsia="Arial" w:hAnsi="Arial"/>
          <w:sz w:val="14"/>
          <w:szCs w:val="14"/>
          <w:color w:val="auto"/>
        </w:rPr>
        <w:t xml:space="preserve"> under the tab labelled “Investors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8097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0" w:lineRule="exact"/>
        <w:rPr>
          <w:sz w:val="20"/>
          <w:szCs w:val="20"/>
          <w:color w:val="auto"/>
        </w:rPr>
      </w:pPr>
    </w:p>
    <w:p>
      <w:pPr>
        <w:ind w:left="100" w:hanging="92"/>
        <w:spacing w:after="0"/>
        <w:tabs>
          <w:tab w:leader="none" w:pos="10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PSP = Progressive Supranuclear Palsy</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Revenues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revenues experience significant fluctuations as a result of securing new collaboration agreements, the timing of milestone achievements and the size of each milestone payment.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 Immune generated revenues of CHF 2.0 million in the three months ended March 31, 2017 compared with CHF 0.5 million in the three months ended March 31, 2016. The increase in revenues was mainly driven by the EUR 1 million (CHF 1.1 million) milestone from Piramal Imaging for the initiation of the phase 1 clinical trial in an orphan indication, Progressive Supranuclear Palsy (PSP).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three months ended March 31, 2017, the Company incurred R&amp;D expenses of CHF 7.5 million compared with CHF 5.4 million in the same period in 2016.</w:t>
      </w:r>
    </w:p>
    <w:p>
      <w:pPr>
        <w:sectPr>
          <w:pgSz w:w="11900" w:h="16838" w:orient="portrait"/>
          <w:cols w:equalWidth="0" w:num="1">
            <w:col w:w="11420"/>
          </w:cols>
          <w:pgMar w:left="240" w:top="522" w:right="239" w:bottom="1440" w:gutter="0" w:footer="0" w:header="0"/>
        </w:sectPr>
      </w:pP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is primarily attributable to increased investment in the syndrome, in programs focused on Parkinson’s disease neurodegenerative orphan indications. The R&amp;D investment proprietary and partnered pipeline candidates.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hanging="32"/>
        <w:spacing w:after="0"/>
        <w:rPr>
          <w:sz w:val="20"/>
          <w:szCs w:val="20"/>
          <w:color w:val="auto"/>
        </w:rPr>
      </w:pPr>
      <w:r>
        <w:rPr>
          <w:rFonts w:ascii="Arial" w:cs="Arial" w:eastAsia="Arial" w:hAnsi="Arial"/>
          <w:sz w:val="18"/>
          <w:szCs w:val="18"/>
          <w:color w:val="auto"/>
        </w:rPr>
        <w:t>two anti-Abeta ACI-24 vaccine programs such as alpha-synuclein PET imaging, also reflects the addition of new talents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Alzheimer’s disease and Down and  in  discovery  programs  for to accelerate the development of</w:t>
      </w:r>
    </w:p>
    <w:p>
      <w:pPr>
        <w:spacing w:after="0" w:line="369" w:lineRule="exact"/>
        <w:rPr>
          <w:sz w:val="20"/>
          <w:szCs w:val="20"/>
          <w:color w:val="auto"/>
        </w:rPr>
      </w:pPr>
    </w:p>
    <w:p>
      <w:pPr>
        <w:sectPr>
          <w:pgSz w:w="11900" w:h="16838" w:orient="portrait"/>
          <w:cols w:equalWidth="0" w:num="3">
            <w:col w:w="5020" w:space="100"/>
            <w:col w:w="3420" w:space="40"/>
            <w:col w:w="2840"/>
          </w:cols>
          <w:pgMar w:left="240" w:top="5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General and Administrative (G&amp;A) Expenses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G&amp;A expenses amounted to CHF 2.4 million in the three months ended March 31, 2017 compared with CHF 0.9 million in the same period in 2016. The increase in G&amp;A expenses is largely related to advisory, regulatory and legal costs associated with the Company being publicly listed since September 2016, intellectual property costs as well as remuneration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for the period</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three months ended March 31, 2017, the Company had a net loss after taxes of CHF 9.5 million compared with a CHF 6.2 million loss for the same period in 2016. The decline in profitability is attributable to the increased R&amp;D and G&amp;A expenses as outlined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AC Immune had total cash of CHF 138.1 million compared to</w:t>
      </w:r>
    </w:p>
    <w:p>
      <w:pPr>
        <w:jc w:val="both"/>
        <w:ind w:right="20"/>
        <w:spacing w:after="0" w:line="246" w:lineRule="auto"/>
        <w:rPr>
          <w:sz w:val="20"/>
          <w:szCs w:val="20"/>
          <w:color w:val="auto"/>
        </w:rPr>
      </w:pPr>
      <w:r>
        <w:rPr>
          <w:rFonts w:ascii="Arial" w:cs="Arial" w:eastAsia="Arial" w:hAnsi="Arial"/>
          <w:sz w:val="18"/>
          <w:szCs w:val="18"/>
          <w:color w:val="auto"/>
        </w:rPr>
        <w:t>CHF 152.2 million as of December 31, 2017. The decrease is due to the higher investments in our major discovery and development programs and the strengthening of the Company’s infrastructures, systems and organization.</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For a more detailed review of our financial performance, please refer to the “Management’s Discussion and Analysis of Financial Condition and Results of Operations” attached as an exhibit to our Current Report on Form 6-K filed today with the U.S. Securities and Exchange Commission and on our </w:t>
      </w:r>
      <w:r>
        <w:rPr>
          <w:rFonts w:ascii="Arial" w:cs="Arial" w:eastAsia="Arial" w:hAnsi="Arial"/>
          <w:sz w:val="18"/>
          <w:szCs w:val="18"/>
          <w:u w:val="single" w:color="auto"/>
          <w:color w:val="0000FF"/>
        </w:rPr>
        <w:t>website</w:t>
      </w:r>
      <w:r>
        <w:rPr>
          <w:rFonts w:ascii="Arial" w:cs="Arial" w:eastAsia="Arial" w:hAnsi="Arial"/>
          <w:sz w:val="18"/>
          <w:szCs w:val="18"/>
          <w:color w:val="auto"/>
        </w:rPr>
        <w:t xml:space="preserve"> under the tab labelled “Investors - Financial Information”.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First Quarter 2017 R&amp;D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 – anti-Abeta antibody for Alzheimer’s disease (AD</w:t>
      </w:r>
      <w:r>
        <w:rPr>
          <w:rFonts w:ascii="Arial" w:cs="Arial" w:eastAsia="Arial" w:hAnsi="Arial"/>
          <w:sz w:val="18"/>
          <w:szCs w:val="18"/>
          <w:color w:val="auto"/>
        </w:rPr>
        <w:t>)</w:t>
      </w:r>
      <w:r>
        <w:rPr>
          <w:rFonts w:ascii="Arial" w:cs="Arial" w:eastAsia="Arial" w:hAnsi="Arial"/>
          <w:sz w:val="18"/>
          <w:szCs w:val="18"/>
          <w:b w:val="1"/>
          <w:bCs w:val="1"/>
          <w:color w:val="auto"/>
        </w:rPr>
        <w:t xml:space="preserve"> partnered with Genentech in Phase 3</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 Immune’s partner Genentech/Roche has started a second pivotal phase 3 clinical trial, CREAD 2, in 750 prodromal or mild Alzheimer’s disease. Similar to the CREAD 1 phase 3 clinical trial, which is ongoing since Q1 2016, this study will evaluate the effect of crenezumab on the composite endpoint Clinical Dementia Rating-Sum of Boxes (CDR-SB) Score.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Tau-PET imaging agent – AD diagnostic partnered with Piramal</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insights into the Tau-PET imaging tracer, being developed in collaboration with Piramal Imaging, were provided at the International Conference on Alzheimer's and Parkinson's Diseases (AD/PD). The results included its excellent preclinical properties, human dosimetry and first encouraging clinical data which show a distinct, specific pattern of binding in patients with Alzheimer’s disease and Progressive Supranuclear Palsy.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gridSpan w:val="5"/>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1"/>
        </w:trPr>
        <w:tc>
          <w:tcPr>
            <w:tcW w:w="4200" w:type="dxa"/>
            <w:vAlign w:val="bottom"/>
            <w:gridSpan w:val="5"/>
          </w:tcPr>
          <w:p>
            <w:pPr>
              <w:ind w:left="40"/>
              <w:spacing w:after="0"/>
              <w:rPr>
                <w:sz w:val="20"/>
                <w:szCs w:val="20"/>
                <w:color w:val="auto"/>
              </w:rPr>
            </w:pPr>
            <w:r>
              <w:rPr>
                <w:rFonts w:ascii="Arial" w:cs="Arial" w:eastAsia="Arial" w:hAnsi="Arial"/>
                <w:sz w:val="18"/>
                <w:szCs w:val="18"/>
                <w:color w:val="auto"/>
              </w:rPr>
              <w:t>Prof. Andrea Pfeifer</w:t>
            </w:r>
          </w:p>
        </w:tc>
        <w:tc>
          <w:tcPr>
            <w:tcW w:w="4180" w:type="dxa"/>
            <w:vAlign w:val="bottom"/>
            <w:gridSpan w:val="4"/>
          </w:tcPr>
          <w:p>
            <w:pPr>
              <w:ind w:left="880"/>
              <w:spacing w:after="0"/>
              <w:rPr>
                <w:sz w:val="20"/>
                <w:szCs w:val="20"/>
                <w:color w:val="auto"/>
              </w:rPr>
            </w:pPr>
            <w:r>
              <w:rPr>
                <w:rFonts w:ascii="Arial" w:cs="Arial" w:eastAsia="Arial" w:hAnsi="Arial"/>
                <w:sz w:val="18"/>
                <w:szCs w:val="18"/>
                <w:color w:val="auto"/>
              </w:rPr>
              <w:t>Eva Schier</w:t>
            </w:r>
          </w:p>
        </w:tc>
      </w:tr>
      <w:tr>
        <w:trPr>
          <w:trHeight w:val="203"/>
        </w:trPr>
        <w:tc>
          <w:tcPr>
            <w:tcW w:w="42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Chief Executive Officer</w:t>
            </w:r>
          </w:p>
        </w:tc>
        <w:tc>
          <w:tcPr>
            <w:tcW w:w="4180" w:type="dxa"/>
            <w:vAlign w:val="bottom"/>
            <w:gridSpan w:val="4"/>
          </w:tcPr>
          <w:p>
            <w:pPr>
              <w:ind w:left="880"/>
              <w:spacing w:after="0" w:line="202" w:lineRule="exact"/>
              <w:rPr>
                <w:sz w:val="20"/>
                <w:szCs w:val="20"/>
                <w:color w:val="auto"/>
              </w:rPr>
            </w:pPr>
            <w:r>
              <w:rPr>
                <w:rFonts w:ascii="Arial" w:cs="Arial" w:eastAsia="Arial" w:hAnsi="Arial"/>
                <w:sz w:val="18"/>
                <w:szCs w:val="18"/>
                <w:color w:val="auto"/>
              </w:rPr>
              <w:t>Corporate Communications Manager</w:t>
            </w:r>
          </w:p>
        </w:tc>
      </w:tr>
      <w:tr>
        <w:trPr>
          <w:trHeight w:val="203"/>
        </w:trPr>
        <w:tc>
          <w:tcPr>
            <w:tcW w:w="42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Phone: +41-21-345 91 21</w:t>
            </w:r>
          </w:p>
        </w:tc>
        <w:tc>
          <w:tcPr>
            <w:tcW w:w="4180" w:type="dxa"/>
            <w:vAlign w:val="bottom"/>
            <w:gridSpan w:val="4"/>
          </w:tcPr>
          <w:p>
            <w:pPr>
              <w:ind w:left="880"/>
              <w:spacing w:after="0" w:line="202" w:lineRule="exact"/>
              <w:rPr>
                <w:sz w:val="20"/>
                <w:szCs w:val="20"/>
                <w:color w:val="auto"/>
              </w:rPr>
            </w:pPr>
            <w:r>
              <w:rPr>
                <w:rFonts w:ascii="Arial" w:cs="Arial" w:eastAsia="Arial" w:hAnsi="Arial"/>
                <w:sz w:val="18"/>
                <w:szCs w:val="18"/>
                <w:color w:val="auto"/>
              </w:rPr>
              <w:t>Phone: +41-21-345 91 34</w:t>
            </w:r>
          </w:p>
        </w:tc>
      </w:tr>
      <w:tr>
        <w:trPr>
          <w:trHeight w:val="176"/>
        </w:trPr>
        <w:tc>
          <w:tcPr>
            <w:tcW w:w="420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andrea.pfeifer@acimmune.com</w:t>
            </w:r>
          </w:p>
        </w:tc>
        <w:tc>
          <w:tcPr>
            <w:tcW w:w="4180" w:type="dxa"/>
            <w:vAlign w:val="bottom"/>
            <w:gridSpan w:val="4"/>
          </w:tcPr>
          <w:p>
            <w:pPr>
              <w:ind w:left="880"/>
              <w:spacing w:after="0" w:line="176" w:lineRule="exact"/>
              <w:rPr>
                <w:sz w:val="20"/>
                <w:szCs w:val="20"/>
                <w:color w:val="auto"/>
              </w:rPr>
            </w:pPr>
            <w:r>
              <w:rPr>
                <w:rFonts w:ascii="Arial" w:cs="Arial" w:eastAsia="Arial" w:hAnsi="Arial"/>
                <w:sz w:val="18"/>
                <w:szCs w:val="18"/>
                <w:color w:val="auto"/>
              </w:rPr>
              <w:t>Mobile: +41 79 926 66 03</w:t>
            </w:r>
          </w:p>
        </w:tc>
      </w:tr>
      <w:tr>
        <w:trPr>
          <w:trHeight w:val="183"/>
        </w:trPr>
        <w:tc>
          <w:tcPr>
            <w:tcW w:w="660" w:type="dxa"/>
            <w:vAlign w:val="bottom"/>
          </w:tcPr>
          <w:p>
            <w:pPr>
              <w:spacing w:after="0"/>
              <w:rPr>
                <w:sz w:val="15"/>
                <w:szCs w:val="15"/>
                <w:color w:val="auto"/>
              </w:rPr>
            </w:pPr>
          </w:p>
        </w:tc>
        <w:tc>
          <w:tcPr>
            <w:tcW w:w="1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020" w:type="dxa"/>
            <w:vAlign w:val="bottom"/>
          </w:tcPr>
          <w:p>
            <w:pPr>
              <w:spacing w:after="0"/>
              <w:rPr>
                <w:sz w:val="15"/>
                <w:szCs w:val="15"/>
                <w:color w:val="auto"/>
              </w:rPr>
            </w:pPr>
          </w:p>
        </w:tc>
        <w:tc>
          <w:tcPr>
            <w:tcW w:w="4180" w:type="dxa"/>
            <w:vAlign w:val="bottom"/>
            <w:gridSpan w:val="4"/>
          </w:tcPr>
          <w:p>
            <w:pPr>
              <w:ind w:left="880"/>
              <w:spacing w:after="0" w:line="18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eva.schier@acimmune.com</w:t>
            </w:r>
          </w:p>
        </w:tc>
      </w:tr>
      <w:tr>
        <w:trPr>
          <w:trHeight w:val="20"/>
        </w:trPr>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79"/>
        </w:trPr>
        <w:tc>
          <w:tcPr>
            <w:tcW w:w="4200" w:type="dxa"/>
            <w:vAlign w:val="bottom"/>
            <w:gridSpan w:val="5"/>
          </w:tcPr>
          <w:p>
            <w:pPr>
              <w:ind w:left="40"/>
              <w:spacing w:after="0"/>
              <w:rPr>
                <w:sz w:val="20"/>
                <w:szCs w:val="20"/>
                <w:color w:val="auto"/>
              </w:rPr>
            </w:pPr>
            <w:r>
              <w:rPr>
                <w:rFonts w:ascii="Arial" w:cs="Arial" w:eastAsia="Arial" w:hAnsi="Arial"/>
                <w:sz w:val="18"/>
                <w:szCs w:val="18"/>
                <w:color w:val="auto"/>
              </w:rPr>
              <w:t>Nick Miles/ Toomas Kull</w:t>
            </w:r>
          </w:p>
        </w:tc>
        <w:tc>
          <w:tcPr>
            <w:tcW w:w="4180" w:type="dxa"/>
            <w:vAlign w:val="bottom"/>
            <w:gridSpan w:val="4"/>
          </w:tcPr>
          <w:p>
            <w:pPr>
              <w:ind w:left="880"/>
              <w:spacing w:after="0"/>
              <w:rPr>
                <w:sz w:val="20"/>
                <w:szCs w:val="20"/>
                <w:color w:val="auto"/>
              </w:rPr>
            </w:pPr>
            <w:r>
              <w:rPr>
                <w:rFonts w:ascii="Arial" w:cs="Arial" w:eastAsia="Arial" w:hAnsi="Arial"/>
                <w:sz w:val="18"/>
                <w:szCs w:val="18"/>
                <w:b w:val="1"/>
                <w:bCs w:val="1"/>
                <w:color w:val="auto"/>
              </w:rPr>
              <w:t>In the US</w:t>
            </w:r>
          </w:p>
        </w:tc>
      </w:tr>
      <w:tr>
        <w:trPr>
          <w:trHeight w:val="203"/>
        </w:trPr>
        <w:tc>
          <w:tcPr>
            <w:tcW w:w="42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Cabinet Privé de Conseils</w:t>
            </w:r>
          </w:p>
        </w:tc>
        <w:tc>
          <w:tcPr>
            <w:tcW w:w="4180" w:type="dxa"/>
            <w:vAlign w:val="bottom"/>
            <w:gridSpan w:val="4"/>
          </w:tcPr>
          <w:p>
            <w:pPr>
              <w:ind w:left="880"/>
              <w:spacing w:after="0" w:line="202" w:lineRule="exact"/>
              <w:rPr>
                <w:sz w:val="20"/>
                <w:szCs w:val="20"/>
                <w:color w:val="auto"/>
              </w:rPr>
            </w:pPr>
            <w:r>
              <w:rPr>
                <w:rFonts w:ascii="Arial" w:cs="Arial" w:eastAsia="Arial" w:hAnsi="Arial"/>
                <w:sz w:val="18"/>
                <w:szCs w:val="18"/>
                <w:color w:val="auto"/>
              </w:rPr>
              <w:t>Ted Agne</w:t>
            </w:r>
          </w:p>
        </w:tc>
      </w:tr>
      <w:tr>
        <w:trPr>
          <w:trHeight w:val="217"/>
        </w:trPr>
        <w:tc>
          <w:tcPr>
            <w:tcW w:w="4200" w:type="dxa"/>
            <w:vAlign w:val="bottom"/>
            <w:gridSpan w:val="5"/>
          </w:tcPr>
          <w:p>
            <w:pPr>
              <w:ind w:left="40"/>
              <w:spacing w:after="0"/>
              <w:rPr>
                <w:sz w:val="20"/>
                <w:szCs w:val="20"/>
                <w:color w:val="auto"/>
              </w:rPr>
            </w:pPr>
            <w:r>
              <w:rPr>
                <w:rFonts w:ascii="Arial" w:cs="Arial" w:eastAsia="Arial" w:hAnsi="Arial"/>
                <w:sz w:val="18"/>
                <w:szCs w:val="18"/>
                <w:color w:val="auto"/>
              </w:rPr>
              <w:t>Phone: +41 22 321 45 40</w:t>
            </w:r>
          </w:p>
        </w:tc>
        <w:tc>
          <w:tcPr>
            <w:tcW w:w="4180" w:type="dxa"/>
            <w:vAlign w:val="bottom"/>
            <w:gridSpan w:val="4"/>
          </w:tcPr>
          <w:p>
            <w:pPr>
              <w:ind w:left="880"/>
              <w:spacing w:after="0"/>
              <w:rPr>
                <w:sz w:val="20"/>
                <w:szCs w:val="20"/>
                <w:color w:val="auto"/>
              </w:rPr>
            </w:pPr>
            <w:r>
              <w:rPr>
                <w:rFonts w:ascii="Arial" w:cs="Arial" w:eastAsia="Arial" w:hAnsi="Arial"/>
                <w:sz w:val="18"/>
                <w:szCs w:val="18"/>
                <w:color w:val="auto"/>
                <w:w w:val="99"/>
              </w:rPr>
              <w:t>The Communications Strategy Group Inc.</w:t>
            </w:r>
          </w:p>
        </w:tc>
      </w:tr>
      <w:tr>
        <w:trPr>
          <w:trHeight w:val="216"/>
        </w:trPr>
        <w:tc>
          <w:tcPr>
            <w:tcW w:w="660" w:type="dxa"/>
            <w:vAlign w:val="bottom"/>
          </w:tcPr>
          <w:p>
            <w:pPr>
              <w:ind w:left="40"/>
              <w:spacing w:after="0"/>
              <w:rPr>
                <w:sz w:val="20"/>
                <w:szCs w:val="20"/>
                <w:color w:val="auto"/>
              </w:rPr>
            </w:pPr>
            <w:r>
              <w:rPr>
                <w:rFonts w:ascii="Arial" w:cs="Arial" w:eastAsia="Arial" w:hAnsi="Arial"/>
                <w:sz w:val="18"/>
                <w:szCs w:val="18"/>
                <w:color w:val="auto"/>
              </w:rPr>
              <w:t>E-</w:t>
            </w:r>
          </w:p>
        </w:tc>
        <w:tc>
          <w:tcPr>
            <w:tcW w:w="1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miles@cpc-pr.com</w:t>
            </w:r>
          </w:p>
        </w:tc>
        <w:tc>
          <w:tcPr>
            <w:tcW w:w="2100" w:type="dxa"/>
            <w:vAlign w:val="bottom"/>
            <w:gridSpan w:val="2"/>
          </w:tcPr>
          <w:p>
            <w:pPr>
              <w:spacing w:after="0"/>
              <w:rPr>
                <w:sz w:val="18"/>
                <w:szCs w:val="18"/>
                <w:color w:val="auto"/>
              </w:rPr>
            </w:pPr>
          </w:p>
        </w:tc>
        <w:tc>
          <w:tcPr>
            <w:tcW w:w="4180" w:type="dxa"/>
            <w:vAlign w:val="bottom"/>
            <w:gridSpan w:val="4"/>
          </w:tcPr>
          <w:p>
            <w:pPr>
              <w:ind w:left="880"/>
              <w:spacing w:after="0"/>
              <w:rPr>
                <w:sz w:val="20"/>
                <w:szCs w:val="20"/>
                <w:color w:val="auto"/>
              </w:rPr>
            </w:pPr>
            <w:r>
              <w:rPr>
                <w:rFonts w:ascii="Arial" w:cs="Arial" w:eastAsia="Arial" w:hAnsi="Arial"/>
                <w:sz w:val="18"/>
                <w:szCs w:val="18"/>
                <w:color w:val="auto"/>
              </w:rPr>
              <w:t>Phone: +1 781 631 3117</w:t>
            </w:r>
          </w:p>
        </w:tc>
      </w:tr>
      <w:tr>
        <w:trPr>
          <w:trHeight w:val="183"/>
        </w:trPr>
        <w:tc>
          <w:tcPr>
            <w:tcW w:w="660" w:type="dxa"/>
            <w:vAlign w:val="bottom"/>
          </w:tcPr>
          <w:p>
            <w:pPr>
              <w:ind w:left="40"/>
              <w:spacing w:after="0" w:line="182" w:lineRule="exact"/>
              <w:rPr>
                <w:sz w:val="20"/>
                <w:szCs w:val="20"/>
                <w:color w:val="auto"/>
              </w:rPr>
            </w:pPr>
            <w:r>
              <w:rPr>
                <w:rFonts w:ascii="Arial" w:cs="Arial" w:eastAsia="Arial" w:hAnsi="Arial"/>
                <w:sz w:val="18"/>
                <w:szCs w:val="18"/>
                <w:color w:val="auto"/>
              </w:rPr>
              <w:t>mail:</w:t>
            </w:r>
          </w:p>
        </w:tc>
        <w:tc>
          <w:tcPr>
            <w:tcW w:w="3540" w:type="dxa"/>
            <w:vAlign w:val="bottom"/>
            <w:gridSpan w:val="4"/>
          </w:tcPr>
          <w:p>
            <w:pPr>
              <w:spacing w:after="0" w:line="182" w:lineRule="exact"/>
              <w:rPr>
                <w:sz w:val="20"/>
                <w:szCs w:val="20"/>
                <w:color w:val="auto"/>
              </w:rPr>
            </w:pPr>
            <w:r>
              <w:rPr>
                <w:rFonts w:ascii="Arial" w:cs="Arial" w:eastAsia="Arial" w:hAnsi="Arial"/>
                <w:sz w:val="18"/>
                <w:szCs w:val="18"/>
                <w:color w:val="0000FF"/>
              </w:rPr>
              <w:t>kull@cpc-pr.com</w:t>
            </w:r>
          </w:p>
        </w:tc>
        <w:tc>
          <w:tcPr>
            <w:tcW w:w="4180" w:type="dxa"/>
            <w:vAlign w:val="bottom"/>
            <w:gridSpan w:val="4"/>
          </w:tcPr>
          <w:p>
            <w:pPr>
              <w:ind w:left="880"/>
              <w:spacing w:after="0" w:line="182"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r>
      <w:tr>
        <w:trPr>
          <w:trHeight w:val="20"/>
        </w:trPr>
        <w:tc>
          <w:tcPr>
            <w:tcW w:w="66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-668020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-650875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-633730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-616585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-599440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-582295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-565150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-548005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-530860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-513715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-496570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-479425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-462280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-445135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-427990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-410845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-393700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-376555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-359410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-342265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-1508760</wp:posOffset>
            </wp:positionV>
            <wp:extent cx="7272020" cy="1668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166814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99.4</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20" w:type="dxa"/>
            <w:vAlign w:val="bottom"/>
            <w:tcBorders>
              <w:top w:val="single" w:sz="8" w:color="auto"/>
              <w:left w:val="single" w:sz="8" w:color="auto"/>
            </w:tcBorders>
          </w:tcPr>
          <w:p>
            <w:pPr>
              <w:spacing w:after="0"/>
              <w:rPr>
                <w:sz w:val="22"/>
                <w:szCs w:val="22"/>
                <w:color w:val="auto"/>
              </w:rPr>
            </w:pPr>
          </w:p>
        </w:tc>
        <w:tc>
          <w:tcPr>
            <w:tcW w:w="5100" w:type="dxa"/>
            <w:vAlign w:val="bottom"/>
            <w:tcBorders>
              <w:top w:val="single" w:sz="8" w:color="auto"/>
              <w:right w:val="single" w:sz="8" w:color="auto"/>
            </w:tcBorders>
          </w:tcPr>
          <w:p>
            <w:pPr>
              <w:jc w:val="center"/>
              <w:ind w:right="430"/>
              <w:spacing w:after="0"/>
              <w:rPr>
                <w:sz w:val="20"/>
                <w:szCs w:val="20"/>
                <w:color w:val="auto"/>
              </w:rPr>
            </w:pPr>
            <w:r>
              <w:rPr>
                <w:rFonts w:ascii="Arial" w:cs="Arial" w:eastAsia="Arial" w:hAnsi="Arial"/>
                <w:sz w:val="18"/>
                <w:szCs w:val="18"/>
                <w:color w:val="auto"/>
                <w:w w:val="94"/>
              </w:rPr>
              <w:t>Articles of Association</w:t>
            </w:r>
          </w:p>
        </w:tc>
        <w:tc>
          <w:tcPr>
            <w:tcW w:w="22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860" w:type="dxa"/>
            <w:vAlign w:val="bottom"/>
            <w:tcBorders>
              <w:top w:val="single" w:sz="8" w:color="auto"/>
              <w:right w:val="single" w:sz="8" w:color="auto"/>
            </w:tcBorders>
          </w:tcPr>
          <w:p>
            <w:pPr>
              <w:jc w:val="center"/>
              <w:ind w:right="650"/>
              <w:spacing w:after="0"/>
              <w:rPr>
                <w:sz w:val="20"/>
                <w:szCs w:val="20"/>
                <w:color w:val="auto"/>
              </w:rPr>
            </w:pPr>
            <w:r>
              <w:rPr>
                <w:rFonts w:ascii="Arial" w:cs="Arial" w:eastAsia="Arial" w:hAnsi="Arial"/>
                <w:sz w:val="18"/>
                <w:szCs w:val="18"/>
                <w:color w:val="auto"/>
                <w:w w:val="92"/>
              </w:rPr>
              <w:t>STATUTS</w:t>
            </w:r>
          </w:p>
        </w:tc>
      </w:tr>
      <w:tr>
        <w:trPr>
          <w:trHeight w:val="432"/>
        </w:trPr>
        <w:tc>
          <w:tcPr>
            <w:tcW w:w="52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color w:val="auto"/>
                <w:w w:val="92"/>
              </w:rPr>
              <w:t>of</w:t>
            </w:r>
          </w:p>
        </w:tc>
        <w:tc>
          <w:tcPr>
            <w:tcW w:w="2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85"/>
              </w:rPr>
              <w:t>de</w:t>
            </w:r>
          </w:p>
        </w:tc>
      </w:tr>
      <w:tr>
        <w:trPr>
          <w:trHeight w:val="414"/>
        </w:trPr>
        <w:tc>
          <w:tcPr>
            <w:tcW w:w="52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3"/>
              </w:rPr>
              <w:t>AC Immune SA</w:t>
            </w:r>
          </w:p>
        </w:tc>
        <w:tc>
          <w:tcPr>
            <w:tcW w:w="2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5"/>
              </w:rPr>
              <w:t>AC Immune SA</w:t>
            </w:r>
          </w:p>
        </w:tc>
      </w:tr>
      <w:tr>
        <w:trPr>
          <w:trHeight w:val="216"/>
        </w:trPr>
        <w:tc>
          <w:tcPr>
            <w:tcW w:w="520" w:type="dxa"/>
            <w:vAlign w:val="bottom"/>
            <w:tcBorders>
              <w:left w:val="single" w:sz="8" w:color="auto"/>
            </w:tcBorders>
          </w:tcPr>
          <w:p>
            <w:pPr>
              <w:spacing w:after="0"/>
              <w:rPr>
                <w:sz w:val="18"/>
                <w:szCs w:val="18"/>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5"/>
              </w:rPr>
              <w:t>(AC Immune AG)</w:t>
            </w:r>
          </w:p>
        </w:tc>
        <w:tc>
          <w:tcPr>
            <w:tcW w:w="2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7"/>
              </w:rPr>
              <w:t>(AC Immune AG)</w:t>
            </w:r>
          </w:p>
        </w:tc>
      </w:tr>
      <w:tr>
        <w:trPr>
          <w:trHeight w:val="234"/>
        </w:trPr>
        <w:tc>
          <w:tcPr>
            <w:tcW w:w="520" w:type="dxa"/>
            <w:vAlign w:val="bottom"/>
            <w:tcBorders>
              <w:left w:val="single" w:sz="8" w:color="auto"/>
            </w:tcBorders>
          </w:tcPr>
          <w:p>
            <w:pPr>
              <w:spacing w:after="0"/>
              <w:rPr>
                <w:sz w:val="20"/>
                <w:szCs w:val="20"/>
                <w:color w:val="auto"/>
              </w:rPr>
            </w:pPr>
          </w:p>
        </w:tc>
        <w:tc>
          <w:tcPr>
            <w:tcW w:w="510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6"/>
              </w:rPr>
              <w:t>(AC Immune Ltd)</w:t>
            </w:r>
          </w:p>
        </w:tc>
        <w:tc>
          <w:tcPr>
            <w:tcW w:w="22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6"/>
              </w:rPr>
              <w:t>(AC Immune Ltd)</w:t>
            </w:r>
          </w:p>
        </w:tc>
      </w:tr>
      <w:tr>
        <w:trPr>
          <w:trHeight w:val="432"/>
        </w:trPr>
        <w:tc>
          <w:tcPr>
            <w:tcW w:w="52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0"/>
              </w:rPr>
              <w:t>with registered office in</w:t>
            </w:r>
          </w:p>
        </w:tc>
        <w:tc>
          <w:tcPr>
            <w:tcW w:w="2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82"/>
              </w:rPr>
              <w:t>avec siège à</w:t>
            </w:r>
          </w:p>
        </w:tc>
      </w:tr>
      <w:tr>
        <w:trPr>
          <w:trHeight w:val="432"/>
        </w:trPr>
        <w:tc>
          <w:tcPr>
            <w:tcW w:w="52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3"/>
              </w:rPr>
              <w:t>Ecublens (VD)</w:t>
            </w:r>
          </w:p>
        </w:tc>
        <w:tc>
          <w:tcPr>
            <w:tcW w:w="2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1"/>
              </w:rPr>
              <w:t>Ecublens (VD)</w:t>
            </w:r>
          </w:p>
        </w:tc>
      </w:tr>
      <w:tr>
        <w:trPr>
          <w:trHeight w:val="432"/>
        </w:trPr>
        <w:tc>
          <w:tcPr>
            <w:tcW w:w="52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color w:val="auto"/>
                <w:w w:val="90"/>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90"/>
              </w:rPr>
              <w:t>La version française de ces statuts fait foi.</w:t>
            </w:r>
          </w:p>
        </w:tc>
      </w:tr>
      <w:tr>
        <w:trPr>
          <w:trHeight w:val="243"/>
        </w:trPr>
        <w:tc>
          <w:tcPr>
            <w:tcW w:w="520" w:type="dxa"/>
            <w:vAlign w:val="bottom"/>
            <w:tcBorders>
              <w:left w:val="single" w:sz="8" w:color="auto"/>
              <w:bottom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60" w:type="dxa"/>
            <w:vAlign w:val="bottom"/>
            <w:tcBorders>
              <w:bottom w:val="single" w:sz="8" w:color="auto"/>
              <w:right w:val="single" w:sz="8" w:color="auto"/>
            </w:tcBorders>
          </w:tcPr>
          <w:p>
            <w:pPr>
              <w:spacing w:after="0"/>
              <w:rPr>
                <w:sz w:val="21"/>
                <w:szCs w:val="21"/>
                <w:color w:val="auto"/>
              </w:rPr>
            </w:pPr>
          </w:p>
        </w:tc>
      </w:tr>
      <w:tr>
        <w:trPr>
          <w:trHeight w:val="218"/>
        </w:trPr>
        <w:tc>
          <w:tcPr>
            <w:tcW w:w="5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I.</w:t>
            </w:r>
          </w:p>
        </w:tc>
        <w:tc>
          <w:tcPr>
            <w:tcW w:w="5100" w:type="dxa"/>
            <w:vAlign w:val="bottom"/>
            <w:tcBorders>
              <w:right w:val="single" w:sz="8" w:color="auto"/>
            </w:tcBorders>
          </w:tcPr>
          <w:p>
            <w:pPr>
              <w:ind w:left="560"/>
              <w:spacing w:after="0"/>
              <w:rPr>
                <w:sz w:val="20"/>
                <w:szCs w:val="20"/>
                <w:color w:val="auto"/>
              </w:rPr>
            </w:pPr>
            <w:r>
              <w:rPr>
                <w:rFonts w:ascii="Arial" w:cs="Arial" w:eastAsia="Arial" w:hAnsi="Arial"/>
                <w:sz w:val="18"/>
                <w:szCs w:val="18"/>
                <w:b w:val="1"/>
                <w:bCs w:val="1"/>
                <w:color w:val="auto"/>
              </w:rPr>
              <w:t>CORPORATE NAME, PRINCIPAL OFFICE,</w:t>
            </w:r>
          </w:p>
        </w:tc>
        <w:tc>
          <w:tcPr>
            <w:tcW w:w="220" w:type="dxa"/>
            <w:vAlign w:val="bottom"/>
            <w:tcBorders>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I.</w:t>
            </w:r>
          </w:p>
        </w:tc>
        <w:tc>
          <w:tcPr>
            <w:tcW w:w="486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RAISON SOCIALE, SIÈGE, DURÉE ET BUT DE LA</w:t>
            </w:r>
          </w:p>
        </w:tc>
      </w:tr>
      <w:tr>
        <w:trPr>
          <w:trHeight w:val="234"/>
        </w:trPr>
        <w:tc>
          <w:tcPr>
            <w:tcW w:w="520" w:type="dxa"/>
            <w:vAlign w:val="bottom"/>
            <w:tcBorders>
              <w:left w:val="single" w:sz="8" w:color="auto"/>
            </w:tcBorders>
          </w:tcPr>
          <w:p>
            <w:pPr>
              <w:spacing w:after="0"/>
              <w:rPr>
                <w:sz w:val="20"/>
                <w:szCs w:val="20"/>
                <w:color w:val="auto"/>
              </w:rPr>
            </w:pPr>
          </w:p>
        </w:tc>
        <w:tc>
          <w:tcPr>
            <w:tcW w:w="51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DURATION AND PURPOSE OF THE COMPANY</w:t>
            </w:r>
          </w:p>
        </w:tc>
        <w:tc>
          <w:tcPr>
            <w:tcW w:w="22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SOCIÉTÉ</w:t>
            </w:r>
          </w:p>
        </w:tc>
      </w:tr>
      <w:tr>
        <w:trPr>
          <w:trHeight w:val="243"/>
        </w:trPr>
        <w:tc>
          <w:tcPr>
            <w:tcW w:w="520" w:type="dxa"/>
            <w:vAlign w:val="bottom"/>
            <w:tcBorders>
              <w:left w:val="single" w:sz="8" w:color="auto"/>
              <w:bottom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60" w:type="dxa"/>
            <w:vAlign w:val="bottom"/>
            <w:tcBorders>
              <w:bottom w:val="single" w:sz="8" w:color="auto"/>
              <w:right w:val="single" w:sz="8" w:color="auto"/>
            </w:tcBorders>
          </w:tcPr>
          <w:p>
            <w:pPr>
              <w:spacing w:after="0"/>
              <w:rPr>
                <w:sz w:val="21"/>
                <w:szCs w:val="21"/>
                <w:color w:val="auto"/>
              </w:rPr>
            </w:pPr>
          </w:p>
        </w:tc>
      </w:tr>
      <w:tr>
        <w:trPr>
          <w:trHeight w:val="237"/>
        </w:trPr>
        <w:tc>
          <w:tcPr>
            <w:tcW w:w="5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w w:val="95"/>
              </w:rPr>
              <w:t>Art. 1</w:t>
            </w:r>
          </w:p>
        </w:tc>
        <w:tc>
          <w:tcPr>
            <w:tcW w:w="51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Corporate Name and Duration</w:t>
            </w:r>
          </w:p>
        </w:tc>
        <w:tc>
          <w:tcPr>
            <w:tcW w:w="220" w:type="dxa"/>
            <w:vAlign w:val="bottom"/>
            <w:tcBorders>
              <w:right w:val="single" w:sz="8" w:color="auto"/>
            </w:tcBorders>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Art. 1</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Raison sociale et durée</w:t>
            </w:r>
          </w:p>
        </w:tc>
      </w:tr>
      <w:tr>
        <w:trPr>
          <w:trHeight w:val="43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la raison sociale</w:t>
            </w:r>
          </w:p>
        </w:tc>
      </w:tr>
      <w:tr>
        <w:trPr>
          <w:trHeight w:val="418"/>
        </w:trPr>
        <w:tc>
          <w:tcPr>
            <w:tcW w:w="520" w:type="dxa"/>
            <w:vAlign w:val="bottom"/>
            <w:tcBorders>
              <w:left w:val="single" w:sz="8" w:color="auto"/>
            </w:tcBorders>
          </w:tcPr>
          <w:p>
            <w:pPr>
              <w:spacing w:after="0"/>
              <w:rPr>
                <w:sz w:val="24"/>
                <w:szCs w:val="24"/>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color w:val="auto"/>
                <w:w w:val="95"/>
              </w:rPr>
              <w:t>AC Immune SA</w:t>
            </w:r>
          </w:p>
        </w:tc>
        <w:tc>
          <w:tcPr>
            <w:tcW w:w="22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3"/>
              </w:rPr>
              <w:t>AC Immune SA</w:t>
            </w:r>
          </w:p>
        </w:tc>
      </w:tr>
      <w:tr>
        <w:trPr>
          <w:trHeight w:val="216"/>
        </w:trPr>
        <w:tc>
          <w:tcPr>
            <w:tcW w:w="520" w:type="dxa"/>
            <w:vAlign w:val="bottom"/>
            <w:tcBorders>
              <w:left w:val="single" w:sz="8" w:color="auto"/>
            </w:tcBorders>
          </w:tcPr>
          <w:p>
            <w:pPr>
              <w:spacing w:after="0"/>
              <w:rPr>
                <w:sz w:val="18"/>
                <w:szCs w:val="18"/>
                <w:color w:val="auto"/>
              </w:rPr>
            </w:pPr>
          </w:p>
        </w:tc>
        <w:tc>
          <w:tcPr>
            <w:tcW w:w="5100" w:type="dxa"/>
            <w:vAlign w:val="bottom"/>
            <w:tcBorders>
              <w:right w:val="single" w:sz="8" w:color="auto"/>
            </w:tcBorders>
          </w:tcPr>
          <w:p>
            <w:pPr>
              <w:jc w:val="center"/>
              <w:ind w:right="410"/>
              <w:spacing w:after="0"/>
              <w:rPr>
                <w:sz w:val="20"/>
                <w:szCs w:val="20"/>
                <w:color w:val="auto"/>
              </w:rPr>
            </w:pPr>
            <w:r>
              <w:rPr>
                <w:rFonts w:ascii="Arial" w:cs="Arial" w:eastAsia="Arial" w:hAnsi="Arial"/>
                <w:sz w:val="18"/>
                <w:szCs w:val="18"/>
                <w:color w:val="auto"/>
                <w:w w:val="95"/>
              </w:rPr>
              <w:t>(AC Immune AG)</w:t>
            </w:r>
          </w:p>
        </w:tc>
        <w:tc>
          <w:tcPr>
            <w:tcW w:w="22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5"/>
              </w:rPr>
              <w:t>(AC Immune AG)</w:t>
            </w:r>
          </w:p>
        </w:tc>
      </w:tr>
      <w:tr>
        <w:trPr>
          <w:trHeight w:val="230"/>
        </w:trPr>
        <w:tc>
          <w:tcPr>
            <w:tcW w:w="520" w:type="dxa"/>
            <w:vAlign w:val="bottom"/>
            <w:tcBorders>
              <w:left w:val="single" w:sz="8" w:color="auto"/>
            </w:tcBorders>
          </w:tcPr>
          <w:p>
            <w:pPr>
              <w:spacing w:after="0"/>
              <w:rPr>
                <w:sz w:val="20"/>
                <w:szCs w:val="20"/>
                <w:color w:val="auto"/>
              </w:rPr>
            </w:pPr>
          </w:p>
        </w:tc>
        <w:tc>
          <w:tcPr>
            <w:tcW w:w="5100" w:type="dxa"/>
            <w:vAlign w:val="bottom"/>
            <w:tcBorders>
              <w:right w:val="single" w:sz="8" w:color="auto"/>
            </w:tcBorders>
          </w:tcPr>
          <w:p>
            <w:pPr>
              <w:jc w:val="center"/>
              <w:ind w:right="430"/>
              <w:spacing w:after="0"/>
              <w:rPr>
                <w:sz w:val="20"/>
                <w:szCs w:val="20"/>
                <w:color w:val="auto"/>
              </w:rPr>
            </w:pPr>
            <w:r>
              <w:rPr>
                <w:rFonts w:ascii="Arial" w:cs="Arial" w:eastAsia="Arial" w:hAnsi="Arial"/>
                <w:sz w:val="18"/>
                <w:szCs w:val="18"/>
                <w:color w:val="auto"/>
                <w:w w:val="94"/>
              </w:rPr>
              <w:t>(AC Immune Ltd)</w:t>
            </w:r>
          </w:p>
        </w:tc>
        <w:tc>
          <w:tcPr>
            <w:tcW w:w="22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tcBorders>
              <w:right w:val="single" w:sz="8" w:color="auto"/>
            </w:tcBorders>
          </w:tcPr>
          <w:p>
            <w:pPr>
              <w:jc w:val="center"/>
              <w:ind w:right="650"/>
              <w:spacing w:after="0"/>
              <w:rPr>
                <w:sz w:val="20"/>
                <w:szCs w:val="20"/>
                <w:color w:val="auto"/>
              </w:rPr>
            </w:pPr>
            <w:r>
              <w:rPr>
                <w:rFonts w:ascii="Arial" w:cs="Arial" w:eastAsia="Arial" w:hAnsi="Arial"/>
                <w:sz w:val="18"/>
                <w:szCs w:val="18"/>
                <w:color w:val="auto"/>
                <w:w w:val="96"/>
              </w:rPr>
              <w:t>(AC Immune Ltd)</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 xml:space="preserve">there exists a Company pursuant to the provisions of Articles 620 </w:t>
            </w:r>
            <w:r>
              <w:rPr>
                <w:rFonts w:ascii="Arial" w:cs="Arial" w:eastAsia="Arial" w:hAnsi="Arial"/>
                <w:sz w:val="18"/>
                <w:szCs w:val="18"/>
                <w:i w:val="1"/>
                <w:iCs w:val="1"/>
                <w:color w:val="auto"/>
                <w:w w:val="92"/>
              </w:rPr>
              <w:t>et seq.</w:t>
            </w:r>
            <w:r>
              <w:rPr>
                <w:rFonts w:ascii="Arial" w:cs="Arial" w:eastAsia="Arial" w:hAnsi="Arial"/>
                <w:sz w:val="18"/>
                <w:szCs w:val="18"/>
                <w:color w:val="auto"/>
                <w:w w:val="92"/>
              </w:rPr>
              <w:t xml:space="preserve">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il existe une société conformément aux articles 620 ss. du Code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the Swiss Code of Obligations (CO) with registered office in Ecublens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Obligations suisse (CO) ayant son siège à Ecublens (VD). La durée de la</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(VD). The duration of the Company is unlimited.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société est illimitée.</w:t>
            </w:r>
          </w:p>
        </w:tc>
      </w:tr>
      <w:tr>
        <w:trPr>
          <w:trHeight w:val="243"/>
        </w:trPr>
        <w:tc>
          <w:tcPr>
            <w:tcW w:w="520" w:type="dxa"/>
            <w:vAlign w:val="bottom"/>
            <w:tcBorders>
              <w:left w:val="single" w:sz="8" w:color="auto"/>
              <w:bottom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60" w:type="dxa"/>
            <w:vAlign w:val="bottom"/>
            <w:tcBorders>
              <w:bottom w:val="single" w:sz="8" w:color="auto"/>
              <w:right w:val="single" w:sz="8" w:color="auto"/>
            </w:tcBorders>
          </w:tcPr>
          <w:p>
            <w:pPr>
              <w:spacing w:after="0"/>
              <w:rPr>
                <w:sz w:val="21"/>
                <w:szCs w:val="21"/>
                <w:color w:val="auto"/>
              </w:rPr>
            </w:pPr>
          </w:p>
        </w:tc>
      </w:tr>
      <w:tr>
        <w:trPr>
          <w:trHeight w:val="237"/>
        </w:trPr>
        <w:tc>
          <w:tcPr>
            <w:tcW w:w="5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w w:val="95"/>
              </w:rPr>
              <w:t>Art. 2</w:t>
            </w:r>
          </w:p>
        </w:tc>
        <w:tc>
          <w:tcPr>
            <w:tcW w:w="51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Purpose</w:t>
            </w:r>
          </w:p>
        </w:tc>
        <w:tc>
          <w:tcPr>
            <w:tcW w:w="220" w:type="dxa"/>
            <w:vAlign w:val="bottom"/>
            <w:tcBorders>
              <w:right w:val="single" w:sz="8" w:color="auto"/>
            </w:tcBorders>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Art. 2</w:t>
            </w:r>
          </w:p>
        </w:tc>
        <w:tc>
          <w:tcPr>
            <w:tcW w:w="48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But</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Le but de la société est la recherche, les études, le développement,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manufacture, promotion, sale and marketing of products and substances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fabrication, la promotion, la vente et le marketing des produits et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within the pharmaceutical and nutrition industry as well as the purchase,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substances au sein de l'industrie pharmaceutique et de la nutrition ainsi que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sale and exploitation of patents and licenses in this field.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l'achat, la vente et l'exploitation de brevets et de licences dans ce domaine.</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may engage in any activities which are apt to favor the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se livrer à des activités qui sont de nature à favoriser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purpose of the Company directly or indirectly. The Company may also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directement ou indirectement le but de la société. La société peut également</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acquire and sell real estate.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acquérir et vendre des biens immobiliers.</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The Company may open branch offices in Switzerland and abroad and may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La société peut ouvrir des succursales en Suisse et à l'étranger et peut</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also acquire participations in other companies.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également acquérir des participations dans d'autres sociétés.</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may provide securities to its subsidiaries and supply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d'approvisionnement.</w:t>
            </w:r>
          </w:p>
        </w:tc>
      </w:tr>
      <w:tr>
        <w:trPr>
          <w:trHeight w:val="243"/>
        </w:trPr>
        <w:tc>
          <w:tcPr>
            <w:tcW w:w="520" w:type="dxa"/>
            <w:vAlign w:val="bottom"/>
            <w:tcBorders>
              <w:left w:val="single" w:sz="8" w:color="auto"/>
              <w:bottom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60" w:type="dxa"/>
            <w:vAlign w:val="bottom"/>
            <w:tcBorders>
              <w:bottom w:val="single" w:sz="8" w:color="auto"/>
              <w:right w:val="single" w:sz="8" w:color="auto"/>
            </w:tcBorders>
          </w:tcPr>
          <w:p>
            <w:pPr>
              <w:spacing w:after="0"/>
              <w:rPr>
                <w:sz w:val="21"/>
                <w:szCs w:val="21"/>
                <w:color w:val="auto"/>
              </w:rPr>
            </w:pPr>
          </w:p>
        </w:tc>
      </w:tr>
      <w:tr>
        <w:trPr>
          <w:trHeight w:val="412"/>
        </w:trPr>
        <w:tc>
          <w:tcPr>
            <w:tcW w:w="5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6131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6131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II.</w:t>
            </w:r>
          </w:p>
        </w:tc>
        <w:tc>
          <w:tcPr>
            <w:tcW w:w="4820" w:type="dxa"/>
            <w:vAlign w:val="bottom"/>
          </w:tcPr>
          <w:p>
            <w:pPr>
              <w:ind w:left="280"/>
              <w:spacing w:after="0"/>
              <w:rPr>
                <w:sz w:val="20"/>
                <w:szCs w:val="20"/>
                <w:color w:val="auto"/>
              </w:rPr>
            </w:pPr>
            <w:r>
              <w:rPr>
                <w:rFonts w:ascii="Arial" w:cs="Arial" w:eastAsia="Arial" w:hAnsi="Arial"/>
                <w:sz w:val="18"/>
                <w:szCs w:val="18"/>
                <w:b w:val="1"/>
                <w:bCs w:val="1"/>
                <w:color w:val="auto"/>
              </w:rPr>
              <w:t>SHARE CAPITAL AND SHARES</w:t>
            </w: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II.</w:t>
            </w:r>
          </w:p>
        </w:tc>
        <w:tc>
          <w:tcPr>
            <w:tcW w:w="4860" w:type="dxa"/>
            <w:vAlign w:val="bottom"/>
          </w:tcPr>
          <w:p>
            <w:pPr>
              <w:ind w:left="260"/>
              <w:spacing w:after="0"/>
              <w:rPr>
                <w:sz w:val="20"/>
                <w:szCs w:val="20"/>
                <w:color w:val="auto"/>
              </w:rPr>
            </w:pPr>
            <w:r>
              <w:rPr>
                <w:rFonts w:ascii="Arial" w:cs="Arial" w:eastAsia="Arial" w:hAnsi="Arial"/>
                <w:sz w:val="18"/>
                <w:szCs w:val="18"/>
                <w:b w:val="1"/>
                <w:bCs w:val="1"/>
                <w:color w:val="auto"/>
              </w:rPr>
              <w:t>CAPITAL-ACTIONS ET ACTIONS</w:t>
            </w:r>
          </w:p>
        </w:tc>
      </w:tr>
      <w:tr>
        <w:trPr>
          <w:trHeight w:val="27"/>
        </w:trPr>
        <w:tc>
          <w:tcPr>
            <w:tcW w:w="82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ind w:left="60"/>
              <w:spacing w:after="0"/>
              <w:rPr>
                <w:sz w:val="20"/>
                <w:szCs w:val="20"/>
                <w:color w:val="auto"/>
              </w:rPr>
            </w:pPr>
            <w:r>
              <w:rPr>
                <w:rFonts w:ascii="Arial" w:cs="Arial" w:eastAsia="Arial" w:hAnsi="Arial"/>
                <w:sz w:val="18"/>
                <w:szCs w:val="18"/>
                <w:b w:val="1"/>
                <w:bCs w:val="1"/>
                <w:color w:val="auto"/>
              </w:rPr>
              <w:t>Art. 3</w:t>
            </w:r>
          </w:p>
        </w:tc>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Share Capital and Shares</w:t>
            </w: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Art. 3</w:t>
            </w:r>
          </w:p>
        </w:tc>
        <w:tc>
          <w:tcPr>
            <w:tcW w:w="4860" w:type="dxa"/>
            <w:vAlign w:val="bottom"/>
          </w:tcPr>
          <w:p>
            <w:pPr>
              <w:ind w:left="220"/>
              <w:spacing w:after="0"/>
              <w:rPr>
                <w:sz w:val="20"/>
                <w:szCs w:val="20"/>
                <w:color w:val="auto"/>
              </w:rPr>
            </w:pPr>
            <w:r>
              <w:rPr>
                <w:rFonts w:ascii="Arial" w:cs="Arial" w:eastAsia="Arial" w:hAnsi="Arial"/>
                <w:sz w:val="18"/>
                <w:szCs w:val="18"/>
                <w:b w:val="1"/>
                <w:bCs w:val="1"/>
                <w:color w:val="auto"/>
              </w:rPr>
              <w:t>Capital-actions et actions</w:t>
            </w:r>
          </w:p>
        </w:tc>
      </w:tr>
      <w:tr>
        <w:trPr>
          <w:trHeight w:val="418"/>
        </w:trPr>
        <w:tc>
          <w:tcPr>
            <w:tcW w:w="5640" w:type="dxa"/>
            <w:vAlign w:val="bottom"/>
            <w:gridSpan w:val="2"/>
          </w:tcPr>
          <w:p>
            <w:pPr>
              <w:ind w:left="60"/>
              <w:spacing w:after="0"/>
              <w:rPr>
                <w:sz w:val="20"/>
                <w:szCs w:val="20"/>
                <w:color w:val="auto"/>
              </w:rPr>
            </w:pPr>
            <w:r>
              <w:rPr>
                <w:rFonts w:ascii="Arial" w:cs="Arial" w:eastAsia="Arial" w:hAnsi="Arial"/>
                <w:sz w:val="18"/>
                <w:szCs w:val="18"/>
                <w:color w:val="auto"/>
                <w:w w:val="96"/>
              </w:rPr>
              <w:t>The Share Capital of the Company is CHF 1'138'444.84. It is divided into</w:t>
            </w: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w w:val="93"/>
              </w:rPr>
              <w:t>Le capital-actions de la société se monte à CHF 1'138'444.84. Il est divisé</w:t>
            </w:r>
          </w:p>
        </w:tc>
      </w:tr>
      <w:tr>
        <w:trPr>
          <w:trHeight w:val="216"/>
        </w:trPr>
        <w:tc>
          <w:tcPr>
            <w:tcW w:w="5640" w:type="dxa"/>
            <w:vAlign w:val="bottom"/>
            <w:gridSpan w:val="2"/>
          </w:tcPr>
          <w:p>
            <w:pPr>
              <w:ind w:left="60"/>
              <w:spacing w:after="0"/>
              <w:rPr>
                <w:sz w:val="20"/>
                <w:szCs w:val="20"/>
                <w:color w:val="auto"/>
              </w:rPr>
            </w:pPr>
            <w:r>
              <w:rPr>
                <w:rFonts w:ascii="Arial" w:cs="Arial" w:eastAsia="Arial" w:hAnsi="Arial"/>
                <w:sz w:val="18"/>
                <w:szCs w:val="18"/>
                <w:color w:val="auto"/>
                <w:w w:val="94"/>
              </w:rPr>
              <w:t>56'922'242 registered shares with a nominal value of CHF 0.02 each, fully</w:t>
            </w: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w w:val="98"/>
              </w:rPr>
              <w:t>en 56'922'242 actions nominatives d'une valeur nominale de CHF 0.02</w:t>
            </w:r>
          </w:p>
        </w:tc>
      </w:tr>
      <w:tr>
        <w:trPr>
          <w:trHeight w:val="230"/>
        </w:trPr>
        <w:tc>
          <w:tcPr>
            <w:tcW w:w="820" w:type="dxa"/>
            <w:vAlign w:val="bottom"/>
          </w:tcPr>
          <w:p>
            <w:pPr>
              <w:ind w:left="60"/>
              <w:spacing w:after="0"/>
              <w:rPr>
                <w:sz w:val="20"/>
                <w:szCs w:val="20"/>
                <w:color w:val="auto"/>
              </w:rPr>
            </w:pPr>
            <w:r>
              <w:rPr>
                <w:rFonts w:ascii="Arial" w:cs="Arial" w:eastAsia="Arial" w:hAnsi="Arial"/>
                <w:sz w:val="18"/>
                <w:szCs w:val="18"/>
                <w:color w:val="auto"/>
              </w:rPr>
              <w:t>paid-in.</w:t>
            </w:r>
          </w:p>
        </w:tc>
        <w:tc>
          <w:tcPr>
            <w:tcW w:w="482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Arial" w:cs="Arial" w:eastAsia="Arial" w:hAnsi="Arial"/>
                <w:sz w:val="18"/>
                <w:szCs w:val="18"/>
                <w:color w:val="auto"/>
              </w:rPr>
              <w:t>chacune, entièrement libérées.</w:t>
            </w: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Art. 3a</w:t>
            </w:r>
          </w:p>
        </w:tc>
        <w:tc>
          <w:tcPr>
            <w:tcW w:w="4740" w:type="dxa"/>
            <w:vAlign w:val="bottom"/>
          </w:tcPr>
          <w:p>
            <w:pPr>
              <w:ind w:left="60"/>
              <w:spacing w:after="0"/>
              <w:rPr>
                <w:sz w:val="20"/>
                <w:szCs w:val="20"/>
                <w:color w:val="auto"/>
              </w:rPr>
            </w:pPr>
            <w:r>
              <w:rPr>
                <w:rFonts w:ascii="Arial" w:cs="Arial" w:eastAsia="Arial" w:hAnsi="Arial"/>
                <w:sz w:val="18"/>
                <w:szCs w:val="18"/>
                <w:b w:val="1"/>
                <w:bCs w:val="1"/>
                <w:color w:val="auto"/>
              </w:rPr>
              <w:t>Authorized Capital Increase of Share Capital</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Art. 3a</w:t>
            </w:r>
          </w:p>
        </w:tc>
        <w:tc>
          <w:tcPr>
            <w:tcW w:w="4820" w:type="dxa"/>
            <w:vAlign w:val="bottom"/>
          </w:tcPr>
          <w:p>
            <w:pPr>
              <w:jc w:val="right"/>
              <w:ind w:right="1310"/>
              <w:spacing w:after="0"/>
              <w:rPr>
                <w:sz w:val="20"/>
                <w:szCs w:val="20"/>
                <w:color w:val="auto"/>
              </w:rPr>
            </w:pPr>
            <w:r>
              <w:rPr>
                <w:rFonts w:ascii="Arial" w:cs="Arial" w:eastAsia="Arial" w:hAnsi="Arial"/>
                <w:sz w:val="18"/>
                <w:szCs w:val="18"/>
                <w:b w:val="1"/>
                <w:bCs w:val="1"/>
                <w:color w:val="auto"/>
                <w:w w:val="93"/>
              </w:rPr>
              <w:t>Augmentation autorisée du capital-actions</w:t>
            </w:r>
          </w:p>
        </w:tc>
      </w:tr>
      <w:tr>
        <w:trPr>
          <w:trHeight w:val="27"/>
        </w:trPr>
        <w:tc>
          <w:tcPr>
            <w:tcW w:w="57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gridSpan w:val="2"/>
          </w:tcPr>
          <w:p>
            <w:pPr>
              <w:spacing w:after="0"/>
              <w:rPr>
                <w:sz w:val="2"/>
                <w:szCs w:val="2"/>
                <w:color w:val="auto"/>
              </w:rPr>
            </w:pPr>
          </w:p>
        </w:tc>
      </w:tr>
      <w:tr>
        <w:trPr>
          <w:trHeight w:val="222"/>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4"/>
              </w:rPr>
              <w:t>The Board of Directors is authorized to increase the share capital, in one or</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Le conseil d'administration est autorisé à augmenter le capital-actions, en</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3"/>
              </w:rPr>
              <w:t>several steps until 20 October 2017, by a maximum amount of CHF 288'950</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une ou plusieurs étapes jusqu'au 20 octobre 2017, d'un montant maximum</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6"/>
              </w:rPr>
              <w:t>by issuing a maximum of 14'447'500 registered shares with a par value of</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9"/>
              </w:rPr>
              <w:t>de CHF 288'950 par l'émission d'un montant maximum de 14'447'500</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7"/>
              </w:rPr>
              <w:t>CHF 0.02 each, to be fully paid up. An increase of the share capital (i) by</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actions nominatives d'une valeur nominale de CHF 0.02 chacune, à libérer</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7"/>
              </w:rPr>
              <w:t>means of an offering underwritten by a financial institution, a syndicate or</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entièrement. Une augmentation de capital (i) par souscription d'actions par</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5"/>
              </w:rPr>
              <w:t>another third party or third parties, followed by an offer to the then-existing</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1"/>
              </w:rPr>
              <w:t>une institution financière, un syndicat ou un tiers ou des tiers, suivie par une</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shareholders of the Company and (ii) in partial amounts shall also be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1"/>
              </w:rPr>
              <w:t>souscription d'actions par les actionnaires de la société alors existants et (ii)</w:t>
            </w:r>
          </w:p>
        </w:tc>
      </w:tr>
      <w:tr>
        <w:trPr>
          <w:trHeight w:val="230"/>
        </w:trPr>
        <w:tc>
          <w:tcPr>
            <w:tcW w:w="980" w:type="dxa"/>
            <w:vAlign w:val="bottom"/>
          </w:tcPr>
          <w:p>
            <w:pPr>
              <w:ind w:left="60"/>
              <w:spacing w:after="0"/>
              <w:rPr>
                <w:sz w:val="20"/>
                <w:szCs w:val="20"/>
                <w:color w:val="auto"/>
              </w:rPr>
            </w:pPr>
            <w:r>
              <w:rPr>
                <w:rFonts w:ascii="Arial" w:cs="Arial" w:eastAsia="Arial" w:hAnsi="Arial"/>
                <w:sz w:val="18"/>
                <w:szCs w:val="18"/>
                <w:color w:val="auto"/>
                <w:w w:val="93"/>
              </w:rPr>
              <w:t>permissible.</w:t>
            </w:r>
          </w:p>
        </w:tc>
        <w:tc>
          <w:tcPr>
            <w:tcW w:w="474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par montants partiels, est également autorisée.</w:t>
            </w:r>
          </w:p>
        </w:tc>
      </w:tr>
      <w:tr>
        <w:trPr>
          <w:trHeight w:val="27"/>
        </w:trPr>
        <w:tc>
          <w:tcPr>
            <w:tcW w:w="57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gridSpan w:val="2"/>
          </w:tcPr>
          <w:p>
            <w:pPr>
              <w:spacing w:after="0"/>
              <w:rPr>
                <w:sz w:val="2"/>
                <w:szCs w:val="2"/>
                <w:color w:val="auto"/>
              </w:rPr>
            </w:pPr>
          </w:p>
        </w:tc>
      </w:tr>
      <w:tr>
        <w:trPr>
          <w:trHeight w:val="222"/>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6"/>
              </w:rPr>
              <w:t>The Board of Directors shall determine the time of the issuance, the issue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Le conseil d'administration fixe la date d'émission, le prix d'émission, la</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2"/>
              </w:rPr>
              <w:t>price, the manner in which the new registered shares have to be paid up, the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7"/>
              </w:rPr>
              <w:t>manière de libérer les nouvelles actions nominatives, la date à partir de</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date from which the registered shares carry the right to dividends, the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laquelle les actions nominatives donnent droit à un dividende, les</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9"/>
              </w:rPr>
              <w:t>conditions for the exercise of the preemptive rights and the allotment of</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conditions pour l'exercice des droits de souscription préférentiels et</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3"/>
              </w:rPr>
              <w:t>preemptive rights that have not been exercised. The Board of Directors may</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l'attribution des droits de souscription préférentiels qui n'ont pas été</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3"/>
              </w:rPr>
              <w:t>allow the preemptive rights that have not been exercised to expire, or it may</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exercés. Le conseil d'administration peut autoriser que des droits de</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9"/>
              </w:rPr>
              <w:t>place with third parties such rights or registered shares, the preemptive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souscription préférentiels qui n'ont pas été exercés expirent ou attribuer à</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6"/>
              </w:rPr>
              <w:t>rights of which have not been exercised, at market conditions or use them</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des tiers ces droits ou actions nominatives, dont les droits de souscription</w:t>
            </w:r>
          </w:p>
        </w:tc>
      </w:tr>
      <w:tr>
        <w:trPr>
          <w:trHeight w:val="21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otherwise in the interest of the Company.</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2"/>
              </w:rPr>
              <w:t>préférentiels n'ont pas été exercés, aux conditions du marché ou les utiliser</w:t>
            </w:r>
          </w:p>
        </w:tc>
      </w:tr>
      <w:tr>
        <w:trPr>
          <w:trHeight w:val="230"/>
        </w:trPr>
        <w:tc>
          <w:tcPr>
            <w:tcW w:w="9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autrement dans l'intérêt de la société.</w:t>
            </w:r>
          </w:p>
        </w:tc>
      </w:tr>
      <w:tr>
        <w:trPr>
          <w:trHeight w:val="27"/>
        </w:trPr>
        <w:tc>
          <w:tcPr>
            <w:tcW w:w="57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gridSpan w:val="2"/>
          </w:tcPr>
          <w:p>
            <w:pPr>
              <w:spacing w:after="0"/>
              <w:rPr>
                <w:sz w:val="2"/>
                <w:szCs w:val="2"/>
                <w:color w:val="auto"/>
              </w:rPr>
            </w:pPr>
          </w:p>
        </w:tc>
      </w:tr>
      <w:tr>
        <w:trPr>
          <w:trHeight w:val="222"/>
        </w:trPr>
        <w:tc>
          <w:tcPr>
            <w:tcW w:w="5720" w:type="dxa"/>
            <w:vAlign w:val="bottom"/>
            <w:gridSpan w:val="2"/>
          </w:tcPr>
          <w:p>
            <w:pPr>
              <w:ind w:left="60"/>
              <w:spacing w:after="0"/>
              <w:rPr>
                <w:sz w:val="20"/>
                <w:szCs w:val="20"/>
                <w:color w:val="auto"/>
              </w:rPr>
            </w:pPr>
            <w:r>
              <w:rPr>
                <w:rFonts w:ascii="Arial" w:cs="Arial" w:eastAsia="Arial" w:hAnsi="Arial"/>
                <w:sz w:val="18"/>
                <w:szCs w:val="18"/>
                <w:color w:val="auto"/>
                <w:w w:val="99"/>
              </w:rPr>
              <w:t>The Board of Directors is authorized to withdraw or limit the preemptive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4"/>
              </w:rPr>
              <w:t>Le conseil d'administration est autorisé à retirer ou de limiter les droits de</w:t>
            </w:r>
          </w:p>
        </w:tc>
      </w:tr>
      <w:tr>
        <w:trPr>
          <w:trHeight w:val="230"/>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rights of the shareholders and to allot them to third parties:</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6"/>
              </w:rPr>
              <w:t>souscription préférentiels des actionnaires et de les attribuer à des tiers:</w:t>
            </w:r>
          </w:p>
        </w:tc>
      </w:tr>
      <w:tr>
        <w:trPr>
          <w:trHeight w:val="27"/>
        </w:trPr>
        <w:tc>
          <w:tcPr>
            <w:tcW w:w="5720" w:type="dxa"/>
            <w:vAlign w:val="bottom"/>
            <w:tcBorders>
              <w:bottom w:val="single" w:sz="8" w:color="auto"/>
            </w:tcBorders>
            <w:gridSpan w:val="2"/>
          </w:tcPr>
          <w:p>
            <w:pPr>
              <w:spacing w:after="0"/>
              <w:rPr>
                <w:sz w:val="2"/>
                <w:szCs w:val="2"/>
                <w:color w:val="auto"/>
              </w:rPr>
            </w:pPr>
          </w:p>
        </w:tc>
        <w:tc>
          <w:tcPr>
            <w:tcW w:w="5700" w:type="dxa"/>
            <w:vAlign w:val="bottom"/>
            <w:tcBorders>
              <w:bottom w:val="single" w:sz="8" w:color="auto"/>
            </w:tcBorders>
            <w:gridSpan w:val="2"/>
          </w:tcPr>
          <w:p>
            <w:pPr>
              <w:spacing w:after="0"/>
              <w:rPr>
                <w:sz w:val="2"/>
                <w:szCs w:val="2"/>
                <w:color w:val="auto"/>
              </w:rPr>
            </w:pPr>
          </w:p>
        </w:tc>
      </w:tr>
      <w:tr>
        <w:trPr>
          <w:trHeight w:val="27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a)  if the issue price of the new registered shares is determined by</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6"/>
              </w:rPr>
              <w:t>a)  si le prix d'émission des nouvelles actions nominatives est déterminé</w:t>
            </w:r>
          </w:p>
        </w:tc>
      </w:tr>
      <w:tr>
        <w:trPr>
          <w:trHeight w:val="230"/>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reference to the market price; or</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rPr>
              <w:t>avec une référence au prix de marché; ou</w:t>
            </w:r>
          </w:p>
        </w:tc>
      </w:tr>
      <w:tr>
        <w:trPr>
          <w:trHeight w:val="81"/>
        </w:trPr>
        <w:tc>
          <w:tcPr>
            <w:tcW w:w="5720" w:type="dxa"/>
            <w:vAlign w:val="bottom"/>
            <w:tcBorders>
              <w:bottom w:val="single" w:sz="8" w:color="auto"/>
            </w:tcBorders>
            <w:gridSpan w:val="2"/>
          </w:tcPr>
          <w:p>
            <w:pPr>
              <w:spacing w:after="0"/>
              <w:rPr>
                <w:sz w:val="7"/>
                <w:szCs w:val="7"/>
                <w:color w:val="auto"/>
              </w:rPr>
            </w:pPr>
          </w:p>
        </w:tc>
        <w:tc>
          <w:tcPr>
            <w:tcW w:w="5700" w:type="dxa"/>
            <w:vAlign w:val="bottom"/>
            <w:tcBorders>
              <w:bottom w:val="single" w:sz="8" w:color="auto"/>
            </w:tcBorders>
            <w:gridSpan w:val="2"/>
          </w:tcPr>
          <w:p>
            <w:pPr>
              <w:spacing w:after="0"/>
              <w:rPr>
                <w:sz w:val="7"/>
                <w:szCs w:val="7"/>
                <w:color w:val="auto"/>
              </w:rPr>
            </w:pPr>
          </w:p>
        </w:tc>
      </w:tr>
      <w:tr>
        <w:trPr>
          <w:trHeight w:val="27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b)  for the acquisition of an enterprise, part of an enterprise or</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3"/>
              </w:rPr>
              <w:t>b)  pour l'acquisition d'une entreprise, part d'entreprise ou participation, ou</w:t>
            </w:r>
          </w:p>
        </w:tc>
      </w:tr>
      <w:tr>
        <w:trPr>
          <w:trHeight w:val="216"/>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participations, or for the financing or refinancing of any of such</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w w:val="90"/>
              </w:rPr>
              <w:t>pour le financement ou le refinancement de ladite acquisition, ou en cas</w:t>
            </w:r>
          </w:p>
        </w:tc>
      </w:tr>
      <w:tr>
        <w:trPr>
          <w:trHeight w:val="216"/>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acquisition, or in the event of share placement for the financing or</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w w:val="93"/>
              </w:rPr>
              <w:t>de placement d'actions pour le financement ou le refinancement dudit</w:t>
            </w:r>
          </w:p>
        </w:tc>
      </w:tr>
      <w:tr>
        <w:trPr>
          <w:trHeight w:val="230"/>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refinancing of such placement; or</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rPr>
              <w:t>placement; ou</w:t>
            </w:r>
          </w:p>
        </w:tc>
      </w:tr>
      <w:tr>
        <w:trPr>
          <w:trHeight w:val="81"/>
        </w:trPr>
        <w:tc>
          <w:tcPr>
            <w:tcW w:w="5720" w:type="dxa"/>
            <w:vAlign w:val="bottom"/>
            <w:tcBorders>
              <w:bottom w:val="single" w:sz="8" w:color="auto"/>
            </w:tcBorders>
            <w:gridSpan w:val="2"/>
          </w:tcPr>
          <w:p>
            <w:pPr>
              <w:spacing w:after="0"/>
              <w:rPr>
                <w:sz w:val="7"/>
                <w:szCs w:val="7"/>
                <w:color w:val="auto"/>
              </w:rPr>
            </w:pPr>
          </w:p>
        </w:tc>
        <w:tc>
          <w:tcPr>
            <w:tcW w:w="5700" w:type="dxa"/>
            <w:vAlign w:val="bottom"/>
            <w:tcBorders>
              <w:bottom w:val="single" w:sz="8" w:color="auto"/>
            </w:tcBorders>
            <w:gridSpan w:val="2"/>
          </w:tcPr>
          <w:p>
            <w:pPr>
              <w:spacing w:after="0"/>
              <w:rPr>
                <w:sz w:val="7"/>
                <w:szCs w:val="7"/>
                <w:color w:val="auto"/>
              </w:rPr>
            </w:pPr>
          </w:p>
        </w:tc>
      </w:tr>
      <w:tr>
        <w:trPr>
          <w:trHeight w:val="276"/>
        </w:trPr>
        <w:tc>
          <w:tcPr>
            <w:tcW w:w="5720" w:type="dxa"/>
            <w:vAlign w:val="bottom"/>
            <w:gridSpan w:val="2"/>
          </w:tcPr>
          <w:p>
            <w:pPr>
              <w:ind w:left="60"/>
              <w:spacing w:after="0"/>
              <w:rPr>
                <w:sz w:val="20"/>
                <w:szCs w:val="20"/>
                <w:color w:val="auto"/>
              </w:rPr>
            </w:pPr>
            <w:r>
              <w:rPr>
                <w:rFonts w:ascii="Arial" w:cs="Arial" w:eastAsia="Arial" w:hAnsi="Arial"/>
                <w:sz w:val="18"/>
                <w:szCs w:val="18"/>
                <w:color w:val="auto"/>
              </w:rPr>
              <w:t>c)  for purposes of broadening the shareholder constituency of the</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w w:val="98"/>
              </w:rPr>
              <w:t>c)  pour l'élargissement de la base des actionnaires de la société dans</w:t>
            </w:r>
          </w:p>
        </w:tc>
      </w:tr>
      <w:tr>
        <w:trPr>
          <w:trHeight w:val="216"/>
        </w:trPr>
        <w:tc>
          <w:tcPr>
            <w:tcW w:w="5720" w:type="dxa"/>
            <w:vAlign w:val="bottom"/>
            <w:gridSpan w:val="2"/>
          </w:tcPr>
          <w:p>
            <w:pPr>
              <w:ind w:left="400"/>
              <w:spacing w:after="0"/>
              <w:rPr>
                <w:sz w:val="20"/>
                <w:szCs w:val="20"/>
                <w:color w:val="auto"/>
              </w:rPr>
            </w:pPr>
            <w:r>
              <w:rPr>
                <w:rFonts w:ascii="Arial" w:cs="Arial" w:eastAsia="Arial" w:hAnsi="Arial"/>
                <w:sz w:val="18"/>
                <w:szCs w:val="18"/>
                <w:color w:val="auto"/>
                <w:w w:val="97"/>
              </w:rPr>
              <w:t>Company in certain financial or investor markets, for purposes of the</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w w:val="93"/>
              </w:rPr>
              <w:t>certains marchés fnanciers ou d'investissement, afin de permettre une</w:t>
            </w:r>
          </w:p>
        </w:tc>
      </w:tr>
      <w:tr>
        <w:trPr>
          <w:trHeight w:val="216"/>
        </w:trPr>
        <w:tc>
          <w:tcPr>
            <w:tcW w:w="5720" w:type="dxa"/>
            <w:vAlign w:val="bottom"/>
            <w:gridSpan w:val="2"/>
          </w:tcPr>
          <w:p>
            <w:pPr>
              <w:ind w:left="400"/>
              <w:spacing w:after="0"/>
              <w:rPr>
                <w:sz w:val="20"/>
                <w:szCs w:val="20"/>
                <w:color w:val="auto"/>
              </w:rPr>
            </w:pPr>
            <w:r>
              <w:rPr>
                <w:rFonts w:ascii="Arial" w:cs="Arial" w:eastAsia="Arial" w:hAnsi="Arial"/>
                <w:sz w:val="18"/>
                <w:szCs w:val="18"/>
                <w:color w:val="auto"/>
                <w:w w:val="98"/>
              </w:rPr>
              <w:t>participation of strategic partners, or in connection with the listing or</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w w:val="92"/>
              </w:rPr>
              <w:t>participation de partenaires stratégiques, ou dans le cas de cotation ou</w:t>
            </w:r>
          </w:p>
        </w:tc>
      </w:tr>
      <w:tr>
        <w:trPr>
          <w:trHeight w:val="216"/>
        </w:trPr>
        <w:tc>
          <w:tcPr>
            <w:tcW w:w="5720" w:type="dxa"/>
            <w:vAlign w:val="bottom"/>
            <w:gridSpan w:val="2"/>
          </w:tcPr>
          <w:p>
            <w:pPr>
              <w:ind w:left="400"/>
              <w:spacing w:after="0"/>
              <w:rPr>
                <w:sz w:val="20"/>
                <w:szCs w:val="20"/>
                <w:color w:val="auto"/>
              </w:rPr>
            </w:pPr>
            <w:r>
              <w:rPr>
                <w:rFonts w:ascii="Arial" w:cs="Arial" w:eastAsia="Arial" w:hAnsi="Arial"/>
                <w:sz w:val="18"/>
                <w:szCs w:val="18"/>
                <w:color w:val="auto"/>
              </w:rPr>
              <w:t>registration of new registered shares on</w:t>
            </w: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rPr>
              <w:t>d'enregistrement de nouvelles actions nominatives aux bourses</w:t>
            </w:r>
          </w:p>
        </w:tc>
      </w:tr>
      <w:tr>
        <w:trPr>
          <w:trHeight w:val="230"/>
        </w:trPr>
        <w:tc>
          <w:tcPr>
            <w:tcW w:w="9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700" w:type="dxa"/>
            <w:vAlign w:val="bottom"/>
            <w:gridSpan w:val="2"/>
          </w:tcPr>
          <w:p>
            <w:pPr>
              <w:ind w:left="480"/>
              <w:spacing w:after="0"/>
              <w:rPr>
                <w:sz w:val="20"/>
                <w:szCs w:val="20"/>
                <w:color w:val="auto"/>
              </w:rPr>
            </w:pPr>
            <w:r>
              <w:rPr>
                <w:rFonts w:ascii="Arial" w:cs="Arial" w:eastAsia="Arial" w:hAnsi="Arial"/>
                <w:sz w:val="18"/>
                <w:szCs w:val="18"/>
                <w:color w:val="auto"/>
              </w:rPr>
              <w:t>nationales ou</w:t>
            </w:r>
          </w:p>
        </w:tc>
      </w:tr>
      <w:tr>
        <w:trPr>
          <w:trHeight w:val="81"/>
        </w:trPr>
        <w:tc>
          <w:tcPr>
            <w:tcW w:w="980" w:type="dxa"/>
            <w:vAlign w:val="bottom"/>
            <w:tcBorders>
              <w:bottom w:val="single" w:sz="8" w:color="auto"/>
            </w:tcBorders>
          </w:tcPr>
          <w:p>
            <w:pPr>
              <w:spacing w:after="0"/>
              <w:rPr>
                <w:sz w:val="7"/>
                <w:szCs w:val="7"/>
                <w:color w:val="auto"/>
              </w:rPr>
            </w:pPr>
          </w:p>
        </w:tc>
        <w:tc>
          <w:tcPr>
            <w:tcW w:w="47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820" w:type="dxa"/>
            <w:vAlign w:val="bottom"/>
            <w:tcBorders>
              <w:bottom w:val="single" w:sz="8" w:color="auto"/>
            </w:tcBorders>
          </w:tcPr>
          <w:p>
            <w:pPr>
              <w:spacing w:after="0"/>
              <w:rPr>
                <w:sz w:val="7"/>
                <w:szCs w:val="7"/>
                <w:color w:val="auto"/>
              </w:rPr>
            </w:pPr>
          </w:p>
        </w:tc>
      </w:tr>
      <w:tr>
        <w:trPr>
          <w:trHeight w:val="669"/>
        </w:trPr>
        <w:tc>
          <w:tcPr>
            <w:tcW w:w="9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bl>
    <w:p>
      <w:pPr>
        <w:sectPr>
          <w:pgSz w:w="11900" w:h="16838" w:orient="portrait"/>
          <w:cols w:equalWidth="0" w:num="1">
            <w:col w:w="11420"/>
          </w:cols>
          <w:pgMar w:left="240" w:top="729" w:right="2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00" w:type="dxa"/>
            <w:vAlign w:val="bottom"/>
            <w:tcBorders>
              <w:top w:val="single" w:sz="8" w:color="auto"/>
              <w:left w:val="single" w:sz="8" w:color="auto"/>
            </w:tcBorders>
          </w:tcPr>
          <w:p>
            <w:pPr>
              <w:spacing w:after="0"/>
              <w:rPr>
                <w:sz w:val="24"/>
                <w:szCs w:val="24"/>
                <w:color w:val="auto"/>
              </w:rPr>
            </w:pPr>
          </w:p>
        </w:tc>
        <w:tc>
          <w:tcPr>
            <w:tcW w:w="53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domestic or foreign stock exchanges; or</w:t>
            </w:r>
          </w:p>
        </w:tc>
        <w:tc>
          <w:tcPr>
            <w:tcW w:w="200" w:type="dxa"/>
            <w:vAlign w:val="bottom"/>
            <w:tcBorders>
              <w:top w:val="single" w:sz="8" w:color="auto"/>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étrangères; ou</w:t>
            </w:r>
          </w:p>
        </w:tc>
      </w:tr>
      <w:tr>
        <w:trPr>
          <w:trHeight w:val="81"/>
        </w:trPr>
        <w:tc>
          <w:tcPr>
            <w:tcW w:w="300" w:type="dxa"/>
            <w:vAlign w:val="bottom"/>
            <w:tcBorders>
              <w:left w:val="single" w:sz="8" w:color="auto"/>
              <w:bottom w:val="single" w:sz="8" w:color="auto"/>
            </w:tcBorders>
          </w:tcPr>
          <w:p>
            <w:pPr>
              <w:spacing w:after="0"/>
              <w:rPr>
                <w:sz w:val="7"/>
                <w:szCs w:val="7"/>
                <w:color w:val="auto"/>
              </w:rPr>
            </w:pPr>
          </w:p>
        </w:tc>
        <w:tc>
          <w:tcPr>
            <w:tcW w:w="53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27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for purposes of granting an over-allotment option (Greenshoe) of up to</w:t>
            </w:r>
          </w:p>
        </w:tc>
        <w:tc>
          <w:tcPr>
            <w:tcW w:w="200" w:type="dxa"/>
            <w:vAlign w:val="bottom"/>
            <w:tcBorders>
              <w:right w:val="single" w:sz="8" w:color="auto"/>
            </w:tcBorders>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d)</w:t>
            </w: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pour octroyer une option de surallocation (Greenshoe) d'un maximum</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20% of the total number of registered shares in a placement or sale of</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de 20% du nombre total d'actions nominatives dans un placement ou</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registered shares to the respective initial purchaser(s) or underwriter(s);</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une vente d'actions nominatives à l'/des acheteur(s) initial(s) ou du/des</w:t>
            </w:r>
          </w:p>
        </w:tc>
      </w:tr>
      <w:tr>
        <w:trPr>
          <w:trHeight w:val="230"/>
        </w:trPr>
        <w:tc>
          <w:tcPr>
            <w:tcW w:w="3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w:t>
            </w:r>
          </w:p>
        </w:tc>
        <w:tc>
          <w:tcPr>
            <w:tcW w:w="2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souscripteur(s) respectif(s); ou</w:t>
            </w:r>
          </w:p>
        </w:tc>
      </w:tr>
      <w:tr>
        <w:trPr>
          <w:trHeight w:val="81"/>
        </w:trPr>
        <w:tc>
          <w:tcPr>
            <w:tcW w:w="300" w:type="dxa"/>
            <w:vAlign w:val="bottom"/>
            <w:tcBorders>
              <w:left w:val="single" w:sz="8" w:color="auto"/>
              <w:bottom w:val="single" w:sz="8" w:color="auto"/>
            </w:tcBorders>
          </w:tcPr>
          <w:p>
            <w:pPr>
              <w:spacing w:after="0"/>
              <w:rPr>
                <w:sz w:val="7"/>
                <w:szCs w:val="7"/>
                <w:color w:val="auto"/>
              </w:rPr>
            </w:pPr>
          </w:p>
        </w:tc>
        <w:tc>
          <w:tcPr>
            <w:tcW w:w="53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27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raising of capital (including private placements) in a fast and</w:t>
            </w:r>
          </w:p>
        </w:tc>
        <w:tc>
          <w:tcPr>
            <w:tcW w:w="200" w:type="dxa"/>
            <w:vAlign w:val="bottom"/>
            <w:tcBorders>
              <w:right w:val="single" w:sz="8" w:color="auto"/>
            </w:tcBorders>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e)</w:t>
            </w: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pour lever des capitaux (y compris des placements privés) dans un</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flexible which probably could not be reached without the exclusion of</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délai rapide et flexible, ce qui ne pourrait probablement pas être réalisé</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statutory pre-emptive right of the existing shareholders; or</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sans l'exclusion du droit préférentiel de souscription statuaire des</w:t>
            </w:r>
          </w:p>
        </w:tc>
      </w:tr>
      <w:tr>
        <w:trPr>
          <w:trHeight w:val="230"/>
        </w:trPr>
        <w:tc>
          <w:tcPr>
            <w:tcW w:w="3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actionnaires existants; ou</w:t>
            </w:r>
          </w:p>
        </w:tc>
      </w:tr>
      <w:tr>
        <w:trPr>
          <w:trHeight w:val="81"/>
        </w:trPr>
        <w:tc>
          <w:tcPr>
            <w:tcW w:w="300" w:type="dxa"/>
            <w:vAlign w:val="bottom"/>
            <w:tcBorders>
              <w:left w:val="single" w:sz="8" w:color="auto"/>
              <w:bottom w:val="single" w:sz="8" w:color="auto"/>
            </w:tcBorders>
          </w:tcPr>
          <w:p>
            <w:pPr>
              <w:spacing w:after="0"/>
              <w:rPr>
                <w:sz w:val="7"/>
                <w:szCs w:val="7"/>
                <w:color w:val="auto"/>
              </w:rPr>
            </w:pPr>
          </w:p>
        </w:tc>
        <w:tc>
          <w:tcPr>
            <w:tcW w:w="53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291"/>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f)</w:t>
            </w: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for other valid grounds in the sense of Article 652b para. 2 CO; or</w:t>
            </w:r>
          </w:p>
        </w:tc>
        <w:tc>
          <w:tcPr>
            <w:tcW w:w="200" w:type="dxa"/>
            <w:vAlign w:val="bottom"/>
            <w:tcBorders>
              <w:right w:val="single" w:sz="8" w:color="auto"/>
            </w:tcBorders>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f)</w:t>
            </w: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pour d'autres motifs valables au sens de l'article 652b al. 2 CO; ou</w:t>
            </w:r>
          </w:p>
        </w:tc>
      </w:tr>
      <w:tr>
        <w:trPr>
          <w:trHeight w:val="81"/>
        </w:trPr>
        <w:tc>
          <w:tcPr>
            <w:tcW w:w="300" w:type="dxa"/>
            <w:vAlign w:val="bottom"/>
            <w:tcBorders>
              <w:left w:val="single" w:sz="8" w:color="auto"/>
              <w:bottom w:val="single" w:sz="8" w:color="auto"/>
            </w:tcBorders>
          </w:tcPr>
          <w:p>
            <w:pPr>
              <w:spacing w:after="0"/>
              <w:rPr>
                <w:sz w:val="7"/>
                <w:szCs w:val="7"/>
                <w:color w:val="auto"/>
              </w:rPr>
            </w:pPr>
          </w:p>
        </w:tc>
        <w:tc>
          <w:tcPr>
            <w:tcW w:w="53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28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g)</w:t>
            </w: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following a shareholder or a group of shareholders acting in concert</w:t>
            </w:r>
          </w:p>
        </w:tc>
        <w:tc>
          <w:tcPr>
            <w:tcW w:w="200" w:type="dxa"/>
            <w:vAlign w:val="bottom"/>
            <w:tcBorders>
              <w:right w:val="single" w:sz="8" w:color="auto"/>
            </w:tcBorders>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g)</w:t>
            </w: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suite à l'accumulation par un actionnaire ou un groupe d'actionnaires</w:t>
            </w:r>
          </w:p>
        </w:tc>
      </w:tr>
      <w:tr>
        <w:trPr>
          <w:trHeight w:val="266"/>
        </w:trPr>
        <w:tc>
          <w:tcPr>
            <w:tcW w:w="300" w:type="dxa"/>
            <w:vAlign w:val="bottom"/>
            <w:tcBorders>
              <w:left w:val="single" w:sz="8" w:color="auto"/>
            </w:tcBorders>
          </w:tcPr>
          <w:p>
            <w:pPr>
              <w:spacing w:after="0"/>
              <w:rPr>
                <w:sz w:val="23"/>
                <w:szCs w:val="23"/>
                <w:color w:val="auto"/>
              </w:rPr>
            </w:pPr>
          </w:p>
        </w:tc>
        <w:tc>
          <w:tcPr>
            <w:tcW w:w="5340" w:type="dxa"/>
            <w:vAlign w:val="bottom"/>
            <w:tcBorders>
              <w:right w:val="single" w:sz="8" w:color="auto"/>
            </w:tcBorders>
          </w:tcPr>
          <w:p>
            <w:pPr>
              <w:ind w:left="100"/>
              <w:spacing w:after="0" w:line="266" w:lineRule="exact"/>
              <w:rPr>
                <w:sz w:val="20"/>
                <w:szCs w:val="20"/>
                <w:color w:val="auto"/>
              </w:rPr>
            </w:pPr>
            <w:r>
              <w:rPr>
                <w:rFonts w:ascii="Arial" w:cs="Arial" w:eastAsia="Arial" w:hAnsi="Arial"/>
                <w:sz w:val="18"/>
                <w:szCs w:val="18"/>
                <w:color w:val="auto"/>
                <w:w w:val="93"/>
              </w:rPr>
              <w:t xml:space="preserve">having accumulated shareholdings in excess of 33 </w:t>
            </w:r>
            <w:r>
              <w:rPr>
                <w:rFonts w:ascii="Arial" w:cs="Arial" w:eastAsia="Arial" w:hAnsi="Arial"/>
                <w:sz w:val="30"/>
                <w:szCs w:val="30"/>
                <w:color w:val="auto"/>
                <w:w w:val="93"/>
                <w:vertAlign w:val="superscript"/>
              </w:rPr>
              <w:t>1</w:t>
            </w:r>
            <w:r>
              <w:rPr>
                <w:rFonts w:ascii="Arial" w:cs="Arial" w:eastAsia="Arial" w:hAnsi="Arial"/>
                <w:sz w:val="18"/>
                <w:szCs w:val="18"/>
                <w:color w:val="auto"/>
                <w:w w:val="93"/>
              </w:rPr>
              <w:t>/</w:t>
            </w:r>
            <w:r>
              <w:rPr>
                <w:rFonts w:ascii="Arial" w:cs="Arial" w:eastAsia="Arial" w:hAnsi="Arial"/>
                <w:sz w:val="30"/>
                <w:szCs w:val="30"/>
                <w:color w:val="auto"/>
                <w:w w:val="93"/>
                <w:vertAlign w:val="subscript"/>
              </w:rPr>
              <w:t>3</w:t>
            </w:r>
            <w:r>
              <w:rPr>
                <w:rFonts w:ascii="Arial" w:cs="Arial" w:eastAsia="Arial" w:hAnsi="Arial"/>
                <w:sz w:val="18"/>
                <w:szCs w:val="18"/>
                <w:color w:val="auto"/>
                <w:w w:val="93"/>
              </w:rPr>
              <w:t xml:space="preserve"> % of the share</w:t>
            </w:r>
          </w:p>
        </w:tc>
        <w:tc>
          <w:tcPr>
            <w:tcW w:w="2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5300" w:type="dxa"/>
            <w:vAlign w:val="bottom"/>
            <w:tcBorders>
              <w:right w:val="single" w:sz="8" w:color="auto"/>
            </w:tcBorders>
          </w:tcPr>
          <w:p>
            <w:pPr>
              <w:ind w:left="80"/>
              <w:spacing w:after="0" w:line="266" w:lineRule="exact"/>
              <w:rPr>
                <w:sz w:val="20"/>
                <w:szCs w:val="20"/>
                <w:color w:val="auto"/>
              </w:rPr>
            </w:pPr>
            <w:r>
              <w:rPr>
                <w:rFonts w:ascii="Arial" w:cs="Arial" w:eastAsia="Arial" w:hAnsi="Arial"/>
                <w:sz w:val="18"/>
                <w:szCs w:val="18"/>
                <w:color w:val="auto"/>
                <w:w w:val="90"/>
              </w:rPr>
              <w:t xml:space="preserve">agissant de concert de participations supérieures à 33 </w:t>
            </w:r>
            <w:r>
              <w:rPr>
                <w:rFonts w:ascii="Arial" w:cs="Arial" w:eastAsia="Arial" w:hAnsi="Arial"/>
                <w:sz w:val="30"/>
                <w:szCs w:val="30"/>
                <w:color w:val="auto"/>
                <w:w w:val="90"/>
                <w:vertAlign w:val="superscript"/>
              </w:rPr>
              <w:t>1</w:t>
            </w:r>
            <w:r>
              <w:rPr>
                <w:rFonts w:ascii="Arial" w:cs="Arial" w:eastAsia="Arial" w:hAnsi="Arial"/>
                <w:sz w:val="18"/>
                <w:szCs w:val="18"/>
                <w:color w:val="auto"/>
                <w:w w:val="90"/>
              </w:rPr>
              <w:t>/</w:t>
            </w:r>
            <w:r>
              <w:rPr>
                <w:rFonts w:ascii="Arial" w:cs="Arial" w:eastAsia="Arial" w:hAnsi="Arial"/>
                <w:sz w:val="30"/>
                <w:szCs w:val="30"/>
                <w:color w:val="auto"/>
                <w:w w:val="90"/>
                <w:vertAlign w:val="subscript"/>
              </w:rPr>
              <w:t>3</w:t>
            </w:r>
            <w:r>
              <w:rPr>
                <w:rFonts w:ascii="Arial" w:cs="Arial" w:eastAsia="Arial" w:hAnsi="Arial"/>
                <w:sz w:val="18"/>
                <w:szCs w:val="18"/>
                <w:color w:val="auto"/>
                <w:w w:val="90"/>
              </w:rPr>
              <w:t xml:space="preserve"> % du capital-</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capital registered in the commercial register without having submitted</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actions inscrit au registre du commerce sans avoir soumis aux autres</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to the other shareholders a takeover offer recommended by the Board</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actionnaires une offre publique d'achat recommandée par le conseil</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of Directors, or for the defense of an actual, threatened or potential</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d'administration, ou pour la défense d'une offre publique d'achat réelle,</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takeover bid, in relation to which the Board of Directors, upon</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imminente ou potentielle, pour laquelle le conseil d'administration,</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consultation with an independent financial adviser retained by it, has</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après consultation avec un conseiller financier indépendant retenu par</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not recommended to the shareholders acceptance on the basis that the</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lui, n'a pas recommandé l'acceptation aux actionnaires car il a estimé</w:t>
            </w:r>
          </w:p>
        </w:tc>
      </w:tr>
      <w:tr>
        <w:trPr>
          <w:trHeight w:val="216"/>
        </w:trPr>
        <w:tc>
          <w:tcPr>
            <w:tcW w:w="300" w:type="dxa"/>
            <w:vAlign w:val="bottom"/>
            <w:tcBorders>
              <w:left w:val="single" w:sz="8" w:color="auto"/>
            </w:tcBorders>
          </w:tcPr>
          <w:p>
            <w:pPr>
              <w:spacing w:after="0"/>
              <w:rPr>
                <w:sz w:val="18"/>
                <w:szCs w:val="18"/>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Board of Directors has not found the takeover bid to be financially fair</w:t>
            </w:r>
          </w:p>
        </w:tc>
        <w:tc>
          <w:tcPr>
            <w:tcW w:w="2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que l'offre publique d'achat n'était pas financièrement équitable pour les</w:t>
            </w:r>
          </w:p>
        </w:tc>
      </w:tr>
      <w:tr>
        <w:trPr>
          <w:trHeight w:val="230"/>
        </w:trPr>
        <w:tc>
          <w:tcPr>
            <w:tcW w:w="3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to the shareholders.</w:t>
            </w:r>
          </w:p>
        </w:tc>
        <w:tc>
          <w:tcPr>
            <w:tcW w:w="2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actionnaires.</w:t>
            </w:r>
          </w:p>
        </w:tc>
      </w:tr>
      <w:tr>
        <w:trPr>
          <w:trHeight w:val="81"/>
        </w:trPr>
        <w:tc>
          <w:tcPr>
            <w:tcW w:w="5640" w:type="dxa"/>
            <w:vAlign w:val="bottom"/>
            <w:tcBorders>
              <w:left w:val="single" w:sz="8" w:color="auto"/>
              <w:bottom w:val="single" w:sz="8" w:color="auto"/>
              <w:right w:val="single" w:sz="8" w:color="auto"/>
            </w:tcBorders>
            <w:gridSpan w:val="2"/>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right w:val="single" w:sz="8" w:color="auto"/>
            </w:tcBorders>
            <w:gridSpan w:val="2"/>
          </w:tcPr>
          <w:p>
            <w:pPr>
              <w:spacing w:after="0"/>
              <w:rPr>
                <w:sz w:val="7"/>
                <w:szCs w:val="7"/>
                <w:color w:val="auto"/>
              </w:rPr>
            </w:pPr>
          </w:p>
        </w:tc>
      </w:tr>
      <w:tr>
        <w:trPr>
          <w:trHeight w:val="222"/>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The acquisition of registered shares out of authorized capital increase of</w:t>
            </w:r>
          </w:p>
        </w:tc>
        <w:tc>
          <w:tcPr>
            <w:tcW w:w="2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L'acquisition d'actions nominatives dans le cadre d'une augmentation</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share capital for general purposes and any transfers of registered shares</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autorisée du capital-actions à des fins générales et les transferts d'actions</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shall be subject to the restrictions specified in Article 4 of the Articles of</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nominatives sont soumis aux restrictions prévues à l'article 4 des statuts.</w:t>
            </w:r>
          </w:p>
        </w:tc>
      </w:tr>
      <w:tr>
        <w:trPr>
          <w:trHeight w:val="230"/>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Association.</w:t>
            </w:r>
          </w:p>
        </w:tc>
        <w:tc>
          <w:tcPr>
            <w:tcW w:w="2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18"/>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3b   Conditional Capital Increase for Bonds and Similar Debt</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Art. 3b  Augmentation conditionnelle du capital-actions pour les</w:t>
            </w:r>
          </w:p>
        </w:tc>
      </w:tr>
      <w:tr>
        <w:trPr>
          <w:trHeight w:val="234"/>
        </w:trPr>
        <w:tc>
          <w:tcPr>
            <w:tcW w:w="3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3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obligations et instruments de dettes similaire</w:t>
            </w:r>
          </w:p>
        </w:tc>
      </w:tr>
      <w:tr>
        <w:trPr>
          <w:trHeight w:val="27"/>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The share capital of the Company shall be increased by a maximum amount</w:t>
            </w:r>
          </w:p>
        </w:tc>
        <w:tc>
          <w:tcPr>
            <w:tcW w:w="2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Le capital-actions de la société peut être augmenté d'un montant maximum</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of CHF 91'867.50 through the issue of a maximum of 4'593'375 registered</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de CHF 91'867.50 par l'émission d'un maximum de 4'593'375 actions</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shares, payable in full, each with a nominal value of CHF 0.02 through the</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nominatives, d'une valeur nominale de CHF 0.02 chacune, à libérer</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exercise of conversion and/or option or warrant rights granted in connection</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entièrement, suite à l'exercice de droits de conversion et/ou d'option ou de</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with bonds or similar instruments, issued or to be issued by the Company or</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bons de souscription accordés en relation avec des obligations ou</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by subsidiaries of the Company, including convertible debt instruments.</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d'instruments similaires, émis ou devant être émis par la société ou par des</w:t>
            </w:r>
          </w:p>
        </w:tc>
      </w:tr>
      <w:tr>
        <w:trPr>
          <w:trHeight w:val="230"/>
        </w:trPr>
        <w:tc>
          <w:tcPr>
            <w:tcW w:w="3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filiales de la société, y compris les instruments d'emprunt convertibles.</w:t>
            </w:r>
          </w:p>
        </w:tc>
      </w:tr>
      <w:tr>
        <w:trPr>
          <w:trHeight w:val="27"/>
        </w:trPr>
        <w:tc>
          <w:tcPr>
            <w:tcW w:w="5640" w:type="dxa"/>
            <w:vAlign w:val="bottom"/>
            <w:tcBorders>
              <w:left w:val="single" w:sz="8" w:color="auto"/>
              <w:bottom w:val="single" w:sz="8" w:color="auto"/>
              <w:right w:val="single" w:sz="8" w:color="auto"/>
            </w:tcBorders>
            <w:gridSpan w:val="2"/>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Shareholders' subscription rights are excluded. Shareholders' advance</w:t>
            </w:r>
          </w:p>
        </w:tc>
        <w:tc>
          <w:tcPr>
            <w:tcW w:w="20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Le droit de souscription préférentiel des actionnaires est exclu. Les droits</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subscription rights with regard to the new bonds or similar instruments may</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de souscription préférentiels préalables des actionnaires à l'égard des</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be restricted or excluded by decision of the Board of Directors in order to</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nouvelles obligations ou instruments similaires peuvent être limités ou</w:t>
            </w:r>
          </w:p>
        </w:tc>
      </w:tr>
      <w:tr>
        <w:trPr>
          <w:trHeight w:val="216"/>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finance or re-finance the acquisition of companies, parts of companies or</w:t>
            </w:r>
          </w:p>
        </w:tc>
        <w:tc>
          <w:tcPr>
            <w:tcW w:w="20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exclus par décision du conseil d'administration afin de financer ou de</w:t>
            </w:r>
          </w:p>
        </w:tc>
      </w:tr>
      <w:tr>
        <w:trPr>
          <w:trHeight w:val="230"/>
        </w:trPr>
        <w:tc>
          <w:tcPr>
            <w:tcW w:w="56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holdings, or new</w:t>
            </w:r>
          </w:p>
        </w:tc>
        <w:tc>
          <w:tcPr>
            <w:tcW w:w="20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refinancer l'acquisition d'entreprises, parts</w:t>
            </w: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53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669"/>
        </w:trPr>
        <w:tc>
          <w:tcPr>
            <w:tcW w:w="3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ind w:left="4940"/>
              <w:spacing w:after="0"/>
              <w:rPr>
                <w:sz w:val="20"/>
                <w:szCs w:val="20"/>
                <w:color w:val="auto"/>
              </w:rPr>
            </w:pPr>
            <w:r>
              <w:rPr>
                <w:rFonts w:ascii="Arial" w:cs="Arial" w:eastAsia="Arial" w:hAnsi="Arial"/>
                <w:sz w:val="18"/>
                <w:szCs w:val="18"/>
                <w:color w:val="auto"/>
                <w:w w:val="91"/>
              </w:rPr>
              <w:t>3/26</w:t>
            </w:r>
          </w:p>
        </w:tc>
      </w:tr>
    </w:tbl>
    <w:p>
      <w:pPr>
        <w:sectPr>
          <w:pgSz w:w="11900" w:h="16838" w:orient="portrait"/>
          <w:cols w:equalWidth="0" w:num="1">
            <w:col w:w="11420"/>
          </w:cols>
          <w:pgMar w:left="240" w:top="930" w:right="23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investments planned by the Company, or in order to issue convertible bonds</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d'entreprises ou de holdings, ou de nouveaux investissements prévus par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warrants on the international capital markets or through private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société, ou en vue d'émettre des obligations convertibles et des bons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placement. If advance subscription rights are excluded, then (1)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souscription sur les marchés internationaux de capitaux ou par placement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instruments are to be placed at market conditions, (2) the exercise period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privé. Si les droits de souscription préférentiels préalables sont exclus, (1)</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not to exceed ten years from the date of issue for warrants and twenty years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les instruments doivent être attribués aux conditions du marché, (2)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for conversion rights and (3) the conversion or exercise price for the new</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période d'exercice ne doit pas dépasser dix ans à partir de la date d'émission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shares is to be set at least in line with the market conditions prevailing at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des bons de souscription et vingt ans pour les droits de conversion et (3) le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date on which the instruments are issued. The respective holders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prix de conversion ou d'exercice des actions nouvelles doit être fixé au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conversion and/or option or warrant rights are entitled to subscribe the new</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moins aux conditions du marché prévalant à la date à laquelle les</w:t>
            </w:r>
          </w:p>
        </w:tc>
      </w:tr>
      <w:tr>
        <w:trPr>
          <w:trHeight w:val="216"/>
        </w:trPr>
        <w:tc>
          <w:tcPr>
            <w:tcW w:w="6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49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instruments sont émis. Les détenteurs respectifs de droits de conversion</w:t>
            </w:r>
          </w:p>
        </w:tc>
      </w:tr>
      <w:tr>
        <w:trPr>
          <w:trHeight w:val="216"/>
        </w:trPr>
        <w:tc>
          <w:tcPr>
            <w:tcW w:w="680" w:type="dxa"/>
            <w:vAlign w:val="bottom"/>
            <w:tcBorders>
              <w:lef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et/ou option ou de bons de souscription ont le droit de souscrire les</w:t>
            </w:r>
          </w:p>
        </w:tc>
      </w:tr>
      <w:tr>
        <w:trPr>
          <w:trHeight w:val="230"/>
        </w:trPr>
        <w:tc>
          <w:tcPr>
            <w:tcW w:w="680" w:type="dxa"/>
            <w:vAlign w:val="bottom"/>
            <w:tcBorders>
              <w:left w:val="single" w:sz="8" w:color="auto"/>
            </w:tcBorders>
          </w:tcPr>
          <w:p>
            <w:pPr>
              <w:spacing w:after="0"/>
              <w:rPr>
                <w:sz w:val="20"/>
                <w:szCs w:val="20"/>
                <w:color w:val="auto"/>
              </w:rPr>
            </w:pPr>
          </w:p>
        </w:tc>
        <w:tc>
          <w:tcPr>
            <w:tcW w:w="49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nouvelles actions.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The acquisition of registered shares through the exercise of conversion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L'acquisition d'actions nominatives par l'exercice de droits ou de bons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rights or warrants and any transfers of registered shares shall be subject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conversion et les transferts d'actions nominatives sont assujetties aux</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restrictions specified in Article 4 of the Articles of Association.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restrictions prévues par l'article 4 des statuts.</w:t>
            </w: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18"/>
        </w:trPr>
        <w:tc>
          <w:tcPr>
            <w:tcW w:w="68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 3c</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Conditional Share Capital Increase for Employee Benefit</w:t>
            </w:r>
          </w:p>
        </w:tc>
        <w:tc>
          <w:tcPr>
            <w:tcW w:w="220" w:type="dxa"/>
            <w:vAlign w:val="bottom"/>
            <w:tcBorders>
              <w:right w:val="single" w:sz="8" w:color="auto"/>
            </w:tcBorders>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Art. 3c</w:t>
            </w:r>
          </w:p>
        </w:tc>
        <w:tc>
          <w:tcPr>
            <w:tcW w:w="48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Augmentation conditionnelle du capital-actions pour les</w:t>
            </w:r>
          </w:p>
        </w:tc>
      </w:tr>
      <w:tr>
        <w:trPr>
          <w:trHeight w:val="234"/>
        </w:trPr>
        <w:tc>
          <w:tcPr>
            <w:tcW w:w="680" w:type="dxa"/>
            <w:vAlign w:val="bottom"/>
            <w:tcBorders>
              <w:left w:val="single" w:sz="8" w:color="auto"/>
            </w:tcBorders>
          </w:tcPr>
          <w:p>
            <w:pPr>
              <w:spacing w:after="0"/>
              <w:rPr>
                <w:sz w:val="20"/>
                <w:szCs w:val="20"/>
                <w:color w:val="auto"/>
              </w:rPr>
            </w:pPr>
          </w:p>
        </w:tc>
        <w:tc>
          <w:tcPr>
            <w:tcW w:w="49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Plans</w:t>
            </w:r>
          </w:p>
        </w:tc>
        <w:tc>
          <w:tcPr>
            <w:tcW w:w="22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4880" w:type="dxa"/>
            <w:vAlign w:val="bottom"/>
            <w:tcBorders>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w w:val="90"/>
              </w:rPr>
              <w:t>plans d'avantages sociaux</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The share capital of the Company shall be increased by an amount not</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Le capital social de la société sera augmenté d'un montant ne dépassant pas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exceeding CHF 65'882 through the issue of a maximum of 3'294'100</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CHF 65'882 par l'émission d'un maximum de 3'294'100 actions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registered shares, payable in full, each with a nominal value of CHF 0.02, 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nominatives, entièrement libérées, chacune avec une valeur nominale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connection with the exercise of option rights granted to any employee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CHF 0.02, dans le cadre de l'exercice de droits d'option accordés à tout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Company or a subsidiary, and any consultant, members of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employé de la Société ou d'une succursale, et à tout consultant, aux</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Directors, or other person providing services to the Company or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membres du conseil d'administration, ou à autres personnes fournissant des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subsidiary.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services en faveur de la société ou d'une filiale.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Shareholders' subscription rights shall be excluded with regard to these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Le droit de souscription préférentiel des actionnaires est exclu à l'égard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shares. These new registered shares may be issued at a price below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ces actions. Ces nouvelles actions nominatives peuvent être émises à un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current market price. The Board of Directors shall specify the precise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prix inférieur au prix du marché actuel. Le conseil d'administration doit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conditions of issue including the issue price of the shares.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préciser les conditions précises d'émission, y compris le prix d'émission des</w:t>
            </w:r>
          </w:p>
        </w:tc>
      </w:tr>
      <w:tr>
        <w:trPr>
          <w:trHeight w:val="230"/>
        </w:trPr>
        <w:tc>
          <w:tcPr>
            <w:tcW w:w="680" w:type="dxa"/>
            <w:vAlign w:val="bottom"/>
            <w:tcBorders>
              <w:left w:val="single" w:sz="8" w:color="auto"/>
            </w:tcBorders>
          </w:tcPr>
          <w:p>
            <w:pPr>
              <w:spacing w:after="0"/>
              <w:rPr>
                <w:sz w:val="20"/>
                <w:szCs w:val="20"/>
                <w:color w:val="auto"/>
              </w:rPr>
            </w:pPr>
          </w:p>
        </w:tc>
        <w:tc>
          <w:tcPr>
            <w:tcW w:w="49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actions.</w:t>
            </w:r>
          </w:p>
        </w:tc>
        <w:tc>
          <w:tcPr>
            <w:tcW w:w="4880" w:type="dxa"/>
            <w:vAlign w:val="bottom"/>
            <w:tcBorders>
              <w:right w:val="single" w:sz="8" w:color="auto"/>
            </w:tcBorders>
          </w:tcPr>
          <w:p>
            <w:pPr>
              <w:spacing w:after="0"/>
              <w:rPr>
                <w:sz w:val="20"/>
                <w:szCs w:val="20"/>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acquisition of registered shares in connection with employee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L'acquisition d'actions nominatives dans le cadre de la participation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participation and any further transfers of registered shares shall be subject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employés et d'autres transferts d'actions nominatives sont soumis aux</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restrictions specified in Article 4 of the Articles of Association.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restrictions prévues à l'article 4 des statuts.</w:t>
            </w:r>
          </w:p>
        </w:tc>
      </w:tr>
      <w:tr>
        <w:trPr>
          <w:trHeight w:val="27"/>
        </w:trPr>
        <w:tc>
          <w:tcPr>
            <w:tcW w:w="6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264"/>
        </w:trPr>
        <w:tc>
          <w:tcPr>
            <w:tcW w:w="680" w:type="dxa"/>
            <w:vAlign w:val="bottom"/>
            <w:tcBorders>
              <w:left w:val="single" w:sz="8" w:color="auto"/>
              <w:bottom w:val="single" w:sz="8" w:color="auto"/>
            </w:tcBorders>
          </w:tcPr>
          <w:p>
            <w:pPr>
              <w:spacing w:after="0"/>
              <w:rPr>
                <w:sz w:val="22"/>
                <w:szCs w:val="22"/>
                <w:color w:val="auto"/>
              </w:rPr>
            </w:pPr>
          </w:p>
        </w:tc>
        <w:tc>
          <w:tcPr>
            <w:tcW w:w="49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880" w:type="dxa"/>
            <w:vAlign w:val="bottom"/>
            <w:tcBorders>
              <w:bottom w:val="single" w:sz="8" w:color="auto"/>
              <w:right w:val="single" w:sz="8" w:color="auto"/>
            </w:tcBorders>
          </w:tcPr>
          <w:p>
            <w:pPr>
              <w:spacing w:after="0"/>
              <w:rPr>
                <w:sz w:val="22"/>
                <w:szCs w:val="22"/>
                <w:color w:val="auto"/>
              </w:rPr>
            </w:pPr>
          </w:p>
        </w:tc>
      </w:tr>
      <w:tr>
        <w:trPr>
          <w:trHeight w:val="669"/>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bl>
    <w:p>
      <w:pPr>
        <w:sectPr>
          <w:pgSz w:w="11900" w:h="16838" w:orient="portrait"/>
          <w:cols w:equalWidth="0" w:num="1">
            <w:col w:w="11420"/>
          </w:cols>
          <w:pgMar w:left="240" w:top="930" w:right="2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w:t>
            </w:r>
          </w:p>
        </w:tc>
        <w:tc>
          <w:tcPr>
            <w:tcW w:w="48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Share Register</w:t>
            </w:r>
          </w:p>
        </w:tc>
        <w:tc>
          <w:tcPr>
            <w:tcW w:w="22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Art. 4</w:t>
            </w:r>
          </w:p>
        </w:tc>
        <w:tc>
          <w:tcPr>
            <w:tcW w:w="4860" w:type="dxa"/>
            <w:vAlign w:val="bottom"/>
            <w:tcBorders>
              <w:top w:val="single" w:sz="8" w:color="auto"/>
              <w:right w:val="single" w:sz="8" w:color="auto"/>
            </w:tcBorders>
          </w:tcPr>
          <w:p>
            <w:pPr>
              <w:jc w:val="right"/>
              <w:ind w:right="3030"/>
              <w:spacing w:after="0"/>
              <w:rPr>
                <w:sz w:val="20"/>
                <w:szCs w:val="20"/>
                <w:color w:val="auto"/>
              </w:rPr>
            </w:pPr>
            <w:r>
              <w:rPr>
                <w:rFonts w:ascii="Arial" w:cs="Arial" w:eastAsia="Arial" w:hAnsi="Arial"/>
                <w:sz w:val="18"/>
                <w:szCs w:val="18"/>
                <w:b w:val="1"/>
                <w:bCs w:val="1"/>
                <w:color w:val="auto"/>
                <w:w w:val="97"/>
              </w:rPr>
              <w:t>Registre des actions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The Company shall maintain a share register in which it shall register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La société tient un registre des actions nominatives, dans lequel sont inscrits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name, first name and place of residence (in case of legal persons the place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le nom, le prénom et l'adresse (dans le cas d'une personne morale, le siège)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of incorporation) of the owners and usufructuaries of its registered shares.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des propriétaires et des usufruitiers des actions. Les personnes physiques et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Natural and legal persons as well as legal representatives of minors etc.</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morales ainsi que les représentants légaux des mineurs etc. autorisés par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entitled by law to the voting rights of a share which they do not own will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loi à voter alors qu'ils ne sont pas propriétaires des actions seront, sur</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noted in the share register upon request.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demande, inscrits dans le registre des actions.</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Upon request, acquirers of shares will be registered in the share register</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Sur demande, les acquéreurs d'actions seront inscrits dans le registre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without limitation as shareholders if they expressly certify that they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actions sans limitation comme actionnaires s'ils attestent expressément</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acquired the shares in their own name and for their own account.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qu'ils ont acquis les actions en leur propre nom et pour leur propre compte.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Persons who do not expressly declare in the registration application that</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personnes qui ne déclarent pas expressément dans la demande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they are holding the shares on their own account (thereafter: nominees)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d'inscription qu'ils détiennent les actions pour leur propre compte (par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shall forthwith be entered on the share register as shareholders with voting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suite: les candidats) doivent immédiatement être inscrits dans le registre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rights up to a maximum of 3 percent of the share capital. Beyond that limit,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actions comme actionnaires avec droit de vote pour un maximum de 3 pour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registered shares of nominees shall only be entered as voting if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cent du capital-actions. Au-delà de cette limite, les actions nominatives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nominees in question confirm in writing that they are willing to disclose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candidats ne sont inscrites avec droit de vote que si les candidats en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names, addresses and shareholdings of the persons on whose account they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question confirment par écrit qu'ils sont prêts à divulguer les noms, adresses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hold 0.5 percent or more of the share capital. The Board of Directors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et participations des personnes pour le compte desquelles ils détiennent 0,5</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concludes agreements with nominees that among other things govern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pour cent ou plus du capital-actions. Le conseil d'administration conclut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representation of shareholders and the voting rights.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accords avec les candidats qui, entre autres choses, régissent la</w:t>
            </w:r>
          </w:p>
        </w:tc>
      </w:tr>
      <w:tr>
        <w:trPr>
          <w:trHeight w:val="230"/>
        </w:trPr>
        <w:tc>
          <w:tcPr>
            <w:tcW w:w="780" w:type="dxa"/>
            <w:vAlign w:val="bottom"/>
            <w:tcBorders>
              <w:left w:val="single" w:sz="8" w:color="auto"/>
            </w:tcBorders>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représentation des actionnaires et des droits de vote.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After hearing the registered shareholder or nominee, the Board of Directors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Après avoir entendu l'actionnaire enregistré ou le candidat, le conseil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may remove entries in the share register with retroactive effect as per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d'administration peut supprimer des inscriptions dans le registre des actions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date of entry, if such entry was based on false information. The party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avec effet rétroactif à la date d'inscription, si cette inscription était basée sur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affected must be informed of such removal immediately.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 fausses informations. La partie touchée doit être immédiatement</w:t>
            </w:r>
          </w:p>
        </w:tc>
      </w:tr>
      <w:tr>
        <w:trPr>
          <w:trHeight w:val="230"/>
        </w:trPr>
        <w:tc>
          <w:tcPr>
            <w:tcW w:w="780" w:type="dxa"/>
            <w:vAlign w:val="bottom"/>
            <w:tcBorders>
              <w:left w:val="single" w:sz="8" w:color="auto"/>
            </w:tcBorders>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informée de cette suppression.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 individual or legal entity may, directly or indirectly, formally,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Aucune personne physique ou morale ne peut, directement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constructively or beneficially own (as defined in the next paragraph below)</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indirectement, formellement ou implicitement détenir à son profit (comme</w:t>
            </w:r>
          </w:p>
        </w:tc>
      </w:tr>
      <w:tr>
        <w:trPr>
          <w:trHeight w:val="22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or otherwise control voting rights ("Controlled Shares") with respect to 33</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défini dans le paragraphe ci-dessous) ou, d'une autre manière, contrôler le</w:t>
            </w:r>
          </w:p>
        </w:tc>
      </w:tr>
      <w:tr>
        <w:trPr>
          <w:trHeight w:val="266"/>
        </w:trPr>
        <w:tc>
          <w:tcPr>
            <w:tcW w:w="5620" w:type="dxa"/>
            <w:vAlign w:val="bottom"/>
            <w:tcBorders>
              <w:left w:val="single" w:sz="8" w:color="auto"/>
              <w:right w:val="single" w:sz="8" w:color="auto"/>
            </w:tcBorders>
            <w:gridSpan w:val="2"/>
          </w:tcPr>
          <w:p>
            <w:pPr>
              <w:ind w:left="60"/>
              <w:spacing w:after="0" w:line="266" w:lineRule="exact"/>
              <w:rPr>
                <w:sz w:val="20"/>
                <w:szCs w:val="20"/>
                <w:color w:val="auto"/>
              </w:rPr>
            </w:pPr>
            <w:r>
              <w:rPr>
                <w:rFonts w:ascii="Arial" w:cs="Arial" w:eastAsia="Arial" w:hAnsi="Arial"/>
                <w:sz w:val="30"/>
                <w:szCs w:val="30"/>
                <w:color w:val="auto"/>
                <w:w w:val="94"/>
                <w:vertAlign w:val="superscript"/>
              </w:rPr>
              <w:t>1</w:t>
            </w:r>
            <w:r>
              <w:rPr>
                <w:rFonts w:ascii="Arial" w:cs="Arial" w:eastAsia="Arial" w:hAnsi="Arial"/>
                <w:sz w:val="18"/>
                <w:szCs w:val="18"/>
                <w:color w:val="auto"/>
                <w:w w:val="94"/>
              </w:rPr>
              <w:t>/</w:t>
            </w:r>
            <w:r>
              <w:rPr>
                <w:rFonts w:ascii="Arial" w:cs="Arial" w:eastAsia="Arial" w:hAnsi="Arial"/>
                <w:sz w:val="30"/>
                <w:szCs w:val="30"/>
                <w:color w:val="auto"/>
                <w:w w:val="94"/>
                <w:vertAlign w:val="subscript"/>
              </w:rPr>
              <w:t>3</w:t>
            </w:r>
            <w:r>
              <w:rPr>
                <w:rFonts w:ascii="Arial" w:cs="Arial" w:eastAsia="Arial" w:hAnsi="Arial"/>
                <w:sz w:val="18"/>
                <w:szCs w:val="18"/>
                <w:color w:val="auto"/>
                <w:w w:val="94"/>
              </w:rPr>
              <w:t xml:space="preserve"> % or more of the registered share capital recorded in the Commercial</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gridSpan w:val="2"/>
          </w:tcPr>
          <w:p>
            <w:pPr>
              <w:ind w:left="40"/>
              <w:spacing w:after="0" w:line="266" w:lineRule="exact"/>
              <w:rPr>
                <w:sz w:val="20"/>
                <w:szCs w:val="20"/>
                <w:color w:val="auto"/>
              </w:rPr>
            </w:pPr>
            <w:r>
              <w:rPr>
                <w:rFonts w:ascii="Arial" w:cs="Arial" w:eastAsia="Arial" w:hAnsi="Arial"/>
                <w:sz w:val="18"/>
                <w:szCs w:val="18"/>
                <w:color w:val="auto"/>
                <w:w w:val="97"/>
              </w:rPr>
              <w:t xml:space="preserve">droit de vote (les "Actions Contrôlées") de 33 </w:t>
            </w:r>
            <w:r>
              <w:rPr>
                <w:rFonts w:ascii="Arial" w:cs="Arial" w:eastAsia="Arial" w:hAnsi="Arial"/>
                <w:sz w:val="30"/>
                <w:szCs w:val="30"/>
                <w:color w:val="auto"/>
                <w:w w:val="97"/>
                <w:vertAlign w:val="superscript"/>
              </w:rPr>
              <w:t>1</w:t>
            </w:r>
            <w:r>
              <w:rPr>
                <w:rFonts w:ascii="Arial" w:cs="Arial" w:eastAsia="Arial" w:hAnsi="Arial"/>
                <w:sz w:val="18"/>
                <w:szCs w:val="18"/>
                <w:color w:val="auto"/>
                <w:w w:val="97"/>
              </w:rPr>
              <w:t>/</w:t>
            </w:r>
            <w:r>
              <w:rPr>
                <w:rFonts w:ascii="Arial" w:cs="Arial" w:eastAsia="Arial" w:hAnsi="Arial"/>
                <w:sz w:val="30"/>
                <w:szCs w:val="30"/>
                <w:color w:val="auto"/>
                <w:w w:val="97"/>
                <w:vertAlign w:val="subscript"/>
              </w:rPr>
              <w:t>3</w:t>
            </w:r>
            <w:r>
              <w:rPr>
                <w:rFonts w:ascii="Arial" w:cs="Arial" w:eastAsia="Arial" w:hAnsi="Arial"/>
                <w:sz w:val="18"/>
                <w:szCs w:val="18"/>
                <w:color w:val="auto"/>
                <w:w w:val="97"/>
              </w:rPr>
              <w:t xml:space="preserve"> % ou plus du capital-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Register except if such individual or legal entity has submitted prior to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actions nominatif tel qu'inscrit au registre du commerce sauf si cette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acquisition of such Controlled Shares an orderly tender offer to all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personne physique ou morale a présenté avant l'acquisition de ces Actions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shareholders with a minimum price of the higher of (i) the volume weighted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Contrôlée une offre publique d'achat en bonne et due forme à tous les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average price of the last 60 trading days prior to the publication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actionnaires à un prix minimum équivalent au montant le plus élevé entre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tender offer or (ii) the highest price paid by such individual or legal entity 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(i) le cours moyen pondéré en fonction du volume des 60 derniers jours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12 months preceding to the publication of the tender offer. Those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bourse précédant la publication de l'offre publique d'achat et (ii) le plus haut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associated through capital, voting power, joint management or in any other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prix payé par cette personne physique ou morale dans les 12 mois précédant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way, or joining for the acquisition of shares, shall be regarded as one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la publication de l'offre publique d'achat. Les personnes associées par le</w:t>
            </w:r>
          </w:p>
        </w:tc>
      </w:tr>
      <w:tr>
        <w:trPr>
          <w:trHeight w:val="311"/>
        </w:trPr>
        <w:tc>
          <w:tcPr>
            <w:tcW w:w="5620" w:type="dxa"/>
            <w:vAlign w:val="bottom"/>
            <w:tcBorders>
              <w:left w:val="single" w:sz="8" w:color="auto"/>
              <w:bottom w:val="single" w:sz="8" w:color="auto"/>
              <w:right w:val="single" w:sz="8" w:color="auto"/>
            </w:tcBorders>
            <w:gridSpan w:val="2"/>
          </w:tcPr>
          <w:p>
            <w:pPr>
              <w:ind w:left="60"/>
              <w:spacing w:after="0" w:line="311" w:lineRule="exact"/>
              <w:rPr>
                <w:sz w:val="20"/>
                <w:szCs w:val="20"/>
                <w:color w:val="auto"/>
              </w:rPr>
            </w:pPr>
            <w:r>
              <w:rPr>
                <w:rFonts w:ascii="Arial" w:cs="Arial" w:eastAsia="Arial" w:hAnsi="Arial"/>
                <w:sz w:val="18"/>
                <w:szCs w:val="18"/>
                <w:color w:val="auto"/>
              </w:rPr>
              <w:t xml:space="preserve">person. The registered shares exceeding 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and</w:t>
            </w:r>
          </w:p>
        </w:tc>
        <w:tc>
          <w:tcPr>
            <w:tcW w:w="220" w:type="dxa"/>
            <w:vAlign w:val="bottom"/>
            <w:tcBorders>
              <w:bottom w:val="single" w:sz="8" w:color="auto"/>
              <w:right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capital, les droits de vote, une gestion</w:t>
            </w:r>
          </w:p>
        </w:tc>
      </w:tr>
      <w:tr>
        <w:trPr>
          <w:trHeight w:val="669"/>
        </w:trPr>
        <w:tc>
          <w:tcPr>
            <w:tcW w:w="7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bl>
    <w:p>
      <w:pPr>
        <w:sectPr>
          <w:pgSz w:w="11900" w:h="16838" w:orient="portrait"/>
          <w:cols w:equalWidth="0" w:num="1">
            <w:col w:w="11420"/>
          </w:cols>
          <w:pgMar w:left="240" w:top="930" w:right="2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not benefiting from the exemption regarding a tender offer shall be entered</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commune ou de toute autre manière, ou qui se joignent pour une acquisition</w:t>
            </w:r>
          </w:p>
        </w:tc>
      </w:tr>
      <w:tr>
        <w:trPr>
          <w:trHeight w:val="22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 the share register as shares without voting rights.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d'actions, sont considérées comme une personne. Les actions nominatives</w:t>
            </w:r>
          </w:p>
        </w:tc>
      </w:tr>
      <w:tr>
        <w:trPr>
          <w:trHeight w:val="213"/>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line="213" w:lineRule="exact"/>
              <w:rPr>
                <w:sz w:val="20"/>
                <w:szCs w:val="20"/>
                <w:color w:val="auto"/>
              </w:rPr>
            </w:pPr>
            <w:r>
              <w:rPr>
                <w:rFonts w:ascii="Arial" w:cs="Arial" w:eastAsia="Arial" w:hAnsi="Arial"/>
                <w:sz w:val="15"/>
                <w:szCs w:val="15"/>
                <w:color w:val="auto"/>
              </w:rPr>
              <w:t xml:space="preserve">dépassant la limite de 33 </w:t>
            </w:r>
            <w:r>
              <w:rPr>
                <w:rFonts w:ascii="Arial" w:cs="Arial" w:eastAsia="Arial" w:hAnsi="Arial"/>
                <w:sz w:val="24"/>
                <w:szCs w:val="24"/>
                <w:color w:val="auto"/>
                <w:vertAlign w:val="superscript"/>
              </w:rPr>
              <w:t>1</w:t>
            </w:r>
            <w:r>
              <w:rPr>
                <w:rFonts w:ascii="Arial" w:cs="Arial" w:eastAsia="Arial" w:hAnsi="Arial"/>
                <w:sz w:val="15"/>
                <w:szCs w:val="15"/>
                <w:color w:val="auto"/>
              </w:rPr>
              <w:t>/  % et ne bénéficiant pas de l'exemption relative</w:t>
            </w:r>
          </w:p>
        </w:tc>
      </w:tr>
      <w:tr>
        <w:trPr>
          <w:trHeight w:val="53"/>
        </w:trPr>
        <w:tc>
          <w:tcPr>
            <w:tcW w:w="320" w:type="dxa"/>
            <w:vAlign w:val="bottom"/>
            <w:tcBorders>
              <w:left w:val="single" w:sz="8" w:color="auto"/>
            </w:tcBorders>
          </w:tcPr>
          <w:p>
            <w:pPr>
              <w:spacing w:after="0"/>
              <w:rPr>
                <w:sz w:val="4"/>
                <w:szCs w:val="4"/>
                <w:color w:val="auto"/>
              </w:rPr>
            </w:pPr>
          </w:p>
        </w:tc>
        <w:tc>
          <w:tcPr>
            <w:tcW w:w="5300" w:type="dxa"/>
            <w:vAlign w:val="bottom"/>
            <w:tcBorders>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280" w:type="dxa"/>
            <w:vAlign w:val="bottom"/>
            <w:tcBorders>
              <w:right w:val="single" w:sz="8" w:color="auto"/>
            </w:tcBorders>
          </w:tcPr>
          <w:p>
            <w:pPr>
              <w:ind w:left="1680"/>
              <w:spacing w:after="0" w:line="54" w:lineRule="exact"/>
              <w:rPr>
                <w:sz w:val="20"/>
                <w:szCs w:val="20"/>
                <w:color w:val="auto"/>
              </w:rPr>
            </w:pPr>
            <w:r>
              <w:rPr>
                <w:rFonts w:ascii="Arial" w:cs="Arial" w:eastAsia="Arial" w:hAnsi="Arial"/>
                <w:sz w:val="6"/>
                <w:szCs w:val="6"/>
                <w:color w:val="auto"/>
              </w:rPr>
              <w:t>3</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à une offre publique d'achat sont inscrites dans le registre des actions</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comme des actions sans droit de vote.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For the purposes of this Article 4, "Controlled Shares" in reference to any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Aux fins du présent article 4, Actions Contrôlées signifie en référence à</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individual or entity means: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toute personne physique ou morale:</w:t>
            </w:r>
          </w:p>
        </w:tc>
      </w:tr>
      <w:tr>
        <w:trPr>
          <w:trHeight w:val="256"/>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5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all shares of the Company directly, indirectly or constructively owned</w:t>
            </w:r>
          </w:p>
        </w:tc>
        <w:tc>
          <w:tcPr>
            <w:tcW w:w="220" w:type="dxa"/>
            <w:vAlign w:val="bottom"/>
            <w:tcBorders>
              <w:right w:val="single" w:sz="8" w:color="auto"/>
            </w:tcBorders>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(a)</w:t>
            </w:r>
          </w:p>
        </w:tc>
        <w:tc>
          <w:tcPr>
            <w:tcW w:w="5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toutes actions directement, indirectement ou implicitement détenues par</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by such individual or entity; provided that</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cette personne physique ou morale, à condition que</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  shares owned, directly or indirectly, by or for a partnership, or trust</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(i)  les actions détenues, directement ou indirectement, par ou pour un</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or estate will be considered as being owned proportionately by its</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partenariat, une fiducie ou une communauté d'héritiers sont</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partners, or beneficiaries; and</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considérées comme étant détenues proportionnellement par leurs</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partenaires ou bénéficiaires; et</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(ii)  shares owned, directly or indirectly, by or for a corporation will be</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(ii)  les actions détenues, directement ou indirectement, par ou pour</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considered as being owned proportionately by any shareholder</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une société seront considérées comme étant détenues</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owning 50% or more of the outstanding voting shares of such</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1"/>
              </w:rPr>
              <w:t>proportionnellement par tout actionnaire détenant 50% ou plus des</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corporation; and</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actions avec droit de vote en circulation de cette société; et</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(iii) shares subject to options, warrants or other similar rights shall be</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(iii) les actions sujettes à des options, des bons de souscription ou</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deemed to be owned; and</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autres droits semblables sont réputées être détenues; et</w:t>
            </w:r>
          </w:p>
        </w:tc>
      </w:tr>
      <w:tr>
        <w:trPr>
          <w:trHeight w:val="256"/>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53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all shares of the Company directly, indirectly beneficially owned by</w:t>
            </w:r>
          </w:p>
        </w:tc>
        <w:tc>
          <w:tcPr>
            <w:tcW w:w="220" w:type="dxa"/>
            <w:vAlign w:val="bottom"/>
            <w:tcBorders>
              <w:right w:val="single" w:sz="8" w:color="auto"/>
            </w:tcBorders>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5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toutes actions de la société détenues directement, indirectement ou à</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such individual or entity; provided that</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son profit par cette personne physique ou morale, à condition que</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(i)  a beneficial owner of a security includes any person who, directly</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  un bénéficiaire effectif d'un titre comprend toute personne qui,</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or indirectly, through any contract, arrangement, understanding,</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1"/>
              </w:rPr>
              <w:t>directement ou indirectement, par le biais d'un contrat, d'un accord,</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1"/>
              </w:rPr>
              <w:t>relationship, or otherwise alone or together with other such persons</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d'une entente, d'une relation, ou autrement, seul ou avec d'autres</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has or shares:</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personnes a ou partage:</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(1)  voting power which includes the power to vote, or to direct the</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  le pouvoir de voter, y compris le pouvoir de voter ou de</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voting of, such security; and/or</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diriger le vote d'un tel titre; et/ou</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(2)  investment power which includes the power to dispose, or to</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(2)  le pouvoir d'investir, y compris le pouvoir de disposer ou de</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direct the disposition of, such security.</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diriger la disposition d'un tel titre.</w:t>
            </w:r>
          </w:p>
        </w:tc>
      </w:tr>
      <w:tr>
        <w:trPr>
          <w:trHeight w:val="256"/>
        </w:trPr>
        <w:tc>
          <w:tcPr>
            <w:tcW w:w="320" w:type="dxa"/>
            <w:vAlign w:val="bottom"/>
            <w:tcBorders>
              <w:left w:val="single" w:sz="8" w:color="auto"/>
            </w:tcBorders>
          </w:tcPr>
          <w:p>
            <w:pPr>
              <w:spacing w:after="0"/>
              <w:rPr>
                <w:sz w:val="22"/>
                <w:szCs w:val="22"/>
                <w:color w:val="auto"/>
              </w:rPr>
            </w:pPr>
          </w:p>
        </w:tc>
        <w:tc>
          <w:tcPr>
            <w:tcW w:w="5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(ii)  Any person who, directly or indirectly, creates or uses a trust,</w:t>
            </w:r>
          </w:p>
        </w:tc>
        <w:tc>
          <w:tcPr>
            <w:tcW w:w="22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(ii)  Toute personne qui, directement ou indirectement, crée ou utilise</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proxy, power of attorney, pooling arrangement or any other</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une fiducie, une procuration, un pooling ou tout autre contrat,</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contract, arrangement, or device with the purpose or effect of</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accord, ou un dispositif ayant pour objet ou pour effet de priver</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divesting such person of beneficial ownership of shares of the</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0"/>
              </w:rPr>
              <w:t>cette personne de la propriété effective des actions de la société ou</w:t>
            </w:r>
          </w:p>
        </w:tc>
      </w:tr>
      <w:tr>
        <w:trPr>
          <w:trHeight w:val="216"/>
        </w:trPr>
        <w:tc>
          <w:tcPr>
            <w:tcW w:w="320" w:type="dxa"/>
            <w:vAlign w:val="bottom"/>
            <w:tcBorders>
              <w:left w:val="single" w:sz="8" w:color="auto"/>
            </w:tcBorders>
          </w:tcPr>
          <w:p>
            <w:pPr>
              <w:spacing w:after="0"/>
              <w:rPr>
                <w:sz w:val="18"/>
                <w:szCs w:val="18"/>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Company or preventing the vesting of such beneficial ownership as</w:t>
            </w:r>
          </w:p>
        </w:tc>
        <w:tc>
          <w:tcPr>
            <w:tcW w:w="2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d'en empêcher l'acquisition effective au moyen d'un plan ou</w:t>
            </w:r>
          </w:p>
        </w:tc>
      </w:tr>
      <w:tr>
        <w:trPr>
          <w:trHeight w:val="230"/>
        </w:trPr>
        <w:tc>
          <w:tcPr>
            <w:tcW w:w="320" w:type="dxa"/>
            <w:vAlign w:val="bottom"/>
            <w:tcBorders>
              <w:left w:val="single" w:sz="8" w:color="auto"/>
            </w:tcBorders>
          </w:tcPr>
          <w:p>
            <w:pPr>
              <w:spacing w:after="0"/>
              <w:rPr>
                <w:sz w:val="20"/>
                <w:szCs w:val="20"/>
                <w:color w:val="auto"/>
              </w:rPr>
            </w:pPr>
          </w:p>
        </w:tc>
        <w:tc>
          <w:tcPr>
            <w:tcW w:w="53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part of a plan or</w:t>
            </w:r>
          </w:p>
        </w:tc>
        <w:tc>
          <w:tcPr>
            <w:tcW w:w="2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programme visant à se</w:t>
            </w:r>
          </w:p>
        </w:tc>
      </w:tr>
      <w:tr>
        <w:trPr>
          <w:trHeight w:val="27"/>
        </w:trPr>
        <w:tc>
          <w:tcPr>
            <w:tcW w:w="320" w:type="dxa"/>
            <w:vAlign w:val="bottom"/>
            <w:tcBorders>
              <w:left w:val="single" w:sz="8" w:color="auto"/>
              <w:bottom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4920"/>
              <w:spacing w:after="0"/>
              <w:rPr>
                <w:sz w:val="20"/>
                <w:szCs w:val="20"/>
                <w:color w:val="auto"/>
              </w:rPr>
            </w:pPr>
            <w:r>
              <w:rPr>
                <w:rFonts w:ascii="Arial" w:cs="Arial" w:eastAsia="Arial" w:hAnsi="Arial"/>
                <w:sz w:val="18"/>
                <w:szCs w:val="18"/>
                <w:color w:val="auto"/>
                <w:w w:val="91"/>
              </w:rPr>
              <w:t>6/26</w:t>
            </w:r>
          </w:p>
        </w:tc>
      </w:tr>
    </w:tbl>
    <w:p>
      <w:pPr>
        <w:sectPr>
          <w:pgSz w:w="11900" w:h="16838" w:orient="portrait"/>
          <w:cols w:equalWidth="0" w:num="1">
            <w:col w:w="11420"/>
          </w:cols>
          <w:pgMar w:left="240" w:top="687" w:right="2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80" w:type="dxa"/>
            <w:vAlign w:val="bottom"/>
            <w:tcBorders>
              <w:top w:val="single" w:sz="8" w:color="auto"/>
              <w:left w:val="single" w:sz="8" w:color="auto"/>
            </w:tcBorders>
          </w:tcPr>
          <w:p>
            <w:pPr>
              <w:spacing w:after="0"/>
              <w:rPr>
                <w:sz w:val="21"/>
                <w:szCs w:val="21"/>
                <w:color w:val="auto"/>
              </w:rPr>
            </w:pPr>
          </w:p>
        </w:tc>
        <w:tc>
          <w:tcPr>
            <w:tcW w:w="5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0"/>
              </w:rPr>
              <w:t>scheme to evade the provisions of these articles of association shall</w:t>
            </w:r>
          </w:p>
        </w:tc>
        <w:tc>
          <w:tcPr>
            <w:tcW w:w="22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9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soustraire aux dispositions de ces statuts est réputée être le</w:t>
            </w:r>
          </w:p>
        </w:tc>
      </w:tr>
      <w:tr>
        <w:trPr>
          <w:trHeight w:val="230"/>
        </w:trPr>
        <w:tc>
          <w:tcPr>
            <w:tcW w:w="580" w:type="dxa"/>
            <w:vAlign w:val="bottom"/>
            <w:tcBorders>
              <w:left w:val="single" w:sz="8" w:color="auto"/>
            </w:tcBorders>
          </w:tcPr>
          <w:p>
            <w:pPr>
              <w:spacing w:after="0"/>
              <w:rPr>
                <w:sz w:val="20"/>
                <w:szCs w:val="20"/>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 deemed to be the beneficial owner of such shares.</w:t>
            </w:r>
          </w:p>
        </w:tc>
        <w:tc>
          <w:tcPr>
            <w:tcW w:w="2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propriétaire effectif de ces actions.</w:t>
            </w:r>
          </w:p>
        </w:tc>
      </w:tr>
      <w:tr>
        <w:trPr>
          <w:trHeight w:val="25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6"/>
              </w:rPr>
              <w:t>(iii) A person shall be deemed to be the beneficial owner of shares if</w:t>
            </w:r>
          </w:p>
        </w:tc>
        <w:tc>
          <w:tcPr>
            <w:tcW w:w="220" w:type="dxa"/>
            <w:vAlign w:val="bottom"/>
            <w:tcBorders>
              <w:right w:val="single" w:sz="8" w:color="auto"/>
            </w:tcBorders>
          </w:tcPr>
          <w:p>
            <w:pPr>
              <w:spacing w:after="0"/>
              <w:rPr>
                <w:sz w:val="22"/>
                <w:szCs w:val="22"/>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(iii)</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Une personne est réputée être propriétaire effective d'actions si</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that person has the right to acquire beneficial ownership of such</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cette personne a le droit d'acquérir la propriété effective de ces</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 within 60 days, including but not limited to any right</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actions dans les 60 jours, y compris, mais pas limité à un droit</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acquired: (A) through the exercise of any option, warrant or right;</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acquis: (A) au moyen de l'exercice d'une option, d'un bon ou d'un</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(B) through the conversion of a security; (C) pursuant to the power</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droit de souscription; (B) par la conversion d'un titre; (C) en vertu</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to revoke a trust, discretionary account, or similar arrangement; or</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du pouvoir de révoquer une fiducie, compte discrétionnaire ou</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(D) pursuant to the automatic termination of a trust, discretionary</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accord semblable; ou (D) conformément à la résiliation</w:t>
            </w:r>
          </w:p>
        </w:tc>
      </w:tr>
      <w:tr>
        <w:trPr>
          <w:trHeight w:val="216"/>
        </w:trPr>
        <w:tc>
          <w:tcPr>
            <w:tcW w:w="58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account or similar arrangement.</w:t>
            </w:r>
          </w:p>
        </w:tc>
        <w:tc>
          <w:tcPr>
            <w:tcW w:w="2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automatique d'une fiducie, compte discrétionnaire ou accord</w:t>
            </w:r>
          </w:p>
        </w:tc>
      </w:tr>
      <w:tr>
        <w:trPr>
          <w:trHeight w:val="230"/>
        </w:trPr>
        <w:tc>
          <w:tcPr>
            <w:tcW w:w="580" w:type="dxa"/>
            <w:vAlign w:val="bottom"/>
            <w:tcBorders>
              <w:left w:val="single" w:sz="8" w:color="auto"/>
            </w:tcBorders>
          </w:tcPr>
          <w:p>
            <w:pPr>
              <w:spacing w:after="0"/>
              <w:rPr>
                <w:sz w:val="20"/>
                <w:szCs w:val="20"/>
                <w:color w:val="auto"/>
              </w:rPr>
            </w:pPr>
          </w:p>
        </w:tc>
        <w:tc>
          <w:tcPr>
            <w:tcW w:w="50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semblable.</w:t>
            </w:r>
          </w:p>
        </w:tc>
      </w:tr>
      <w:tr>
        <w:trPr>
          <w:trHeight w:val="257"/>
        </w:trPr>
        <w:tc>
          <w:tcPr>
            <w:tcW w:w="5620" w:type="dxa"/>
            <w:vAlign w:val="bottom"/>
            <w:tcBorders>
              <w:left w:val="single" w:sz="8" w:color="auto"/>
              <w:right w:val="single" w:sz="8" w:color="auto"/>
            </w:tcBorders>
            <w:gridSpan w:val="2"/>
          </w:tcPr>
          <w:p>
            <w:pPr>
              <w:ind w:left="60"/>
              <w:spacing w:after="0" w:line="256" w:lineRule="exact"/>
              <w:rPr>
                <w:sz w:val="20"/>
                <w:szCs w:val="20"/>
                <w:color w:val="auto"/>
              </w:rPr>
            </w:pPr>
            <w:r>
              <w:rPr>
                <w:rFonts w:ascii="Arial" w:cs="Arial" w:eastAsia="Arial" w:hAnsi="Arial"/>
                <w:sz w:val="18"/>
                <w:szCs w:val="18"/>
                <w:color w:val="auto"/>
                <w:w w:val="99"/>
              </w:rPr>
              <w:t xml:space="preserve">The limit of 33 </w:t>
            </w:r>
            <w:r>
              <w:rPr>
                <w:rFonts w:ascii="Arial" w:cs="Arial" w:eastAsia="Arial" w:hAnsi="Arial"/>
                <w:sz w:val="29"/>
                <w:szCs w:val="29"/>
                <w:color w:val="auto"/>
                <w:w w:val="99"/>
                <w:vertAlign w:val="superscript"/>
              </w:rPr>
              <w:t>1</w:t>
            </w:r>
            <w:r>
              <w:rPr>
                <w:rFonts w:ascii="Arial" w:cs="Arial" w:eastAsia="Arial" w:hAnsi="Arial"/>
                <w:sz w:val="18"/>
                <w:szCs w:val="18"/>
                <w:color w:val="auto"/>
                <w:w w:val="99"/>
              </w:rPr>
              <w:t>/  % of the registered share capital also applies to the</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line="256" w:lineRule="exact"/>
              <w:rPr>
                <w:sz w:val="20"/>
                <w:szCs w:val="20"/>
                <w:color w:val="auto"/>
              </w:rPr>
            </w:pPr>
            <w:r>
              <w:rPr>
                <w:rFonts w:ascii="Arial" w:cs="Arial" w:eastAsia="Arial" w:hAnsi="Arial"/>
                <w:sz w:val="18"/>
                <w:szCs w:val="18"/>
                <w:color w:val="auto"/>
                <w:w w:val="92"/>
              </w:rPr>
              <w:t xml:space="preserve">La limite de 33 </w:t>
            </w:r>
            <w:r>
              <w:rPr>
                <w:rFonts w:ascii="Arial" w:cs="Arial" w:eastAsia="Arial" w:hAnsi="Arial"/>
                <w:sz w:val="29"/>
                <w:szCs w:val="29"/>
                <w:color w:val="auto"/>
                <w:w w:val="92"/>
                <w:vertAlign w:val="superscript"/>
              </w:rPr>
              <w:t>1</w:t>
            </w:r>
            <w:r>
              <w:rPr>
                <w:rFonts w:ascii="Arial" w:cs="Arial" w:eastAsia="Arial" w:hAnsi="Arial"/>
                <w:sz w:val="18"/>
                <w:szCs w:val="18"/>
                <w:color w:val="auto"/>
                <w:w w:val="92"/>
              </w:rPr>
              <w:t>/  % du capital-actions nominatif s'applique également à la</w:t>
            </w:r>
          </w:p>
        </w:tc>
      </w:tr>
      <w:tr>
        <w:trPr>
          <w:trHeight w:val="53"/>
        </w:trPr>
        <w:tc>
          <w:tcPr>
            <w:tcW w:w="580" w:type="dxa"/>
            <w:vAlign w:val="bottom"/>
            <w:tcBorders>
              <w:left w:val="single" w:sz="8" w:color="auto"/>
            </w:tcBorders>
          </w:tcPr>
          <w:p>
            <w:pPr>
              <w:spacing w:after="0"/>
              <w:rPr>
                <w:sz w:val="4"/>
                <w:szCs w:val="4"/>
                <w:color w:val="auto"/>
              </w:rPr>
            </w:pPr>
          </w:p>
        </w:tc>
        <w:tc>
          <w:tcPr>
            <w:tcW w:w="5040" w:type="dxa"/>
            <w:vAlign w:val="bottom"/>
            <w:tcBorders>
              <w:right w:val="single" w:sz="8" w:color="auto"/>
            </w:tcBorders>
          </w:tcPr>
          <w:p>
            <w:pPr>
              <w:ind w:left="740"/>
              <w:spacing w:after="0" w:line="54" w:lineRule="exact"/>
              <w:rPr>
                <w:sz w:val="20"/>
                <w:szCs w:val="20"/>
                <w:color w:val="auto"/>
              </w:rPr>
            </w:pPr>
            <w:r>
              <w:rPr>
                <w:rFonts w:ascii="Arial" w:cs="Arial" w:eastAsia="Arial" w:hAnsi="Arial"/>
                <w:sz w:val="6"/>
                <w:szCs w:val="6"/>
                <w:color w:val="auto"/>
              </w:rPr>
              <w:t>3</w:t>
            </w:r>
          </w:p>
        </w:tc>
        <w:tc>
          <w:tcPr>
            <w:tcW w:w="22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4960" w:type="dxa"/>
            <w:vAlign w:val="bottom"/>
            <w:tcBorders>
              <w:right w:val="single" w:sz="8" w:color="auto"/>
            </w:tcBorders>
          </w:tcPr>
          <w:p>
            <w:pPr>
              <w:ind w:left="680"/>
              <w:spacing w:after="0" w:line="54" w:lineRule="exact"/>
              <w:rPr>
                <w:sz w:val="20"/>
                <w:szCs w:val="20"/>
                <w:color w:val="auto"/>
              </w:rPr>
            </w:pPr>
            <w:r>
              <w:rPr>
                <w:rFonts w:ascii="Arial" w:cs="Arial" w:eastAsia="Arial" w:hAnsi="Arial"/>
                <w:sz w:val="6"/>
                <w:szCs w:val="6"/>
                <w:color w:val="auto"/>
              </w:rPr>
              <w:t>3</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subscription for, or acquisition of, registered shares by exercising option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souscription ou l'acquisition d'actions nominatives par l'exercice d'options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convertible rights arising from registered or bearer securities or any other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ou de droits convertibles découlant de titres nominatifs ou au porteur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securities issued by the Company or third parties, as well as by means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d'autres titres émis par la société ou par des tiers, ainsi que par le biais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exercising purchased preemptive rights arising from either registered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l'exercice de droits de souscription préférentiels achetés découlant d'actions</w:t>
            </w:r>
          </w:p>
        </w:tc>
      </w:tr>
      <w:tr>
        <w:trPr>
          <w:trHeight w:val="232"/>
        </w:trPr>
        <w:tc>
          <w:tcPr>
            <w:tcW w:w="5620" w:type="dxa"/>
            <w:vAlign w:val="bottom"/>
            <w:tcBorders>
              <w:left w:val="single" w:sz="8" w:color="auto"/>
              <w:right w:val="single" w:sz="8" w:color="auto"/>
            </w:tcBorders>
            <w:gridSpan w:val="2"/>
          </w:tcPr>
          <w:p>
            <w:pPr>
              <w:ind w:left="60"/>
              <w:spacing w:after="0" w:line="232" w:lineRule="exact"/>
              <w:rPr>
                <w:sz w:val="20"/>
                <w:szCs w:val="20"/>
                <w:color w:val="auto"/>
              </w:rPr>
            </w:pPr>
            <w:r>
              <w:rPr>
                <w:rFonts w:ascii="Arial" w:cs="Arial" w:eastAsia="Arial" w:hAnsi="Arial"/>
                <w:sz w:val="16"/>
                <w:szCs w:val="16"/>
                <w:color w:val="auto"/>
              </w:rPr>
              <w:t xml:space="preserve">bearer shares. The registered shares exceeding the limit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shall be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nominatives ou au porteur. Les actions nominatives dépassant la limite de</w:t>
            </w:r>
          </w:p>
        </w:tc>
      </w:tr>
      <w:tr>
        <w:trPr>
          <w:trHeight w:val="254"/>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entered in the share register as shares without voting rights.</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line="255" w:lineRule="exact"/>
              <w:rPr>
                <w:sz w:val="20"/>
                <w:szCs w:val="20"/>
                <w:color w:val="auto"/>
              </w:rPr>
            </w:pPr>
            <w:r>
              <w:rPr>
                <w:rFonts w:ascii="Arial" w:cs="Arial" w:eastAsia="Arial" w:hAnsi="Arial"/>
                <w:sz w:val="18"/>
                <w:szCs w:val="18"/>
                <w:color w:val="auto"/>
                <w:w w:val="90"/>
              </w:rPr>
              <w:t xml:space="preserve">33 </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w:t>
            </w:r>
            <w:r>
              <w:rPr>
                <w:rFonts w:ascii="Arial" w:cs="Arial" w:eastAsia="Arial" w:hAnsi="Arial"/>
                <w:sz w:val="29"/>
                <w:szCs w:val="29"/>
                <w:color w:val="auto"/>
                <w:w w:val="90"/>
                <w:vertAlign w:val="subscript"/>
              </w:rPr>
              <w:t>3</w:t>
            </w:r>
            <w:r>
              <w:rPr>
                <w:rFonts w:ascii="Arial" w:cs="Arial" w:eastAsia="Arial" w:hAnsi="Arial"/>
                <w:sz w:val="18"/>
                <w:szCs w:val="18"/>
                <w:color w:val="auto"/>
                <w:w w:val="90"/>
              </w:rPr>
              <w:t xml:space="preserve"> % sont inscrites dans le registre des actions comme des actions sans</w:t>
            </w:r>
          </w:p>
        </w:tc>
      </w:tr>
      <w:tr>
        <w:trPr>
          <w:trHeight w:val="230"/>
        </w:trPr>
        <w:tc>
          <w:tcPr>
            <w:tcW w:w="580" w:type="dxa"/>
            <w:vAlign w:val="bottom"/>
            <w:tcBorders>
              <w:left w:val="single" w:sz="8" w:color="auto"/>
            </w:tcBorders>
          </w:tcPr>
          <w:p>
            <w:pPr>
              <w:spacing w:after="0"/>
              <w:rPr>
                <w:sz w:val="20"/>
                <w:szCs w:val="20"/>
                <w:color w:val="auto"/>
              </w:rPr>
            </w:pPr>
          </w:p>
        </w:tc>
        <w:tc>
          <w:tcPr>
            <w:tcW w:w="50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droit de vote.</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The Board of Directors may in special cases approve exceptions to the</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Le conseil d'administration peut dans des cas particuliers approuver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above regulations. The Board of Directors is in addition authorized, after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exceptions aux règles précitées. Il est en outre autorisé, après consultation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due consultation with the person concerned, to delete with retroactive effect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avec la personne concernée, de supprimer avec effet rétroactif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entries in the share register which were effected on the basis of false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inscriptions du registre des actions qui ont été effectuées sur la base de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information.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fausses informations.</w:t>
            </w: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237"/>
        </w:trPr>
        <w:tc>
          <w:tcPr>
            <w:tcW w:w="5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5</w:t>
            </w:r>
          </w:p>
        </w:tc>
        <w:tc>
          <w:tcPr>
            <w:tcW w:w="504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rPr>
              <w:t>Share Certificates and Intermediated Securities</w:t>
            </w:r>
          </w:p>
        </w:tc>
        <w:tc>
          <w:tcPr>
            <w:tcW w:w="220" w:type="dxa"/>
            <w:vAlign w:val="bottom"/>
            <w:tcBorders>
              <w:right w:val="single" w:sz="8" w:color="auto"/>
            </w:tcBorders>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Art. 5</w:t>
            </w:r>
          </w:p>
        </w:tc>
        <w:tc>
          <w:tcPr>
            <w:tcW w:w="496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Certificats d'actions et titres intermédiés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The Company may issue registered shares in the form of single certificates,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La société peut émettre des actions nominatives sous forme de certificats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global certificates and uncertificated securities. Under the conditions set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individuels, de certificats globaux et de titres dématérialisés. Dans les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forth by statutory law, the Company may convert its registered shares from</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conditions prévues par la loi, la société peut convertir ses actions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one form into another form at any time and without the approval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nominatives d'une forme en une autre forme, à tout moment et sans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shareholders.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l'approbation des actionnaires.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The shareholder has no right to demand a conversion of the registered</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L'actionnaire n'a pas le droit d'exiger une conversion d'actions nominatives.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shares. Each shareholder may, however, at any time request a written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Chaque actionnaire peut toutefois, à tout moment, demander une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confirmation from the Company of the registered shares held by such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confirmation écrite de la société du nombres d'actions nominatives détenues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shareholder, as reflected in the share register.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par cet actionnaire telles qu'inscrites au registre du commerce.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transfert des titres intermédiés et la mise en gage de ces titres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intermediated securities shall be based on the provisions of the Swiss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intermédiés suivent les dispositions de la Loi fédérale sur les titres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Federal Intermediated Securities Act. Transfer of propriety as collateral by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intermédiés. Le transfert de propriété à titre de sûreté par cession écrite n'est</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means of</w:t>
            </w:r>
          </w:p>
        </w:tc>
        <w:tc>
          <w:tcPr>
            <w:tcW w:w="220" w:type="dxa"/>
            <w:vAlign w:val="bottom"/>
            <w:tcBorders>
              <w:right w:val="single" w:sz="8" w:color="auto"/>
            </w:tcBorders>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pas</w:t>
            </w:r>
          </w:p>
        </w:tc>
        <w:tc>
          <w:tcPr>
            <w:tcW w:w="4960" w:type="dxa"/>
            <w:vAlign w:val="bottom"/>
            <w:tcBorders>
              <w:right w:val="single" w:sz="8" w:color="auto"/>
            </w:tcBorders>
          </w:tcPr>
          <w:p>
            <w:pPr>
              <w:spacing w:after="0"/>
              <w:rPr>
                <w:sz w:val="20"/>
                <w:szCs w:val="20"/>
                <w:color w:val="auto"/>
              </w:rPr>
            </w:pPr>
          </w:p>
        </w:tc>
      </w:tr>
      <w:tr>
        <w:trPr>
          <w:trHeight w:val="27"/>
        </w:trPr>
        <w:tc>
          <w:tcPr>
            <w:tcW w:w="580" w:type="dxa"/>
            <w:vAlign w:val="bottom"/>
            <w:tcBorders>
              <w:left w:val="single" w:sz="8" w:color="auto"/>
              <w:bottom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669"/>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w w:val="91"/>
              </w:rPr>
              <w:t>7/26</w:t>
            </w:r>
          </w:p>
        </w:tc>
      </w:tr>
    </w:tbl>
    <w:p>
      <w:pPr>
        <w:sectPr>
          <w:pgSz w:w="11900" w:h="16838" w:orient="portrait"/>
          <w:cols w:equalWidth="0" w:num="1">
            <w:col w:w="11420"/>
          </w:cols>
          <w:pgMar w:left="240" w:top="930" w:right="2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2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written assignment are not permitted.</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autorisé.</w:t>
            </w:r>
          </w:p>
        </w:tc>
      </w:tr>
      <w:tr>
        <w:trPr>
          <w:trHeight w:val="27"/>
        </w:trPr>
        <w:tc>
          <w:tcPr>
            <w:tcW w:w="520" w:type="dxa"/>
            <w:vAlign w:val="bottom"/>
            <w:tcBorders>
              <w:left w:val="single" w:sz="8" w:color="auto"/>
              <w:bottom w:val="single" w:sz="8" w:color="auto"/>
            </w:tcBorders>
            <w:gridSpan w:val="2"/>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37"/>
        </w:trPr>
        <w:tc>
          <w:tcPr>
            <w:tcW w:w="5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Art. 6</w:t>
            </w:r>
          </w:p>
        </w:tc>
        <w:tc>
          <w:tcPr>
            <w:tcW w:w="51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Exercise of Shareholders Rights</w:t>
            </w:r>
          </w:p>
        </w:tc>
        <w:tc>
          <w:tcPr>
            <w:tcW w:w="220" w:type="dxa"/>
            <w:vAlign w:val="bottom"/>
            <w:tcBorders>
              <w:right w:val="single" w:sz="8" w:color="auto"/>
            </w:tcBorders>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Art. 6</w:t>
            </w:r>
          </w:p>
        </w:tc>
        <w:tc>
          <w:tcPr>
            <w:tcW w:w="50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Exercice des droits des actionnaires</w:t>
            </w:r>
          </w:p>
        </w:tc>
      </w:tr>
      <w:tr>
        <w:trPr>
          <w:trHeight w:val="472"/>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The shares are indivisible and the Company recognizes only one single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30"/>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representative per share.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représentant par action.</w:t>
            </w:r>
          </w:p>
        </w:tc>
      </w:tr>
      <w:tr>
        <w:trPr>
          <w:trHeight w:val="27"/>
        </w:trPr>
        <w:tc>
          <w:tcPr>
            <w:tcW w:w="562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3"/>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The right to vote and the other rights pertaining to a registered share may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Le droit de vote et les autres droits relatifs à une action nominative ne peut</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only be exercised by a shareholder, a usufructuary or a nominee who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être exercé que par un actionnaire, un usufruitier ou un candidat qui est</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registered with the right to vote in the share register and by persons who are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inscrit avec le droit de vote dans le registre des actions et par des personnes</w:t>
            </w:r>
          </w:p>
        </w:tc>
      </w:tr>
      <w:tr>
        <w:trPr>
          <w:trHeight w:val="230"/>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entitled by law to the voting rights of a share.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autorisées par la loi à exercer les droits de vote d'une action.</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III.</w:t>
            </w:r>
          </w:p>
        </w:tc>
        <w:tc>
          <w:tcPr>
            <w:tcW w:w="160" w:type="dxa"/>
            <w:vAlign w:val="bottom"/>
          </w:tcPr>
          <w:p>
            <w:pPr>
              <w:spacing w:after="0"/>
              <w:rPr>
                <w:sz w:val="20"/>
                <w:szCs w:val="20"/>
                <w:color w:val="auto"/>
              </w:rPr>
            </w:pPr>
          </w:p>
        </w:tc>
        <w:tc>
          <w:tcPr>
            <w:tcW w:w="510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CORPORATE STRUCTURE</w:t>
            </w:r>
          </w:p>
        </w:tc>
        <w:tc>
          <w:tcPr>
            <w:tcW w:w="220" w:type="dxa"/>
            <w:vAlign w:val="bottom"/>
            <w:tcBorders>
              <w:right w:val="single" w:sz="8" w:color="auto"/>
            </w:tcBorders>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III.</w:t>
            </w:r>
          </w:p>
        </w:tc>
        <w:tc>
          <w:tcPr>
            <w:tcW w:w="160" w:type="dxa"/>
            <w:vAlign w:val="bottom"/>
          </w:tcPr>
          <w:p>
            <w:pPr>
              <w:spacing w:after="0"/>
              <w:rPr>
                <w:sz w:val="20"/>
                <w:szCs w:val="20"/>
                <w:color w:val="auto"/>
              </w:rPr>
            </w:pPr>
          </w:p>
        </w:tc>
        <w:tc>
          <w:tcPr>
            <w:tcW w:w="508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STRUCTURE DE LA SOCIÉTÉ</w:t>
            </w:r>
          </w:p>
        </w:tc>
      </w:tr>
      <w:tr>
        <w:trPr>
          <w:trHeight w:val="27"/>
        </w:trPr>
        <w:tc>
          <w:tcPr>
            <w:tcW w:w="520" w:type="dxa"/>
            <w:vAlign w:val="bottom"/>
            <w:tcBorders>
              <w:left w:val="single" w:sz="8" w:color="auto"/>
              <w:bottom w:val="single" w:sz="8" w:color="auto"/>
            </w:tcBorders>
            <w:gridSpan w:val="2"/>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237"/>
        </w:trPr>
        <w:tc>
          <w:tcPr>
            <w:tcW w:w="5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Art. 7</w:t>
            </w:r>
          </w:p>
        </w:tc>
        <w:tc>
          <w:tcPr>
            <w:tcW w:w="51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Organization</w:t>
            </w:r>
          </w:p>
        </w:tc>
        <w:tc>
          <w:tcPr>
            <w:tcW w:w="220" w:type="dxa"/>
            <w:vAlign w:val="bottom"/>
            <w:tcBorders>
              <w:right w:val="single" w:sz="8" w:color="auto"/>
            </w:tcBorders>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Art. 7</w:t>
            </w:r>
          </w:p>
        </w:tc>
        <w:tc>
          <w:tcPr>
            <w:tcW w:w="508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color w:val="auto"/>
              </w:rPr>
              <w:t>Organisation</w:t>
            </w:r>
          </w:p>
        </w:tc>
      </w:tr>
      <w:tr>
        <w:trPr>
          <w:trHeight w:val="432"/>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The corporate bodies are: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Les organes de la société sont:</w:t>
            </w:r>
          </w:p>
        </w:tc>
      </w:tr>
      <w:tr>
        <w:trPr>
          <w:trHeight w:val="432"/>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4"/>
                <w:szCs w:val="24"/>
                <w:color w:val="auto"/>
              </w:rPr>
            </w:pPr>
          </w:p>
        </w:tc>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l'assemblé générale;</w:t>
            </w:r>
          </w:p>
        </w:tc>
      </w:tr>
      <w:tr>
        <w:trPr>
          <w:trHeight w:val="432"/>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Board of Directors;</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4"/>
                <w:szCs w:val="24"/>
                <w:color w:val="auto"/>
              </w:rPr>
            </w:pPr>
          </w:p>
        </w:tc>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 conseil d'administration;</w:t>
            </w:r>
          </w:p>
        </w:tc>
      </w:tr>
      <w:tr>
        <w:trPr>
          <w:trHeight w:val="432"/>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24"/>
                <w:szCs w:val="24"/>
                <w:color w:val="auto"/>
              </w:rPr>
            </w:pPr>
          </w:p>
        </w:tc>
        <w:tc>
          <w:tcPr>
            <w:tcW w:w="5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Auditors.</w:t>
            </w:r>
          </w:p>
        </w:tc>
        <w:tc>
          <w:tcPr>
            <w:tcW w:w="220" w:type="dxa"/>
            <w:vAlign w:val="bottom"/>
            <w:tcBorders>
              <w:right w:val="single" w:sz="8" w:color="auto"/>
            </w:tcBorders>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24"/>
                <w:szCs w:val="24"/>
                <w:color w:val="auto"/>
              </w:rPr>
            </w:pPr>
          </w:p>
        </w:tc>
        <w:tc>
          <w:tcPr>
            <w:tcW w:w="5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l'organe de révision.</w:t>
            </w:r>
          </w:p>
        </w:tc>
      </w:tr>
      <w:tr>
        <w:trPr>
          <w:trHeight w:val="243"/>
        </w:trPr>
        <w:tc>
          <w:tcPr>
            <w:tcW w:w="36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10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80" w:type="dxa"/>
            <w:vAlign w:val="bottom"/>
            <w:tcBorders>
              <w:bottom w:val="single" w:sz="8" w:color="auto"/>
              <w:right w:val="single" w:sz="8" w:color="auto"/>
            </w:tcBorders>
          </w:tcPr>
          <w:p>
            <w:pPr>
              <w:spacing w:after="0"/>
              <w:rPr>
                <w:sz w:val="21"/>
                <w:szCs w:val="2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IV.</w:t>
            </w:r>
          </w:p>
        </w:tc>
        <w:tc>
          <w:tcPr>
            <w:tcW w:w="160" w:type="dxa"/>
            <w:vAlign w:val="bottom"/>
          </w:tcPr>
          <w:p>
            <w:pPr>
              <w:spacing w:after="0"/>
              <w:rPr>
                <w:sz w:val="20"/>
                <w:szCs w:val="20"/>
                <w:color w:val="auto"/>
              </w:rPr>
            </w:pPr>
          </w:p>
        </w:tc>
        <w:tc>
          <w:tcPr>
            <w:tcW w:w="51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THE GENERAL MEETING</w:t>
            </w:r>
          </w:p>
        </w:tc>
        <w:tc>
          <w:tcPr>
            <w:tcW w:w="220" w:type="dxa"/>
            <w:vAlign w:val="bottom"/>
            <w:tcBorders>
              <w:right w:val="single" w:sz="8" w:color="auto"/>
            </w:tcBorders>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IV.</w:t>
            </w:r>
          </w:p>
        </w:tc>
        <w:tc>
          <w:tcPr>
            <w:tcW w:w="160" w:type="dxa"/>
            <w:vAlign w:val="bottom"/>
          </w:tcPr>
          <w:p>
            <w:pPr>
              <w:spacing w:after="0"/>
              <w:rPr>
                <w:sz w:val="20"/>
                <w:szCs w:val="20"/>
                <w:color w:val="auto"/>
              </w:rPr>
            </w:pPr>
          </w:p>
        </w:tc>
        <w:tc>
          <w:tcPr>
            <w:tcW w:w="50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L'ASSEMBLÉE GÉNÉRALE</w:t>
            </w:r>
          </w:p>
        </w:tc>
      </w:tr>
      <w:tr>
        <w:trPr>
          <w:trHeight w:val="203"/>
        </w:trPr>
        <w:tc>
          <w:tcPr>
            <w:tcW w:w="520" w:type="dxa"/>
            <w:vAlign w:val="bottom"/>
            <w:tcBorders>
              <w:left w:val="single" w:sz="8" w:color="auto"/>
              <w:bottom w:val="single" w:sz="8" w:color="auto"/>
            </w:tcBorders>
            <w:gridSpan w:val="2"/>
          </w:tcPr>
          <w:p>
            <w:pPr>
              <w:spacing w:after="0"/>
              <w:rPr>
                <w:sz w:val="17"/>
                <w:szCs w:val="17"/>
                <w:color w:val="auto"/>
              </w:rPr>
            </w:pPr>
          </w:p>
        </w:tc>
        <w:tc>
          <w:tcPr>
            <w:tcW w:w="510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gridSpan w:val="2"/>
          </w:tcPr>
          <w:p>
            <w:pPr>
              <w:spacing w:after="0"/>
              <w:rPr>
                <w:sz w:val="17"/>
                <w:szCs w:val="17"/>
                <w:color w:val="auto"/>
              </w:rPr>
            </w:pPr>
          </w:p>
        </w:tc>
        <w:tc>
          <w:tcPr>
            <w:tcW w:w="5080" w:type="dxa"/>
            <w:vAlign w:val="bottom"/>
            <w:tcBorders>
              <w:bottom w:val="single" w:sz="8" w:color="auto"/>
              <w:right w:val="single" w:sz="8" w:color="auto"/>
            </w:tcBorders>
          </w:tcPr>
          <w:p>
            <w:pPr>
              <w:spacing w:after="0"/>
              <w:rPr>
                <w:sz w:val="17"/>
                <w:szCs w:val="17"/>
                <w:color w:val="auto"/>
              </w:rPr>
            </w:pPr>
          </w:p>
        </w:tc>
      </w:tr>
      <w:tr>
        <w:trPr>
          <w:trHeight w:val="237"/>
        </w:trPr>
        <w:tc>
          <w:tcPr>
            <w:tcW w:w="5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Art. 8</w:t>
            </w:r>
          </w:p>
        </w:tc>
        <w:tc>
          <w:tcPr>
            <w:tcW w:w="510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Powers</w:t>
            </w:r>
          </w:p>
        </w:tc>
        <w:tc>
          <w:tcPr>
            <w:tcW w:w="220" w:type="dxa"/>
            <w:vAlign w:val="bottom"/>
            <w:tcBorders>
              <w:right w:val="single" w:sz="8" w:color="auto"/>
            </w:tcBorders>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Art. 8</w:t>
            </w:r>
          </w:p>
        </w:tc>
        <w:tc>
          <w:tcPr>
            <w:tcW w:w="508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color w:val="auto"/>
              </w:rPr>
              <w:t>Pouvoirs</w:t>
            </w:r>
          </w:p>
        </w:tc>
      </w:tr>
      <w:tr>
        <w:trPr>
          <w:trHeight w:val="418"/>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The General Meeting is the supreme body of the Company. It has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L'assemblée générale des actionnaires est le pouvoir suprême de la société.</w:t>
            </w:r>
          </w:p>
        </w:tc>
      </w:tr>
      <w:tr>
        <w:trPr>
          <w:trHeight w:val="230"/>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following non delegable powers: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Elle a les droits intransmissibles suivants:</w:t>
            </w:r>
          </w:p>
        </w:tc>
      </w:tr>
      <w:tr>
        <w:trPr>
          <w:trHeight w:val="243"/>
        </w:trPr>
        <w:tc>
          <w:tcPr>
            <w:tcW w:w="360" w:type="dxa"/>
            <w:vAlign w:val="bottom"/>
            <w:tcBorders>
              <w:left w:val="single" w:sz="8" w:color="auto"/>
              <w:bottom w:val="single" w:sz="8" w:color="auto"/>
            </w:tcBorders>
          </w:tcPr>
          <w:p>
            <w:pPr>
              <w:spacing w:after="0"/>
              <w:rPr>
                <w:sz w:val="21"/>
                <w:szCs w:val="21"/>
                <w:color w:val="auto"/>
              </w:rPr>
            </w:pPr>
          </w:p>
        </w:tc>
        <w:tc>
          <w:tcPr>
            <w:tcW w:w="5260" w:type="dxa"/>
            <w:vAlign w:val="bottom"/>
            <w:tcBorders>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24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5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to adopt and amend the Articles of Association (Articles 651a, 652g,</w:t>
            </w:r>
          </w:p>
        </w:tc>
        <w:tc>
          <w:tcPr>
            <w:tcW w:w="220" w:type="dxa"/>
            <w:vAlign w:val="bottom"/>
            <w:tcBorders>
              <w:right w:val="single" w:sz="8" w:color="auto"/>
            </w:tcBorders>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adapter et modifier les statuts (articles 651a, 652g, 653g et 653i CO</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653g und 653i CO remain reserved);</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sont réservés);</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5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 elect and remove the members of the Board of Directors, the</w:t>
            </w:r>
          </w:p>
        </w:tc>
        <w:tc>
          <w:tcPr>
            <w:tcW w:w="220" w:type="dxa"/>
            <w:vAlign w:val="bottom"/>
            <w:tcBorders>
              <w:right w:val="single" w:sz="8" w:color="auto"/>
            </w:tcBorders>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nommer et révoquer les membres du conseil d'administration, le</w:t>
            </w:r>
          </w:p>
        </w:tc>
      </w:tr>
      <w:tr>
        <w:trPr>
          <w:trHeight w:val="216"/>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Chairman of the Board of Directors, the members of the Compensation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président du conseil d'administration, les membres du comité de</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Committee, the Auditors and the Independent Proxy;</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rémunération, l'organe de révision et le mandataire indépendant;</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5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6"/>
              </w:rPr>
              <w:t>to approve the management report and the annual accounts and to</w:t>
            </w:r>
          </w:p>
        </w:tc>
        <w:tc>
          <w:tcPr>
            <w:tcW w:w="220" w:type="dxa"/>
            <w:vAlign w:val="bottom"/>
            <w:tcBorders>
              <w:right w:val="single" w:sz="8" w:color="auto"/>
            </w:tcBorders>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89"/>
              </w:rPr>
              <w:t>approuver le rapport de gestion et les comptes annuels et déterminer la</w:t>
            </w:r>
          </w:p>
        </w:tc>
      </w:tr>
      <w:tr>
        <w:trPr>
          <w:trHeight w:val="216"/>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determine the allocation of profits, in particular with regard to</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répartition des bénéfices, en particulier en ce qui concerne les</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dividends and bonus payments;</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dividendes et les bonus;</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5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to discharge the members of the Board of Directors and of the</w:t>
            </w:r>
          </w:p>
        </w:tc>
        <w:tc>
          <w:tcPr>
            <w:tcW w:w="220" w:type="dxa"/>
            <w:vAlign w:val="bottom"/>
            <w:tcBorders>
              <w:right w:val="single" w:sz="8" w:color="auto"/>
            </w:tcBorders>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donner décharge aux membres du conseil d'administration et au</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Executive Committee;</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comité exécutif;</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w:t>
            </w:r>
          </w:p>
        </w:tc>
        <w:tc>
          <w:tcPr>
            <w:tcW w:w="526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4"/>
              </w:rPr>
              <w:t>to approve the total compensation paid to the Board of Directors and</w:t>
            </w:r>
          </w:p>
        </w:tc>
        <w:tc>
          <w:tcPr>
            <w:tcW w:w="220" w:type="dxa"/>
            <w:vAlign w:val="bottom"/>
            <w:tcBorders>
              <w:right w:val="single" w:sz="8" w:color="auto"/>
            </w:tcBorders>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2"/>
              </w:rPr>
              <w:t>approuver la rémunération totale versée au conseil d'administration et</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the Executive Committee as per Articles 32 and 33 below;</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au comité exécutif conformément aux l'articles 32 et 33 ci-dessous;</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4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3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f)</w:t>
            </w:r>
          </w:p>
        </w:tc>
        <w:tc>
          <w:tcPr>
            <w:tcW w:w="52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to pass resolutions concerning all matters which are reserved to the</w:t>
            </w:r>
          </w:p>
        </w:tc>
        <w:tc>
          <w:tcPr>
            <w:tcW w:w="220" w:type="dxa"/>
            <w:vAlign w:val="bottom"/>
            <w:tcBorders>
              <w:right w:val="single" w:sz="8" w:color="auto"/>
            </w:tcBorders>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w:t>
            </w:r>
          </w:p>
        </w:tc>
        <w:tc>
          <w:tcPr>
            <w:tcW w:w="5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prendre les décisions sur toutes les affaires qui sont attribuées à</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authority of the General Meeting by</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par la loi ou</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1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80" w:type="dxa"/>
            <w:vAlign w:val="bottom"/>
            <w:tcBorders>
              <w:bottom w:val="single" w:sz="8" w:color="auto"/>
              <w:right w:val="single" w:sz="8" w:color="auto"/>
            </w:tcBorders>
          </w:tcPr>
          <w:p>
            <w:pPr>
              <w:spacing w:after="0"/>
              <w:rPr>
                <w:sz w:val="2"/>
                <w:szCs w:val="2"/>
                <w:color w:val="auto"/>
              </w:rPr>
            </w:pPr>
          </w:p>
        </w:tc>
      </w:tr>
      <w:tr>
        <w:trPr>
          <w:trHeight w:val="669"/>
        </w:trPr>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ind w:left="4720"/>
              <w:spacing w:after="0"/>
              <w:rPr>
                <w:sz w:val="20"/>
                <w:szCs w:val="20"/>
                <w:color w:val="auto"/>
              </w:rPr>
            </w:pPr>
            <w:r>
              <w:rPr>
                <w:rFonts w:ascii="Arial" w:cs="Arial" w:eastAsia="Arial" w:hAnsi="Arial"/>
                <w:sz w:val="18"/>
                <w:szCs w:val="18"/>
                <w:color w:val="auto"/>
                <w:w w:val="91"/>
              </w:rPr>
              <w:t>8/26</w:t>
            </w:r>
          </w:p>
        </w:tc>
      </w:tr>
    </w:tbl>
    <w:p>
      <w:pPr>
        <w:sectPr>
          <w:pgSz w:w="11900" w:h="16838" w:orient="portrait"/>
          <w:cols w:equalWidth="0" w:num="1">
            <w:col w:w="11420"/>
          </w:cols>
          <w:pgMar w:left="240" w:top="930" w:right="2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20" w:type="dxa"/>
            <w:vAlign w:val="bottom"/>
            <w:tcBorders>
              <w:top w:val="single" w:sz="8" w:color="auto"/>
              <w:left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rPr>
              <w:t>law or by the Articles of Association.</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gridSpan w:val="2"/>
          </w:tcPr>
          <w:p>
            <w:pPr>
              <w:ind w:left="400"/>
              <w:spacing w:after="0"/>
              <w:rPr>
                <w:sz w:val="20"/>
                <w:szCs w:val="20"/>
                <w:color w:val="auto"/>
              </w:rPr>
            </w:pPr>
            <w:r>
              <w:rPr>
                <w:rFonts w:ascii="Arial" w:cs="Arial" w:eastAsia="Arial" w:hAnsi="Arial"/>
                <w:sz w:val="18"/>
                <w:szCs w:val="18"/>
                <w:color w:val="auto"/>
              </w:rPr>
              <w:t>les statuts.</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9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9</w:t>
            </w:r>
          </w:p>
        </w:tc>
        <w:tc>
          <w:tcPr>
            <w:tcW w:w="47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Ordinary General Meeting</w:t>
            </w:r>
          </w:p>
        </w:tc>
        <w:tc>
          <w:tcPr>
            <w:tcW w:w="22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Art. 9</w:t>
            </w:r>
          </w:p>
        </w:tc>
        <w:tc>
          <w:tcPr>
            <w:tcW w:w="48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Assemblée générale ordinaire</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The Ordinary General Meeting shall be held annually within six months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89"/>
              </w:rPr>
              <w:t>L'assemblée générale ordinaire aura lieu chaque année dans les six mois qui</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after the close of the business year at such time and at such location, which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suivent la clôture de l'exercice à la date et à l'endroit, qui peut être en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may be within or outside Switzerland, as determined by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hors de la Suisse, tel que déterminé par le conseil d'administration.</w:t>
            </w:r>
          </w:p>
        </w:tc>
      </w:tr>
      <w:tr>
        <w:trPr>
          <w:trHeight w:val="230"/>
        </w:trPr>
        <w:tc>
          <w:tcPr>
            <w:tcW w:w="9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47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p>
        </w:tc>
      </w:tr>
      <w:tr>
        <w:trPr>
          <w:trHeight w:val="243"/>
        </w:trPr>
        <w:tc>
          <w:tcPr>
            <w:tcW w:w="900" w:type="dxa"/>
            <w:vAlign w:val="bottom"/>
            <w:tcBorders>
              <w:left w:val="single" w:sz="8" w:color="auto"/>
              <w:bottom w:val="single" w:sz="8" w:color="auto"/>
            </w:tcBorders>
          </w:tcPr>
          <w:p>
            <w:pPr>
              <w:spacing w:after="0"/>
              <w:rPr>
                <w:sz w:val="21"/>
                <w:szCs w:val="21"/>
                <w:color w:val="auto"/>
              </w:rPr>
            </w:pPr>
          </w:p>
        </w:tc>
        <w:tc>
          <w:tcPr>
            <w:tcW w:w="47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spacing w:after="0"/>
              <w:rPr>
                <w:sz w:val="21"/>
                <w:szCs w:val="21"/>
                <w:color w:val="auto"/>
              </w:rPr>
            </w:pPr>
          </w:p>
        </w:tc>
      </w:tr>
      <w:tr>
        <w:trPr>
          <w:trHeight w:val="237"/>
        </w:trPr>
        <w:tc>
          <w:tcPr>
            <w:tcW w:w="9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10</w:t>
            </w:r>
          </w:p>
        </w:tc>
        <w:tc>
          <w:tcPr>
            <w:tcW w:w="47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Extraordinary General Meeting</w:t>
            </w:r>
          </w:p>
        </w:tc>
        <w:tc>
          <w:tcPr>
            <w:tcW w:w="22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Art. 10</w:t>
            </w:r>
          </w:p>
        </w:tc>
        <w:tc>
          <w:tcPr>
            <w:tcW w:w="48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Assemblée générale extraordinaire</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Extraordinary General Meetings may be called by resolution of the General</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Les assemblées générales extraordinaires peuvent être convoquées par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Meeting, the Auditors or the Board of Directors, or by shareholders with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décision de l'assemblée générale, l'organe de révision ou le conseil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voting powers, provided they represent at least 10% of the share capital and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d'administration, ou par des actionnaires avec droit de vote, à condition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who submit (a)(1) a request signed by such shareholder(s) that specifies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qu'ils représentent au moins 10% du capital-actions et qu'ils soumettent (a)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item(s) to be included on the agenda, (2) the respective proposals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(1) une demande signée par le(s)dit(s) actionnaire(s) qui spécifie les objets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shareholders and (3) evidence of the required shareholdings recorded in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à faire figurer sur l'ordre du jour, (2) les propositions respectives de ces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share register and (b) such other information as would be required to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actionnaires et (3) la preuve des participations requises inscrites dans le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included in a proxy statement pursuant to the rules of the country where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registre des actions et (b) les autres informations qui doivent être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Company's shares are primarily listed.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mentionnées dans une déclaration (proxy statement) conformément aux</w:t>
            </w:r>
          </w:p>
        </w:tc>
      </w:tr>
      <w:tr>
        <w:trPr>
          <w:trHeight w:val="230"/>
        </w:trPr>
        <w:tc>
          <w:tcPr>
            <w:tcW w:w="900" w:type="dxa"/>
            <w:vAlign w:val="bottom"/>
            <w:tcBorders>
              <w:lef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règles du pays où les actions de la société sont principalement cotées.</w:t>
            </w:r>
          </w:p>
        </w:tc>
      </w:tr>
      <w:tr>
        <w:trPr>
          <w:trHeight w:val="243"/>
        </w:trPr>
        <w:tc>
          <w:tcPr>
            <w:tcW w:w="900" w:type="dxa"/>
            <w:vAlign w:val="bottom"/>
            <w:tcBorders>
              <w:left w:val="single" w:sz="8" w:color="auto"/>
              <w:bottom w:val="single" w:sz="8" w:color="auto"/>
            </w:tcBorders>
          </w:tcPr>
          <w:p>
            <w:pPr>
              <w:spacing w:after="0"/>
              <w:rPr>
                <w:sz w:val="21"/>
                <w:szCs w:val="21"/>
                <w:color w:val="auto"/>
              </w:rPr>
            </w:pPr>
          </w:p>
        </w:tc>
        <w:tc>
          <w:tcPr>
            <w:tcW w:w="47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spacing w:after="0"/>
              <w:rPr>
                <w:sz w:val="21"/>
                <w:szCs w:val="21"/>
                <w:color w:val="auto"/>
              </w:rPr>
            </w:pPr>
          </w:p>
        </w:tc>
      </w:tr>
      <w:tr>
        <w:trPr>
          <w:trHeight w:val="237"/>
        </w:trPr>
        <w:tc>
          <w:tcPr>
            <w:tcW w:w="9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11</w:t>
            </w:r>
          </w:p>
        </w:tc>
        <w:tc>
          <w:tcPr>
            <w:tcW w:w="47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Notice and Agenda of Shareholders' Meetings</w:t>
            </w:r>
          </w:p>
        </w:tc>
        <w:tc>
          <w:tcPr>
            <w:tcW w:w="22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Art. 11</w:t>
            </w:r>
          </w:p>
        </w:tc>
        <w:tc>
          <w:tcPr>
            <w:tcW w:w="48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w w:val="93"/>
              </w:rPr>
              <w:t>Convocations et ordres du jour des assemblées générales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Notice of a General Meeting of Shareholders shall be given by the Board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L'assemblée générale est convoquée par le conseil d'administration ou, si</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Directors or, if necessary, by the Auditor, not later than twenty calendar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nécessaire, par l'organe de révision, au moins 20 jours avant la tenue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days prior to the date of the General Meeting of Shareholders. Notice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l'assemblée générale des actionnaires. La convocation à l'assemblée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General Meeting of Shareholders shall be given by way of a one-time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générale des actionnaires doit être faite au moyen d'une seule publication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announcement in the official means of publication of the Company pursuant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conformément à l'article 46 de ces statuts. La période de préavis sera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to Article 46 of these Articles of Association. The notice period shall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réputée avoir été respectée si la convocation à l'assemblée générale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deemed to have been observed if notice of the General Meeting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actionnaires est publiée conformément à l'article 46 de ces statuts, étant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Shareholders is published in such official means of publication, it being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entendu que la date de publication ne doit pas être calculée dans la période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understood that the date of publication shall not be computed in the notice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de préavis. Les actionnaires inscrits peuvent en outre être informés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period. Shareholders of record may in addition be informed of the General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l'assemblée générale des actionnaires par courrier ordinaire ou par e-mail.</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Meeting of Shareholders by ordinary mail or e-mail.</w:t>
            </w:r>
          </w:p>
        </w:tc>
        <w:tc>
          <w:tcPr>
            <w:tcW w:w="22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The notice of a General Meeting of Shareholders shall specify the items on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La convocation à l'assemblée générale des actionnaires doit préciser les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agenda and the proposals of the Board of Directors and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objets de l'ordre du jour et les propositions du conseil d'administration et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shareholder(s) who requested that a General Meeting of Shareholders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l'/les actionnaire(s) qui a/ont demandé que l'assemblée générale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held or an item be included on the agenda, and, in the event of elections,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actionnaires ait lieu ou qu'un objet soit inscrit à l'ordre du jour, et, dans le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name(s) of the candidate(s) that has or have been put on the ballot for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cas d'élections, le/les nom(s) du/des candidat(s) qui a ou ont été mis sur le</w:t>
            </w:r>
          </w:p>
        </w:tc>
      </w:tr>
      <w:tr>
        <w:trPr>
          <w:trHeight w:val="230"/>
        </w:trPr>
        <w:tc>
          <w:tcPr>
            <w:tcW w:w="9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election.</w:t>
            </w:r>
          </w:p>
        </w:tc>
        <w:tc>
          <w:tcPr>
            <w:tcW w:w="47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bulletin de vote pour l'élection.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state the matters on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doit indiquer les objets de l</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669"/>
        </w:trPr>
        <w:tc>
          <w:tcPr>
            <w:tcW w:w="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r>
    </w:tbl>
    <w:p>
      <w:pPr>
        <w:sectPr>
          <w:pgSz w:w="11900" w:h="16838" w:orient="portrait"/>
          <w:cols w:equalWidth="0" w:num="1">
            <w:col w:w="11420"/>
          </w:cols>
          <w:pgMar w:left="240" w:top="930" w:right="2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agenda.</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'ordre du jour.</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Shareholders who represent an aggregate of at least 10 percent of the share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Les actionnaires qui représentent un total d'au moins 10 pour cent du</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capital or together representing shares with a nominal value of 1 million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capital-actions ou qui représentent ensemble une valeur nominale de CHF 1</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89"/>
              </w:rPr>
              <w:t>Swiss francs may demand that an item be placed on the agenda of a General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million d'actions peuvent exiger qu'un objet soit inscrit à l'ordre du jour</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Meeting of Shareholders. A request for inclusion of an item on the agenda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d'une assemblée générale des actionnaires. Une demande d'inscription d'un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must be requested in writing delivered to or mailed and received at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objet à l'ordre du jour doit être faite par écrit et remise ou envoyée et reçue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registered office of the Company at least 120 calendar days before the first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au siège de la société au moins 120 jours avant le premier anniversaire de la</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anniversary of the date that the Company's proxy statement was released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 à laquelle la déclaration (proxy statement) de la Société a été</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shareholders in connection with the previous year's ordinary General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communiquée aux actionnaires lors de l'assemblée générale ordinaire des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Meeting of Shareholders. However, if no ordinary General Meeting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actionnaires de l'année précédente. Toutefois, si aucune assemblée générale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Shareholders was held in the previous year or if the date of the ordinary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ordinaire des actionnaires n'a eu lieu l'année précédente ou si la date de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General Meeting of Shareholders has been changed by more than 30</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l'assemblée générale ordinaire des actionnaires a été modifiée de plus de 30</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calendar days from the date contemplated at the time of the previous year's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jours calendaires à compter de la date prévue au moment de la déclaration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proxy statement, request for inclusion of an item on the agenda must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(proxy statement) de l'année précédente, une demande d'inscription d'un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requested not fewer than the later of (i) 150 calendar days prior to the date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objet à l'ordre du jour doit être demandée au moins à la date la plus tardive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of the contemplated annual General Meeting or (ii) the date which is ten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entre (i) 150 jours calendaires avant la date de l'assemblée générale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calendar days after the date of the first public announcement or other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ordinaire envisagée ou (ii) la date qui est dix jours calendaires plus tard que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notification to the shareholders of the date of the contemplated annual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date de la première annonce publique ou autre notification aux</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General Meeting. To be timely for an extraordinary General Meeting,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actionnaires de la date envisagée de l'assemblée générale ordinaire. Pour</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shareholder's notice to the Secretary must be delivered to or mailed and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être dans les délais pour une assemblée générale extraordinaire, l'avis d'un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received at the registered office of the Company not fewer than the later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actionnaire au secrétaire doit être livré ou envoyé et reçu au siège de la</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(i) 120 calendar days before the date of the extraordinary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société au moins à la date la plus tardive entre (i) 120 jours calendaires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of Shareholders or (ii) the date which is ten calendar days after the date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avant la date de l'assemblée générale extraordinaire des actionnaires ou (ii)</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the first public announcement or other notification to the shareholders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la date qui est dix jours calendaires plus tard que la date de la première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date of the contemplated extraordinary General Meeting of Shareholders.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annonce publique ou autre notification aux actionnaires de la date envisagée</w:t>
            </w:r>
          </w:p>
        </w:tc>
      </w:tr>
      <w:tr>
        <w:trPr>
          <w:trHeight w:val="230"/>
        </w:trPr>
        <w:tc>
          <w:tcPr>
            <w:tcW w:w="562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 l'assemblée générale extraordinaire des actionnaires.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Each request for inclusion of an item on the agenda must include (i) a brief</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Chaque demande d'inscription d'un objet à l'ordre du jour doit inclure (i)</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description of the business desired to be brought before the meeting and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une brève description de l'affaire qui sera soumise à l'assemblée et les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reasons for conducting such business at the meeting; (ii) the name and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raisons pour lesquelles cette affaire est soumise à l'assemblée; (ii) le nom et</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address, as they appear on the Company's register of shareholders,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l'adresse, tels qu'ils apparaissent dans le registre des actionnaires de la</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shareholder proposing such business; (iii) the number of shares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 de l'/des actionnaire(s) proposant un tel objet; (iii) le nombre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Company which are beneficially owned by such shareholder; (iv) the dates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d'actions de la société effectivement détenues par (un) tel(s) actionnaire(s);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upon which the shareholder acquired such shares; (v) documentary support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(iv) les dates auxquelles l'/les actionnaire(s) a/ont acquis ces actions; (v)</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for any claim of beneficial ownership; (vi) any material interest of such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l'appui documentaire pour toute revendication de propriété effective; (vi) un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shareholder in such business; and (vii) a statement in support of the matter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intérêt important de cet/ces actionnaire(s) par rapport à cet objet; et (vii)</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and, for proposals sought to be included in the Company's proxy statement,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une déclaration à l'appui de cet objet et, pour les propositions devant être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any other information required by Securities and Exchange Commission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incluses dans la déclaration (proxy statement) de la société, toute autre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Rule "14a-8".</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information requise par la Securities and Exchange Commission règle "14a-</w:t>
            </w:r>
          </w:p>
        </w:tc>
      </w:tr>
      <w:tr>
        <w:trPr>
          <w:trHeight w:val="230"/>
        </w:trPr>
        <w:tc>
          <w:tcPr>
            <w:tcW w:w="562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66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10/26</w:t>
            </w:r>
          </w:p>
        </w:tc>
      </w:tr>
    </w:tbl>
    <w:p>
      <w:pPr>
        <w:sectPr>
          <w:pgSz w:w="11900" w:h="16838" w:orient="portrait"/>
          <w:cols w:equalWidth="0" w:num="1">
            <w:col w:w="11420"/>
          </w:cols>
          <w:pgMar w:left="240" w:top="930"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En outre, si un actionnaire a l'intention de solliciter des procurations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shareholders of the Company, such shareholder shall notify the Company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actionnaires de la société, cet actionnaire doit en informer la société</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this intent in accordance with Securities and Exchange Commission Rule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conformément aux dispositions de la Securities and Exchange Commission</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"14a-4" and/or Rule "14a-8".</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règle "14a-4" et "14a-8".</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 resolution may be passed at a General Meeting of Shareholders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Aucune décision ne peut être adoptée lors d'une assemblée générale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concerning an item in relation to which due notice was not given. Proposals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actionnaires si un objet n'a pas été inscrit à l'ordre du jour dans le délai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made during a General Meeting of Shareholders to (i) convene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préavis. Les propositions faites au cours d'une assemblée générale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extraordinary General Meeting or (ii) initiate a special investigation 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actionnaires pour (i) convoquer une assemblée générale extraordinaire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accordance with article 697a of the Swiss Code of Obligations are not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(ii) instituer un contrôle spécial au sens de l'article 697a CO ne sont pas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subject to the due notice requirement set forth herein.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soumises à l'obligation d'inscription prévue dans ces statuts.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No advance notice is required to propose motions on duly notified agenda</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Aucun préavis n'est nécessaire pour proposer des motions sur les objets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items and to debate items without passing resolutions.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inscrits à l'ordre du jour ou débattre desdits objets sans prendre de</w:t>
            </w:r>
          </w:p>
        </w:tc>
      </w:tr>
      <w:tr>
        <w:trPr>
          <w:trHeight w:val="230"/>
        </w:trPr>
        <w:tc>
          <w:tcPr>
            <w:tcW w:w="800" w:type="dxa"/>
            <w:vAlign w:val="bottom"/>
            <w:tcBorders>
              <w:lef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2"/>
              </w:rPr>
              <w:t>décisions.</w:t>
            </w:r>
          </w:p>
        </w:tc>
        <w:tc>
          <w:tcPr>
            <w:tcW w:w="4780" w:type="dxa"/>
            <w:vAlign w:val="bottom"/>
            <w:tcBorders>
              <w:right w:val="single" w:sz="8" w:color="auto"/>
            </w:tcBorders>
          </w:tcPr>
          <w:p>
            <w:pPr>
              <w:spacing w:after="0"/>
              <w:rPr>
                <w:sz w:val="20"/>
                <w:szCs w:val="20"/>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12</w:t>
            </w:r>
          </w:p>
        </w:tc>
        <w:tc>
          <w:tcPr>
            <w:tcW w:w="48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Documentation</w:t>
            </w:r>
          </w:p>
        </w:tc>
        <w:tc>
          <w:tcPr>
            <w:tcW w:w="22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Art. 12</w:t>
            </w:r>
          </w:p>
        </w:tc>
        <w:tc>
          <w:tcPr>
            <w:tcW w:w="4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Documents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The annual business report, the compensation report and the Auditor's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Le rapport de gestion annuel, le rapport de rémunération et le rapport du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report must be submitted for examination by the shareholders at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réviseur doivent être présentés aux actionnaires pour examen au siège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registered office of the Company at least 20 days prior to the date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société au moins 20 jours avant la date de l'assemblée générale ordinaire.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Ordinary General Meeting. Each shareholder may request that a copy of this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Chaque actionnaire peut demander une copie de ces documents qui doivent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documentation be sent to him promptly by e-mail. Such right shall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lui être envoyés promptement par e-mail. Ce droit doit être mentionné dans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included in the invitation to the General Meeting.</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l'invitation à l'assemblée générale.</w:t>
            </w: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13</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Meeting of All Shareholders</w:t>
            </w:r>
          </w:p>
        </w:tc>
        <w:tc>
          <w:tcPr>
            <w:tcW w:w="22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Art. 13</w:t>
            </w:r>
          </w:p>
        </w:tc>
        <w:tc>
          <w:tcPr>
            <w:tcW w:w="47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Assemblée universelle</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Shareholders or their proxies representing all shares issued may hold a</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Les propriétaires ou les représentants de la totalité des actions peuvent, s'il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General Meeting without observing the formalities required for calling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n'y a pas d'opposition, tenir une assemblée générale sans observer les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meeting, unless objection is raised. At such a meeting, discussions may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formes prévues pour sa convocation. Aussi longtemps que les propriétaires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held and resolutions passed on all matters within the scope of the powers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ou les représentants de la totalité des actions sont présents, cette assemblée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 General Meeting for so long as the shareholders or proxies representing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a le droit de délibérer et de statuer valablement sur tous les objets qui sont</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all shares issued are present.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du ressort de l'assemblée générale.</w:t>
            </w: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14</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Chairman and Scrutineers</w:t>
            </w:r>
          </w:p>
        </w:tc>
        <w:tc>
          <w:tcPr>
            <w:tcW w:w="22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Art. 14</w:t>
            </w:r>
          </w:p>
        </w:tc>
        <w:tc>
          <w:tcPr>
            <w:tcW w:w="47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Président et scrutateurs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The Chairman of the Board of Directors shall preside over the General</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Meeting. In his absence, a member of the Board of Directors or another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d'administration. En cas d'empêchement, un autre membre du conseil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Chairman of the Meeting designated by the General Meeting shall preside.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d'administration ou un président ad hoc nommé par l'assemblée générale</w:t>
            </w:r>
          </w:p>
        </w:tc>
      </w:tr>
      <w:tr>
        <w:trPr>
          <w:trHeight w:val="230"/>
        </w:trPr>
        <w:tc>
          <w:tcPr>
            <w:tcW w:w="800" w:type="dxa"/>
            <w:vAlign w:val="bottom"/>
            <w:tcBorders>
              <w:lef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préside celle-ci.</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The Chairman of the Meeting shall designate a Secretary and the scrutineers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Le président de l'assemblée générale désigne un secrétaire et les scrutateurs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who need not be shareholders.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qui ne doivent pas nécessairement être actionnaires.</w:t>
            </w: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15</w:t>
            </w:r>
          </w:p>
        </w:tc>
        <w:tc>
          <w:tcPr>
            <w:tcW w:w="48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Minutes</w:t>
            </w:r>
          </w:p>
        </w:tc>
        <w:tc>
          <w:tcPr>
            <w:tcW w:w="22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Art. 15</w:t>
            </w:r>
          </w:p>
        </w:tc>
        <w:tc>
          <w:tcPr>
            <w:tcW w:w="47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Procès-verbal</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The Board of Directors is responsible for the keeping of the minutes of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Le conseil d'administration est responsable de la tenue du procès-verbal de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Meeting, which shall state the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qui doit indiquer le</w:t>
            </w: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980"/>
        <w:spacing w:after="0"/>
        <w:rPr>
          <w:sz w:val="20"/>
          <w:szCs w:val="20"/>
          <w:color w:val="auto"/>
        </w:rPr>
      </w:pPr>
      <w:r>
        <w:rPr>
          <w:rFonts w:ascii="Arial" w:cs="Arial" w:eastAsia="Arial" w:hAnsi="Arial"/>
          <w:sz w:val="17"/>
          <w:szCs w:val="17"/>
          <w:color w:val="auto"/>
        </w:rPr>
        <w:t>11/26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42"/>
        </w:trPr>
        <w:tc>
          <w:tcPr>
            <w:tcW w:w="556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number, kind, nominal value of shares represented by the shareholders, by</w:t>
            </w:r>
          </w:p>
        </w:tc>
        <w:tc>
          <w:tcPr>
            <w:tcW w:w="220" w:type="dxa"/>
            <w:vAlign w:val="bottom"/>
            <w:tcBorders>
              <w:top w:val="single" w:sz="8" w:color="auto"/>
              <w:right w:val="single" w:sz="8" w:color="auto"/>
            </w:tcBorders>
          </w:tcPr>
          <w:p>
            <w:pPr>
              <w:spacing w:after="0"/>
              <w:rPr>
                <w:sz w:val="21"/>
                <w:szCs w:val="21"/>
                <w:color w:val="auto"/>
              </w:rPr>
            </w:pPr>
          </w:p>
        </w:tc>
        <w:tc>
          <w:tcPr>
            <w:tcW w:w="55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nombre, le type, la valeur nominale des actions représentées par les</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the corporate bodies and by the independent proxy and gives information</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actionnaires, par les organes sociaux et par le représentant indépendant et</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on resolutions passed, elections, requests for information and information</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donne des informations sur les décisions adoptées, les élections, les</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as well as declarations given by the shareholders. The minutes shall be</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demandes de renseignements et les informations ainsi que les déclarations</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signed by the Chairman and the Secretary.</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faites par les actionnaires. Le procès-verbal est signé par le président et le</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w w:val="88"/>
              </w:rPr>
              <w:t>secrétaire.</w:t>
            </w:r>
          </w:p>
        </w:tc>
        <w:tc>
          <w:tcPr>
            <w:tcW w:w="4720" w:type="dxa"/>
            <w:vAlign w:val="bottom"/>
            <w:tcBorders>
              <w:right w:val="single" w:sz="8" w:color="auto"/>
            </w:tcBorders>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gridSpan w:val="3"/>
          </w:tcPr>
          <w:p>
            <w:pPr>
              <w:spacing w:after="0"/>
              <w:rPr>
                <w:sz w:val="2"/>
                <w:szCs w:val="2"/>
                <w:color w:val="auto"/>
              </w:rPr>
            </w:pPr>
          </w:p>
        </w:tc>
      </w:tr>
      <w:tr>
        <w:trPr>
          <w:trHeight w:val="237"/>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The shareholders are entitled to inspect the minutes.</w:t>
            </w:r>
          </w:p>
        </w:tc>
        <w:tc>
          <w:tcPr>
            <w:tcW w:w="2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27"/>
        </w:trPr>
        <w:tc>
          <w:tcPr>
            <w:tcW w:w="880" w:type="dxa"/>
            <w:vAlign w:val="bottom"/>
            <w:tcBorders>
              <w:left w:val="single" w:sz="8" w:color="auto"/>
              <w:bottom w:val="single" w:sz="8" w:color="auto"/>
            </w:tcBorders>
            <w:gridSpan w:val="2"/>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88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16</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Right to Vote</w:t>
            </w:r>
          </w:p>
        </w:tc>
        <w:tc>
          <w:tcPr>
            <w:tcW w:w="220" w:type="dxa"/>
            <w:vAlign w:val="bottom"/>
            <w:tcBorders>
              <w:right w:val="single" w:sz="8" w:color="auto"/>
            </w:tcBorders>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Art. 16</w:t>
            </w:r>
          </w:p>
        </w:tc>
        <w:tc>
          <w:tcPr>
            <w:tcW w:w="47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Droit de vote</w:t>
            </w:r>
          </w:p>
        </w:tc>
      </w:tr>
      <w:tr>
        <w:trPr>
          <w:trHeight w:val="432"/>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Each share entitles to one vote.</w:t>
            </w:r>
          </w:p>
        </w:tc>
        <w:tc>
          <w:tcPr>
            <w:tcW w:w="22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Chaque action donne droit à une voix.</w:t>
            </w:r>
          </w:p>
        </w:tc>
      </w:tr>
      <w:tr>
        <w:trPr>
          <w:trHeight w:val="243"/>
        </w:trPr>
        <w:tc>
          <w:tcPr>
            <w:tcW w:w="5560" w:type="dxa"/>
            <w:vAlign w:val="bottom"/>
            <w:tcBorders>
              <w:left w:val="single" w:sz="8" w:color="auto"/>
              <w:bottom w:val="single" w:sz="8" w:color="auto"/>
              <w:right w:val="single" w:sz="8" w:color="auto"/>
            </w:tcBorders>
            <w:gridSpan w:val="3"/>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gridSpan w:val="3"/>
          </w:tcPr>
          <w:p>
            <w:pPr>
              <w:spacing w:after="0"/>
              <w:rPr>
                <w:sz w:val="21"/>
                <w:szCs w:val="21"/>
                <w:color w:val="auto"/>
              </w:rPr>
            </w:pPr>
          </w:p>
        </w:tc>
      </w:tr>
      <w:tr>
        <w:trPr>
          <w:trHeight w:val="222"/>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Each shareholder may be represented at a General Meeting by any person</w:t>
            </w:r>
          </w:p>
        </w:tc>
        <w:tc>
          <w:tcPr>
            <w:tcW w:w="22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Chaque actionnaire peut se faire représenter à l'assemblée générale par</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0"/>
              </w:rPr>
              <w:t>who is so authorized by a written proxy. A proxy need not be a shareholder.</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toute personne qui est autorisée par une procuration écrite. Le représentant</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ne doit pas nécessairement être un actionnaire.</w:t>
            </w:r>
          </w:p>
        </w:tc>
      </w:tr>
      <w:tr>
        <w:trPr>
          <w:trHeight w:val="27"/>
        </w:trPr>
        <w:tc>
          <w:tcPr>
            <w:tcW w:w="556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gridSpan w:val="3"/>
          </w:tcPr>
          <w:p>
            <w:pPr>
              <w:spacing w:after="0"/>
              <w:rPr>
                <w:sz w:val="2"/>
                <w:szCs w:val="2"/>
                <w:color w:val="auto"/>
              </w:rPr>
            </w:pPr>
          </w:p>
        </w:tc>
      </w:tr>
      <w:tr>
        <w:trPr>
          <w:trHeight w:val="222"/>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Each shareholder may be represented by the Independent Proxy. The</w:t>
            </w:r>
          </w:p>
        </w:tc>
        <w:tc>
          <w:tcPr>
            <w:tcW w:w="22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Chaque actionnaire peut se faire représenter par le représentant</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requirements regarding proxies and instructions are determined by the</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indépendant. Les exigences en matière de procurations et les instructions</w:t>
            </w:r>
          </w:p>
        </w:tc>
      </w:tr>
      <w:tr>
        <w:trPr>
          <w:trHeight w:val="230"/>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Board of Directors.</w:t>
            </w:r>
          </w:p>
        </w:tc>
        <w:tc>
          <w:tcPr>
            <w:tcW w:w="2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sont déterminées par le conseil d'administration.</w:t>
            </w:r>
          </w:p>
        </w:tc>
      </w:tr>
      <w:tr>
        <w:trPr>
          <w:trHeight w:val="27"/>
        </w:trPr>
        <w:tc>
          <w:tcPr>
            <w:tcW w:w="880" w:type="dxa"/>
            <w:vAlign w:val="bottom"/>
            <w:tcBorders>
              <w:left w:val="single" w:sz="8" w:color="auto"/>
              <w:bottom w:val="single" w:sz="8" w:color="auto"/>
            </w:tcBorders>
            <w:gridSpan w:val="2"/>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37"/>
        </w:trPr>
        <w:tc>
          <w:tcPr>
            <w:tcW w:w="88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17</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Resolutions and Elections</w:t>
            </w:r>
          </w:p>
        </w:tc>
        <w:tc>
          <w:tcPr>
            <w:tcW w:w="220" w:type="dxa"/>
            <w:vAlign w:val="bottom"/>
            <w:tcBorders>
              <w:right w:val="single" w:sz="8" w:color="auto"/>
            </w:tcBorders>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Art. 17</w:t>
            </w:r>
          </w:p>
        </w:tc>
        <w:tc>
          <w:tcPr>
            <w:tcW w:w="47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Décisions and élections</w:t>
            </w:r>
          </w:p>
        </w:tc>
      </w:tr>
      <w:tr>
        <w:trPr>
          <w:trHeight w:val="418"/>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All voting and elections are held openly or electronically. A written voting</w:t>
            </w:r>
          </w:p>
        </w:tc>
        <w:tc>
          <w:tcPr>
            <w:tcW w:w="22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Tous votes et élections sont tenus ouvertement ou par voie électronique.</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or election shall be held if instructed so by the Chairman or if decided by</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Sur instruction du président ou de l'assemblée générale, un vote ou une</w:t>
            </w:r>
          </w:p>
        </w:tc>
      </w:tr>
      <w:tr>
        <w:trPr>
          <w:trHeight w:val="230"/>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élection doit être tenu par écrit.</w:t>
            </w:r>
          </w:p>
        </w:tc>
      </w:tr>
      <w:tr>
        <w:trPr>
          <w:trHeight w:val="243"/>
        </w:trPr>
        <w:tc>
          <w:tcPr>
            <w:tcW w:w="5560" w:type="dxa"/>
            <w:vAlign w:val="bottom"/>
            <w:tcBorders>
              <w:left w:val="single" w:sz="8" w:color="auto"/>
              <w:bottom w:val="single" w:sz="8" w:color="auto"/>
              <w:right w:val="single" w:sz="8" w:color="auto"/>
            </w:tcBorders>
            <w:gridSpan w:val="3"/>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gridSpan w:val="3"/>
          </w:tcPr>
          <w:p>
            <w:pPr>
              <w:spacing w:after="0"/>
              <w:rPr>
                <w:sz w:val="21"/>
                <w:szCs w:val="21"/>
                <w:color w:val="auto"/>
              </w:rPr>
            </w:pPr>
          </w:p>
        </w:tc>
      </w:tr>
      <w:tr>
        <w:trPr>
          <w:trHeight w:val="222"/>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The General Meeting shall pass its resolutions and carry out its elections</w:t>
            </w:r>
          </w:p>
        </w:tc>
        <w:tc>
          <w:tcPr>
            <w:tcW w:w="22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Sous réserve des dispositions impératives de la loi ou des statuts,</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with the simple majority of the votes cast regardless of abstentions and</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l'assemblée générale prend ses décisions et procède aux élections à la</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3"/>
              </w:rPr>
              <w:t>empty or invalid votes, unless statutory law or articles of association state</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majorité simple des voix émises. En cas de partage égal des voix, la</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9"/>
              </w:rPr>
              <w:t>otherwise. In the event of tie votes, the request shall be refused. The</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requête sera refusée. Le président n'a pas voix prépondérante.</w:t>
            </w:r>
          </w:p>
        </w:tc>
      </w:tr>
      <w:tr>
        <w:trPr>
          <w:trHeight w:val="230"/>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Chairman shall not have a casting vote.</w:t>
            </w:r>
          </w:p>
        </w:tc>
        <w:tc>
          <w:tcPr>
            <w:tcW w:w="2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r>
      <w:tr>
        <w:trPr>
          <w:trHeight w:val="27"/>
        </w:trPr>
        <w:tc>
          <w:tcPr>
            <w:tcW w:w="556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gridSpan w:val="3"/>
          </w:tcPr>
          <w:p>
            <w:pPr>
              <w:spacing w:after="0"/>
              <w:rPr>
                <w:sz w:val="2"/>
                <w:szCs w:val="2"/>
                <w:color w:val="auto"/>
              </w:rPr>
            </w:pPr>
          </w:p>
        </w:tc>
      </w:tr>
      <w:tr>
        <w:trPr>
          <w:trHeight w:val="222"/>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A resolution of the General Meeting passed by at least two thirds of the</w:t>
            </w:r>
          </w:p>
        </w:tc>
        <w:tc>
          <w:tcPr>
            <w:tcW w:w="220" w:type="dxa"/>
            <w:vAlign w:val="bottom"/>
            <w:tcBorders>
              <w:right w:val="single" w:sz="8" w:color="auto"/>
            </w:tcBorders>
          </w:tcPr>
          <w:p>
            <w:pPr>
              <w:spacing w:after="0"/>
              <w:rPr>
                <w:sz w:val="19"/>
                <w:szCs w:val="19"/>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Une décision de l'assemblée générale recueillant au moins les deux tiers</w:t>
            </w:r>
          </w:p>
        </w:tc>
      </w:tr>
      <w:tr>
        <w:trPr>
          <w:trHeight w:val="216"/>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89"/>
              </w:rPr>
              <w:t>represented share votes and the absolute majority of the represented shares</w:t>
            </w:r>
          </w:p>
        </w:tc>
        <w:tc>
          <w:tcPr>
            <w:tcW w:w="22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des voix attribuées aux actions représentées et la majorité absolue des</w:t>
            </w:r>
          </w:p>
        </w:tc>
      </w:tr>
      <w:tr>
        <w:trPr>
          <w:trHeight w:val="230"/>
        </w:trPr>
        <w:tc>
          <w:tcPr>
            <w:tcW w:w="556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par value is required for:</w:t>
            </w:r>
          </w:p>
        </w:tc>
        <w:tc>
          <w:tcPr>
            <w:tcW w:w="2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valeurs nominales représentées est nécessaire pour:</w:t>
            </w:r>
          </w:p>
        </w:tc>
      </w:tr>
      <w:tr>
        <w:trPr>
          <w:trHeight w:val="27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520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The cases listed in art. 704 para. 1 CO, i.e.:</w:t>
            </w:r>
          </w:p>
        </w:tc>
        <w:tc>
          <w:tcPr>
            <w:tcW w:w="220" w:type="dxa"/>
            <w:vAlign w:val="bottom"/>
            <w:tcBorders>
              <w:right w:val="single" w:sz="8" w:color="auto"/>
            </w:tcBorders>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520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les cas énumérés dans l'art. 704 al. 1 CO, i.e.:</w:t>
            </w:r>
          </w:p>
        </w:tc>
      </w:tr>
      <w:tr>
        <w:trPr>
          <w:trHeight w:val="270"/>
        </w:trPr>
        <w:tc>
          <w:tcPr>
            <w:tcW w:w="360" w:type="dxa"/>
            <w:vAlign w:val="bottom"/>
            <w:tcBorders>
              <w:left w:val="single" w:sz="8" w:color="auto"/>
            </w:tcBorders>
          </w:tcPr>
          <w:p>
            <w:pPr>
              <w:spacing w:after="0"/>
              <w:rPr>
                <w:sz w:val="23"/>
                <w:szCs w:val="23"/>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change of the company purpose;</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(i)</w:t>
            </w:r>
          </w:p>
        </w:tc>
        <w:tc>
          <w:tcPr>
            <w:tcW w:w="4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la modification du but social;</w:t>
            </w:r>
          </w:p>
        </w:tc>
      </w:tr>
      <w:tr>
        <w:trPr>
          <w:trHeight w:val="270"/>
        </w:trPr>
        <w:tc>
          <w:tcPr>
            <w:tcW w:w="360" w:type="dxa"/>
            <w:vAlign w:val="bottom"/>
            <w:tcBorders>
              <w:left w:val="single" w:sz="8" w:color="auto"/>
            </w:tcBorders>
          </w:tcPr>
          <w:p>
            <w:pPr>
              <w:spacing w:after="0"/>
              <w:rPr>
                <w:sz w:val="23"/>
                <w:szCs w:val="23"/>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(ii)</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creation of shares with privileged voting rights;</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(ii)</w:t>
            </w:r>
          </w:p>
        </w:tc>
        <w:tc>
          <w:tcPr>
            <w:tcW w:w="4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l'introduction d'actions à droit de vote privilégié;</w:t>
            </w:r>
          </w:p>
        </w:tc>
      </w:tr>
      <w:tr>
        <w:trPr>
          <w:trHeight w:val="270"/>
        </w:trPr>
        <w:tc>
          <w:tcPr>
            <w:tcW w:w="360" w:type="dxa"/>
            <w:vAlign w:val="bottom"/>
            <w:tcBorders>
              <w:left w:val="single" w:sz="8" w:color="auto"/>
            </w:tcBorders>
          </w:tcPr>
          <w:p>
            <w:pPr>
              <w:spacing w:after="0"/>
              <w:rPr>
                <w:sz w:val="23"/>
                <w:szCs w:val="23"/>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(iii)</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restriction of the transferability of registered shares;</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(iii)</w:t>
            </w:r>
          </w:p>
        </w:tc>
        <w:tc>
          <w:tcPr>
            <w:tcW w:w="4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la restriction de la transmissibilité des actions nominatives;</w:t>
            </w:r>
          </w:p>
        </w:tc>
      </w:tr>
      <w:tr>
        <w:trPr>
          <w:trHeight w:val="270"/>
        </w:trPr>
        <w:tc>
          <w:tcPr>
            <w:tcW w:w="360" w:type="dxa"/>
            <w:vAlign w:val="bottom"/>
            <w:tcBorders>
              <w:left w:val="single" w:sz="8" w:color="auto"/>
            </w:tcBorders>
          </w:tcPr>
          <w:p>
            <w:pPr>
              <w:spacing w:after="0"/>
              <w:rPr>
                <w:sz w:val="23"/>
                <w:szCs w:val="23"/>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(iv)</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6"/>
              </w:rPr>
              <w:t>an increase of capital, authorized or subject to a condition;</w:t>
            </w:r>
          </w:p>
        </w:tc>
        <w:tc>
          <w:tcPr>
            <w:tcW w:w="2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(iv)</w:t>
            </w:r>
          </w:p>
        </w:tc>
        <w:tc>
          <w:tcPr>
            <w:tcW w:w="47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l'augmentation autorisée ou conditionnelle du capital-actions;</w:t>
            </w:r>
          </w:p>
        </w:tc>
      </w:tr>
      <w:tr>
        <w:trPr>
          <w:trHeight w:val="256"/>
        </w:trPr>
        <w:tc>
          <w:tcPr>
            <w:tcW w:w="360" w:type="dxa"/>
            <w:vAlign w:val="bottom"/>
            <w:tcBorders>
              <w:left w:val="single" w:sz="8" w:color="auto"/>
            </w:tcBorders>
          </w:tcPr>
          <w:p>
            <w:pPr>
              <w:spacing w:after="0"/>
              <w:rPr>
                <w:sz w:val="22"/>
                <w:szCs w:val="22"/>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(v)</w:t>
            </w:r>
          </w:p>
        </w:tc>
        <w:tc>
          <w:tcPr>
            <w:tcW w:w="46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an increase of capital out of equity, against contribution in</w:t>
            </w:r>
          </w:p>
        </w:tc>
        <w:tc>
          <w:tcPr>
            <w:tcW w:w="2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(v)</w:t>
            </w:r>
          </w:p>
        </w:tc>
        <w:tc>
          <w:tcPr>
            <w:tcW w:w="47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l'augmentation du capital-actions au moyen des fonds</w:t>
            </w:r>
          </w:p>
        </w:tc>
      </w:tr>
      <w:tr>
        <w:trPr>
          <w:trHeight w:val="216"/>
        </w:trPr>
        <w:tc>
          <w:tcPr>
            <w:tcW w:w="36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kind, or for the purpose of acquisition of assets and the</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propres, contre apport en nature ou en vue d'une reprise de</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granting of</w:t>
            </w:r>
          </w:p>
        </w:tc>
        <w:tc>
          <w:tcPr>
            <w:tcW w:w="2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biens et l'octroi</w:t>
            </w: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73" w:right="27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57"/>
        </w:trPr>
        <w:tc>
          <w:tcPr>
            <w:tcW w:w="360" w:type="dxa"/>
            <w:vAlign w:val="bottom"/>
            <w:tcBorders>
              <w:top w:val="single" w:sz="8" w:color="auto"/>
              <w:lef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7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special benefits;</w:t>
            </w:r>
          </w:p>
        </w:tc>
        <w:tc>
          <w:tcPr>
            <w:tcW w:w="220" w:type="dxa"/>
            <w:vAlign w:val="bottom"/>
            <w:tcBorders>
              <w:top w:val="single" w:sz="8" w:color="auto"/>
              <w:right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820" w:type="dxa"/>
            <w:vAlign w:val="bottom"/>
            <w:tcBorders>
              <w:top w:val="single" w:sz="8" w:color="auto"/>
              <w:right w:val="single" w:sz="8" w:color="auto"/>
            </w:tcBorders>
          </w:tcPr>
          <w:p>
            <w:pPr>
              <w:jc w:val="right"/>
              <w:ind w:right="2810"/>
              <w:spacing w:after="0"/>
              <w:rPr>
                <w:sz w:val="20"/>
                <w:szCs w:val="20"/>
                <w:color w:val="auto"/>
              </w:rPr>
            </w:pPr>
            <w:r>
              <w:rPr>
                <w:rFonts w:ascii="Arial" w:cs="Arial" w:eastAsia="Arial" w:hAnsi="Arial"/>
                <w:sz w:val="18"/>
                <w:szCs w:val="18"/>
                <w:color w:val="auto"/>
                <w:w w:val="98"/>
              </w:rPr>
              <w:t>d'avantages particuliers;</w:t>
            </w:r>
          </w:p>
        </w:tc>
      </w:tr>
      <w:tr>
        <w:trPr>
          <w:trHeight w:val="256"/>
        </w:trPr>
        <w:tc>
          <w:tcPr>
            <w:tcW w:w="360" w:type="dxa"/>
            <w:vAlign w:val="bottom"/>
            <w:tcBorders>
              <w:left w:val="single" w:sz="8" w:color="auto"/>
            </w:tcBorders>
          </w:tcPr>
          <w:p>
            <w:pPr>
              <w:spacing w:after="0"/>
              <w:rPr>
                <w:sz w:val="22"/>
                <w:szCs w:val="22"/>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(vi)</w:t>
            </w: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the limitation or withdrawal of subscription rights;</w:t>
            </w:r>
          </w:p>
        </w:tc>
        <w:tc>
          <w:tcPr>
            <w:tcW w:w="22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(vi)   la limitation ou la suppression du droit de souscription</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20" w:type="dxa"/>
            <w:vAlign w:val="bottom"/>
            <w:tcBorders>
              <w:right w:val="single" w:sz="8" w:color="auto"/>
            </w:tcBorders>
          </w:tcPr>
          <w:p>
            <w:pPr>
              <w:jc w:val="right"/>
              <w:ind w:right="3790"/>
              <w:spacing w:after="0"/>
              <w:rPr>
                <w:sz w:val="20"/>
                <w:szCs w:val="20"/>
                <w:color w:val="auto"/>
              </w:rPr>
            </w:pPr>
            <w:r>
              <w:rPr>
                <w:rFonts w:ascii="Arial" w:cs="Arial" w:eastAsia="Arial" w:hAnsi="Arial"/>
                <w:sz w:val="18"/>
                <w:szCs w:val="18"/>
                <w:color w:val="auto"/>
                <w:w w:val="96"/>
              </w:rPr>
              <w:t>préférentiel;</w:t>
            </w:r>
          </w:p>
        </w:tc>
      </w:tr>
      <w:tr>
        <w:trPr>
          <w:trHeight w:val="270"/>
        </w:trPr>
        <w:tc>
          <w:tcPr>
            <w:tcW w:w="360" w:type="dxa"/>
            <w:vAlign w:val="bottom"/>
            <w:tcBorders>
              <w:left w:val="single" w:sz="8" w:color="auto"/>
            </w:tcBorders>
          </w:tcPr>
          <w:p>
            <w:pPr>
              <w:spacing w:after="0"/>
              <w:rPr>
                <w:sz w:val="23"/>
                <w:szCs w:val="23"/>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(vii)   the change of the domicile of the Company; and</w:t>
            </w:r>
          </w:p>
        </w:tc>
        <w:tc>
          <w:tcPr>
            <w:tcW w:w="22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(vii)  le transfert du siège de la société; et</w:t>
            </w:r>
          </w:p>
        </w:tc>
      </w:tr>
      <w:tr>
        <w:trPr>
          <w:trHeight w:val="270"/>
        </w:trPr>
        <w:tc>
          <w:tcPr>
            <w:tcW w:w="360" w:type="dxa"/>
            <w:vAlign w:val="bottom"/>
            <w:tcBorders>
              <w:left w:val="single" w:sz="8" w:color="auto"/>
            </w:tcBorders>
          </w:tcPr>
          <w:p>
            <w:pPr>
              <w:spacing w:after="0"/>
              <w:rPr>
                <w:sz w:val="23"/>
                <w:szCs w:val="23"/>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(viii)  the liquidation of the Company;</w:t>
            </w:r>
          </w:p>
        </w:tc>
        <w:tc>
          <w:tcPr>
            <w:tcW w:w="22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(viii)  la dissolution de la société;</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52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8"/>
              </w:rPr>
              <w:t>the merger, de-merger or conversion of the Company (subject to</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1"/>
              </w:rPr>
              <w:t>la fusion, la scission ou la conversion de la société (sous réserve des</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mandatory law);</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dispositions impératives);</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52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the alleviating or withdrawal of restrictions upon the transfer of</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6"/>
              </w:rPr>
              <w:t>l'atténuation ou la suppression des restrictions sur le transfert des</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registered shares;</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actions nominatives;</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52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0"/>
              </w:rPr>
              <w:t>the conversion of registered shares into bearer shares and vice versa;</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7"/>
              </w:rPr>
              <w:t>la conversion d'actions nominatives en actions au porteur et vice</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and</w:t>
            </w: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versa; et</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52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3"/>
              </w:rPr>
              <w:t>the amendment or elimination of the provisions of Article 4 and 29 of</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0"/>
              </w:rPr>
              <w:t>la modification ou la suppression des dispositions des articles 4 et 29</w:t>
            </w:r>
          </w:p>
        </w:tc>
      </w:tr>
      <w:tr>
        <w:trPr>
          <w:trHeight w:val="216"/>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5"/>
              </w:rPr>
              <w:t>the Articles of Association as well as those contained in this Article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9"/>
              </w:rPr>
              <w:t>des statuts ainsi que ceux contenues dans le présent article 17.</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17.</w:t>
            </w: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880" w:type="dxa"/>
            <w:vAlign w:val="bottom"/>
            <w:tcBorders>
              <w:left w:val="single" w:sz="8" w:color="auto"/>
              <w:bottom w:val="single" w:sz="8" w:color="auto"/>
            </w:tcBorders>
            <w:gridSpan w:val="2"/>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88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18</w:t>
            </w: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Votes on Compensation</w:t>
            </w:r>
          </w:p>
        </w:tc>
        <w:tc>
          <w:tcPr>
            <w:tcW w:w="220" w:type="dxa"/>
            <w:vAlign w:val="bottom"/>
            <w:tcBorders>
              <w:right w:val="single" w:sz="8" w:color="auto"/>
            </w:tcBorders>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Art. 18</w:t>
            </w:r>
          </w:p>
        </w:tc>
        <w:tc>
          <w:tcPr>
            <w:tcW w:w="482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b w:val="1"/>
                <w:bCs w:val="1"/>
                <w:color w:val="auto"/>
                <w:w w:val="92"/>
              </w:rPr>
              <w:t>Votes sur la rémunération</w:t>
            </w:r>
          </w:p>
        </w:tc>
      </w:tr>
      <w:tr>
        <w:trPr>
          <w:trHeight w:val="418"/>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Each year, the General Meeting separately approves the total maximum</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Chaque année, l'assemblée générale approuve séparément les montants</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2"/>
              </w:rPr>
              <w:t>amounts proposed by the Board of Directors pursuant to Articles 32 and 33</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totaux maximaux proposés par le conseil d'administration conformément</w:t>
            </w:r>
          </w:p>
        </w:tc>
      </w:tr>
      <w:tr>
        <w:trPr>
          <w:trHeight w:val="230"/>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of the Articles of Association for: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aux articles 32 et 33 des statuts pour:</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w:t>
            </w:r>
          </w:p>
        </w:tc>
        <w:tc>
          <w:tcPr>
            <w:tcW w:w="52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w w:val="92"/>
              </w:rPr>
              <w:t>the non-performance-related compensation of the Board of Directors</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a)</w:t>
            </w:r>
          </w:p>
        </w:tc>
        <w:tc>
          <w:tcPr>
            <w:tcW w:w="52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la rémunération non liée à la performance du conseil</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for the next term of office;</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d'administration pour le prochain mandat;</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w:t>
            </w:r>
          </w:p>
        </w:tc>
        <w:tc>
          <w:tcPr>
            <w:tcW w:w="52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3"/>
              </w:rPr>
              <w:t>a possible additional compensation of the Board of Directors for the</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b)</w:t>
            </w:r>
          </w:p>
        </w:tc>
        <w:tc>
          <w:tcPr>
            <w:tcW w:w="52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une éventuelle rémunération supplémentaire du conseil</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preceding business year;</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d'administration pour l'exercice précédent;</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w:t>
            </w:r>
          </w:p>
        </w:tc>
        <w:tc>
          <w:tcPr>
            <w:tcW w:w="5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non-performance-related compensation of the Executive</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c)</w:t>
            </w:r>
          </w:p>
        </w:tc>
        <w:tc>
          <w:tcPr>
            <w:tcW w:w="52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2"/>
              </w:rPr>
              <w:t>la rémunération non liée à la performance du comité exécutif pour la</w:t>
            </w:r>
          </w:p>
        </w:tc>
      </w:tr>
      <w:tr>
        <w:trPr>
          <w:trHeight w:val="216"/>
        </w:trPr>
        <w:tc>
          <w:tcPr>
            <w:tcW w:w="360" w:type="dxa"/>
            <w:vAlign w:val="bottom"/>
            <w:tcBorders>
              <w:left w:val="single" w:sz="8" w:color="auto"/>
            </w:tcBorders>
          </w:tcPr>
          <w:p>
            <w:pPr>
              <w:spacing w:after="0"/>
              <w:rPr>
                <w:sz w:val="18"/>
                <w:szCs w:val="18"/>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6"/>
              </w:rPr>
              <w:t>Committee for the 12-month period starting on 1 July following the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89"/>
              </w:rPr>
              <w:t>période de 12 mois commençant le 1er juillet après chaque assemblée</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Ordinary General Meeting;</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générale ordinaire;</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w:t>
            </w:r>
          </w:p>
        </w:tc>
        <w:tc>
          <w:tcPr>
            <w:tcW w:w="526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the variable compensation for the Executive Committee for the</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d)</w:t>
            </w:r>
          </w:p>
        </w:tc>
        <w:tc>
          <w:tcPr>
            <w:tcW w:w="524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w w:val="98"/>
              </w:rPr>
              <w:t>la rémunération variable pour le comité exécutif pour l'année en</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current year;</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cours;</w:t>
            </w:r>
          </w:p>
        </w:tc>
      </w:tr>
      <w:tr>
        <w:trPr>
          <w:trHeight w:val="256"/>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w:t>
            </w:r>
          </w:p>
        </w:tc>
        <w:tc>
          <w:tcPr>
            <w:tcW w:w="52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the grant of options or shares in the Company to the Board of</w:t>
            </w:r>
          </w:p>
        </w:tc>
        <w:tc>
          <w:tcPr>
            <w:tcW w:w="220" w:type="dxa"/>
            <w:vAlign w:val="bottom"/>
            <w:tcBorders>
              <w:right w:val="single" w:sz="8" w:color="auto"/>
            </w:tcBorders>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e)</w:t>
            </w:r>
          </w:p>
        </w:tc>
        <w:tc>
          <w:tcPr>
            <w:tcW w:w="52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l'octroi d'options ou d'actions de la société au conseil</w:t>
            </w:r>
          </w:p>
        </w:tc>
      </w:tr>
      <w:tr>
        <w:trPr>
          <w:trHeight w:val="230"/>
        </w:trPr>
        <w:tc>
          <w:tcPr>
            <w:tcW w:w="360" w:type="dxa"/>
            <w:vAlign w:val="bottom"/>
            <w:tcBorders>
              <w:left w:val="single" w:sz="8" w:color="auto"/>
            </w:tcBorders>
          </w:tcPr>
          <w:p>
            <w:pPr>
              <w:spacing w:after="0"/>
              <w:rPr>
                <w:sz w:val="20"/>
                <w:szCs w:val="20"/>
                <w:color w:val="auto"/>
              </w:rPr>
            </w:pPr>
          </w:p>
        </w:tc>
        <w:tc>
          <w:tcPr>
            <w:tcW w:w="52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Directors and the Executive Committee.</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d'administration et au comité exécutif.</w:t>
            </w:r>
          </w:p>
        </w:tc>
      </w:tr>
      <w:tr>
        <w:trPr>
          <w:trHeight w:val="25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7"/>
              </w:rPr>
              <w:t>The respective total compensation amounts include social security and</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Les montants totaux de rémunération respectifs comprennent la sécurité</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occupational pension contributions for the benefit of the members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sociale et les cotisations de retraite professionnelle au profit des membres</w:t>
            </w:r>
          </w:p>
        </w:tc>
      </w:tr>
      <w:tr>
        <w:trPr>
          <w:trHeight w:val="230"/>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Board of Directors, the Executive Committee and 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du conseil d'administration, du comité exécutif et de la société.</w:t>
            </w:r>
          </w:p>
        </w:tc>
      </w:tr>
      <w:tr>
        <w:trPr>
          <w:trHeight w:val="27"/>
        </w:trPr>
        <w:tc>
          <w:tcPr>
            <w:tcW w:w="5620" w:type="dxa"/>
            <w:vAlign w:val="bottom"/>
            <w:tcBorders>
              <w:left w:val="single" w:sz="8" w:color="auto"/>
              <w:bottom w:val="single" w:sz="8" w:color="auto"/>
              <w:right w:val="single" w:sz="8" w:color="auto"/>
            </w:tcBorders>
            <w:gridSpan w:val="3"/>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3"/>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1"/>
              </w:rPr>
              <w:t>If the General Meeting refuses to approve a respective motion by the Board</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Si l'assemblée générale refuse d'approuver une motion soumise par le</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4"/>
              </w:rPr>
              <w:t>of Directors, the Board of Directors may either submit a new motion at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2"/>
              </w:rPr>
              <w:t>conseil d'administration, le conseil d'administration peut, soit présenter une</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same meeting or determine a maximum total remuneration or several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nouvelle motion à la même séance ou déterminer une rémunération</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6"/>
              </w:rPr>
              <w:t>maximum partial remunerations, subject to the relevant principles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maximale totale ou plusieurs rémunérations maximales partielles, sous</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8"/>
              </w:rPr>
              <w:t>compensation, or submit a new motion to the next General Meeting for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réserve des principes concernant la rémunération, soit soumettre une</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approval. The Company may pay remunerations within the framework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nouvelle motion à la prochaine assemblée générale pour approbation. La</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w w:val="95"/>
              </w:rPr>
              <w:t>the maximum total or partial remuneration and subject to the approval by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5"/>
              </w:rPr>
              <w:t>société peut verser des rémunérations dans le cadre de la rémunération</w:t>
            </w:r>
          </w:p>
        </w:tc>
      </w:tr>
      <w:tr>
        <w:trPr>
          <w:trHeight w:val="216"/>
        </w:trPr>
        <w:tc>
          <w:tcPr>
            <w:tcW w:w="56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maximale totale ou partielle et sous réserve de l'approbation par l'assemblée</w:t>
            </w:r>
          </w:p>
        </w:tc>
      </w:tr>
      <w:tr>
        <w:trPr>
          <w:trHeight w:val="230"/>
        </w:trPr>
        <w:tc>
          <w:tcPr>
            <w:tcW w:w="36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3"/>
              </w:rPr>
              <w:t>générale.</w:t>
            </w:r>
          </w:p>
        </w:tc>
        <w:tc>
          <w:tcPr>
            <w:tcW w:w="4820" w:type="dxa"/>
            <w:vAlign w:val="bottom"/>
            <w:tcBorders>
              <w:right w:val="single" w:sz="8" w:color="auto"/>
            </w:tcBorders>
          </w:tcPr>
          <w:p>
            <w:pPr>
              <w:spacing w:after="0"/>
              <w:rPr>
                <w:sz w:val="20"/>
                <w:szCs w:val="20"/>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912"/>
        </w:trPr>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r>
    </w:tbl>
    <w:p>
      <w:pPr>
        <w:sectPr>
          <w:pgSz w:w="11900" w:h="16838" w:orient="portrait"/>
          <w:cols w:equalWidth="0" w:num="1">
            <w:col w:w="11420"/>
          </w:cols>
          <w:pgMar w:left="240" w:top="930" w:right="23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Art. 19</w:t>
            </w:r>
          </w:p>
        </w:tc>
        <w:tc>
          <w:tcPr>
            <w:tcW w:w="46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Independent Proxy</w:t>
            </w:r>
          </w:p>
        </w:tc>
        <w:tc>
          <w:tcPr>
            <w:tcW w:w="22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Art. 19</w:t>
            </w:r>
          </w:p>
        </w:tc>
        <w:tc>
          <w:tcPr>
            <w:tcW w:w="49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Représentant indépendant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 Independent Proxy shall be elected by the Ordinary General Meeting</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Le représentant indépendant est élu par l'assemblée générale ordinaire pour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for a term of one year until the end of the next Ordinary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une durée d'un an jusqu'à la fin de la prochaine assemblée générale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Re-election is permitted. The Independent Proxy informs the Company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ordinaire. Une réélection est possible. Le représentant indépendant informe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about number, type, par value and category of the represented shares.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la société sur le nombre, le type, la valeur nominale et la catégorie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Chairman of the Board discloses the information to the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actions représentées. Le président du conseil d'administration communique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The other duties of the Independent Proxy are determined by the applicable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ces informations à l'assemblée générale. Les autres fonctions du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statutory provisions.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représentant indépendant sont déterminées par les dispositions statutaires</w:t>
            </w:r>
          </w:p>
        </w:tc>
      </w:tr>
      <w:tr>
        <w:trPr>
          <w:trHeight w:val="230"/>
        </w:trPr>
        <w:tc>
          <w:tcPr>
            <w:tcW w:w="98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applicables.</w:t>
            </w:r>
          </w:p>
        </w:tc>
      </w:tr>
      <w:tr>
        <w:trPr>
          <w:trHeight w:val="27"/>
        </w:trPr>
        <w:tc>
          <w:tcPr>
            <w:tcW w:w="980" w:type="dxa"/>
            <w:vAlign w:val="bottom"/>
            <w:tcBorders>
              <w:left w:val="single" w:sz="8" w:color="auto"/>
              <w:bottom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9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V.</w:t>
            </w:r>
          </w:p>
        </w:tc>
        <w:tc>
          <w:tcPr>
            <w:tcW w:w="46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BOARD OF DIRECTORS</w:t>
            </w:r>
          </w:p>
        </w:tc>
        <w:tc>
          <w:tcPr>
            <w:tcW w:w="220" w:type="dxa"/>
            <w:vAlign w:val="bottom"/>
            <w:tcBorders>
              <w:right w:val="single" w:sz="8" w:color="auto"/>
            </w:tcBorders>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V.</w:t>
            </w:r>
          </w:p>
        </w:tc>
        <w:tc>
          <w:tcPr>
            <w:tcW w:w="492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CONSEIL D'ADMINISTRATION</w:t>
            </w:r>
          </w:p>
        </w:tc>
      </w:tr>
      <w:tr>
        <w:trPr>
          <w:trHeight w:val="203"/>
        </w:trPr>
        <w:tc>
          <w:tcPr>
            <w:tcW w:w="980" w:type="dxa"/>
            <w:vAlign w:val="bottom"/>
            <w:tcBorders>
              <w:left w:val="single" w:sz="8" w:color="auto"/>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920" w:type="dxa"/>
            <w:vAlign w:val="bottom"/>
            <w:tcBorders>
              <w:bottom w:val="single" w:sz="8" w:color="auto"/>
              <w:right w:val="single" w:sz="8" w:color="auto"/>
            </w:tcBorders>
          </w:tcPr>
          <w:p>
            <w:pPr>
              <w:spacing w:after="0"/>
              <w:rPr>
                <w:sz w:val="17"/>
                <w:szCs w:val="17"/>
                <w:color w:val="auto"/>
              </w:rPr>
            </w:pPr>
          </w:p>
        </w:tc>
      </w:tr>
      <w:tr>
        <w:trPr>
          <w:trHeight w:val="237"/>
        </w:trPr>
        <w:tc>
          <w:tcPr>
            <w:tcW w:w="9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20</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Number of Members, Term of Office</w:t>
            </w:r>
          </w:p>
        </w:tc>
        <w:tc>
          <w:tcPr>
            <w:tcW w:w="220" w:type="dxa"/>
            <w:vAlign w:val="bottom"/>
            <w:tcBorders>
              <w:right w:val="single" w:sz="8" w:color="auto"/>
            </w:tcBorders>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Art. 20</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Nombre de membres, durée de la fonction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consist of at least 3 and not more than 9</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Le conseil d'administration se compose d'au minimum 3 et au maximum 9</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members. The chairman and the members of the Board of Directors are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membres. Le président et les membres du conseil d'administration sont élus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individually elected by the General Meeting for a term of one year until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individuellement par l'assemblée générale pour un mandat d'un an jusqu'à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end of the next Ordinary General Meeting, provided that he/she does not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fin de la prochaine assemblée générale ordinaire, à condition qu'il/elle ne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resign or is not replaced during his term.</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démissionne pas ou ne soit pas remplacé(e) durant son mandat.</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members of the Board of Directors may be re-elected without</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Les membres du conseil d'administration peuvent être réélus sans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limitation. The maximum age limit of members of the Board shall be 75</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limitation. La limite d’âge des membres du conseil d'administration est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years. When a member of the Board of Directors reaches this age limit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fixée à 75 ans. Lorsqu'un membre du conseil d'administration atteint cette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during his term of office, such term shall automatically extend to the next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limite d'âge durant son mandat, ledit mandat sera automatiquement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ordinary shareholders' meeting. The shareholders' meeting may resolve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prolongé jusqu'à la prochaine assemblée générale ordinaire. L'assemblée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grant an exception to the age limit.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générale des actionnaires peut décider d'accorder une dérogation à la limite</w:t>
            </w:r>
          </w:p>
        </w:tc>
      </w:tr>
      <w:tr>
        <w:trPr>
          <w:trHeight w:val="230"/>
        </w:trPr>
        <w:tc>
          <w:tcPr>
            <w:tcW w:w="980" w:type="dxa"/>
            <w:vAlign w:val="bottom"/>
            <w:tcBorders>
              <w:left w:val="single" w:sz="8" w:color="auto"/>
            </w:tcBorders>
          </w:tcPr>
          <w:p>
            <w:pPr>
              <w:spacing w:after="0"/>
              <w:rPr>
                <w:sz w:val="20"/>
                <w:szCs w:val="20"/>
                <w:color w:val="auto"/>
              </w:rPr>
            </w:pPr>
          </w:p>
        </w:tc>
        <w:tc>
          <w:tcPr>
            <w:tcW w:w="46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d'âge.</w:t>
            </w:r>
          </w:p>
        </w:tc>
        <w:tc>
          <w:tcPr>
            <w:tcW w:w="4920" w:type="dxa"/>
            <w:vAlign w:val="bottom"/>
            <w:tcBorders>
              <w:right w:val="single" w:sz="8" w:color="auto"/>
            </w:tcBorders>
          </w:tcPr>
          <w:p>
            <w:pPr>
              <w:spacing w:after="0"/>
              <w:rPr>
                <w:sz w:val="20"/>
                <w:szCs w:val="20"/>
                <w:color w:val="auto"/>
              </w:rPr>
            </w:pPr>
          </w:p>
        </w:tc>
      </w:tr>
      <w:tr>
        <w:trPr>
          <w:trHeight w:val="27"/>
        </w:trPr>
        <w:tc>
          <w:tcPr>
            <w:tcW w:w="980" w:type="dxa"/>
            <w:vAlign w:val="bottom"/>
            <w:tcBorders>
              <w:left w:val="single" w:sz="8" w:color="auto"/>
              <w:bottom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9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21</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Constitution</w:t>
            </w:r>
          </w:p>
        </w:tc>
        <w:tc>
          <w:tcPr>
            <w:tcW w:w="220" w:type="dxa"/>
            <w:vAlign w:val="bottom"/>
            <w:tcBorders>
              <w:right w:val="single" w:sz="8" w:color="auto"/>
            </w:tcBorders>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Art. 21</w:t>
            </w:r>
          </w:p>
        </w:tc>
        <w:tc>
          <w:tcPr>
            <w:tcW w:w="4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Constitution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Subject to the powers of the General Meeting, the Board of Directors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determines its own organization. It appoints a Secretary who needs not be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d'administration détermine sa propre organisation. Il nomme un secrétaire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member of the Board of Directors.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qui ne doit pas nécessairement être un membre du conseil d'administration.</w:t>
            </w:r>
          </w:p>
        </w:tc>
      </w:tr>
      <w:tr>
        <w:trPr>
          <w:trHeight w:val="243"/>
        </w:trPr>
        <w:tc>
          <w:tcPr>
            <w:tcW w:w="980" w:type="dxa"/>
            <w:vAlign w:val="bottom"/>
            <w:tcBorders>
              <w:left w:val="single" w:sz="8" w:color="auto"/>
              <w:bottom w:val="single" w:sz="8" w:color="auto"/>
            </w:tcBorders>
          </w:tcPr>
          <w:p>
            <w:pPr>
              <w:spacing w:after="0"/>
              <w:rPr>
                <w:sz w:val="21"/>
                <w:szCs w:val="21"/>
                <w:color w:val="auto"/>
              </w:rPr>
            </w:pPr>
          </w:p>
        </w:tc>
        <w:tc>
          <w:tcPr>
            <w:tcW w:w="46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r>
      <w:tr>
        <w:trPr>
          <w:trHeight w:val="237"/>
        </w:trPr>
        <w:tc>
          <w:tcPr>
            <w:tcW w:w="9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22</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Function, Organization</w:t>
            </w:r>
          </w:p>
        </w:tc>
        <w:tc>
          <w:tcPr>
            <w:tcW w:w="220" w:type="dxa"/>
            <w:vAlign w:val="bottom"/>
            <w:tcBorders>
              <w:right w:val="single" w:sz="8" w:color="auto"/>
            </w:tcBorders>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Art. 22</w:t>
            </w:r>
          </w:p>
        </w:tc>
        <w:tc>
          <w:tcPr>
            <w:tcW w:w="4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Fonction, organisation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It is the Board of Director's duty to lead the Company and to supervise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Le conseil d'administration exerce la direction de la société et en supervise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management. The Board of Director represents the Company and may take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la gestion. Le conseil d'administration représente la société et peut prendre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decisions on all affairs which are not assigned to any other body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les décisions sur toutes les affaires qui ne sont pas attribuées à un autre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by law, the Articles of Association or the organizational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organe de la société par la loi, les statuts ou le règlement d'organisation.</w:t>
            </w:r>
          </w:p>
        </w:tc>
      </w:tr>
      <w:tr>
        <w:trPr>
          <w:trHeight w:val="230"/>
        </w:trPr>
        <w:tc>
          <w:tcPr>
            <w:tcW w:w="9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6"/>
              </w:rPr>
              <w:t>regulations.</w:t>
            </w:r>
          </w:p>
        </w:tc>
        <w:tc>
          <w:tcPr>
            <w:tcW w:w="46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920" w:type="dxa"/>
            <w:vAlign w:val="bottom"/>
            <w:tcBorders>
              <w:right w:val="single" w:sz="8" w:color="auto"/>
            </w:tcBorders>
          </w:tcPr>
          <w:p>
            <w:pPr>
              <w:spacing w:after="0"/>
              <w:rPr>
                <w:sz w:val="20"/>
                <w:szCs w:val="20"/>
                <w:color w:val="auto"/>
              </w:rPr>
            </w:pP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enact the organizational regulations and</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Le conseil d'administration édicte le règlement d'organisation et s'occupe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arrange for the appropriate contractual relationships.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des relations contractuelles appropriées.</w:t>
            </w:r>
          </w:p>
        </w:tc>
      </w:tr>
      <w:tr>
        <w:trPr>
          <w:trHeight w:val="27"/>
        </w:trPr>
        <w:tc>
          <w:tcPr>
            <w:tcW w:w="980" w:type="dxa"/>
            <w:vAlign w:val="bottom"/>
            <w:tcBorders>
              <w:left w:val="single" w:sz="8" w:color="auto"/>
              <w:bottom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9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23</w:t>
            </w:r>
          </w:p>
        </w:tc>
        <w:tc>
          <w:tcPr>
            <w:tcW w:w="464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Powers</w:t>
            </w:r>
          </w:p>
        </w:tc>
        <w:tc>
          <w:tcPr>
            <w:tcW w:w="220" w:type="dxa"/>
            <w:vAlign w:val="bottom"/>
            <w:tcBorders>
              <w:right w:val="single" w:sz="8" w:color="auto"/>
            </w:tcBorders>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Art. 23</w:t>
            </w:r>
          </w:p>
        </w:tc>
        <w:tc>
          <w:tcPr>
            <w:tcW w:w="49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Pouvoirs</w:t>
            </w:r>
          </w:p>
        </w:tc>
      </w:tr>
      <w:tr>
        <w:trPr>
          <w:trHeight w:val="43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has the following non-delegable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Le conseil d'administration a les attributions</w:t>
            </w:r>
          </w:p>
        </w:tc>
      </w:tr>
      <w:tr>
        <w:trPr>
          <w:trHeight w:val="243"/>
        </w:trPr>
        <w:tc>
          <w:tcPr>
            <w:tcW w:w="980" w:type="dxa"/>
            <w:vAlign w:val="bottom"/>
            <w:tcBorders>
              <w:left w:val="single" w:sz="8" w:color="auto"/>
              <w:bottom w:val="single" w:sz="8" w:color="auto"/>
            </w:tcBorders>
          </w:tcPr>
          <w:p>
            <w:pPr>
              <w:spacing w:after="0"/>
              <w:rPr>
                <w:sz w:val="21"/>
                <w:szCs w:val="21"/>
                <w:color w:val="auto"/>
              </w:rPr>
            </w:pPr>
          </w:p>
        </w:tc>
        <w:tc>
          <w:tcPr>
            <w:tcW w:w="46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920" w:type="dxa"/>
            <w:vAlign w:val="bottom"/>
            <w:tcBorders>
              <w:bottom w:val="single" w:sz="8" w:color="auto"/>
              <w:right w:val="single" w:sz="8" w:color="auto"/>
            </w:tcBorders>
          </w:tcPr>
          <w:p>
            <w:pPr>
              <w:spacing w:after="0"/>
              <w:rPr>
                <w:sz w:val="21"/>
                <w:szCs w:val="21"/>
                <w:color w:val="auto"/>
              </w:rPr>
            </w:pPr>
          </w:p>
        </w:tc>
      </w:tr>
      <w:tr>
        <w:trPr>
          <w:trHeight w:val="669"/>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4460"/>
              <w:spacing w:after="0"/>
              <w:rPr>
                <w:sz w:val="20"/>
                <w:szCs w:val="20"/>
                <w:color w:val="auto"/>
              </w:rPr>
            </w:pPr>
            <w:r>
              <w:rPr>
                <w:rFonts w:ascii="Arial" w:cs="Arial" w:eastAsia="Arial" w:hAnsi="Arial"/>
                <w:sz w:val="18"/>
                <w:szCs w:val="18"/>
                <w:color w:val="auto"/>
                <w:w w:val="93"/>
              </w:rPr>
              <w:t>14/26</w:t>
            </w:r>
          </w:p>
        </w:tc>
      </w:tr>
    </w:tbl>
    <w:p>
      <w:pPr>
        <w:sectPr>
          <w:pgSz w:w="11900" w:h="16838" w:orient="portrait"/>
          <w:cols w:equalWidth="0" w:num="1">
            <w:col w:w="11420"/>
          </w:cols>
          <w:pgMar w:left="240" w:top="687" w:right="23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inalienable duties:</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intransmissibles et inaliénables suivantes: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  the overall management of the company and the issuing of all</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exercer la haute direction de la société et établir les instructions</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necessary directives;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nécessaires;</w:t>
            </w: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determination of the company's organisation;</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  fixer l'organisation;</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  the organisation of the accounting, financial control and financial</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  fixer les principes de la comptabilité et du contrôle financier ainsi que le</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planning systems as required for management of the company;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plan financier pour autant que celui-ci soit nécessaire à la gestion de la</w:t>
            </w:r>
          </w:p>
        </w:tc>
      </w:tr>
      <w:tr>
        <w:trPr>
          <w:trHeight w:val="230"/>
        </w:trPr>
        <w:tc>
          <w:tcPr>
            <w:tcW w:w="860" w:type="dxa"/>
            <w:vAlign w:val="bottom"/>
            <w:tcBorders>
              <w:left w:val="single" w:sz="8" w:color="auto"/>
            </w:tcBorders>
          </w:tcPr>
          <w:p>
            <w:pPr>
              <w:spacing w:after="0"/>
              <w:rPr>
                <w:sz w:val="20"/>
                <w:szCs w:val="20"/>
                <w:color w:val="auto"/>
              </w:rPr>
            </w:pPr>
          </w:p>
        </w:tc>
        <w:tc>
          <w:tcPr>
            <w:tcW w:w="47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société;</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d)  the appointment and dismissal of persons entrusted with managing and</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d)  nommer et révoquer les personnes chargées de la gestion et de la</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representing 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représentation;</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  overall supervision of the persons entrusted with managing the</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e)  exercer la haute surveillance sur les personnes chargées de la gestion</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4"/>
              </w:rPr>
              <w:t>company, in particular with regard to compliance with the law, articles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pour s'assurer notamment qu'elles observent la loi, les statuts, les</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of association, operational regulations and directives;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règlements et les instructions données;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f)  compilation of the annual report, preparation for the general meeting</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f)  établir le rapport de gestion, préparer l'assemblée générale et exécuter</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and implementation of its resolutions;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ses décisions;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g)  the preparation of the compensation report and to request approval by</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g)  la préparation du rapport de rémunération et de demander l'approbation</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3"/>
              </w:rPr>
              <w:t>the General Meeting regarding compensation of the Board of Directors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par l'assemblée générale en ce qui concerne la rémunération du conseil</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and the Executive Committee;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d'administration et du comité exécutif; et</w:t>
            </w:r>
          </w:p>
        </w:tc>
      </w:tr>
      <w:tr>
        <w:trPr>
          <w:trHeight w:val="270"/>
        </w:trPr>
        <w:tc>
          <w:tcPr>
            <w:tcW w:w="562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h) notification of the court in the event that the company is overindebted.</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  informer le juge en cas de surendettement.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may assign responsibility for preparing and</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Le conseil d'administration peut déléguer à un ou plusieurs membres,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implementing its resolutions or monitoring transactions to committees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regroupés en comités, la charge de préparer et d'exécuter ses décisions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individual members. It must ensure appropriate reporting to its members.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 surveiller certaines affaires. Il veille à ce que ses membres soient</w:t>
            </w:r>
          </w:p>
        </w:tc>
      </w:tr>
      <w:tr>
        <w:trPr>
          <w:trHeight w:val="230"/>
        </w:trPr>
        <w:tc>
          <w:tcPr>
            <w:tcW w:w="860" w:type="dxa"/>
            <w:vAlign w:val="bottom"/>
            <w:tcBorders>
              <w:left w:val="single" w:sz="8" w:color="auto"/>
            </w:tcBorders>
          </w:tcPr>
          <w:p>
            <w:pPr>
              <w:spacing w:after="0"/>
              <w:rPr>
                <w:sz w:val="20"/>
                <w:szCs w:val="20"/>
                <w:color w:val="auto"/>
              </w:rPr>
            </w:pPr>
          </w:p>
        </w:tc>
        <w:tc>
          <w:tcPr>
            <w:tcW w:w="47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convenablement informés.</w:t>
            </w:r>
          </w:p>
        </w:tc>
      </w:tr>
      <w:tr>
        <w:trPr>
          <w:trHeight w:val="27"/>
        </w:trPr>
        <w:tc>
          <w:tcPr>
            <w:tcW w:w="860" w:type="dxa"/>
            <w:vAlign w:val="bottom"/>
            <w:tcBorders>
              <w:left w:val="single" w:sz="8" w:color="auto"/>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24</w:t>
            </w:r>
          </w:p>
        </w:tc>
        <w:tc>
          <w:tcPr>
            <w:tcW w:w="47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Representation of 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24  Représentation de la société</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The Board of Directors shall assign the persons with signatory power for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Le conseil d'administration nomme les personnes pouvant représenter la</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and the kind of signatory power.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 ainsi que le mode de signature.</w:t>
            </w:r>
          </w:p>
        </w:tc>
      </w:tr>
      <w:tr>
        <w:trPr>
          <w:trHeight w:val="243"/>
        </w:trPr>
        <w:tc>
          <w:tcPr>
            <w:tcW w:w="860" w:type="dxa"/>
            <w:vAlign w:val="bottom"/>
            <w:tcBorders>
              <w:left w:val="single" w:sz="8" w:color="auto"/>
              <w:bottom w:val="single" w:sz="8" w:color="auto"/>
            </w:tcBorders>
          </w:tcPr>
          <w:p>
            <w:pPr>
              <w:spacing w:after="0"/>
              <w:rPr>
                <w:sz w:val="21"/>
                <w:szCs w:val="21"/>
                <w:color w:val="auto"/>
              </w:rPr>
            </w:pPr>
          </w:p>
        </w:tc>
        <w:tc>
          <w:tcPr>
            <w:tcW w:w="476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237"/>
        </w:trPr>
        <w:tc>
          <w:tcPr>
            <w:tcW w:w="86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25</w:t>
            </w:r>
          </w:p>
        </w:tc>
        <w:tc>
          <w:tcPr>
            <w:tcW w:w="47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Delegation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25  Délégation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Moreover, the Board of Directors is authorized to delegate, in part or</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entirely, the management and the representation of the Company, within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déléguer, en partie ou entièrement, la gestion et la représentation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limits of the law, to one or more individual directors (Delegates) or to third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 à un ou plusieurs administrateurs (délégués) ou à des tiers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parties pursuant to organizational regulations.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conformément au règlement d'organisation.</w:t>
            </w:r>
          </w:p>
        </w:tc>
      </w:tr>
      <w:tr>
        <w:trPr>
          <w:trHeight w:val="243"/>
        </w:trPr>
        <w:tc>
          <w:tcPr>
            <w:tcW w:w="860" w:type="dxa"/>
            <w:vAlign w:val="bottom"/>
            <w:tcBorders>
              <w:left w:val="single" w:sz="8" w:color="auto"/>
              <w:bottom w:val="single" w:sz="8" w:color="auto"/>
            </w:tcBorders>
          </w:tcPr>
          <w:p>
            <w:pPr>
              <w:spacing w:after="0"/>
              <w:rPr>
                <w:sz w:val="21"/>
                <w:szCs w:val="21"/>
                <w:color w:val="auto"/>
              </w:rPr>
            </w:pPr>
          </w:p>
        </w:tc>
        <w:tc>
          <w:tcPr>
            <w:tcW w:w="476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237"/>
        </w:trPr>
        <w:tc>
          <w:tcPr>
            <w:tcW w:w="86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26</w:t>
            </w:r>
          </w:p>
        </w:tc>
        <w:tc>
          <w:tcPr>
            <w:tcW w:w="47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Meetings, Resolutions and Minutes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The organization of the meetings, the presence quorum and the passing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L'organisation des réunions, le quorum de présence et l'adoption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resolutions of the Board of Directors is determined by the organizational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décisions du conseil d'administration sont prévus dans le règlement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regulations. No presence quorum is required for the approval of the capital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d'organisation. Aucun quorum de présence n'est nécessaire pour</w:t>
            </w:r>
          </w:p>
        </w:tc>
      </w:tr>
      <w:tr>
        <w:trPr>
          <w:trHeight w:val="230"/>
        </w:trPr>
        <w:tc>
          <w:tcPr>
            <w:tcW w:w="8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increase.</w:t>
            </w:r>
          </w:p>
        </w:tc>
        <w:tc>
          <w:tcPr>
            <w:tcW w:w="47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l'approbation d'un rapport d'augmentation de capital.</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Resolutions may be passed via telephone or videoconference. Resolutions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Les décisions peuvent être prises par téléphone ou par vidéoconférence. Les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may also be passed by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décisions peuvent également être</w:t>
            </w:r>
          </w:p>
        </w:tc>
      </w:tr>
      <w:tr>
        <w:trPr>
          <w:trHeight w:val="27"/>
        </w:trPr>
        <w:tc>
          <w:tcPr>
            <w:tcW w:w="860" w:type="dxa"/>
            <w:vAlign w:val="bottom"/>
            <w:tcBorders>
              <w:left w:val="single" w:sz="8" w:color="auto"/>
              <w:bottom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669"/>
        </w:trPr>
        <w:tc>
          <w:tcPr>
            <w:tcW w:w="8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15/26</w:t>
            </w:r>
          </w:p>
        </w:tc>
      </w:tr>
    </w:tbl>
    <w:p>
      <w:pPr>
        <w:sectPr>
          <w:pgSz w:w="11900" w:h="16838" w:orient="portrait"/>
          <w:cols w:equalWidth="0" w:num="1">
            <w:col w:w="11420"/>
          </w:cols>
          <w:pgMar w:left="240" w:top="930" w:right="23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3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way of circulation, provided that no member requests oral deliberation.</w:t>
            </w:r>
          </w:p>
        </w:tc>
        <w:tc>
          <w:tcPr>
            <w:tcW w:w="780" w:type="dxa"/>
            <w:vAlign w:val="bottom"/>
            <w:tcBorders>
              <w:top w:val="single" w:sz="8" w:color="auto"/>
              <w:right w:val="single" w:sz="8" w:color="auto"/>
            </w:tcBorders>
          </w:tcPr>
          <w:p>
            <w:pPr>
              <w:spacing w:after="0"/>
              <w:rPr>
                <w:sz w:val="21"/>
                <w:szCs w:val="21"/>
                <w:color w:val="auto"/>
              </w:rPr>
            </w:pPr>
          </w:p>
        </w:tc>
        <w:tc>
          <w:tcPr>
            <w:tcW w:w="5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prises par voie de circulation, à condition qu'aucun membre ne demande</w:t>
            </w:r>
          </w:p>
        </w:tc>
      </w:tr>
      <w:tr>
        <w:trPr>
          <w:trHeight w:val="230"/>
        </w:trPr>
        <w:tc>
          <w:tcPr>
            <w:tcW w:w="940" w:type="dxa"/>
            <w:vAlign w:val="bottom"/>
            <w:tcBorders>
              <w:lef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une délibération orale.</w:t>
            </w:r>
          </w:p>
        </w:tc>
      </w:tr>
      <w:tr>
        <w:trPr>
          <w:trHeight w:val="27"/>
        </w:trPr>
        <w:tc>
          <w:tcPr>
            <w:tcW w:w="5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Minutes are kept of the board's discussions and resolutions and signed</w:t>
            </w:r>
          </w:p>
        </w:tc>
        <w:tc>
          <w:tcPr>
            <w:tcW w:w="780" w:type="dxa"/>
            <w:vAlign w:val="bottom"/>
            <w:tcBorders>
              <w:right w:val="single" w:sz="8" w:color="auto"/>
            </w:tcBorders>
          </w:tcPr>
          <w:p>
            <w:pPr>
              <w:spacing w:after="0"/>
              <w:rPr>
                <w:sz w:val="19"/>
                <w:szCs w:val="19"/>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by the chairman and the minute-taker.</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consignées dans un procès-verbal signé par le président et le rédacteur</w:t>
            </w:r>
          </w:p>
        </w:tc>
      </w:tr>
      <w:tr>
        <w:trPr>
          <w:trHeight w:val="230"/>
        </w:trPr>
        <w:tc>
          <w:tcPr>
            <w:tcW w:w="940" w:type="dxa"/>
            <w:vAlign w:val="bottom"/>
            <w:tcBorders>
              <w:left w:val="single" w:sz="8" w:color="auto"/>
            </w:tcBorders>
          </w:tcPr>
          <w:p>
            <w:pPr>
              <w:spacing w:after="0"/>
              <w:rPr>
                <w:sz w:val="20"/>
                <w:szCs w:val="20"/>
                <w:color w:val="auto"/>
              </w:rPr>
            </w:pPr>
          </w:p>
        </w:tc>
        <w:tc>
          <w:tcPr>
            <w:tcW w:w="43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 procès-verbal.</w:t>
            </w:r>
          </w:p>
        </w:tc>
      </w:tr>
      <w:tr>
        <w:trPr>
          <w:trHeight w:val="27"/>
        </w:trPr>
        <w:tc>
          <w:tcPr>
            <w:tcW w:w="940" w:type="dxa"/>
            <w:vAlign w:val="bottom"/>
            <w:tcBorders>
              <w:left w:val="single" w:sz="8" w:color="auto"/>
              <w:bottom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27</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Right to information and inspection</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418"/>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Any member of the board of directors may request information on any</w:t>
            </w:r>
          </w:p>
        </w:tc>
        <w:tc>
          <w:tcPr>
            <w:tcW w:w="7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Chaque membre du conseil d'administration a le droit d'obtenir des</w:t>
            </w:r>
          </w:p>
        </w:tc>
      </w:tr>
      <w:tr>
        <w:trPr>
          <w:trHeight w:val="230"/>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business.</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renseignements sur toutes les affaires de la société.</w:t>
            </w:r>
          </w:p>
        </w:tc>
      </w:tr>
      <w:tr>
        <w:trPr>
          <w:trHeight w:val="243"/>
        </w:trPr>
        <w:tc>
          <w:tcPr>
            <w:tcW w:w="53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5320" w:type="dxa"/>
            <w:vAlign w:val="bottom"/>
            <w:tcBorders>
              <w:bottom w:val="single" w:sz="8" w:color="auto"/>
              <w:right w:val="single" w:sz="8" w:color="auto"/>
            </w:tcBorders>
          </w:tcPr>
          <w:p>
            <w:pPr>
              <w:spacing w:after="0"/>
              <w:rPr>
                <w:sz w:val="21"/>
                <w:szCs w:val="21"/>
                <w:color w:val="auto"/>
              </w:rPr>
            </w:pPr>
          </w:p>
        </w:tc>
      </w:tr>
      <w:tr>
        <w:trPr>
          <w:trHeight w:val="222"/>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Outside meetings, any member may request information from the</w:t>
            </w:r>
          </w:p>
        </w:tc>
        <w:tc>
          <w:tcPr>
            <w:tcW w:w="780" w:type="dxa"/>
            <w:vAlign w:val="bottom"/>
            <w:tcBorders>
              <w:right w:val="single" w:sz="8" w:color="auto"/>
            </w:tcBorders>
          </w:tcPr>
          <w:p>
            <w:pPr>
              <w:spacing w:after="0"/>
              <w:rPr>
                <w:sz w:val="19"/>
                <w:szCs w:val="19"/>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En dehors des séances, chaque membre du conseil d'administration peut</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persons entrusted with managing the company's business concerning</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exiger des personnes chargées de la gestion des renseignements sur la</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company's business performance and, with the chairman's</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marche de l'entreprise et, avec l'autorisation du président, sur des</w:t>
            </w:r>
          </w:p>
        </w:tc>
      </w:tr>
      <w:tr>
        <w:trPr>
          <w:trHeight w:val="230"/>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authorisation, specific transactions.</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affaires déterminées.</w:t>
            </w:r>
          </w:p>
        </w:tc>
      </w:tr>
      <w:tr>
        <w:trPr>
          <w:trHeight w:val="27"/>
        </w:trPr>
        <w:tc>
          <w:tcPr>
            <w:tcW w:w="5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Where required for the performance of his duties, any member may</w:t>
            </w:r>
          </w:p>
        </w:tc>
        <w:tc>
          <w:tcPr>
            <w:tcW w:w="780" w:type="dxa"/>
            <w:vAlign w:val="bottom"/>
            <w:tcBorders>
              <w:right w:val="single" w:sz="8" w:color="auto"/>
            </w:tcBorders>
          </w:tcPr>
          <w:p>
            <w:pPr>
              <w:spacing w:after="0"/>
              <w:rPr>
                <w:sz w:val="19"/>
                <w:szCs w:val="19"/>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7"/>
              </w:rPr>
              <w:t>Dans la mesure où cela est nécessaire à l'accomplissement de ses tâches,</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request the chairman to have books of account and documents made</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chaque membre du conseil d'administration peut demander au président</w:t>
            </w:r>
          </w:p>
        </w:tc>
      </w:tr>
      <w:tr>
        <w:trPr>
          <w:trHeight w:val="230"/>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available to him for inspection.</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production des livres ou des dossiers.</w:t>
            </w:r>
          </w:p>
        </w:tc>
      </w:tr>
      <w:tr>
        <w:trPr>
          <w:trHeight w:val="27"/>
        </w:trPr>
        <w:tc>
          <w:tcPr>
            <w:tcW w:w="5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22"/>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If the chairman refuses a request for information, a request to be heard</w:t>
            </w:r>
          </w:p>
        </w:tc>
        <w:tc>
          <w:tcPr>
            <w:tcW w:w="780" w:type="dxa"/>
            <w:vAlign w:val="bottom"/>
            <w:tcBorders>
              <w:right w:val="single" w:sz="8" w:color="auto"/>
            </w:tcBorders>
          </w:tcPr>
          <w:p>
            <w:pPr>
              <w:spacing w:after="0"/>
              <w:rPr>
                <w:sz w:val="19"/>
                <w:szCs w:val="19"/>
                <w:color w:val="auto"/>
              </w:rPr>
            </w:pPr>
          </w:p>
        </w:tc>
        <w:tc>
          <w:tcPr>
            <w:tcW w:w="5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Si le président rejette une demande de renseignement, d'audition ou de</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or an application to inspect documents, the board of directors rules on</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consultation, le conseil d'administration tranche.</w:t>
            </w:r>
          </w:p>
        </w:tc>
      </w:tr>
      <w:tr>
        <w:trPr>
          <w:trHeight w:val="230"/>
        </w:trPr>
        <w:tc>
          <w:tcPr>
            <w:tcW w:w="9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the matter.</w:t>
            </w:r>
          </w:p>
        </w:tc>
        <w:tc>
          <w:tcPr>
            <w:tcW w:w="43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spacing w:after="0"/>
              <w:rPr>
                <w:sz w:val="20"/>
                <w:szCs w:val="20"/>
                <w:color w:val="auto"/>
              </w:rPr>
            </w:pPr>
          </w:p>
        </w:tc>
      </w:tr>
      <w:tr>
        <w:trPr>
          <w:trHeight w:val="27"/>
        </w:trPr>
        <w:tc>
          <w:tcPr>
            <w:tcW w:w="940" w:type="dxa"/>
            <w:vAlign w:val="bottom"/>
            <w:tcBorders>
              <w:left w:val="single" w:sz="8" w:color="auto"/>
              <w:bottom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28</w:t>
            </w:r>
          </w:p>
        </w:tc>
        <w:tc>
          <w:tcPr>
            <w:tcW w:w="43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Compensation Committee</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28  Comité de rémunération</w:t>
            </w:r>
          </w:p>
        </w:tc>
      </w:tr>
      <w:tr>
        <w:trPr>
          <w:trHeight w:val="418"/>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The Compensation Committee shall comprise at least 2 members. The</w:t>
            </w:r>
          </w:p>
        </w:tc>
        <w:tc>
          <w:tcPr>
            <w:tcW w:w="78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Le comité de rémunération se compose d'au moins 2 membres. Les</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members of the Compensation Committee shall be individually elected</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membres du comité de rémunération sont élus par l'assemblée générale</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by the Ordinary General Meeting from among the members of the</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ordinaire parmi les membres du conseil d'administration pour un mandat</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Board of Directors for a term of one year until the next Ordinary</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d'un an jusqu'à la prochaine assemblée générale ordinaire. Une</w:t>
            </w:r>
          </w:p>
        </w:tc>
      </w:tr>
      <w:tr>
        <w:trPr>
          <w:trHeight w:val="21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General Meeting. Re-election is permitted. The Compensation</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réélection est possible. Le comité de rémunération a les fonctions</w:t>
            </w:r>
          </w:p>
        </w:tc>
      </w:tr>
      <w:tr>
        <w:trPr>
          <w:trHeight w:val="230"/>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Committee has the following duties:</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suivantes:</w:t>
            </w:r>
          </w:p>
        </w:tc>
      </w:tr>
      <w:tr>
        <w:trPr>
          <w:trHeight w:val="25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  to draw up principles for compensation of members of the Board of</w:t>
            </w:r>
          </w:p>
        </w:tc>
        <w:tc>
          <w:tcPr>
            <w:tcW w:w="780" w:type="dxa"/>
            <w:vAlign w:val="bottom"/>
            <w:tcBorders>
              <w:right w:val="single" w:sz="8" w:color="auto"/>
            </w:tcBorders>
          </w:tcPr>
          <w:p>
            <w:pPr>
              <w:spacing w:after="0"/>
              <w:rPr>
                <w:sz w:val="22"/>
                <w:szCs w:val="22"/>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a)  élaborer des principes de rémunération des membres du conseil</w:t>
            </w:r>
          </w:p>
        </w:tc>
      </w:tr>
      <w:tr>
        <w:trPr>
          <w:trHeight w:val="216"/>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4"/>
              </w:rPr>
              <w:t>Directors and the Executive Committee and to submit them to the</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d'administration et du comité exécutif et de les soumettre au conseil</w:t>
            </w:r>
          </w:p>
        </w:tc>
      </w:tr>
      <w:tr>
        <w:trPr>
          <w:trHeight w:val="230"/>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Board of Directors for approval;</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d'administration pour approbation;</w:t>
            </w:r>
          </w:p>
        </w:tc>
      </w:tr>
      <w:tr>
        <w:trPr>
          <w:trHeight w:val="25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b)  to propose to the Board of Directors the resolution to be submitted</w:t>
            </w:r>
          </w:p>
        </w:tc>
        <w:tc>
          <w:tcPr>
            <w:tcW w:w="780" w:type="dxa"/>
            <w:vAlign w:val="bottom"/>
            <w:tcBorders>
              <w:right w:val="single" w:sz="8" w:color="auto"/>
            </w:tcBorders>
          </w:tcPr>
          <w:p>
            <w:pPr>
              <w:spacing w:after="0"/>
              <w:rPr>
                <w:sz w:val="22"/>
                <w:szCs w:val="22"/>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b)  proposer au conseil d'administration la décision sera soumise à</w:t>
            </w:r>
          </w:p>
        </w:tc>
      </w:tr>
      <w:tr>
        <w:trPr>
          <w:trHeight w:val="216"/>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to the Ordinary General Meeting for the maximum total</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l'assemblée générale ordinaire pour la rémunération totale maximale</w:t>
            </w:r>
          </w:p>
        </w:tc>
      </w:tr>
      <w:tr>
        <w:trPr>
          <w:trHeight w:val="230"/>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3"/>
              </w:rPr>
              <w:t>compensation of the Board of Directors and Executive Committee;</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du conseil d'administration et du comité exécutif;</w:t>
            </w:r>
          </w:p>
        </w:tc>
      </w:tr>
      <w:tr>
        <w:trPr>
          <w:trHeight w:val="25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  subject to and within the bounds of the maximum compensation</w:t>
            </w:r>
          </w:p>
        </w:tc>
        <w:tc>
          <w:tcPr>
            <w:tcW w:w="780" w:type="dxa"/>
            <w:vAlign w:val="bottom"/>
            <w:tcBorders>
              <w:right w:val="single" w:sz="8" w:color="auto"/>
            </w:tcBorders>
          </w:tcPr>
          <w:p>
            <w:pPr>
              <w:spacing w:after="0"/>
              <w:rPr>
                <w:sz w:val="22"/>
                <w:szCs w:val="22"/>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  sous réserve et dans les limites de la rémunération maximale</w:t>
            </w:r>
          </w:p>
        </w:tc>
      </w:tr>
      <w:tr>
        <w:trPr>
          <w:trHeight w:val="216"/>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3"/>
              </w:rPr>
              <w:t>approved by the Ordinary General Meeting, to request approval by</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approuvée par l'assemblée générale ordinaire, demander</w:t>
            </w:r>
          </w:p>
        </w:tc>
      </w:tr>
      <w:tr>
        <w:trPr>
          <w:trHeight w:val="216"/>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the Board of Directors of the individual remuneration packages to</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l'approbation du conseil d'administration quant aux paquets de</w:t>
            </w:r>
          </w:p>
        </w:tc>
      </w:tr>
      <w:tr>
        <w:trPr>
          <w:trHeight w:val="216"/>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4"/>
              </w:rPr>
              <w:t>be paid to members of the Board of Directors and members of the</w:t>
            </w:r>
          </w:p>
        </w:tc>
        <w:tc>
          <w:tcPr>
            <w:tcW w:w="780" w:type="dxa"/>
            <w:vAlign w:val="bottom"/>
            <w:tcBorders>
              <w:right w:val="single" w:sz="8" w:color="auto"/>
            </w:tcBorders>
          </w:tcPr>
          <w:p>
            <w:pPr>
              <w:spacing w:after="0"/>
              <w:rPr>
                <w:sz w:val="18"/>
                <w:szCs w:val="18"/>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0"/>
              </w:rPr>
              <w:t>rémunération individuels devant être versés aux membres du conseil</w:t>
            </w:r>
          </w:p>
        </w:tc>
      </w:tr>
      <w:tr>
        <w:trPr>
          <w:trHeight w:val="230"/>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Executive Committee;</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d'administration et aux membres du comité exécutif;</w:t>
            </w:r>
          </w:p>
        </w:tc>
      </w:tr>
      <w:tr>
        <w:trPr>
          <w:trHeight w:val="256"/>
        </w:trPr>
        <w:tc>
          <w:tcPr>
            <w:tcW w:w="53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  to request approval by the Board of Directors regarding the</w:t>
            </w:r>
          </w:p>
        </w:tc>
        <w:tc>
          <w:tcPr>
            <w:tcW w:w="780" w:type="dxa"/>
            <w:vAlign w:val="bottom"/>
            <w:tcBorders>
              <w:right w:val="single" w:sz="8" w:color="auto"/>
            </w:tcBorders>
          </w:tcPr>
          <w:p>
            <w:pPr>
              <w:spacing w:after="0"/>
              <w:rPr>
                <w:sz w:val="22"/>
                <w:szCs w:val="22"/>
                <w:color w:val="auto"/>
              </w:rPr>
            </w:pPr>
          </w:p>
        </w:tc>
        <w:tc>
          <w:tcPr>
            <w:tcW w:w="5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  requérir l'approbation du conseil d'administration sur la fixation</w:t>
            </w:r>
          </w:p>
        </w:tc>
      </w:tr>
      <w:tr>
        <w:trPr>
          <w:trHeight w:val="230"/>
        </w:trPr>
        <w:tc>
          <w:tcPr>
            <w:tcW w:w="53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determination of the compensation-</w:t>
            </w:r>
          </w:p>
        </w:tc>
        <w:tc>
          <w:tcPr>
            <w:tcW w:w="780" w:type="dxa"/>
            <w:vAlign w:val="bottom"/>
            <w:tcBorders>
              <w:right w:val="single" w:sz="8" w:color="auto"/>
            </w:tcBorders>
          </w:tcPr>
          <w:p>
            <w:pPr>
              <w:spacing w:after="0"/>
              <w:rPr>
                <w:sz w:val="20"/>
                <w:szCs w:val="20"/>
                <w:color w:val="auto"/>
              </w:rPr>
            </w:pPr>
          </w:p>
        </w:tc>
        <w:tc>
          <w:tcPr>
            <w:tcW w:w="53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d'objectifs liés à la rémunération</w:t>
            </w:r>
          </w:p>
        </w:tc>
      </w:tr>
      <w:tr>
        <w:trPr>
          <w:trHeight w:val="27"/>
        </w:trPr>
        <w:tc>
          <w:tcPr>
            <w:tcW w:w="940" w:type="dxa"/>
            <w:vAlign w:val="bottom"/>
            <w:tcBorders>
              <w:left w:val="single" w:sz="8" w:color="auto"/>
              <w:bottom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669"/>
        </w:trPr>
        <w:tc>
          <w:tcPr>
            <w:tcW w:w="9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ind w:left="4860"/>
              <w:spacing w:after="0"/>
              <w:rPr>
                <w:sz w:val="20"/>
                <w:szCs w:val="20"/>
                <w:color w:val="auto"/>
              </w:rPr>
            </w:pPr>
            <w:r>
              <w:rPr>
                <w:rFonts w:ascii="Arial" w:cs="Arial" w:eastAsia="Arial" w:hAnsi="Arial"/>
                <w:sz w:val="18"/>
                <w:szCs w:val="18"/>
                <w:color w:val="auto"/>
                <w:w w:val="93"/>
              </w:rPr>
              <w:t>16/26</w:t>
            </w:r>
          </w:p>
        </w:tc>
      </w:tr>
    </w:tbl>
    <w:p>
      <w:pPr>
        <w:sectPr>
          <w:pgSz w:w="11900" w:h="16838" w:orient="portrait"/>
          <w:cols w:equalWidth="0" w:num="1">
            <w:col w:w="11420"/>
          </w:cols>
          <w:pgMar w:left="240" w:top="930" w:right="23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20" w:type="dxa"/>
            <w:vAlign w:val="bottom"/>
            <w:tcBorders>
              <w:top w:val="single" w:sz="8" w:color="auto"/>
              <w:left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related targets for the Executive Committee;</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pour le comité exécutif;</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e)  to request approval by the Board of Directors regarding the adjustments</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e)  requérir l'approbation du conseil d'administration sur les adaptations</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to the Articles of Association relating to remuneration;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des statuts relatives à la rémunération; et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   to prepare the Compensation Report and submit it to the Board of</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   préparer le rapport de rémunération et de le soumettre au conseil</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Directors.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d'administration.</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 Board of Directors shall set out any further duties and responsibilities</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Le conseil d'administration fixe toutes les autres fonctions et responsabilités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vested on the Compensation Committee in the Company's Organizational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dévolues au comité de rémunération dans le règlement d'organisation de la</w:t>
            </w:r>
          </w:p>
        </w:tc>
      </w:tr>
      <w:tr>
        <w:trPr>
          <w:trHeight w:val="230"/>
        </w:trPr>
        <w:tc>
          <w:tcPr>
            <w:tcW w:w="8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Rules.</w:t>
            </w: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w:t>
            </w:r>
          </w:p>
        </w:tc>
      </w:tr>
      <w:tr>
        <w:trPr>
          <w:trHeight w:val="27"/>
        </w:trPr>
        <w:tc>
          <w:tcPr>
            <w:tcW w:w="820" w:type="dxa"/>
            <w:vAlign w:val="bottom"/>
            <w:tcBorders>
              <w:left w:val="single" w:sz="8" w:color="auto"/>
              <w:bottom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7"/>
        </w:trPr>
        <w:tc>
          <w:tcPr>
            <w:tcW w:w="8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29</w:t>
            </w:r>
          </w:p>
        </w:tc>
        <w:tc>
          <w:tcPr>
            <w:tcW w:w="4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Indemnification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29  Indemnisation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As far as is permissible under applicable law, the Company shall indemnify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Dans la mesure permise par la loi applicable, la société indemnisera tout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any current or former member of the Board of Directors, former members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membre actuel ou ancien du conseil d'administration, les anciens membres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of the Executive Committee, or any person who is serving or has served at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du comité exécutif, ou toute personne qui sert ou a servi à la demande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the request of the Company as a member of the Board of Directors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société en tant que membre du conseil d'administration ou membre du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member of the Executive Committee (each individually, a "Covered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comité exécutif (chacun individuellement, une "Personne Couverte"), pour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Person"), against any expenses, including attorneys' fees, judgments, fines,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toutes les dépenses, y compris les honoraires d'avocat, jugements, amendes,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and amounts paid in settlement actually and reasonably incurred by him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et montants versés effectivement et raisonnablement à titre de règlement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her in connection with any threatened, pending, or completed action, suit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dans le cadre de toute action, poursuite ou procédure imminente, pendante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proceeding, whether civil, criminal or administrative, to which he or she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ou terminée, qu'elle soit civile, pénale ou administrative, à laquelle il ou elle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was, is, or is threatened to be made a party, or is otherwise involved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a été, est, ou est menacé d'être partie, ou est impliqué de toute autre manière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"Proceeding"). This provision shall not indemnify any Covered Person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(une "Procédure"). Cette disposition ne doit pas indemniser une Personne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against any liability arising out of (a) any fraud or dishonesty in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Couverte contre une responsabilité découlant de (a) une fraude ou une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performance of such Covered Person's duty to the Company, or (b) such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malhonnêteté de cette Personne Couverte dans l'exercice de ses fonctions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Covered Party's conscious, intentional or willful or grossly negligent breach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vis-à-vis de la société, ou (b) une violation consciente, intentionnelle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of the obligation to act honestly and in good faith with a view to the best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volontaire ou gravement négligente de l'obligation de cette Personne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interests of the Company. Notwithstanding the preceding sentence, this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Couverte d'agir avec honnêteté en tenant compte du meilleur intérêt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section shall not extend to any person holding the office of auditor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société. Nonobstant ce qui précède, cette disposition ne s'étend pas aux</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special auditor of the Company.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personnes qui occupent le poste de réviseur ou de réviseur spécial de la</w:t>
            </w:r>
          </w:p>
        </w:tc>
      </w:tr>
      <w:tr>
        <w:trPr>
          <w:trHeight w:val="230"/>
        </w:trPr>
        <w:tc>
          <w:tcPr>
            <w:tcW w:w="820" w:type="dxa"/>
            <w:vAlign w:val="bottom"/>
            <w:tcBorders>
              <w:lef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 the case of any Proceeding by or in the name of the Company, the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Dans le cas de toute Procédure intentée par ou au nom de la société,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Company shall indemnify each Covered Person against expenses, including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société doit indemniser chaque Personne Couverte pour les dépenses, y</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attorneys' fees, actually and reasonably incurred in connection with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compris les honoraires d'avocat, effectivement et raisonnablement encourus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defense or settlement thereof, except no indemnification shall be made 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dans le cadre de la défense ou du règlement dans le cadre de la Procédure.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respect of any claim, issue or matter as to which a Covered Person shall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Aucune indemnisation ne sera octroyée pour une réclamation, problème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have been adjudged to be liable for fraud or dishonesty in the performance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affaire pour laquelle une Personne Couverte est tenue responsable à la suite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of his or her duty to the Company, or for conscious, intentional or willful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de fraude ou de malhonnêteté dans l'exercice de ses fonctions vis-à-vis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grossly negligent breach of his or her obligation to act honestly and in good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société, ou à cause d'une violation consciente, intentionnelle ou volontaire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faith with a view to the best interests of the Company, unless and only to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ou gravement négligente de l'obligation de la Personne Couverte d'agir avec</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extent that a court in which such action or suit was brought shall determine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honnêteté en tenant compte du meilleur intérêt de la société, sauf et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upon application that despite the adjudication of liability, but in view of all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uniquement si un tribunal auquel une telle action ou poursuite a été porté</w:t>
            </w:r>
          </w:p>
        </w:tc>
      </w:tr>
      <w:tr>
        <w:trPr>
          <w:trHeight w:val="230"/>
        </w:trPr>
        <w:tc>
          <w:tcPr>
            <w:tcW w:w="8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the</w:t>
            </w: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r>
      <w:tr>
        <w:trPr>
          <w:trHeight w:val="27"/>
        </w:trPr>
        <w:tc>
          <w:tcPr>
            <w:tcW w:w="820" w:type="dxa"/>
            <w:vAlign w:val="bottom"/>
            <w:tcBorders>
              <w:left w:val="single" w:sz="8" w:color="auto"/>
              <w:bottom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669"/>
        </w:trPr>
        <w:tc>
          <w:tcPr>
            <w:tcW w:w="8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17/26</w:t>
            </w:r>
          </w:p>
        </w:tc>
      </w:tr>
    </w:tbl>
    <w:p>
      <w:pPr>
        <w:sectPr>
          <w:pgSz w:w="11900" w:h="16838" w:orient="portrait"/>
          <w:cols w:equalWidth="0" w:num="1">
            <w:col w:w="11420"/>
          </w:cols>
          <w:pgMar w:left="240" w:top="930" w:right="239" w:bottom="1440"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circumstances of the case, such Covered Person is fairly and reasonably</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0"/>
              </w:rPr>
              <w:t>détermine que, malgré la reconnaissance de la responsabilité, mais compte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entitled to indemnity for such expenses as the court shall deem proper.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tenu de toutes les circonstances du cas d'espèce, cette Personne Couverte a</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Notwithstanding the preceding sentence, this section shall not extend to 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équitablement et raisonnablement droit à une indemnisation de ces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person holding the office of auditor or special auditor of the Company.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dépenses, mais uniquement à hauteur du montant que le tribunal jugera</w:t>
            </w:r>
          </w:p>
        </w:tc>
      </w:tr>
      <w:tr>
        <w:trPr>
          <w:trHeight w:val="216"/>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convenable. Nonobstant la phrase précédente, cette disposition ne s'étend</w:t>
            </w:r>
          </w:p>
        </w:tc>
      </w:tr>
      <w:tr>
        <w:trPr>
          <w:trHeight w:val="216"/>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pas aux personnes qui occupent le poste de réviseur ou de réviseur spécial</w:t>
            </w:r>
          </w:p>
        </w:tc>
      </w:tr>
      <w:tr>
        <w:trPr>
          <w:trHeight w:val="230"/>
        </w:trPr>
        <w:tc>
          <w:tcPr>
            <w:tcW w:w="562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 la société.</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Any indemnification under this Article 29 (unless ordered by a court) shall</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Toute indemnisation en vertu du présent article 29 (sauf si ordonnée par un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be made by the Company only as authorized in the specific case upon a</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tribunal) doit être octroyée par la société dans chaque cas dans les limites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determination that indemnification of the Covered Person is proper in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de l'autorisation sur la base d'une détermination que l'indemnisation de la</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circumstances because such person has met the applicable Standard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Personne Couverte est appropriée dans les circonstances parce que cette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conduct set forth in this Article 29. Such determination shall be made, with</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personne a satisfait au standard de conduite applicable énoncé dans le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respect to a Covered Person (a) by a majority vote of the members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présent article 29. Une telle décision concernant une Personne Couverte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Board of Directors who are not parties to such proceeding, even though less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doit être prise (a) par la majorité des votes des membres du conseil</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than a quorum; (b) by a committee of such members of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d'administration qui ne sont pas parties à cette procédure, même si le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Directors designated by a majority vote of such the Board of Directors, even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quorum requis n'est pas réuni; (b) par un comité de membres du conseil</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though less than a quorum; (c) if there are no such member of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d'administration désignés par une majorité des votes du conseil</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 or if such member of the Board of Directors so direct, by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d'administration, même si le quorum requis n'est pas réuni; (c) s'il n'y a pas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independent legal counsel in a written opinion; or (d) by the General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de tel membre du conseil d'administration, ou si ce membre du conseil</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Meeting of Shareholders. Such determination shall be made, with respect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d'administration l'ordonne, par un conseiller juridique indépendant dans un</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any other Covered Person, by any person or persons having the authority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avis écrit; ou (d) par l'assemblée générale des actionnaires. Une telle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act on the matter on behalf of the Company. To the extent, however, that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décision concernant une Personne Couverte doit être prise par une personne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any Covered Person has been successful on the merits or otherwise 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ou des personnes ayant le pouvoir d'agir dans cet affaire au nom de la</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defense of any proceeding, or in defense of any claim, issue or matter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société. Dans la mesure, cependant, où une Personne Couverte a gagné sur</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therein, such Covered Person shall be indemnified against expenses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le fond ou autrement dans la défense d'une procédure, ou dans la défense de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(including attorneys' fees) actually and reasonably incurred by such person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toute réclamation, problème ou affaire dans cette procédure, cette Personne</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 connection therewith, without the necessity of authorization in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Couverte doit être indemnisée pour les dépenses (y compris les honoraires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specific case.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d'avocat) effectivement et raisonnablement encourus dans le cadre de</w:t>
            </w:r>
          </w:p>
        </w:tc>
      </w:tr>
      <w:tr>
        <w:trPr>
          <w:trHeight w:val="216"/>
        </w:trPr>
        <w:tc>
          <w:tcPr>
            <w:tcW w:w="562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l'affaire en question sans qu'il soit nécessaire d'avoir une autorisation dans</w:t>
            </w:r>
          </w:p>
        </w:tc>
      </w:tr>
      <w:tr>
        <w:trPr>
          <w:trHeight w:val="230"/>
        </w:trPr>
        <w:tc>
          <w:tcPr>
            <w:tcW w:w="5620" w:type="dxa"/>
            <w:vAlign w:val="bottom"/>
            <w:tcBorders>
              <w:left w:val="single" w:sz="8" w:color="auto"/>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 cas spécifique.</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As far as is permissible under applicable law, expenses, including attorneys'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Dans la mesure permise par la loi applicable, les dépenses, y compris les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fees, incurred in defending any proceeding for which indemnification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honoraires d'avocats, encourus dans la défense de toute procédure pour</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permitted pursuant to this Article 29 shall be paid by the Company in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laquelle l'indemnisation est permise en vertu du présent article 29, doivent</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advance of the final disposition of such proceeding upon receipt by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être payées par la société avant la décision finale dans cette procédure à</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Board of Directors of an undertaking by or on behalf of the Covered Person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réception par le conseil d'administration d'une promesse faite par ou au nom</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to repay such amount if it shall ultimately be determined that he or she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de la Personne Couverte de rembourser ce montant s'il s'avère finalement</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not entitled to be indemnified by the Company under these Articles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que cette Personne Couverte n'a pas droit à l'indemnisation par la société en</w:t>
            </w:r>
          </w:p>
        </w:tc>
      </w:tr>
      <w:tr>
        <w:trPr>
          <w:trHeight w:val="23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vertu de ces statuts.</w:t>
            </w:r>
          </w:p>
        </w:tc>
      </w:tr>
      <w:tr>
        <w:trPr>
          <w:trHeight w:val="27"/>
        </w:trPr>
        <w:tc>
          <w:tcPr>
            <w:tcW w:w="5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 being the policy of the Company that indemnification of the persons</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La politique de la société prévoit que l'indemnisation des personnes visées</w:t>
            </w:r>
          </w:p>
        </w:tc>
      </w:tr>
      <w:tr>
        <w:trPr>
          <w:trHeight w:val="216"/>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specified in this Article 29 shall be made to the fullest extent permitted by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au présent article 29 doit être payée dans toute la mesure autorisée par la loi</w:t>
            </w:r>
          </w:p>
        </w:tc>
      </w:tr>
      <w:tr>
        <w:trPr>
          <w:trHeight w:val="230"/>
        </w:trPr>
        <w:tc>
          <w:tcPr>
            <w:tcW w:w="5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law and the indemnification provided by this Article 29 shall not be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et l'indemnisation prévue par cet article 29 ne sera pas</w:t>
            </w:r>
          </w:p>
        </w:tc>
      </w:tr>
      <w:tr>
        <w:trPr>
          <w:trHeight w:val="243"/>
        </w:trPr>
        <w:tc>
          <w:tcPr>
            <w:tcW w:w="5620" w:type="dxa"/>
            <w:vAlign w:val="bottom"/>
            <w:tcBorders>
              <w:left w:val="single" w:sz="8" w:color="auto"/>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669"/>
        </w:trPr>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18/26</w:t>
            </w:r>
          </w:p>
        </w:tc>
      </w:tr>
    </w:tbl>
    <w:p>
      <w:pPr>
        <w:sectPr>
          <w:pgSz w:w="11900" w:h="16838" w:orient="portrait"/>
          <w:cols w:equalWidth="0" w:num="1">
            <w:col w:w="11420"/>
          </w:cols>
          <w:pgMar w:left="240" w:top="930" w:right="2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0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deemed exclusive (a) of any other rights to which those seeking</w:t>
            </w:r>
          </w:p>
        </w:tc>
        <w:tc>
          <w:tcPr>
            <w:tcW w:w="24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considérée comme exclusive (a) d'autres droits auxquels les personnes</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indemnification or advancement of expenses may be entitled under these</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demandant une indemnisation ou une avance des dépenses ont droit en</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Articles of Association, any agreement, any insurance purchased by the</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vertu de ces statuts, d'un accord, d'une assurance souscrite par la société,</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Company, vote of shareholders or disinterested members of the Board of</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d'un vote d'actionnaires ou de membres du conseil d'administration n'ayant</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Directors, or pursuant to the decision of any court of competent jurisdiction,</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pas d'intérêt direct, ou en vertu d'une décision d'un tribunal compétent, ou</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or otherwise, both as to action in his or her official capacity and as to action</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autrement, soit à l'égard d'actions faites en sa capacité officielle, soit à</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in another capacity while holding such office, or (b) of the power of the</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l'égard d'actions faites à un autre titre tout en ayant une telle fonction, ou (b)</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Company to indemnify any person who is or was an employee or agent of</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du pouvoir de la société d'indemniser toute personne qui est ou était un</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or of another corporation, joint venture, trust or other</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employé ou un mandataire de la société ou d'une autre société, d'une joint</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enterprise which he or she is serving or has served at the request of the</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venture, d'une fiducie ou d'une autre entreprise pour laquelle il ou elle</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Company, to the same extent and in the same situations and subject to the</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travaille ou a travaillé à la demande de la société, dans la même mesure et</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same determinations as are hereinabove set forth with respect to a Covered</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dans les mêmes situations et sous réserve des mêmes principes concernant</w:t>
            </w:r>
          </w:p>
        </w:tc>
      </w:tr>
      <w:tr>
        <w:trPr>
          <w:trHeight w:val="230"/>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Person.</w:t>
            </w:r>
          </w:p>
        </w:tc>
        <w:tc>
          <w:tcPr>
            <w:tcW w:w="480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une Personne Couverte évoquées ci-dessus.</w:t>
            </w:r>
          </w:p>
        </w:tc>
      </w:tr>
      <w:tr>
        <w:trPr>
          <w:trHeight w:val="472"/>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As used in this Article 29, references to the "Company" include all</w:t>
            </w:r>
          </w:p>
        </w:tc>
        <w:tc>
          <w:tcPr>
            <w:tcW w:w="2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Tel qu'utilisé dans le présent article 29, les références à la "société"</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constituent corporations in a consolidation or merger in which the Company</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comprennent toutes les sociétés ayant fait l'objet d'un regroupement ou</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or a predecessor to the Company by consolidation or merger was involved.</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d'une fusion dans laquelle la société ou un prédécesseur à la société a été</w:t>
            </w:r>
          </w:p>
        </w:tc>
      </w:tr>
      <w:tr>
        <w:trPr>
          <w:trHeight w:val="230"/>
        </w:trPr>
        <w:tc>
          <w:tcPr>
            <w:tcW w:w="800" w:type="dxa"/>
            <w:vAlign w:val="bottom"/>
            <w:tcBorders>
              <w:lef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4"/>
              </w:rPr>
              <w:t>impliqué.</w:t>
            </w:r>
          </w:p>
        </w:tc>
        <w:tc>
          <w:tcPr>
            <w:tcW w:w="4840" w:type="dxa"/>
            <w:vAlign w:val="bottom"/>
            <w:tcBorders>
              <w:right w:val="single" w:sz="8" w:color="auto"/>
            </w:tcBorders>
          </w:tcPr>
          <w:p>
            <w:pPr>
              <w:spacing w:after="0"/>
              <w:rPr>
                <w:sz w:val="20"/>
                <w:szCs w:val="20"/>
                <w:color w:val="auto"/>
              </w:rPr>
            </w:pPr>
          </w:p>
        </w:tc>
      </w:tr>
      <w:tr>
        <w:trPr>
          <w:trHeight w:val="472"/>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indemnification provided by this Article 29 shall continue as to a</w:t>
            </w:r>
          </w:p>
        </w:tc>
        <w:tc>
          <w:tcPr>
            <w:tcW w:w="2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L'indemnisation prévue par cet article 29 est maintenue à l'égard d'une</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person who has ceased to be a member of the Board of Directors or the</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personne qui a cessé d'être un membre du conseil d'administration ou le</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Executive Committee and shall inure to the benefit of their heirs, executors,</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comité exécutif et sera en vigueur au bénéfice de ses héritiers, exécuteurs et</w:t>
            </w:r>
          </w:p>
        </w:tc>
      </w:tr>
      <w:tr>
        <w:trPr>
          <w:trHeight w:val="230"/>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administrators.</w:t>
            </w:r>
          </w:p>
        </w:tc>
        <w:tc>
          <w:tcPr>
            <w:tcW w:w="24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administrateurs.</w:t>
            </w: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spacing w:after="0"/>
              <w:rPr>
                <w:sz w:val="21"/>
                <w:szCs w:val="21"/>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VI.</w:t>
            </w:r>
          </w:p>
        </w:tc>
        <w:tc>
          <w:tcPr>
            <w:tcW w:w="480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AUDITORS</w:t>
            </w:r>
          </w:p>
        </w:tc>
        <w:tc>
          <w:tcPr>
            <w:tcW w:w="24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VI.</w:t>
            </w:r>
          </w:p>
        </w:tc>
        <w:tc>
          <w:tcPr>
            <w:tcW w:w="48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ORGANE DE RÉVISION</w:t>
            </w:r>
          </w:p>
        </w:tc>
      </w:tr>
      <w:tr>
        <w:trPr>
          <w:trHeight w:val="203"/>
        </w:trPr>
        <w:tc>
          <w:tcPr>
            <w:tcW w:w="800" w:type="dxa"/>
            <w:vAlign w:val="bottom"/>
            <w:tcBorders>
              <w:left w:val="single" w:sz="8" w:color="auto"/>
              <w:bottom w:val="single" w:sz="8" w:color="auto"/>
            </w:tcBorders>
          </w:tcPr>
          <w:p>
            <w:pPr>
              <w:spacing w:after="0"/>
              <w:rPr>
                <w:sz w:val="17"/>
                <w:szCs w:val="17"/>
                <w:color w:val="auto"/>
              </w:rPr>
            </w:pPr>
          </w:p>
        </w:tc>
        <w:tc>
          <w:tcPr>
            <w:tcW w:w="48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840" w:type="dxa"/>
            <w:vAlign w:val="bottom"/>
            <w:tcBorders>
              <w:bottom w:val="single" w:sz="8" w:color="auto"/>
              <w:right w:val="single" w:sz="8" w:color="auto"/>
            </w:tcBorders>
          </w:tcPr>
          <w:p>
            <w:pPr>
              <w:spacing w:after="0"/>
              <w:rPr>
                <w:sz w:val="17"/>
                <w:szCs w:val="17"/>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30</w:t>
            </w:r>
          </w:p>
        </w:tc>
        <w:tc>
          <w:tcPr>
            <w:tcW w:w="4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Election, Term</w:t>
            </w:r>
          </w:p>
        </w:tc>
        <w:tc>
          <w:tcPr>
            <w:tcW w:w="24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Art. 30</w:t>
            </w:r>
          </w:p>
        </w:tc>
        <w:tc>
          <w:tcPr>
            <w:tcW w:w="48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Élection, durée</w:t>
            </w:r>
          </w:p>
        </w:tc>
      </w:tr>
      <w:tr>
        <w:trPr>
          <w:trHeight w:val="418"/>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The General Meeting shall elect one or more accountants as its Auditors in</w:t>
            </w:r>
          </w:p>
        </w:tc>
        <w:tc>
          <w:tcPr>
            <w:tcW w:w="2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7"/>
              </w:rPr>
              <w:t>L'assemblée générale nomme chaque année un ou plusieurs réviseurs</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 xml:space="preserve">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 rights and duties</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comme organe de révision selon les articles 727 ss. CO avec les droits et les</w:t>
            </w:r>
          </w:p>
        </w:tc>
      </w:tr>
      <w:tr>
        <w:trPr>
          <w:trHeight w:val="230"/>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determined by law.</w:t>
            </w:r>
          </w:p>
        </w:tc>
        <w:tc>
          <w:tcPr>
            <w:tcW w:w="24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devoirs déterminés par la loi.</w:t>
            </w:r>
          </w:p>
        </w:tc>
      </w:tr>
      <w:tr>
        <w:trPr>
          <w:trHeight w:val="243"/>
        </w:trPr>
        <w:tc>
          <w:tcPr>
            <w:tcW w:w="560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The General Meeting may appoint Special Auditors for a term of up to</w:t>
            </w:r>
          </w:p>
        </w:tc>
        <w:tc>
          <w:tcPr>
            <w:tcW w:w="24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L'assemblée générale peut nommer des réviseurs spéciaux pour une durée</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three years who provide the attestations required for capital increases.</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de trois ans au maximum qui fournissent les attestations requises pour les</w:t>
            </w:r>
          </w:p>
        </w:tc>
      </w:tr>
      <w:tr>
        <w:trPr>
          <w:trHeight w:val="230"/>
        </w:trPr>
        <w:tc>
          <w:tcPr>
            <w:tcW w:w="800" w:type="dxa"/>
            <w:vAlign w:val="bottom"/>
            <w:tcBorders>
              <w:lef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augmentations de capital.</w:t>
            </w: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31</w:t>
            </w:r>
          </w:p>
        </w:tc>
        <w:tc>
          <w:tcPr>
            <w:tcW w:w="48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Duties</w:t>
            </w:r>
          </w:p>
        </w:tc>
        <w:tc>
          <w:tcPr>
            <w:tcW w:w="240" w:type="dxa"/>
            <w:vAlign w:val="bottom"/>
            <w:tcBorders>
              <w:right w:val="single" w:sz="8" w:color="auto"/>
            </w:tcBorders>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Art. 31</w:t>
            </w:r>
          </w:p>
        </w:tc>
        <w:tc>
          <w:tcPr>
            <w:tcW w:w="4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Fonctions</w:t>
            </w:r>
          </w:p>
        </w:tc>
      </w:tr>
      <w:tr>
        <w:trPr>
          <w:trHeight w:val="418"/>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The Auditors shall perform their duties to audit and report whether the</w:t>
            </w:r>
          </w:p>
        </w:tc>
        <w:tc>
          <w:tcPr>
            <w:tcW w:w="2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L'organe de révision vérifie et rapporte si la comptabilité, les comptes</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accounting, the annual accounts and the proposal regarding allocation of</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annuels et la proposition relative à la répartition des bénéfices sont en</w:t>
            </w:r>
          </w:p>
        </w:tc>
      </w:tr>
      <w:tr>
        <w:trPr>
          <w:trHeight w:val="230"/>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profits are in accordance with law and the Articles of Association.</w:t>
            </w:r>
          </w:p>
        </w:tc>
        <w:tc>
          <w:tcPr>
            <w:tcW w:w="24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conformité avec la loi et les statuts.</w:t>
            </w: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spacing w:after="0"/>
              <w:rPr>
                <w:sz w:val="21"/>
                <w:szCs w:val="21"/>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VII.</w:t>
            </w:r>
          </w:p>
        </w:tc>
        <w:tc>
          <w:tcPr>
            <w:tcW w:w="480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COMPENSATION AND RELATED PROVISIONS</w:t>
            </w:r>
          </w:p>
        </w:tc>
        <w:tc>
          <w:tcPr>
            <w:tcW w:w="2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rPr>
              <w:t>VII.</w:t>
            </w:r>
          </w:p>
        </w:tc>
        <w:tc>
          <w:tcPr>
            <w:tcW w:w="48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RÉMUNÉRATION ET DISPOSITIONS ANALOGUES</w:t>
            </w:r>
          </w:p>
        </w:tc>
      </w:tr>
      <w:tr>
        <w:trPr>
          <w:trHeight w:val="203"/>
        </w:trPr>
        <w:tc>
          <w:tcPr>
            <w:tcW w:w="800" w:type="dxa"/>
            <w:vAlign w:val="bottom"/>
            <w:tcBorders>
              <w:left w:val="single" w:sz="8" w:color="auto"/>
              <w:bottom w:val="single" w:sz="8" w:color="auto"/>
            </w:tcBorders>
          </w:tcPr>
          <w:p>
            <w:pPr>
              <w:spacing w:after="0"/>
              <w:rPr>
                <w:sz w:val="17"/>
                <w:szCs w:val="17"/>
                <w:color w:val="auto"/>
              </w:rPr>
            </w:pPr>
          </w:p>
        </w:tc>
        <w:tc>
          <w:tcPr>
            <w:tcW w:w="480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gridSpan w:val="2"/>
          </w:tcPr>
          <w:p>
            <w:pPr>
              <w:spacing w:after="0"/>
              <w:rPr>
                <w:sz w:val="17"/>
                <w:szCs w:val="17"/>
                <w:color w:val="auto"/>
              </w:rPr>
            </w:pPr>
          </w:p>
        </w:tc>
      </w:tr>
      <w:tr>
        <w:trPr>
          <w:trHeight w:val="237"/>
        </w:trPr>
        <w:tc>
          <w:tcPr>
            <w:tcW w:w="8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32</w:t>
            </w:r>
          </w:p>
        </w:tc>
        <w:tc>
          <w:tcPr>
            <w:tcW w:w="4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w w:val="92"/>
              </w:rPr>
              <w:t>Principles of the Compensation of the Board of Directors</w:t>
            </w:r>
          </w:p>
        </w:tc>
        <w:tc>
          <w:tcPr>
            <w:tcW w:w="24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r>
      <w:tr>
        <w:trPr>
          <w:trHeight w:val="418"/>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compensation payable to the members of the Board of Directors</w:t>
            </w:r>
          </w:p>
        </w:tc>
        <w:tc>
          <w:tcPr>
            <w:tcW w:w="2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La rémunération des membres du conseil d'administration comprend, sous</w:t>
            </w:r>
          </w:p>
        </w:tc>
      </w:tr>
      <w:tr>
        <w:trPr>
          <w:trHeight w:val="216"/>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comprises, subject to and within the bounds of the approval by the General</w:t>
            </w:r>
          </w:p>
        </w:tc>
        <w:tc>
          <w:tcPr>
            <w:tcW w:w="2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réserve et dans les limites de l'approbation de la rémunération totale par</w:t>
            </w:r>
          </w:p>
        </w:tc>
      </w:tr>
      <w:tr>
        <w:trPr>
          <w:trHeight w:val="230"/>
        </w:trPr>
        <w:tc>
          <w:tcPr>
            <w:tcW w:w="560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Meeting of the total</w:t>
            </w:r>
          </w:p>
        </w:tc>
        <w:tc>
          <w:tcPr>
            <w:tcW w:w="2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p>
        </w:tc>
      </w:tr>
      <w:tr>
        <w:trPr>
          <w:trHeight w:val="243"/>
        </w:trPr>
        <w:tc>
          <w:tcPr>
            <w:tcW w:w="800" w:type="dxa"/>
            <w:vAlign w:val="bottom"/>
            <w:tcBorders>
              <w:left w:val="single" w:sz="8" w:color="auto"/>
              <w:bottom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840" w:type="dxa"/>
            <w:vAlign w:val="bottom"/>
            <w:tcBorders>
              <w:bottom w:val="single" w:sz="8" w:color="auto"/>
              <w:right w:val="single" w:sz="8" w:color="auto"/>
            </w:tcBorders>
          </w:tcPr>
          <w:p>
            <w:pPr>
              <w:spacing w:after="0"/>
              <w:rPr>
                <w:sz w:val="21"/>
                <w:szCs w:val="21"/>
                <w:color w:val="auto"/>
              </w:rPr>
            </w:pPr>
          </w:p>
        </w:tc>
      </w:tr>
      <w:tr>
        <w:trPr>
          <w:trHeight w:val="669"/>
        </w:trPr>
        <w:tc>
          <w:tcPr>
            <w:tcW w:w="8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ind w:left="4380"/>
              <w:spacing w:after="0"/>
              <w:rPr>
                <w:sz w:val="20"/>
                <w:szCs w:val="20"/>
                <w:color w:val="auto"/>
              </w:rPr>
            </w:pPr>
            <w:r>
              <w:rPr>
                <w:rFonts w:ascii="Arial" w:cs="Arial" w:eastAsia="Arial" w:hAnsi="Arial"/>
                <w:sz w:val="18"/>
                <w:szCs w:val="18"/>
                <w:color w:val="auto"/>
                <w:w w:val="93"/>
              </w:rPr>
              <w:t>19/26</w:t>
            </w:r>
          </w:p>
        </w:tc>
      </w:tr>
    </w:tbl>
    <w:p>
      <w:pPr>
        <w:sectPr>
          <w:pgSz w:w="11900" w:h="16838" w:orient="portrait"/>
          <w:cols w:equalWidth="0" w:num="1">
            <w:col w:w="11420"/>
          </w:cols>
          <w:pgMar w:left="240" w:top="930" w:right="23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compensation, the following elements:</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l'assemblée générale, les éléments suivants:</w:t>
            </w:r>
          </w:p>
        </w:tc>
        <w:tc>
          <w:tcPr>
            <w:tcW w:w="0" w:type="dxa"/>
            <w:vAlign w:val="bottom"/>
          </w:tcPr>
          <w:p>
            <w:pPr>
              <w:spacing w:after="0"/>
              <w:rPr>
                <w:sz w:val="1"/>
                <w:szCs w:val="1"/>
                <w:color w:val="auto"/>
              </w:rPr>
            </w:pP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  a fixed basic remuneration;</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une rémunération fixe de base;</w:t>
            </w:r>
          </w:p>
        </w:tc>
        <w:tc>
          <w:tcPr>
            <w:tcW w:w="0" w:type="dxa"/>
            <w:vAlign w:val="bottom"/>
          </w:tcPr>
          <w:p>
            <w:pPr>
              <w:spacing w:after="0"/>
              <w:rPr>
                <w:sz w:val="1"/>
                <w:szCs w:val="1"/>
                <w:color w:val="auto"/>
              </w:rPr>
            </w:pP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a fixed committee fee for work in a committee of the Board of</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b)  des frais de commission fixes pour le travail dans un comité du conseil</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Directors;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d'administration;</w:t>
            </w:r>
          </w:p>
        </w:tc>
        <w:tc>
          <w:tcPr>
            <w:tcW w:w="0" w:type="dxa"/>
            <w:vAlign w:val="bottom"/>
          </w:tcPr>
          <w:p>
            <w:pPr>
              <w:spacing w:after="0"/>
              <w:rPr>
                <w:sz w:val="1"/>
                <w:szCs w:val="1"/>
                <w:color w:val="auto"/>
              </w:rPr>
            </w:pP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  a lump sum compensation for expenses;</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  une compensation forfaitaire pour les dépenses;</w:t>
            </w:r>
          </w:p>
        </w:tc>
        <w:tc>
          <w:tcPr>
            <w:tcW w:w="0" w:type="dxa"/>
            <w:vAlign w:val="bottom"/>
          </w:tcPr>
          <w:p>
            <w:pPr>
              <w:spacing w:after="0"/>
              <w:rPr>
                <w:sz w:val="1"/>
                <w:szCs w:val="1"/>
                <w:color w:val="auto"/>
              </w:rPr>
            </w:pP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d)  a number of options or shares in the Company, as further outlined in</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d)  un nombre d'actions ou d'options dans la société, comme détaillée à</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w w:val="96"/>
              </w:rPr>
              <w:t>Art. 41.</w:t>
            </w:r>
          </w:p>
        </w:tc>
        <w:tc>
          <w:tcPr>
            <w:tcW w:w="47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l'art. 41.</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The compensation is paid in cash and in form of options or shares in the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La rémunération est versée en espèces et sous forme d'options ou d'actions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The board of directors or, to the extent delegated to it,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de la société. Le conseil d'administration ou, en cas de délégation des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compensation committee shall determine grant, exercise and forfeiture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fonctions, le comité de rémunération doit fixer les conditions de l'octroi, de</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conditions. In particular, they may provide for continuation, acceleration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l'exercice et de la péremption. En particulier, il peut prévoir la poursuite,</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removal of vesting, exercise and forfeiture conditions, for payment or grant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l'accélération ou la suppression des conditions d'acquisition, d'exercice et de</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of compensation based upon assumed target achievement, or for forfeiture,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péremption, pour le paiement ou l'octroi d'une rémunération basée sur la</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in each case in the event of pre-determined events such as a change-of-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réalisation des objectifs supposés, ou pour la péremption, dans chaque cas,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control or termination of an employment or mandate agreement.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dans le cas d'événements prédéterminés tels qu'un changement de contrôle</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Company may procure the required shares through purchases in the market,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ou la résiliation d'un contrat de travail ou d'un mandat. La société peut</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from treasury shares or by using contingent or authorized share capital.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fournir les actions nécessaires par des achats sur le marché, par ses actions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propres ou en utilisant du capital conditionnel ou autorisé.</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Subject to the approval by the General Meeting, the members of the Board</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Sous réserve de l'approbation par l'assemblée générale, les membres du</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of Directors may receive remuneration in cash at customary conditions for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conseil d'administration peuvent recevoir une rémunération en espèces dans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advisory services rendered outside their capacity as Board member for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les conditions habituelles pour des services consultatifs rendus en-dehors de</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benefit of the Company or companies under its control. The General</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leur qualité de membre du conseil pour le bénéfice de la société ou des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Meeting may approve an additional bonus for the members of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sociétés sous son contrôle. L'assemblée générale peut approuver un bonus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Directors in exceptional cases.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supplémentaire pour les membres du conseil d'administration dans des cas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exceptionnels.</w:t>
            </w:r>
          </w:p>
        </w:tc>
        <w:tc>
          <w:tcPr>
            <w:tcW w:w="0" w:type="dxa"/>
            <w:vAlign w:val="bottom"/>
          </w:tcPr>
          <w:p>
            <w:pPr>
              <w:spacing w:after="0"/>
              <w:rPr>
                <w:sz w:val="1"/>
                <w:szCs w:val="1"/>
                <w:color w:val="auto"/>
              </w:rPr>
            </w:pP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The compensation may also be paid for activities in companies that are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La rémunération peut également être accordée pour des activités dans des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directly or indirectly controlled by the Company and may be paid by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entreprises qui sont contrôlées directement ou indirectement par la société</w:t>
            </w:r>
          </w:p>
        </w:tc>
        <w:tc>
          <w:tcPr>
            <w:tcW w:w="0" w:type="dxa"/>
            <w:vAlign w:val="bottom"/>
          </w:tcPr>
          <w:p>
            <w:pPr>
              <w:spacing w:after="0"/>
              <w:rPr>
                <w:sz w:val="1"/>
                <w:szCs w:val="1"/>
                <w:color w:val="auto"/>
              </w:rPr>
            </w:pP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or by a company controlled by it.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et peuvent être versées par la société ou par une société contrôlée par elle.</w:t>
            </w: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33</w:t>
            </w:r>
          </w:p>
        </w:tc>
        <w:tc>
          <w:tcPr>
            <w:tcW w:w="47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Principles of the Compensation of the Executive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tcBorders>
          </w:tcPr>
          <w:p>
            <w:pPr>
              <w:spacing w:after="0"/>
              <w:rPr>
                <w:sz w:val="20"/>
                <w:szCs w:val="20"/>
                <w:color w:val="auto"/>
              </w:rPr>
            </w:pPr>
          </w:p>
        </w:tc>
        <w:tc>
          <w:tcPr>
            <w:tcW w:w="47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0"/>
              </w:rPr>
              <w:t>La rémunération des membres du comité exécutif est soumis à l'approbation</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tcBorders>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The compensation payable to the members of the Executive Committee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l'assemblée générale et comprend les éléments suivants</w:t>
            </w:r>
          </w:p>
        </w:tc>
        <w:tc>
          <w:tcPr>
            <w:tcW w:w="0" w:type="dxa"/>
            <w:vAlign w:val="bottom"/>
          </w:tcPr>
          <w:p>
            <w:pPr>
              <w:spacing w:after="0"/>
              <w:rPr>
                <w:sz w:val="1"/>
                <w:szCs w:val="1"/>
                <w:color w:val="auto"/>
              </w:rPr>
            </w:pP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subject to the approval by the General Meeting and comprises the following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elements:</w:t>
            </w:r>
          </w:p>
        </w:tc>
        <w:tc>
          <w:tcPr>
            <w:tcW w:w="47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  a fixed remuneration payable in cash;</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a performance-related remuneration payable in cash (variable);</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b)  une rémunération liée à la performance payable en espèces (variable);</w:t>
            </w:r>
          </w:p>
        </w:tc>
        <w:tc>
          <w:tcPr>
            <w:tcW w:w="0" w:type="dxa"/>
            <w:vAlign w:val="bottom"/>
          </w:tcPr>
          <w:p>
            <w:pPr>
              <w:spacing w:after="0"/>
              <w:rPr>
                <w:sz w:val="1"/>
                <w:szCs w:val="1"/>
                <w:color w:val="auto"/>
              </w:rPr>
            </w:pP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  a number of options or shares in the Company, as</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  un nombre d'actions ou d'options dans la société,</w:t>
            </w:r>
          </w:p>
        </w:tc>
        <w:tc>
          <w:tcPr>
            <w:tcW w:w="0" w:type="dxa"/>
            <w:vAlign w:val="bottom"/>
          </w:tcPr>
          <w:p>
            <w:pPr>
              <w:spacing w:after="0"/>
              <w:rPr>
                <w:sz w:val="1"/>
                <w:szCs w:val="1"/>
                <w:color w:val="auto"/>
              </w:rPr>
            </w:pPr>
          </w:p>
        </w:tc>
      </w:tr>
      <w:tr>
        <w:trPr>
          <w:trHeight w:val="27"/>
        </w:trPr>
        <w:tc>
          <w:tcPr>
            <w:tcW w:w="920" w:type="dxa"/>
            <w:vAlign w:val="bottom"/>
            <w:tcBorders>
              <w:left w:val="single" w:sz="8" w:color="auto"/>
              <w:bottom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9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20/26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0" w:right="23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34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further outlined in Art. 41.</w:t>
            </w:r>
          </w:p>
        </w:tc>
        <w:tc>
          <w:tcPr>
            <w:tcW w:w="800" w:type="dxa"/>
            <w:vAlign w:val="bottom"/>
            <w:tcBorders>
              <w:top w:val="single" w:sz="8" w:color="auto"/>
              <w:right w:val="single" w:sz="8" w:color="auto"/>
            </w:tcBorders>
          </w:tcPr>
          <w:p>
            <w:pPr>
              <w:spacing w:after="0"/>
              <w:rPr>
                <w:sz w:val="22"/>
                <w:szCs w:val="22"/>
                <w:color w:val="auto"/>
              </w:rPr>
            </w:pPr>
          </w:p>
        </w:tc>
        <w:tc>
          <w:tcPr>
            <w:tcW w:w="5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comme détaillée à l'art. 41.</w:t>
            </w:r>
          </w:p>
        </w:tc>
      </w:tr>
      <w:tr>
        <w:trPr>
          <w:trHeight w:val="27"/>
        </w:trPr>
        <w:tc>
          <w:tcPr>
            <w:tcW w:w="5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The performance-related remuneration depends on the Company's</w:t>
            </w:r>
          </w:p>
        </w:tc>
        <w:tc>
          <w:tcPr>
            <w:tcW w:w="800" w:type="dxa"/>
            <w:vAlign w:val="bottom"/>
            <w:tcBorders>
              <w:right w:val="single" w:sz="8" w:color="auto"/>
            </w:tcBorders>
          </w:tcPr>
          <w:p>
            <w:pPr>
              <w:spacing w:after="0"/>
              <w:rPr>
                <w:sz w:val="19"/>
                <w:szCs w:val="19"/>
                <w:color w:val="auto"/>
              </w:rPr>
            </w:pPr>
          </w:p>
        </w:tc>
        <w:tc>
          <w:tcPr>
            <w:tcW w:w="5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 rémunération liée à la performance dépend de la réussite</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business success and the individual performance of the member of the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économique de la société et de la performance individuelle du membre</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Executive Committee based on the achievement of pre-determined</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 comité exécutif sur la base de la réalisation des objectifs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targets during a business year. The Board of Directors determines</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prédéterminés au cours d'une année d'activité. Le conseil</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annually at the beginning of each relevant business year the decisive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d'administration détermine au début de chaque exercice les objectifs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targets and their weighting upon proposal by the Compensation</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décisifs et leur pondération sur proposition du comité de rémunération.</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Committee. The amount of the performance-related remuneration for</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Le montant de la rémunération liée à la performance pour chaque</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each member of the Executive Committee is determined by the Board of</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membre du comité exécutif est déterminé par le conseil d'administration</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Directors and may not exceed 100 percent of the respective individual</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et ne peut dépasser 100 pour cent de la rémunération fixe individuelle</w:t>
            </w:r>
          </w:p>
        </w:tc>
      </w:tr>
      <w:tr>
        <w:trPr>
          <w:trHeight w:val="230"/>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fixed remuneration for the same year.</w:t>
            </w: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respective pour la même année.</w:t>
            </w:r>
          </w:p>
        </w:tc>
      </w:tr>
      <w:tr>
        <w:trPr>
          <w:trHeight w:val="27"/>
        </w:trPr>
        <w:tc>
          <w:tcPr>
            <w:tcW w:w="5340" w:type="dxa"/>
            <w:vAlign w:val="bottom"/>
            <w:tcBorders>
              <w:left w:val="single" w:sz="8" w:color="auto"/>
              <w:bottom w:val="single" w:sz="8" w:color="auto"/>
              <w:right w:val="single" w:sz="8" w:color="auto"/>
            </w:tcBorders>
            <w:gridSpan w:val="2"/>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22"/>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The compensation may also be paid for activities in companies that are</w:t>
            </w:r>
          </w:p>
        </w:tc>
        <w:tc>
          <w:tcPr>
            <w:tcW w:w="800" w:type="dxa"/>
            <w:vAlign w:val="bottom"/>
            <w:tcBorders>
              <w:right w:val="single" w:sz="8" w:color="auto"/>
            </w:tcBorders>
          </w:tcPr>
          <w:p>
            <w:pPr>
              <w:spacing w:after="0"/>
              <w:rPr>
                <w:sz w:val="19"/>
                <w:szCs w:val="19"/>
                <w:color w:val="auto"/>
              </w:rPr>
            </w:pPr>
          </w:p>
        </w:tc>
        <w:tc>
          <w:tcPr>
            <w:tcW w:w="5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La rémunération peut également être versée pour activités dans des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directly or indirectly controlled by the Company and may be paid by the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entreprises qui sont contrôlées directement ou indirectement par la</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 or by a company controlled by it.</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8"/>
              </w:rPr>
              <w:t>société et peut être versée par la société ou par une société contrôlée par</w:t>
            </w:r>
          </w:p>
        </w:tc>
      </w:tr>
      <w:tr>
        <w:trPr>
          <w:trHeight w:val="230"/>
        </w:trPr>
        <w:tc>
          <w:tcPr>
            <w:tcW w:w="780" w:type="dxa"/>
            <w:vAlign w:val="bottom"/>
            <w:tcBorders>
              <w:lef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elle.</w:t>
            </w: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18"/>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34</w:t>
            </w:r>
          </w:p>
        </w:tc>
        <w:tc>
          <w:tcPr>
            <w:tcW w:w="456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Compensation for new Members of the Executive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Art. 34  Rémunération pour les nouveaux membres du comité</w:t>
            </w:r>
          </w:p>
        </w:tc>
      </w:tr>
      <w:tr>
        <w:trPr>
          <w:trHeight w:val="234"/>
        </w:trPr>
        <w:tc>
          <w:tcPr>
            <w:tcW w:w="780" w:type="dxa"/>
            <w:vAlign w:val="bottom"/>
            <w:tcBorders>
              <w:left w:val="single" w:sz="8" w:color="auto"/>
            </w:tcBorders>
          </w:tcPr>
          <w:p>
            <w:pPr>
              <w:spacing w:after="0"/>
              <w:rPr>
                <w:sz w:val="20"/>
                <w:szCs w:val="20"/>
                <w:color w:val="auto"/>
              </w:rPr>
            </w:pPr>
          </w:p>
        </w:tc>
        <w:tc>
          <w:tcPr>
            <w:tcW w:w="45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Committee</w:t>
            </w: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860"/>
              <w:spacing w:after="0"/>
              <w:rPr>
                <w:sz w:val="20"/>
                <w:szCs w:val="20"/>
                <w:color w:val="auto"/>
              </w:rPr>
            </w:pPr>
            <w:r>
              <w:rPr>
                <w:rFonts w:ascii="Arial" w:cs="Arial" w:eastAsia="Arial" w:hAnsi="Arial"/>
                <w:sz w:val="18"/>
                <w:szCs w:val="18"/>
                <w:b w:val="1"/>
                <w:bCs w:val="1"/>
                <w:color w:val="auto"/>
              </w:rPr>
              <w:t>exécutif</w:t>
            </w:r>
          </w:p>
        </w:tc>
      </w:tr>
      <w:tr>
        <w:trPr>
          <w:trHeight w:val="418"/>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If new members of the Executive Committee are appointed and take up</w:t>
            </w:r>
          </w:p>
        </w:tc>
        <w:tc>
          <w:tcPr>
            <w:tcW w:w="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Si de nouveaux membres du comité exécutif sont nommés et prennent</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their position in the Company after the General Meeting has approved</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leur position dans la société après que l'assemblée générale a approuvé</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maximum total compensation for members of the Executive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la rémunération totale maximale pour les membres du comité exécutif</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Committee for the year in question, the new members may be paid an</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pour l'année en question, les nouveaux membres peuvent être payés au</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additional amount for the period until the next Ordinary Meeting of</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moyen d'un montant additionnel pour la période allant jusqu'à la</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Shareholder. The additional amount payable to all new members of the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prochaine assemblée ordinaire des actionnaires. Le montant additionnel</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Executive Committee may not exceed 50 percent of the respective total</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payable à tous les nouveaux membres du comité exécutif ne peut pas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compensation already approved by the General Meeting. The additional</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dépasser 50 pour cent de la rémunération totale respective déjà</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compensation may only be paid if the total compensation amount that</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approuvé par l'assemblée générale. La rémunération additionnelle ne</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has been approved by the General Meeting for the compensation of the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peut être versée que si le montant total de la rémunération qui a été</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members of the Executive Committee is insufficient to compensate the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approuvé par l'assemblée générale pour la rémunération des membres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newly appointed members. The General Meeting is not required to vote</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 comité exécutif est insuffisant pour rémunérer les membres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on this additional amount.</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nouvellement nommés. L'assemblée générale n'a pas à se prononcer sur</w:t>
            </w:r>
          </w:p>
        </w:tc>
      </w:tr>
      <w:tr>
        <w:trPr>
          <w:trHeight w:val="230"/>
        </w:trPr>
        <w:tc>
          <w:tcPr>
            <w:tcW w:w="780" w:type="dxa"/>
            <w:vAlign w:val="bottom"/>
            <w:tcBorders>
              <w:lef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 montant supplémentaire.</w:t>
            </w:r>
          </w:p>
        </w:tc>
      </w:tr>
      <w:tr>
        <w:trPr>
          <w:trHeight w:val="243"/>
        </w:trPr>
        <w:tc>
          <w:tcPr>
            <w:tcW w:w="534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5280" w:type="dxa"/>
            <w:vAlign w:val="bottom"/>
            <w:tcBorders>
              <w:bottom w:val="single" w:sz="8" w:color="auto"/>
              <w:right w:val="single" w:sz="8" w:color="auto"/>
            </w:tcBorders>
          </w:tcPr>
          <w:p>
            <w:pPr>
              <w:spacing w:after="0"/>
              <w:rPr>
                <w:sz w:val="21"/>
                <w:szCs w:val="21"/>
                <w:color w:val="auto"/>
              </w:rPr>
            </w:pPr>
          </w:p>
        </w:tc>
      </w:tr>
      <w:tr>
        <w:trPr>
          <w:trHeight w:val="222"/>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This additional overall compensation is understood to include any</w:t>
            </w:r>
          </w:p>
        </w:tc>
        <w:tc>
          <w:tcPr>
            <w:tcW w:w="800" w:type="dxa"/>
            <w:vAlign w:val="bottom"/>
            <w:tcBorders>
              <w:right w:val="single" w:sz="8" w:color="auto"/>
            </w:tcBorders>
          </w:tcPr>
          <w:p>
            <w:pPr>
              <w:spacing w:after="0"/>
              <w:rPr>
                <w:sz w:val="19"/>
                <w:szCs w:val="19"/>
                <w:color w:val="auto"/>
              </w:rPr>
            </w:pPr>
          </w:p>
        </w:tc>
        <w:tc>
          <w:tcPr>
            <w:tcW w:w="5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Cette rémunération additionnelle globale est sensée comprendre toutes</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settlements for any disadvantage suffered as a result of the change of</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les règlements pour tout inconvénient subi à la suite du changement de</w:t>
            </w:r>
          </w:p>
        </w:tc>
      </w:tr>
      <w:tr>
        <w:trPr>
          <w:trHeight w:val="230"/>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job.</w:t>
            </w:r>
          </w:p>
        </w:tc>
        <w:tc>
          <w:tcPr>
            <w:tcW w:w="45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travail.</w:t>
            </w:r>
          </w:p>
        </w:tc>
      </w:tr>
      <w:tr>
        <w:trPr>
          <w:trHeight w:val="27"/>
        </w:trPr>
        <w:tc>
          <w:tcPr>
            <w:tcW w:w="780" w:type="dxa"/>
            <w:vAlign w:val="bottom"/>
            <w:tcBorders>
              <w:left w:val="single" w:sz="8" w:color="auto"/>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37"/>
        </w:trPr>
        <w:tc>
          <w:tcPr>
            <w:tcW w:w="7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35</w:t>
            </w:r>
          </w:p>
        </w:tc>
        <w:tc>
          <w:tcPr>
            <w:tcW w:w="456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Expenses</w:t>
            </w: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Art. 35  Dépenses</w:t>
            </w:r>
          </w:p>
        </w:tc>
      </w:tr>
      <w:tr>
        <w:trPr>
          <w:trHeight w:val="418"/>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Expenses which are not covered by the lump sum compensation</w:t>
            </w:r>
          </w:p>
        </w:tc>
        <w:tc>
          <w:tcPr>
            <w:tcW w:w="800" w:type="dxa"/>
            <w:vAlign w:val="bottom"/>
            <w:tcBorders>
              <w:right w:val="single" w:sz="8" w:color="auto"/>
            </w:tcBorders>
          </w:tcPr>
          <w:p>
            <w:pPr>
              <w:spacing w:after="0"/>
              <w:rPr>
                <w:sz w:val="24"/>
                <w:szCs w:val="24"/>
                <w:color w:val="auto"/>
              </w:rPr>
            </w:pPr>
          </w:p>
        </w:tc>
        <w:tc>
          <w:tcPr>
            <w:tcW w:w="5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Les dépenses qui ne sont pas couvertes par l'indemnité forfaitaire</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pursuant to the Company's expense regulations shall be reimbursed</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conformément aux règlements de frais de la société sont remboursées à</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following presentation of the supporting receipts. This additional</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la suite de la présentation des reçus correspondants. Cette rémunération</w:t>
            </w:r>
          </w:p>
        </w:tc>
      </w:tr>
      <w:tr>
        <w:trPr>
          <w:trHeight w:val="216"/>
        </w:trPr>
        <w:tc>
          <w:tcPr>
            <w:tcW w:w="5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remuneration is not subject to a separate vote by the General Meeting.</w:t>
            </w:r>
          </w:p>
        </w:tc>
        <w:tc>
          <w:tcPr>
            <w:tcW w:w="800" w:type="dxa"/>
            <w:vAlign w:val="bottom"/>
            <w:tcBorders>
              <w:right w:val="single" w:sz="8" w:color="auto"/>
            </w:tcBorders>
          </w:tcPr>
          <w:p>
            <w:pPr>
              <w:spacing w:after="0"/>
              <w:rPr>
                <w:sz w:val="18"/>
                <w:szCs w:val="18"/>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additionnelle n'est pas soumise à un vote séparé par l'assemblée</w:t>
            </w:r>
          </w:p>
        </w:tc>
      </w:tr>
      <w:tr>
        <w:trPr>
          <w:trHeight w:val="230"/>
        </w:trPr>
        <w:tc>
          <w:tcPr>
            <w:tcW w:w="780" w:type="dxa"/>
            <w:vAlign w:val="bottom"/>
            <w:tcBorders>
              <w:lef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générale.</w:t>
            </w:r>
          </w:p>
        </w:tc>
      </w:tr>
      <w:tr>
        <w:trPr>
          <w:trHeight w:val="243"/>
        </w:trPr>
        <w:tc>
          <w:tcPr>
            <w:tcW w:w="780" w:type="dxa"/>
            <w:vAlign w:val="bottom"/>
            <w:tcBorders>
              <w:left w:val="single" w:sz="8" w:color="auto"/>
              <w:bottom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5280" w:type="dxa"/>
            <w:vAlign w:val="bottom"/>
            <w:tcBorders>
              <w:bottom w:val="single" w:sz="8" w:color="auto"/>
              <w:right w:val="single" w:sz="8" w:color="auto"/>
            </w:tcBorders>
          </w:tcPr>
          <w:p>
            <w:pPr>
              <w:spacing w:after="0"/>
              <w:rPr>
                <w:sz w:val="21"/>
                <w:szCs w:val="21"/>
                <w:color w:val="auto"/>
              </w:rPr>
            </w:pPr>
          </w:p>
        </w:tc>
      </w:tr>
      <w:tr>
        <w:trPr>
          <w:trHeight w:val="669"/>
        </w:trPr>
        <w:tc>
          <w:tcPr>
            <w:tcW w:w="7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4820"/>
              <w:spacing w:after="0"/>
              <w:rPr>
                <w:sz w:val="20"/>
                <w:szCs w:val="20"/>
                <w:color w:val="auto"/>
              </w:rPr>
            </w:pPr>
            <w:r>
              <w:rPr>
                <w:rFonts w:ascii="Arial" w:cs="Arial" w:eastAsia="Arial" w:hAnsi="Arial"/>
                <w:sz w:val="18"/>
                <w:szCs w:val="18"/>
                <w:color w:val="auto"/>
                <w:w w:val="93"/>
              </w:rPr>
              <w:t>21/26</w:t>
            </w:r>
          </w:p>
        </w:tc>
      </w:tr>
    </w:tbl>
    <w:p>
      <w:pPr>
        <w:sectPr>
          <w:pgSz w:w="11900" w:h="16838" w:orient="portrait"/>
          <w:cols w:equalWidth="0" w:num="1">
            <w:col w:w="11420"/>
          </w:cols>
          <w:pgMar w:left="240" w:top="930" w:right="2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4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36</w:t>
            </w:r>
          </w:p>
        </w:tc>
        <w:tc>
          <w:tcPr>
            <w:tcW w:w="47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Compensation Agreements</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Agreements on compensation with members of the Board of Directors may</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Les accords sur la rémunération des membres du conseil d'administration ne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not exceed the term of maximal one year.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peuvent pas excéder la durée maximale d'une année.</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Employment agreements of the members of the Executive Committee are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Les contrats de travail des membres du comité exécutif sont principalement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principally concluded for an indefinite period of time whereas a notice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conclus pour une durée indéterminée. Un délai de préavis ne peut pas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period may not exceed 12 months. If an employment agreement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excéder 12 mois. Si un accord de travail est conclu pour une durée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concluded for a fixed term such term may not exceed one year.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déterminée, telle durée ne peut pas excéder un an.</w:t>
            </w: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18"/>
        </w:trPr>
        <w:tc>
          <w:tcPr>
            <w:tcW w:w="8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37</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w w:val="94"/>
              </w:rPr>
              <w:t>Mandates of a Member of the Board of Directors outside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37  Mandats d'un membre du conseil d'administration de la</w:t>
            </w:r>
          </w:p>
        </w:tc>
      </w:tr>
      <w:tr>
        <w:trPr>
          <w:trHeight w:val="234"/>
        </w:trPr>
        <w:tc>
          <w:tcPr>
            <w:tcW w:w="840" w:type="dxa"/>
            <w:vAlign w:val="bottom"/>
            <w:tcBorders>
              <w:left w:val="single" w:sz="8" w:color="auto"/>
            </w:tcBorders>
          </w:tcPr>
          <w:p>
            <w:pPr>
              <w:spacing w:after="0"/>
              <w:rPr>
                <w:sz w:val="20"/>
                <w:szCs w:val="20"/>
                <w:color w:val="auto"/>
              </w:rPr>
            </w:pPr>
          </w:p>
        </w:tc>
        <w:tc>
          <w:tcPr>
            <w:tcW w:w="47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880"/>
              <w:spacing w:after="0"/>
              <w:rPr>
                <w:sz w:val="20"/>
                <w:szCs w:val="20"/>
                <w:color w:val="auto"/>
              </w:rPr>
            </w:pPr>
            <w:r>
              <w:rPr>
                <w:rFonts w:ascii="Arial" w:cs="Arial" w:eastAsia="Arial" w:hAnsi="Arial"/>
                <w:sz w:val="18"/>
                <w:szCs w:val="18"/>
                <w:b w:val="1"/>
                <w:bCs w:val="1"/>
                <w:color w:val="auto"/>
              </w:rPr>
              <w:t>société</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A member of the Board of Directors may cumulatively assume not more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Un membre du conseil d'administration ne peut pas cumuler plus que le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than the following number of mandates in the board of directors,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nombre suivant de mandats dans un conseil d'administration, une direction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superior management or an administrative body of a legal entity which is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supérieure ou un organisme administratif d'une personne morale qui est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obliged to be registered in the Swiss commercial register or an equivalent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obligée d'être inscrite au registre du commerce suisse ou un registre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foreign register: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étranger équivalent: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a)  7 mandates for publicly traded companies pursuant to art. 727 para. 1</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  7 mandats pour les entreprises cotées en bourse selon l'art. 727 al. 1</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number 1 CO;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chiffre 1 CO; et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b)  8 mandates for companies pursuant to art. 727 para. 1 number 2 CO;</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b)  8 mandats pour des entreprises selon l'art. 727 al. 1 chiffre 2 CO; et</w:t>
            </w:r>
          </w:p>
        </w:tc>
      </w:tr>
      <w:tr>
        <w:trPr>
          <w:trHeight w:val="230"/>
        </w:trPr>
        <w:tc>
          <w:tcPr>
            <w:tcW w:w="8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and</w:t>
            </w:r>
          </w:p>
        </w:tc>
        <w:tc>
          <w:tcPr>
            <w:tcW w:w="47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   5 mandates for companies which do not fulfil the criteria under a) and</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  5 mandats pour les entreprises qui ne remplissent pas les critères sous</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b) above.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 et b) ci-dessus.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Mandates held in several legal entities each operating under the same</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9"/>
              </w:rPr>
              <w:t>Les mandats exercés dans plusieurs entités juridiques opérant chacune sous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management or same beneficial owner (group) are deemed to be a single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la même direction ou le même bénéficiaire effectif (groupe) sont réputés</w:t>
            </w:r>
          </w:p>
        </w:tc>
      </w:tr>
      <w:tr>
        <w:trPr>
          <w:trHeight w:val="230"/>
        </w:trPr>
        <w:tc>
          <w:tcPr>
            <w:tcW w:w="8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mandate.</w:t>
            </w:r>
          </w:p>
        </w:tc>
        <w:tc>
          <w:tcPr>
            <w:tcW w:w="47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être un seul mandat.</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If a legal entity fulfills several of the above mentioned criteria, it can be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Si une entité juridique remplit plusieurs des critères mentionnés ci-dessus,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freely counted towards any category. The following mandates are excepted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elle peut être librement placée dans une catégorie. Les mandats suivants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from these restrictions: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sont exceptés de ces restrictions: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  mandates in legal entities which are controlled by the Company or</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les mandats dans des entités juridiques qui sont contrôlées par la</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which control 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société ou qui contrôlent la société;</w:t>
            </w: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b)  des mandats d'honneur à des personnes morales de bienfaisance.</w:t>
            </w:r>
          </w:p>
        </w:tc>
      </w:tr>
      <w:tr>
        <w:trPr>
          <w:trHeight w:val="27"/>
        </w:trPr>
        <w:tc>
          <w:tcPr>
            <w:tcW w:w="840" w:type="dxa"/>
            <w:vAlign w:val="bottom"/>
            <w:tcBorders>
              <w:left w:val="single" w:sz="8" w:color="auto"/>
              <w:bottom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18"/>
        </w:trPr>
        <w:tc>
          <w:tcPr>
            <w:tcW w:w="8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38</w:t>
            </w:r>
          </w:p>
        </w:tc>
        <w:tc>
          <w:tcPr>
            <w:tcW w:w="47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Mandates of a Member of the Executive Committee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38  Mandats d'un membre du comité exécutif</w:t>
            </w:r>
          </w:p>
        </w:tc>
      </w:tr>
      <w:tr>
        <w:trPr>
          <w:trHeight w:val="234"/>
        </w:trPr>
        <w:tc>
          <w:tcPr>
            <w:tcW w:w="840" w:type="dxa"/>
            <w:vAlign w:val="bottom"/>
            <w:tcBorders>
              <w:left w:val="single" w:sz="8" w:color="auto"/>
            </w:tcBorders>
          </w:tcPr>
          <w:p>
            <w:pPr>
              <w:spacing w:after="0"/>
              <w:rPr>
                <w:sz w:val="20"/>
                <w:szCs w:val="20"/>
                <w:color w:val="auto"/>
              </w:rPr>
            </w:pPr>
          </w:p>
        </w:tc>
        <w:tc>
          <w:tcPr>
            <w:tcW w:w="478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900"/>
              <w:spacing w:after="0"/>
              <w:rPr>
                <w:sz w:val="20"/>
                <w:szCs w:val="20"/>
                <w:color w:val="auto"/>
              </w:rPr>
            </w:pPr>
            <w:r>
              <w:rPr>
                <w:rFonts w:ascii="Arial" w:cs="Arial" w:eastAsia="Arial" w:hAnsi="Arial"/>
                <w:sz w:val="18"/>
                <w:szCs w:val="18"/>
                <w:b w:val="1"/>
                <w:bCs w:val="1"/>
                <w:color w:val="auto"/>
              </w:rPr>
              <w:t>en-dehors de la société</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Each member of the Executive Committee may, with approval of the Board</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Chaque membre du comité exécutif peut, avec l'approbation du conseil</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of Directors, cumulatively assume not more than the following number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d'administration, cumuler pas plus que le nombre suivant de mandats dans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mandates in the board of directors, the superior management or an</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un conseil d'administration, une direction supérieure ou un organisme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administrative body of a legal entity which is obliged to</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administratif d'une personne morale qui est</w:t>
            </w:r>
          </w:p>
        </w:tc>
      </w:tr>
      <w:tr>
        <w:trPr>
          <w:trHeight w:val="243"/>
        </w:trPr>
        <w:tc>
          <w:tcPr>
            <w:tcW w:w="840" w:type="dxa"/>
            <w:vAlign w:val="bottom"/>
            <w:tcBorders>
              <w:left w:val="single" w:sz="8" w:color="auto"/>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669"/>
        </w:trPr>
        <w:tc>
          <w:tcPr>
            <w:tcW w:w="8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22/26</w:t>
            </w:r>
          </w:p>
        </w:tc>
      </w:tr>
    </w:tbl>
    <w:p>
      <w:pPr>
        <w:sectPr>
          <w:pgSz w:w="11900" w:h="16838" w:orient="portrait"/>
          <w:cols w:equalWidth="0" w:num="1">
            <w:col w:w="11420"/>
          </w:cols>
          <w:pgMar w:left="240" w:top="930" w:right="23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be registered in the Swiss commercial register or an equivalent foreign</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obligée d'être inscrite dans le registre du commerce suisse ou un registre</w:t>
            </w:r>
          </w:p>
        </w:tc>
      </w:tr>
      <w:tr>
        <w:trPr>
          <w:trHeight w:val="230"/>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register:</w:t>
            </w: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étranger équivalent:</w:t>
            </w:r>
          </w:p>
        </w:tc>
      </w:tr>
      <w:tr>
        <w:trPr>
          <w:trHeight w:val="47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a)  2 mandates for publicly traded companies pursuant to Art. 727 para. 1</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  2 mandats pour les entreprises cotées en bourse selon l'art. 727 al. 1</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number 1 CO; and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chiffre 1 CO; et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b)  3 mandates for companies pursuant to Art. 727 para. 1 number 2 CO;</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b)  3 mandats pour des entreprises selon l'art. 727 al. 1 chiffre 2 CO; et</w:t>
            </w:r>
          </w:p>
        </w:tc>
      </w:tr>
      <w:tr>
        <w:trPr>
          <w:trHeight w:val="230"/>
        </w:trPr>
        <w:tc>
          <w:tcPr>
            <w:tcW w:w="88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and</w:t>
            </w: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c)  5 mandates for companies which do not fulfil the criteria under litera a)</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  5 mandats pour les entreprises qui ne remplissent pas les critères sous</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and b) above.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 et b) ci-dessus.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Mandates held in several legal entities each operating under the same</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Les mandats exercés dans plusieurs entités juridiques opérant chacun sous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management or same beneficial owner (group) are deemed to be a single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la même direction ou même bénéficiaire effectif (groupe) sont réputés être</w:t>
            </w:r>
          </w:p>
        </w:tc>
      </w:tr>
      <w:tr>
        <w:trPr>
          <w:trHeight w:val="230"/>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mandate.</w:t>
            </w: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 seul mandat.</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If a legal entity fulfills several of the above mentioned criteria, it can be</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Si une entité juridique remplit plusieurs des critères mentionnés ci-dessus,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freely counted towards any category. The following mandates are excepted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elle peut être librement placée dans une catégorie. Les mandats suivants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from this restrictions: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sont exceptés de ces restrictions: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  mandates in legal entities which are controlled by the Company or</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les mandats dans des entités juridiques qui sont contrôlées par la</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which control the Company;</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société ou qui contrôlent la société;</w:t>
            </w:r>
          </w:p>
        </w:tc>
      </w:tr>
      <w:tr>
        <w:trPr>
          <w:trHeight w:val="27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3"/>
                <w:szCs w:val="23"/>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  mandats d'honneur dans des entités juridiques de bienfaisance.</w:t>
            </w: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7"/>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39</w:t>
            </w: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Loans and Credits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39  Prêts et crédits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The members of the Board of Directors and the Executive Committee may</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Les membres du conseil d'administration et du comité exécutif ne peuvent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not be granted any loans, credits or securities. Excepted from the above are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pas souscrire des prêts, des crédits ou des titres. Sont exceptées les avances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advances in the maximum amount of CHF 500'000 per person for attorneys'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d'un montant maximum de CHF 500'000 par personne pour les frais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fees, court and other similar costs required for the defence of third-party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d'avocat, des coûts de tribunaux et d'autres coûts similaires nécessaires à la</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liability claims permitted by Article 29.</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défense contre des actions en responsabilité civile autorisés par l'article 29.</w:t>
            </w:r>
          </w:p>
        </w:tc>
      </w:tr>
      <w:tr>
        <w:trPr>
          <w:trHeight w:val="243"/>
        </w:trPr>
        <w:tc>
          <w:tcPr>
            <w:tcW w:w="880" w:type="dxa"/>
            <w:vAlign w:val="bottom"/>
            <w:tcBorders>
              <w:left w:val="single" w:sz="8" w:color="auto"/>
              <w:bottom w:val="single" w:sz="8" w:color="auto"/>
            </w:tcBorders>
          </w:tcPr>
          <w:p>
            <w:pPr>
              <w:spacing w:after="0"/>
              <w:rPr>
                <w:sz w:val="21"/>
                <w:szCs w:val="21"/>
                <w:color w:val="auto"/>
              </w:rPr>
            </w:pPr>
          </w:p>
        </w:tc>
        <w:tc>
          <w:tcPr>
            <w:tcW w:w="47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237"/>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40</w:t>
            </w: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Pension Funds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40  Fonds de pension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The Company shall remunerate members of the Board of Directors only in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La société ne doit rémunérer les membres du conseil d'administration que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respect of the employer's mandatory contributions to social insurance.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 montant dû au titre de contributions obligatoire de l'employeur à</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Above and beyond this, the Company shall not make any contributions to</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l'assurance sociale. Au-delà de ce montant, la société ne doit pas verser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pension funds or other such pension plans. In exceptional cases,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cotisations à des institutions de prévoyance ou à d'autres régimes de retraite.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contributions such as these may be made subject to a request by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Dans des cas exceptionnels, des contributions comme celles-ci peuvent être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Compensation Committee and the approval of the General Meeting.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faites sur demande au comité de rémunération et sous réserve de</w:t>
            </w:r>
          </w:p>
        </w:tc>
      </w:tr>
      <w:tr>
        <w:trPr>
          <w:trHeight w:val="230"/>
        </w:trPr>
        <w:tc>
          <w:tcPr>
            <w:tcW w:w="880" w:type="dxa"/>
            <w:vAlign w:val="bottom"/>
            <w:tcBorders>
              <w:left w:val="single" w:sz="8" w:color="auto"/>
            </w:tcBorders>
          </w:tcPr>
          <w:p>
            <w:pPr>
              <w:spacing w:after="0"/>
              <w:rPr>
                <w:sz w:val="20"/>
                <w:szCs w:val="20"/>
                <w:color w:val="auto"/>
              </w:rPr>
            </w:pP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l'approbation de l'assemblée générale.</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Members of the Executive Committee participate in the Company's pension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Les membres du comité exécutif participent aux régimes de retraite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plans (the Company's pension fund and the management pension plan).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société (le fond de pension de la société et le régime de retraite du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pension plans conform to the legal requirements. For members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management). Les régimes de retraite sont conformes aux exigences légales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Executive Committee, the insured income is defined as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(LPP). Pour les membres du comité exécutif, le revenu assuré</w:t>
            </w: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669"/>
        </w:trPr>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23/26</w:t>
            </w:r>
          </w:p>
        </w:tc>
      </w:tr>
    </w:tbl>
    <w:p>
      <w:pPr>
        <w:sectPr>
          <w:pgSz w:w="11900" w:h="16838" w:orient="portrait"/>
          <w:cols w:equalWidth="0" w:num="1">
            <w:col w:w="11420"/>
          </w:cols>
          <w:pgMar w:left="240" w:top="930" w:right="23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the fixed remuneration plus 50 percent of the target performance-related</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 défini comme la rémunération fixe plus les 50 pour cent de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remuneration, up to the legal maximum. Equity-linked income components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rémunération liée à la performance, jusqu'au maximum légal. Les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are not included.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composantes du revenu liées au capital propre ne sont pas inclus.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Within the overall compensation approved by the General Meeting, the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Dans la rémunération globale approuvée par l'assemblée générale, la société</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Company may make additional payments into the Company's pension funds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pourra effectuer des paiements supplémentaires dans les caisses de retraite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for the benefit of members of the Executive Committee in order to cover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de la société pour le bénéfice des membres du comité exécutif afin de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any disadvantage suffered as a result of the change of jobs or to purchase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couvrir tout désavantage subi par suite de la modification de l'emploi ou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additional pension entitlements. In this context the Company may conclude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pour acheter des droits de pension supplémentaires. Dans ce contexte,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life insurance policies on behalf of members of the Executive Committee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société peut conclure des contrats d'assurance-vie au nom des membres du</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pay the insurance premiums either fully or in part.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comité exécutif et payer en totalité ou en partie les primes d'assurance.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Upon retirement, the Company may also grant members of the Executive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À la retraite, la société peut également accorder aux membres du comité</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Committee a bridging pension to cover the period between early retirement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exécutif, une pension de transition pour couvrir la période entre la retraite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at 62 and the ordinary age of retirement, if such bridging pension does not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anticipée à 62 ans et l'âge ordinaire de la retraite, si cette rente transitoire ne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exceed 100 percent of the total annual compensation of the respective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dépasse pas 100 pour cent du dernier montant de la rémunération annuelle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member last paid.</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totale payée au membre respectif.</w:t>
            </w:r>
          </w:p>
        </w:tc>
      </w:tr>
      <w:tr>
        <w:trPr>
          <w:trHeight w:val="27"/>
        </w:trPr>
        <w:tc>
          <w:tcPr>
            <w:tcW w:w="820" w:type="dxa"/>
            <w:vAlign w:val="bottom"/>
            <w:tcBorders>
              <w:left w:val="single" w:sz="8" w:color="auto"/>
              <w:bottom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237"/>
        </w:trPr>
        <w:tc>
          <w:tcPr>
            <w:tcW w:w="82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41</w:t>
            </w:r>
          </w:p>
        </w:tc>
        <w:tc>
          <w:tcPr>
            <w:tcW w:w="4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Option and Share Plans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41  Options et plan d'actions</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Under the Company's Option Plan, the Board of Directors, upon proposal of</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En vertu du régime d'options de la société, le conseil d'administration, sur</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 Compensation Committee, allocates the participating members of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proposition du comité de rémunération, attribue aux membres participants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Executive Committee and the Board of Directors a fixed number of options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du comité exécutif et du conseil d'administration un nombre fixe d'options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or shares with a vesting for a period of at least three years (the vesting</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ou d'actions avec une période de blocage d'une période d'au moins trois ans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period). At the end of the vesting period, participants in the Option Plan are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(la "Période de Blocage"). À la fin de la Période de Blocage, les participants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entitled to exercise the options granted against payment of the strike price.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au régime d'options sont habilités à exercer les options attribuées contre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These options to acquire shares in the Company or allocated shares are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paiement du prix d'exercice. Ces options d'achat d'actions de la société ou</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subject to the basic principles set out in the following:</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d'actions attribuées sont soumises aux principes de base suivants: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a)  it is the sole discretion of the Board of Directors to decide whether to</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  il relève de la libre appréciation du conseil d'administration de décider</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allocate options or shares and to whom;</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si des options ou actions sont attribuées et à qui;</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b)  each year, the Board of Directors, upon proposal of the Compensation</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b)  chaque année, le conseil d'administration, sur proposition du comité de</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1"/>
              </w:rPr>
              <w:t>Committee, stipulates the number of options and shares to be allocated,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rémunération, fixe le nombre d'options et d'actions à attribuer, la date</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the date of allocation and the strike price;</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d'attribution et le prix d'exercice;</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  each option incorporates a non-transferable, pre-emptive, and</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  chaque option comporte un droit non transférable, de souscription</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9"/>
              </w:rPr>
              <w:t>contingent right to acquire a certain number of Company's shares;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préférentielle et optionnel d'acquérir un certain nombre d'actions de la</w:t>
            </w:r>
          </w:p>
        </w:tc>
      </w:tr>
      <w:tr>
        <w:trPr>
          <w:trHeight w:val="230"/>
        </w:trPr>
        <w:tc>
          <w:tcPr>
            <w:tcW w:w="820" w:type="dxa"/>
            <w:vAlign w:val="bottom"/>
            <w:tcBorders>
              <w:lef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société;</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d)  in the case of a change of control (as defined in the Option Plan) or</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d)  dans le cas d'un changement de contrôle (tel que défini dans le régime</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delisting of the Company's shares, the vesting period shall end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d'options) ou la radiation des actions de la société, la Période de</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(accelerated vesting)</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Blocage prend</w:t>
            </w:r>
          </w:p>
        </w:tc>
      </w:tr>
      <w:tr>
        <w:trPr>
          <w:trHeight w:val="27"/>
        </w:trPr>
        <w:tc>
          <w:tcPr>
            <w:tcW w:w="820" w:type="dxa"/>
            <w:vAlign w:val="bottom"/>
            <w:tcBorders>
              <w:left w:val="single" w:sz="8" w:color="auto"/>
              <w:bottom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tcPr>
          <w:p>
            <w:pPr>
              <w:spacing w:after="0"/>
              <w:rPr>
                <w:sz w:val="2"/>
                <w:szCs w:val="2"/>
                <w:color w:val="auto"/>
              </w:rPr>
            </w:pPr>
          </w:p>
        </w:tc>
      </w:tr>
      <w:tr>
        <w:trPr>
          <w:trHeight w:val="669"/>
        </w:trPr>
        <w:tc>
          <w:tcPr>
            <w:tcW w:w="8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w w:val="93"/>
              </w:rPr>
              <w:t>24/26</w:t>
            </w:r>
          </w:p>
        </w:tc>
      </w:tr>
    </w:tbl>
    <w:p>
      <w:pPr>
        <w:sectPr>
          <w:pgSz w:w="11900" w:h="16838" w:orient="portrait"/>
          <w:cols w:equalWidth="0" w:num="1">
            <w:col w:w="11420"/>
          </w:cols>
          <w:pgMar w:left="240" w:top="930" w:right="239"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620" w:type="dxa"/>
            <w:vAlign w:val="bottom"/>
            <w:tcBorders>
              <w:top w:val="single" w:sz="8" w:color="auto"/>
              <w:left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w w:val="91"/>
              </w:rPr>
              <w:t>and the participant shall be entitled to exercise the options on a pro rata</w:t>
            </w:r>
          </w:p>
        </w:tc>
        <w:tc>
          <w:tcPr>
            <w:tcW w:w="220" w:type="dxa"/>
            <w:vAlign w:val="bottom"/>
            <w:tcBorders>
              <w:top w:val="single" w:sz="8" w:color="auto"/>
              <w:right w:val="single" w:sz="8" w:color="auto"/>
            </w:tcBorders>
          </w:tcPr>
          <w:p>
            <w:pPr>
              <w:spacing w:after="0"/>
              <w:rPr>
                <w:sz w:val="21"/>
                <w:szCs w:val="21"/>
                <w:color w:val="auto"/>
              </w:rPr>
            </w:pPr>
          </w:p>
        </w:tc>
        <w:tc>
          <w:tcPr>
            <w:tcW w:w="5580" w:type="dxa"/>
            <w:vAlign w:val="bottom"/>
            <w:tcBorders>
              <w:top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w w:val="97"/>
              </w:rPr>
              <w:t>fin (acquisition accélérée) et le participant est en droit d'exercer les</w:t>
            </w:r>
          </w:p>
        </w:tc>
      </w:tr>
      <w:tr>
        <w:trPr>
          <w:trHeight w:val="216"/>
        </w:trPr>
        <w:tc>
          <w:tcPr>
            <w:tcW w:w="56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w w:val="97"/>
              </w:rPr>
              <w:t>basis on the day the transaction that led to the change of control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0"/>
              </w:rPr>
              <w:t>options sur une base pro rata le jour de la transaction qui a conduit à un</w:t>
            </w:r>
          </w:p>
        </w:tc>
      </w:tr>
      <w:tr>
        <w:trPr>
          <w:trHeight w:val="216"/>
        </w:trPr>
        <w:tc>
          <w:tcPr>
            <w:tcW w:w="56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delisting was executed. It is at the sole discretion of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7"/>
              </w:rPr>
              <w:t>changement de contrôle ou le jour où la radiation a été exécutée. Il</w:t>
            </w:r>
          </w:p>
        </w:tc>
      </w:tr>
      <w:tr>
        <w:trPr>
          <w:trHeight w:val="216"/>
        </w:trPr>
        <w:tc>
          <w:tcPr>
            <w:tcW w:w="56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w w:val="97"/>
              </w:rPr>
              <w:t>Directors to decide upon proposal of the Compensation Committee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4"/>
              </w:rPr>
              <w:t>relève de la libre appréciation du conseil d'administration de décider,</w:t>
            </w:r>
          </w:p>
        </w:tc>
      </w:tr>
      <w:tr>
        <w:trPr>
          <w:trHeight w:val="216"/>
        </w:trPr>
        <w:tc>
          <w:tcPr>
            <w:tcW w:w="5620" w:type="dxa"/>
            <w:vAlign w:val="bottom"/>
            <w:tcBorders>
              <w:left w:val="single" w:sz="8" w:color="auto"/>
              <w:right w:val="single" w:sz="8" w:color="auto"/>
            </w:tcBorders>
            <w:gridSpan w:val="2"/>
          </w:tcPr>
          <w:p>
            <w:pPr>
              <w:ind w:left="380"/>
              <w:spacing w:after="0"/>
              <w:rPr>
                <w:sz w:val="20"/>
                <w:szCs w:val="20"/>
                <w:color w:val="auto"/>
              </w:rPr>
            </w:pPr>
            <w:r>
              <w:rPr>
                <w:rFonts w:ascii="Arial" w:cs="Arial" w:eastAsia="Arial" w:hAnsi="Arial"/>
                <w:sz w:val="18"/>
                <w:szCs w:val="18"/>
                <w:color w:val="auto"/>
              </w:rPr>
              <w:t>whether the financial objectives have been met;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w w:val="95"/>
              </w:rPr>
              <w:t>sur proposition du comité de rémunération, si les objectifs financiers</w:t>
            </w:r>
          </w:p>
        </w:tc>
      </w:tr>
      <w:tr>
        <w:trPr>
          <w:trHeight w:val="230"/>
        </w:trPr>
        <w:tc>
          <w:tcPr>
            <w:tcW w:w="640" w:type="dxa"/>
            <w:vAlign w:val="bottom"/>
            <w:tcBorders>
              <w:left w:val="single" w:sz="8" w:color="auto"/>
            </w:tcBorders>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rPr>
              <w:t>ont été atteints;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e )  the individual members of the Executive Committee or the Board of</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  les membres individuels du comité exécutif ou du conseil</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2"/>
              </w:rPr>
              <w:t>Directors participating in the Option Plan are responsible for paying any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4"/>
              </w:rPr>
              <w:t>d'administration qui participent au régime d'options sont responsables</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2"/>
              </w:rPr>
              <w:t>taxes or social security contributions and for declaring income correctly</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2"/>
              </w:rPr>
              <w:t>du paiement de tous les impôts ou cotisations de sécurité sociale et de</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to the authorities;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déclarer correctement le revenu aux autorités;</w:t>
            </w:r>
          </w:p>
        </w:tc>
      </w:tr>
      <w:tr>
        <w:trPr>
          <w:trHeight w:val="25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f)   it is at the sole discretion of the Board of Directors to decide whether</w:t>
            </w:r>
          </w:p>
        </w:tc>
        <w:tc>
          <w:tcPr>
            <w:tcW w:w="220" w:type="dxa"/>
            <w:vAlign w:val="bottom"/>
            <w:tcBorders>
              <w:right w:val="single" w:sz="8" w:color="auto"/>
            </w:tcBorders>
          </w:tcPr>
          <w:p>
            <w:pPr>
              <w:spacing w:after="0"/>
              <w:rPr>
                <w:sz w:val="22"/>
                <w:szCs w:val="22"/>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f)  il relève de la libre appréciation du conseil d'administration de décider</w:t>
            </w:r>
          </w:p>
        </w:tc>
      </w:tr>
      <w:tr>
        <w:trPr>
          <w:trHeight w:val="216"/>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to supplement the Option Plan within the bounds of the principles set</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si le régime d'options est complété dans les limites des principes</w:t>
            </w:r>
          </w:p>
        </w:tc>
      </w:tr>
      <w:tr>
        <w:trPr>
          <w:trHeight w:val="230"/>
        </w:trPr>
        <w:tc>
          <w:tcPr>
            <w:tcW w:w="5620" w:type="dxa"/>
            <w:vAlign w:val="bottom"/>
            <w:tcBorders>
              <w:left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out above or to discontinue it.</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énoncés ci-dessus ou de l'interrompre.</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The Company may periodically offer shares in the Company to important</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La société peut périodiquement offrir des actions de la société aux salariés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and long-term employees for a price being at maximum ten percent below</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importants et à long terme pour un prix étant au maximum dix pour cent au-</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the average volume-weighted price of the last 30 trading days at the stock</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dessous du prix moyen pondéré par les volumes des 30 derniers jours à la</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exchange. Members of the Board of Directors and the Executive Committee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bourse. Les membres du conseil d'administration et du comité exécutif</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may be included in this program. The shares acquired thereby shall be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peuvent être inclus dans ce programme. Les actions ainsi acquises seront</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blocked for a period of at least 3 years.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bloquées pour une période d'au moins 3 ans.</w:t>
            </w:r>
          </w:p>
        </w:tc>
      </w:tr>
      <w:tr>
        <w:trPr>
          <w:trHeight w:val="27"/>
        </w:trPr>
        <w:tc>
          <w:tcPr>
            <w:tcW w:w="640" w:type="dxa"/>
            <w:vAlign w:val="bottom"/>
            <w:tcBorders>
              <w:left w:val="single" w:sz="8" w:color="auto"/>
              <w:bottom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218"/>
        </w:trPr>
        <w:tc>
          <w:tcPr>
            <w:tcW w:w="6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VIII.</w:t>
            </w:r>
          </w:p>
        </w:tc>
        <w:tc>
          <w:tcPr>
            <w:tcW w:w="49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BUSINESS YEAR, ACCOUNTING, ALLOCATION OF</w:t>
            </w:r>
          </w:p>
        </w:tc>
        <w:tc>
          <w:tcPr>
            <w:tcW w:w="220" w:type="dxa"/>
            <w:vAlign w:val="bottom"/>
            <w:tcBorders>
              <w:right w:val="single" w:sz="8" w:color="auto"/>
            </w:tcBorders>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VIII.</w:t>
            </w:r>
          </w:p>
        </w:tc>
        <w:tc>
          <w:tcPr>
            <w:tcW w:w="49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EXERCICE, COMPTABILITÉ, RÉPARTITION DES</w:t>
            </w:r>
          </w:p>
        </w:tc>
      </w:tr>
      <w:tr>
        <w:trPr>
          <w:trHeight w:val="234"/>
        </w:trPr>
        <w:tc>
          <w:tcPr>
            <w:tcW w:w="640" w:type="dxa"/>
            <w:vAlign w:val="bottom"/>
            <w:tcBorders>
              <w:left w:val="single" w:sz="8" w:color="auto"/>
            </w:tcBorders>
          </w:tcPr>
          <w:p>
            <w:pPr>
              <w:spacing w:after="0"/>
              <w:rPr>
                <w:sz w:val="20"/>
                <w:szCs w:val="20"/>
                <w:color w:val="auto"/>
              </w:rPr>
            </w:pPr>
          </w:p>
        </w:tc>
        <w:tc>
          <w:tcPr>
            <w:tcW w:w="49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PROFITS</w:t>
            </w:r>
          </w:p>
        </w:tc>
        <w:tc>
          <w:tcPr>
            <w:tcW w:w="22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49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BÉNÉFICES</w:t>
            </w:r>
          </w:p>
        </w:tc>
      </w:tr>
      <w:tr>
        <w:trPr>
          <w:trHeight w:val="203"/>
        </w:trPr>
        <w:tc>
          <w:tcPr>
            <w:tcW w:w="640" w:type="dxa"/>
            <w:vAlign w:val="bottom"/>
            <w:tcBorders>
              <w:left w:val="single" w:sz="8" w:color="auto"/>
              <w:bottom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r>
      <w:tr>
        <w:trPr>
          <w:trHeight w:val="237"/>
        </w:trPr>
        <w:tc>
          <w:tcPr>
            <w:tcW w:w="6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w w:val="99"/>
              </w:rPr>
              <w:t>Art. 42</w:t>
            </w:r>
          </w:p>
        </w:tc>
        <w:tc>
          <w:tcPr>
            <w:tcW w:w="49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Business Year</w:t>
            </w:r>
          </w:p>
        </w:tc>
        <w:tc>
          <w:tcPr>
            <w:tcW w:w="220" w:type="dxa"/>
            <w:vAlign w:val="bottom"/>
            <w:tcBorders>
              <w:right w:val="single" w:sz="8" w:color="auto"/>
            </w:tcBorders>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w w:val="99"/>
              </w:rPr>
              <w:t>Art. 42</w:t>
            </w:r>
          </w:p>
        </w:tc>
        <w:tc>
          <w:tcPr>
            <w:tcW w:w="49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Exercice</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Le conseil d'administration détermine le début et la fin de l'exercice de la</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Company's business year.</w:t>
            </w:r>
          </w:p>
        </w:tc>
        <w:tc>
          <w:tcPr>
            <w:tcW w:w="220" w:type="dxa"/>
            <w:vAlign w:val="bottom"/>
            <w:tcBorders>
              <w:right w:val="single" w:sz="8" w:color="auto"/>
            </w:tcBorders>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w w:val="90"/>
              </w:rPr>
              <w:t>société.</w:t>
            </w:r>
          </w:p>
        </w:tc>
        <w:tc>
          <w:tcPr>
            <w:tcW w:w="4960" w:type="dxa"/>
            <w:vAlign w:val="bottom"/>
            <w:tcBorders>
              <w:right w:val="single" w:sz="8" w:color="auto"/>
            </w:tcBorders>
          </w:tcPr>
          <w:p>
            <w:pPr>
              <w:spacing w:after="0"/>
              <w:rPr>
                <w:sz w:val="20"/>
                <w:szCs w:val="20"/>
                <w:color w:val="auto"/>
              </w:rPr>
            </w:pPr>
          </w:p>
        </w:tc>
      </w:tr>
      <w:tr>
        <w:trPr>
          <w:trHeight w:val="243"/>
        </w:trPr>
        <w:tc>
          <w:tcPr>
            <w:tcW w:w="640" w:type="dxa"/>
            <w:vAlign w:val="bottom"/>
            <w:tcBorders>
              <w:left w:val="single" w:sz="8" w:color="auto"/>
              <w:bottom w:val="single" w:sz="8" w:color="auto"/>
            </w:tcBorders>
          </w:tcPr>
          <w:p>
            <w:pPr>
              <w:spacing w:after="0"/>
              <w:rPr>
                <w:sz w:val="21"/>
                <w:szCs w:val="21"/>
                <w:color w:val="auto"/>
              </w:rPr>
            </w:pPr>
          </w:p>
        </w:tc>
        <w:tc>
          <w:tcPr>
            <w:tcW w:w="49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960" w:type="dxa"/>
            <w:vAlign w:val="bottom"/>
            <w:tcBorders>
              <w:bottom w:val="single" w:sz="8" w:color="auto"/>
              <w:right w:val="single" w:sz="8" w:color="auto"/>
            </w:tcBorders>
          </w:tcPr>
          <w:p>
            <w:pPr>
              <w:spacing w:after="0"/>
              <w:rPr>
                <w:sz w:val="21"/>
                <w:szCs w:val="21"/>
                <w:color w:val="auto"/>
              </w:rPr>
            </w:pPr>
          </w:p>
        </w:tc>
      </w:tr>
      <w:tr>
        <w:trPr>
          <w:trHeight w:val="237"/>
        </w:trPr>
        <w:tc>
          <w:tcPr>
            <w:tcW w:w="64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w w:val="99"/>
              </w:rPr>
              <w:t>Art. 43</w:t>
            </w:r>
          </w:p>
        </w:tc>
        <w:tc>
          <w:tcPr>
            <w:tcW w:w="498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Accounting</w:t>
            </w:r>
          </w:p>
        </w:tc>
        <w:tc>
          <w:tcPr>
            <w:tcW w:w="220" w:type="dxa"/>
            <w:vAlign w:val="bottom"/>
            <w:tcBorders>
              <w:right w:val="single" w:sz="8" w:color="auto"/>
            </w:tcBorders>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w w:val="99"/>
              </w:rPr>
              <w:t>Art. 43</w:t>
            </w:r>
          </w:p>
        </w:tc>
        <w:tc>
          <w:tcPr>
            <w:tcW w:w="49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Comptabilité</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 annual accounts consist of the profit and loss statement, the balance</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Les comptes annuels se composent du compte de profits et pertes, du bilan,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sheet, the cash flow statement, the annex and the management report, and</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du tableau des flux de trésorerie, de l'annexe et du rapport de gestion, et</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shall be drawn up pursuant to the provisions of the CO, particularly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sont établis conformément aux dispositions du CO, en particulier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 xml:space="preserve">Articles 958 </w:t>
            </w:r>
            <w:r>
              <w:rPr>
                <w:rFonts w:ascii="Arial" w:cs="Arial" w:eastAsia="Arial" w:hAnsi="Arial"/>
                <w:sz w:val="18"/>
                <w:szCs w:val="18"/>
                <w:i w:val="1"/>
                <w:iCs w:val="1"/>
                <w:color w:val="auto"/>
                <w:w w:val="93"/>
              </w:rPr>
              <w:t>et seq.</w:t>
            </w:r>
            <w:r>
              <w:rPr>
                <w:rFonts w:ascii="Arial" w:cs="Arial" w:eastAsia="Arial" w:hAnsi="Arial"/>
                <w:sz w:val="18"/>
                <w:szCs w:val="18"/>
                <w:color w:val="auto"/>
                <w:w w:val="93"/>
              </w:rPr>
              <w:t xml:space="preserve"> CO, and the generally accepted commercial principles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articles 958 ss. CO, et aux principes commerciaux généralement reconnus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customary rules in that business area.</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et aux règles coutumières dans ce secteur d'activité.</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If required by law, the consolidated financial statements shall be drawn in</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Si requis par la loi, les états financiers consolidés sont établis en conformité</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accordance with the provisions of Article 962 CO.</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avec les dispositions de l'article 962 CO.</w:t>
            </w:r>
          </w:p>
        </w:tc>
      </w:tr>
      <w:tr>
        <w:trPr>
          <w:trHeight w:val="27"/>
        </w:trPr>
        <w:tc>
          <w:tcPr>
            <w:tcW w:w="640" w:type="dxa"/>
            <w:vAlign w:val="bottom"/>
            <w:tcBorders>
              <w:left w:val="single" w:sz="8" w:color="auto"/>
              <w:bottom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w w:val="93"/>
              </w:rPr>
              <w:t>25/26</w:t>
            </w:r>
          </w:p>
        </w:tc>
      </w:tr>
    </w:tbl>
    <w:p>
      <w:pPr>
        <w:sectPr>
          <w:pgSz w:w="11900" w:h="16838" w:orient="portrait"/>
          <w:cols w:equalWidth="0" w:num="1">
            <w:col w:w="11420"/>
          </w:cols>
          <w:pgMar w:left="240" w:top="930" w:right="23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44</w:t>
            </w:r>
          </w:p>
        </w:tc>
        <w:tc>
          <w:tcPr>
            <w:tcW w:w="47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Allocation of Profits</w:t>
            </w:r>
          </w:p>
        </w:tc>
        <w:tc>
          <w:tcPr>
            <w:tcW w:w="220" w:type="dxa"/>
            <w:vAlign w:val="bottom"/>
            <w:tcBorders>
              <w:top w:val="single" w:sz="8" w:color="auto"/>
              <w:right w:val="single" w:sz="8" w:color="auto"/>
            </w:tcBorders>
          </w:tcPr>
          <w:p>
            <w:pPr>
              <w:spacing w:after="0"/>
              <w:rPr>
                <w:sz w:val="22"/>
                <w:szCs w:val="22"/>
                <w:color w:val="auto"/>
              </w:rPr>
            </w:pPr>
          </w:p>
        </w:tc>
        <w:tc>
          <w:tcPr>
            <w:tcW w:w="55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47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Subject to the legal provisions regarding distribution of profits, the profit as</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Sous réserve des dispositions légales en matière de répartition des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shown on the balance sheet shall be allocated by the General Meeting at its</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bénéfices, le bénéfice comme indiqué sur le bilan doit être alloué à la libre</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discretion after receipt of the proposals of the Board of Directors and the</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appréciation de l'assemblée générale après réception des propositions du</w:t>
            </w:r>
          </w:p>
        </w:tc>
      </w:tr>
      <w:tr>
        <w:trPr>
          <w:trHeight w:val="230"/>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Auditors.</w:t>
            </w:r>
          </w:p>
        </w:tc>
        <w:tc>
          <w:tcPr>
            <w:tcW w:w="47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conseil d'administration et de l'organe de révision.</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In addition to the legal reserves, the General Meeting may create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En plus des réserves légales, l'assemblée générale peut créer des réserves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supplemental reserves.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supplémentaires.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Dividends not claimed within five years after the due date shall remain with</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Les dividendes non réclamés dans les cinq ans après la date d'échéance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and be allocated to the general reserves.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restent avec la société et sont attribués aux réserves générales.</w:t>
            </w: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r>
        <w:trPr>
          <w:trHeight w:val="237"/>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IX.</w:t>
            </w:r>
          </w:p>
        </w:tc>
        <w:tc>
          <w:tcPr>
            <w:tcW w:w="474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DISSOLUTION AND LIQUIDATION</w:t>
            </w:r>
          </w:p>
        </w:tc>
        <w:tc>
          <w:tcPr>
            <w:tcW w:w="220" w:type="dxa"/>
            <w:vAlign w:val="bottom"/>
            <w:tcBorders>
              <w:right w:val="single" w:sz="8" w:color="auto"/>
            </w:tcBorders>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IX.</w:t>
            </w:r>
          </w:p>
        </w:tc>
        <w:tc>
          <w:tcPr>
            <w:tcW w:w="500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DISSOLUTION ET LIQUIDATION</w:t>
            </w:r>
          </w:p>
        </w:tc>
      </w:tr>
      <w:tr>
        <w:trPr>
          <w:trHeight w:val="203"/>
        </w:trPr>
        <w:tc>
          <w:tcPr>
            <w:tcW w:w="880" w:type="dxa"/>
            <w:vAlign w:val="bottom"/>
            <w:tcBorders>
              <w:left w:val="single" w:sz="8" w:color="auto"/>
              <w:bottom w:val="single" w:sz="8" w:color="auto"/>
            </w:tcBorders>
          </w:tcPr>
          <w:p>
            <w:pPr>
              <w:spacing w:after="0"/>
              <w:rPr>
                <w:sz w:val="17"/>
                <w:szCs w:val="17"/>
                <w:color w:val="auto"/>
              </w:rPr>
            </w:pPr>
          </w:p>
        </w:tc>
        <w:tc>
          <w:tcPr>
            <w:tcW w:w="47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gridSpan w:val="2"/>
          </w:tcPr>
          <w:p>
            <w:pPr>
              <w:spacing w:after="0"/>
              <w:rPr>
                <w:sz w:val="17"/>
                <w:szCs w:val="17"/>
                <w:color w:val="auto"/>
              </w:rPr>
            </w:pPr>
          </w:p>
        </w:tc>
      </w:tr>
      <w:tr>
        <w:trPr>
          <w:trHeight w:val="237"/>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45</w:t>
            </w: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Dissolution and Liquidation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45  Dissolution et Liquidation</w:t>
            </w:r>
          </w:p>
        </w:tc>
      </w:tr>
      <w:tr>
        <w:trPr>
          <w:trHeight w:val="418"/>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La dissolution et la liquidation de la société ont lieu en conformité avec les</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accordance with the provisions of the CO.</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dispositions du CO.</w:t>
            </w:r>
          </w:p>
        </w:tc>
      </w:tr>
      <w:tr>
        <w:trPr>
          <w:trHeight w:val="243"/>
        </w:trPr>
        <w:tc>
          <w:tcPr>
            <w:tcW w:w="880" w:type="dxa"/>
            <w:vAlign w:val="bottom"/>
            <w:tcBorders>
              <w:left w:val="single" w:sz="8" w:color="auto"/>
              <w:bottom w:val="single" w:sz="8" w:color="auto"/>
            </w:tcBorders>
          </w:tcPr>
          <w:p>
            <w:pPr>
              <w:spacing w:after="0"/>
              <w:rPr>
                <w:sz w:val="21"/>
                <w:szCs w:val="21"/>
                <w:color w:val="auto"/>
              </w:rPr>
            </w:pPr>
          </w:p>
        </w:tc>
        <w:tc>
          <w:tcPr>
            <w:tcW w:w="47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0" w:type="dxa"/>
            <w:vAlign w:val="bottom"/>
            <w:tcBorders>
              <w:bottom w:val="single" w:sz="8" w:color="auto"/>
              <w:right w:val="single" w:sz="8" w:color="auto"/>
            </w:tcBorders>
          </w:tcPr>
          <w:p>
            <w:pPr>
              <w:spacing w:after="0"/>
              <w:rPr>
                <w:sz w:val="21"/>
                <w:szCs w:val="21"/>
                <w:color w:val="auto"/>
              </w:rPr>
            </w:pPr>
          </w:p>
        </w:tc>
      </w:tr>
      <w:tr>
        <w:trPr>
          <w:trHeight w:val="237"/>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X.</w:t>
            </w:r>
          </w:p>
        </w:tc>
        <w:tc>
          <w:tcPr>
            <w:tcW w:w="474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NOTICES AND PUBLICATIONS</w:t>
            </w:r>
          </w:p>
        </w:tc>
        <w:tc>
          <w:tcPr>
            <w:tcW w:w="220" w:type="dxa"/>
            <w:vAlign w:val="bottom"/>
            <w:tcBorders>
              <w:right w:val="single" w:sz="8" w:color="auto"/>
            </w:tcBorders>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rPr>
              <w:t>X.</w:t>
            </w:r>
          </w:p>
        </w:tc>
        <w:tc>
          <w:tcPr>
            <w:tcW w:w="500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AVIS ET PUBLICATIONS</w:t>
            </w:r>
          </w:p>
        </w:tc>
      </w:tr>
      <w:tr>
        <w:trPr>
          <w:trHeight w:val="203"/>
        </w:trPr>
        <w:tc>
          <w:tcPr>
            <w:tcW w:w="880" w:type="dxa"/>
            <w:vAlign w:val="bottom"/>
            <w:tcBorders>
              <w:left w:val="single" w:sz="8" w:color="auto"/>
              <w:bottom w:val="single" w:sz="8" w:color="auto"/>
            </w:tcBorders>
          </w:tcPr>
          <w:p>
            <w:pPr>
              <w:spacing w:after="0"/>
              <w:rPr>
                <w:sz w:val="17"/>
                <w:szCs w:val="17"/>
                <w:color w:val="auto"/>
              </w:rPr>
            </w:pPr>
          </w:p>
        </w:tc>
        <w:tc>
          <w:tcPr>
            <w:tcW w:w="47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gridSpan w:val="2"/>
          </w:tcPr>
          <w:p>
            <w:pPr>
              <w:spacing w:after="0"/>
              <w:rPr>
                <w:sz w:val="17"/>
                <w:szCs w:val="17"/>
                <w:color w:val="auto"/>
              </w:rPr>
            </w:pPr>
          </w:p>
        </w:tc>
      </w:tr>
      <w:tr>
        <w:trPr>
          <w:trHeight w:val="237"/>
        </w:trPr>
        <w:tc>
          <w:tcPr>
            <w:tcW w:w="88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Art. 46</w:t>
            </w:r>
          </w:p>
        </w:tc>
        <w:tc>
          <w:tcPr>
            <w:tcW w:w="47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Notices and Publications</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Art. 46  Avis et Publications</w:t>
            </w:r>
          </w:p>
        </w:tc>
      </w:tr>
      <w:tr>
        <w:trPr>
          <w:trHeight w:val="43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The Swiss Official Gazette of Commerce is the official publication medium.</w:t>
            </w:r>
          </w:p>
        </w:tc>
        <w:tc>
          <w:tcPr>
            <w:tcW w:w="22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L'organe de publication légal est la Feuille officielle suisse du commerce.</w:t>
            </w:r>
          </w:p>
        </w:tc>
      </w:tr>
      <w:tr>
        <w:trPr>
          <w:trHeight w:val="243"/>
        </w:trPr>
        <w:tc>
          <w:tcPr>
            <w:tcW w:w="562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gridSpan w:val="2"/>
          </w:tcPr>
          <w:p>
            <w:pPr>
              <w:spacing w:after="0"/>
              <w:rPr>
                <w:sz w:val="21"/>
                <w:szCs w:val="21"/>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Shareholder communications and notices to the shareholders shall be made</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1"/>
              </w:rPr>
              <w:t>Les communications et avis aux actionnaires sont effectués par publication</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by publication in the Swiss Official Gazette of Commerce or sent by mail or</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dans la Feuille officielle suisse du commerce ou envoyés par courrier ou e-</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e-mail to the addresses registered in the share register.</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mail aux adresses enregistrées dans le registre des actions.</w:t>
            </w:r>
          </w:p>
        </w:tc>
      </w:tr>
      <w:tr>
        <w:trPr>
          <w:trHeight w:val="27"/>
        </w:trPr>
        <w:tc>
          <w:tcPr>
            <w:tcW w:w="5620" w:type="dxa"/>
            <w:vAlign w:val="bottom"/>
            <w:tcBorders>
              <w:left w:val="single" w:sz="8" w:color="auto"/>
              <w:bottom w:val="single" w:sz="8" w:color="auto"/>
              <w:right w:val="single" w:sz="8" w:color="auto"/>
            </w:tcBorders>
            <w:gridSpan w:val="2"/>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right w:val="single" w:sz="8" w:color="auto"/>
            </w:tcBorders>
            <w:gridSpan w:val="2"/>
          </w:tcPr>
          <w:p>
            <w:pPr>
              <w:spacing w:after="0"/>
              <w:rPr>
                <w:sz w:val="2"/>
                <w:szCs w:val="2"/>
                <w:color w:val="auto"/>
              </w:rPr>
            </w:pPr>
          </w:p>
        </w:tc>
      </w:tr>
      <w:tr>
        <w:trPr>
          <w:trHeight w:val="222"/>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Unless the law provides otherwise, notices shall be given to creditors by</w:t>
            </w:r>
          </w:p>
        </w:tc>
        <w:tc>
          <w:tcPr>
            <w:tcW w:w="220" w:type="dxa"/>
            <w:vAlign w:val="bottom"/>
            <w:tcBorders>
              <w:right w:val="single" w:sz="8" w:color="auto"/>
            </w:tcBorders>
          </w:tcPr>
          <w:p>
            <w:pPr>
              <w:spacing w:after="0"/>
              <w:rPr>
                <w:sz w:val="19"/>
                <w:szCs w:val="19"/>
                <w:color w:val="auto"/>
              </w:rPr>
            </w:pPr>
          </w:p>
        </w:tc>
        <w:tc>
          <w:tcPr>
            <w:tcW w:w="55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Sauf si la loi en dispose autrement, les avis seront envoyés aux créanciers</w:t>
            </w:r>
          </w:p>
        </w:tc>
      </w:tr>
      <w:tr>
        <w:trPr>
          <w:trHeight w:val="216"/>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publication in the Swiss Official Gazette of Commerce. The Board of</w:t>
            </w:r>
          </w:p>
        </w:tc>
        <w:tc>
          <w:tcPr>
            <w:tcW w:w="22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par publication dans la Feuille officielle suisse du commerce. Le conseil</w:t>
            </w:r>
          </w:p>
        </w:tc>
      </w:tr>
      <w:tr>
        <w:trPr>
          <w:trHeight w:val="230"/>
        </w:trPr>
        <w:tc>
          <w:tcPr>
            <w:tcW w:w="562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Directors may assign further means of communication.</w:t>
            </w:r>
          </w:p>
        </w:tc>
        <w:tc>
          <w:tcPr>
            <w:tcW w:w="220" w:type="dxa"/>
            <w:vAlign w:val="bottom"/>
            <w:tcBorders>
              <w:right w:val="single" w:sz="8" w:color="auto"/>
            </w:tcBorders>
          </w:tcPr>
          <w:p>
            <w:pPr>
              <w:spacing w:after="0"/>
              <w:rPr>
                <w:sz w:val="20"/>
                <w:szCs w:val="20"/>
                <w:color w:val="auto"/>
              </w:rPr>
            </w:pPr>
          </w:p>
        </w:tc>
        <w:tc>
          <w:tcPr>
            <w:tcW w:w="55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d'administration peut prévoir d'autres moyens de communication.</w:t>
            </w: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Bâle, le 30 mars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960"/>
        <w:spacing w:after="0"/>
        <w:rPr>
          <w:sz w:val="20"/>
          <w:szCs w:val="20"/>
          <w:color w:val="auto"/>
        </w:rPr>
      </w:pPr>
      <w:r>
        <w:rPr>
          <w:rFonts w:ascii="Arial" w:cs="Arial" w:eastAsia="Arial" w:hAnsi="Arial"/>
          <w:sz w:val="18"/>
          <w:szCs w:val="18"/>
          <w:color w:val="auto"/>
        </w:rPr>
        <w:t>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5"/>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2"/>
      <w:numFmt w:val="bullet"/>
      <w:start w:val="1"/>
    </w:lvl>
  </w:abstractNum>
  <w:abstractNum w:abstractNumId="14">
    <w:nsid w:val="1BEFD79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2019-12-08T04:12:00Z</dcterms:created>
  <dcterms:modified xsi:type="dcterms:W3CDTF">2019-12-08T04:12:00Z</dcterms:modified>
</cp:coreProperties>
</file>