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333-255576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April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142875</wp:posOffset>
            </wp:positionV>
            <wp:extent cx="144018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14,300,000 Common Shares</w:t>
      </w:r>
    </w:p>
    <w:p>
      <w:pPr>
        <w:spacing w:after="0" w:line="200" w:lineRule="exact"/>
        <w:rPr>
          <w:sz w:val="24"/>
          <w:szCs w:val="24"/>
          <w:color w:val="auto"/>
        </w:rPr>
      </w:pPr>
    </w:p>
    <w:p>
      <w:pPr>
        <w:spacing w:after="0" w:line="245"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are offering 14,300,000 of our common shares as part of this offering (the “Public Offering”). Our common shares trade on The Nasdaq Global Market under the trading symbol “ACIU”. On December 14, 2023, the last sale price of our common shares as reported on The Nasdaq Global Market was $3.71 per share.</w:t>
      </w:r>
    </w:p>
    <w:p>
      <w:pPr>
        <w:spacing w:after="0" w:line="17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S-8 of this prospectus supplement.</w:t>
      </w:r>
    </w:p>
    <w:p>
      <w:pPr>
        <w:spacing w:after="0" w:line="225"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73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900" w:type="dxa"/>
            <w:vAlign w:val="bottom"/>
            <w:shd w:val="clear" w:color="auto" w:fill="D5EAEA"/>
          </w:tcPr>
          <w:p>
            <w:pPr>
              <w:jc w:val="right"/>
              <w:ind w:right="610"/>
              <w:spacing w:after="0"/>
              <w:rPr>
                <w:sz w:val="20"/>
                <w:szCs w:val="20"/>
                <w:color w:val="auto"/>
              </w:rPr>
            </w:pPr>
            <w:r>
              <w:rPr>
                <w:rFonts w:ascii="Times New Roman" w:cs="Times New Roman" w:eastAsia="Times New Roman" w:hAnsi="Times New Roman"/>
                <w:sz w:val="18"/>
                <w:szCs w:val="18"/>
                <w:color w:val="auto"/>
              </w:rPr>
              <w:t>$3.50</w:t>
            </w:r>
          </w:p>
        </w:tc>
        <w:tc>
          <w:tcPr>
            <w:tcW w:w="1920" w:type="dxa"/>
            <w:vAlign w:val="bottom"/>
            <w:gridSpan w:val="2"/>
            <w:shd w:val="clear" w:color="auto" w:fill="D5EAEA"/>
          </w:tcPr>
          <w:p>
            <w:pPr>
              <w:jc w:val="center"/>
              <w:ind w:left="130"/>
              <w:spacing w:after="0"/>
              <w:rPr>
                <w:sz w:val="20"/>
                <w:szCs w:val="20"/>
                <w:color w:val="auto"/>
              </w:rPr>
            </w:pPr>
            <w:r>
              <w:rPr>
                <w:rFonts w:ascii="Times New Roman" w:cs="Times New Roman" w:eastAsia="Times New Roman" w:hAnsi="Times New Roman"/>
                <w:sz w:val="18"/>
                <w:szCs w:val="18"/>
                <w:color w:val="auto"/>
                <w:w w:val="99"/>
              </w:rPr>
              <w:t>$50,050,000</w:t>
            </w:r>
          </w:p>
        </w:tc>
        <w:tc>
          <w:tcPr>
            <w:tcW w:w="100" w:type="dxa"/>
            <w:vAlign w:val="bottom"/>
            <w:shd w:val="clear" w:color="auto" w:fill="D5EAEA"/>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$0.21</w:t>
            </w:r>
          </w:p>
        </w:tc>
        <w:tc>
          <w:tcPr>
            <w:tcW w:w="19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$ 3,003,000</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00" w:type="dxa"/>
            <w:vAlign w:val="bottom"/>
            <w:shd w:val="clear" w:color="auto" w:fill="D5EAEA"/>
          </w:tcPr>
          <w:p>
            <w:pPr>
              <w:jc w:val="right"/>
              <w:ind w:right="610"/>
              <w:spacing w:after="0"/>
              <w:rPr>
                <w:sz w:val="20"/>
                <w:szCs w:val="20"/>
                <w:color w:val="auto"/>
              </w:rPr>
            </w:pPr>
            <w:r>
              <w:rPr>
                <w:rFonts w:ascii="Times New Roman" w:cs="Times New Roman" w:eastAsia="Times New Roman" w:hAnsi="Times New Roman"/>
                <w:sz w:val="18"/>
                <w:szCs w:val="18"/>
                <w:color w:val="auto"/>
              </w:rPr>
              <w:t>$3.29</w:t>
            </w:r>
          </w:p>
        </w:tc>
        <w:tc>
          <w:tcPr>
            <w:tcW w:w="1920" w:type="dxa"/>
            <w:vAlign w:val="bottom"/>
            <w:gridSpan w:val="2"/>
            <w:shd w:val="clear" w:color="auto" w:fill="D5EAEA"/>
          </w:tcPr>
          <w:p>
            <w:pPr>
              <w:jc w:val="center"/>
              <w:ind w:left="130"/>
              <w:spacing w:after="0"/>
              <w:rPr>
                <w:sz w:val="20"/>
                <w:szCs w:val="20"/>
                <w:color w:val="auto"/>
              </w:rPr>
            </w:pPr>
            <w:r>
              <w:rPr>
                <w:rFonts w:ascii="Times New Roman" w:cs="Times New Roman" w:eastAsia="Times New Roman" w:hAnsi="Times New Roman"/>
                <w:sz w:val="18"/>
                <w:szCs w:val="18"/>
                <w:color w:val="auto"/>
                <w:w w:val="99"/>
              </w:rPr>
              <w:t>$47,047,000</w:t>
            </w:r>
          </w:p>
        </w:tc>
        <w:tc>
          <w:tcPr>
            <w:tcW w:w="100" w:type="dxa"/>
            <w:vAlign w:val="bottom"/>
            <w:shd w:val="clear" w:color="auto" w:fill="D5EAEA"/>
          </w:tcPr>
          <w:p>
            <w:pPr>
              <w:spacing w:after="0"/>
              <w:rPr>
                <w:sz w:val="18"/>
                <w:szCs w:val="18"/>
                <w:color w:val="auto"/>
              </w:rPr>
            </w:pPr>
          </w:p>
        </w:tc>
      </w:tr>
      <w:tr>
        <w:trPr>
          <w:trHeight w:val="54"/>
        </w:trPr>
        <w:tc>
          <w:tcPr>
            <w:tcW w:w="1700" w:type="dxa"/>
            <w:vAlign w:val="bottom"/>
            <w:tcBorders>
              <w:bottom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63" w:lineRule="exact"/>
        <w:rPr>
          <w:sz w:val="24"/>
          <w:szCs w:val="24"/>
          <w:color w:val="auto"/>
        </w:rPr>
      </w:pPr>
    </w:p>
    <w:p>
      <w:pPr>
        <w:ind w:left="340" w:right="4600" w:hanging="332"/>
        <w:spacing w:after="0" w:line="578"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“Underwriting” for details regarding other items of underwriting compensation. Delivery of the common shares is expected to be made on or about December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Joint Book-Running Managers</w:t>
      </w:r>
    </w:p>
    <w:p>
      <w:pPr>
        <w:spacing w:after="0" w:line="307" w:lineRule="exact"/>
        <w:rPr>
          <w:sz w:val="24"/>
          <w:szCs w:val="24"/>
          <w:color w:val="auto"/>
        </w:rPr>
      </w:pPr>
    </w:p>
    <w:p>
      <w:pPr>
        <w:ind w:left="2360"/>
        <w:spacing w:after="0"/>
        <w:tabs>
          <w:tab w:leader="none" w:pos="7480" w:val="left"/>
        </w:tabs>
        <w:rPr>
          <w:sz w:val="20"/>
          <w:szCs w:val="20"/>
          <w:color w:val="auto"/>
        </w:rPr>
      </w:pPr>
      <w:r>
        <w:rPr>
          <w:rFonts w:ascii="Times New Roman" w:cs="Times New Roman" w:eastAsia="Times New Roman" w:hAnsi="Times New Roman"/>
          <w:sz w:val="25"/>
          <w:szCs w:val="25"/>
          <w:b w:val="1"/>
          <w:bCs w:val="1"/>
          <w:color w:val="auto"/>
        </w:rPr>
        <w:t>Jefferies</w:t>
      </w:r>
      <w:r>
        <w:rPr>
          <w:sz w:val="20"/>
          <w:szCs w:val="20"/>
          <w:color w:val="auto"/>
        </w:rPr>
        <w:tab/>
      </w:r>
      <w:r>
        <w:rPr>
          <w:rFonts w:ascii="Times New Roman" w:cs="Times New Roman" w:eastAsia="Times New Roman" w:hAnsi="Times New Roman"/>
          <w:sz w:val="25"/>
          <w:szCs w:val="25"/>
          <w:b w:val="1"/>
          <w:bCs w:val="1"/>
          <w:color w:val="auto"/>
        </w:rPr>
        <w:t>Leerink Partners</w:t>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Lead Manager</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H.C. Wainwright &amp; Co.</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4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40" w:type="dxa"/>
            <w:vAlign w:val="bottom"/>
            <w:tcBorders>
              <w:top w:val="single" w:sz="8" w:color="auto"/>
            </w:tcBorders>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gridSpan w:val="21"/>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Presentation of Financial Information</w:t>
            </w:r>
          </w:p>
        </w:tc>
        <w:tc>
          <w:tcPr>
            <w:tcW w:w="1640" w:type="dxa"/>
            <w:vAlign w:val="bottom"/>
            <w:gridSpan w:val="6"/>
            <w:shd w:val="clear" w:color="auto" w:fill="D5EAEA"/>
          </w:tcPr>
          <w:p>
            <w:pPr>
              <w:spacing w:after="0"/>
              <w:rPr>
                <w:sz w:val="15"/>
                <w:szCs w:val="15"/>
                <w:color w:val="auto"/>
              </w:rPr>
            </w:pPr>
          </w:p>
        </w:tc>
        <w:tc>
          <w:tcPr>
            <w:tcW w:w="6540" w:type="dxa"/>
            <w:vAlign w:val="bottom"/>
            <w:shd w:val="clear" w:color="auto" w:fill="D5EAEA"/>
          </w:tcPr>
          <w:p>
            <w:pPr>
              <w:spacing w:after="0"/>
              <w:rPr>
                <w:sz w:val="15"/>
                <w:szCs w:val="15"/>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640" w:type="dxa"/>
            <w:vAlign w:val="bottom"/>
            <w:gridSpan w:val="6"/>
          </w:tcPr>
          <w:p>
            <w:pPr>
              <w:spacing w:after="0"/>
              <w:rPr>
                <w:sz w:val="15"/>
                <w:szCs w:val="15"/>
                <w:color w:val="auto"/>
              </w:rPr>
            </w:pP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60" w:type="dxa"/>
            <w:vAlign w:val="bottom"/>
            <w:gridSpan w:val="20"/>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800" w:type="dxa"/>
            <w:vAlign w:val="bottom"/>
            <w:gridSpan w:val="7"/>
            <w:shd w:val="clear" w:color="auto" w:fill="D5EAEA"/>
          </w:tcPr>
          <w:p>
            <w:pPr>
              <w:spacing w:after="0"/>
              <w:rPr>
                <w:sz w:val="15"/>
                <w:szCs w:val="15"/>
                <w:color w:val="auto"/>
              </w:rPr>
            </w:pPr>
          </w:p>
        </w:tc>
        <w:tc>
          <w:tcPr>
            <w:tcW w:w="6540" w:type="dxa"/>
            <w:vAlign w:val="bottom"/>
            <w:shd w:val="clear" w:color="auto" w:fill="D5EAEA"/>
          </w:tcPr>
          <w:p>
            <w:pPr>
              <w:spacing w:after="0"/>
              <w:rPr>
                <w:sz w:val="15"/>
                <w:szCs w:val="15"/>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40" w:type="dxa"/>
            <w:vAlign w:val="bottom"/>
            <w:gridSpan w:val="1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1920" w:type="dxa"/>
            <w:vAlign w:val="bottom"/>
            <w:gridSpan w:val="10"/>
            <w:shd w:val="clear" w:color="auto" w:fill="D5EAEA"/>
          </w:tcPr>
          <w:p>
            <w:pPr>
              <w:spacing w:after="0"/>
              <w:rPr>
                <w:sz w:val="15"/>
                <w:szCs w:val="15"/>
                <w:color w:val="auto"/>
              </w:rPr>
            </w:pPr>
          </w:p>
        </w:tc>
        <w:tc>
          <w:tcPr>
            <w:tcW w:w="6540" w:type="dxa"/>
            <w:vAlign w:val="bottom"/>
            <w:shd w:val="clear" w:color="auto" w:fill="D5EAEA"/>
          </w:tcPr>
          <w:p>
            <w:pPr>
              <w:spacing w:after="0"/>
              <w:rPr>
                <w:sz w:val="15"/>
                <w:szCs w:val="15"/>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920" w:type="dxa"/>
            <w:vAlign w:val="bottom"/>
            <w:gridSpan w:val="10"/>
          </w:tcPr>
          <w:p>
            <w:pPr>
              <w:spacing w:after="0"/>
              <w:rPr>
                <w:sz w:val="15"/>
                <w:szCs w:val="15"/>
                <w:color w:val="auto"/>
              </w:rPr>
            </w:pP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gridSpan w:val="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40" w:type="dxa"/>
            <w:vAlign w:val="bottom"/>
            <w:gridSpan w:val="22"/>
            <w:shd w:val="clear" w:color="auto" w:fill="D5EAEA"/>
          </w:tcPr>
          <w:p>
            <w:pPr>
              <w:spacing w:after="0"/>
              <w:rPr>
                <w:sz w:val="15"/>
                <w:szCs w:val="15"/>
                <w:color w:val="auto"/>
              </w:rPr>
            </w:pPr>
          </w:p>
        </w:tc>
        <w:tc>
          <w:tcPr>
            <w:tcW w:w="6540" w:type="dxa"/>
            <w:vAlign w:val="bottom"/>
            <w:shd w:val="clear" w:color="auto" w:fill="D5EAEA"/>
          </w:tcPr>
          <w:p>
            <w:pPr>
              <w:spacing w:after="0"/>
              <w:rPr>
                <w:sz w:val="15"/>
                <w:szCs w:val="15"/>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540" w:type="dxa"/>
            <w:vAlign w:val="bottom"/>
            <w:shd w:val="clear" w:color="auto" w:fill="D5EAEA"/>
          </w:tcPr>
          <w:p>
            <w:pPr>
              <w:spacing w:after="0"/>
              <w:rPr>
                <w:sz w:val="17"/>
                <w:szCs w:val="17"/>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3180" w:type="dxa"/>
            <w:vAlign w:val="bottom"/>
            <w:tcBorders>
              <w:top w:val="single" w:sz="8" w:color="D5EAEA"/>
            </w:tcBorders>
            <w:gridSpan w:val="18"/>
          </w:tcPr>
          <w:p>
            <w:pPr>
              <w:spacing w:after="0"/>
              <w:rPr>
                <w:sz w:val="15"/>
                <w:szCs w:val="15"/>
                <w:color w:val="auto"/>
              </w:rPr>
            </w:pPr>
          </w:p>
        </w:tc>
        <w:tc>
          <w:tcPr>
            <w:tcW w:w="6540" w:type="dxa"/>
            <w:vAlign w:val="bottom"/>
            <w:tcBorders>
              <w:top w:val="single" w:sz="8" w:color="D5EAEA"/>
            </w:tcBorders>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2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540" w:type="dxa"/>
            <w:vAlign w:val="bottom"/>
            <w:shd w:val="clear" w:color="auto" w:fill="D5EAEA"/>
          </w:tcPr>
          <w:p>
            <w:pPr>
              <w:spacing w:after="0"/>
              <w:rPr>
                <w:sz w:val="15"/>
                <w:szCs w:val="15"/>
                <w:color w:val="auto"/>
              </w:rPr>
            </w:pPr>
          </w:p>
        </w:tc>
        <w:tc>
          <w:tcPr>
            <w:tcW w:w="340" w:type="dxa"/>
            <w:vAlign w:val="bottom"/>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Tax Considerations</w:t>
            </w: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3380" w:type="dxa"/>
            <w:vAlign w:val="bottom"/>
            <w:tcBorders>
              <w:bottom w:val="single" w:sz="8" w:color="D5EAEA"/>
            </w:tcBorders>
            <w:gridSpan w:val="20"/>
            <w:shd w:val="clear" w:color="auto" w:fill="D5EAEA"/>
          </w:tcPr>
          <w:p>
            <w:pPr>
              <w:spacing w:after="0"/>
              <w:rPr>
                <w:sz w:val="17"/>
                <w:szCs w:val="17"/>
                <w:color w:val="auto"/>
              </w:rPr>
            </w:pPr>
          </w:p>
        </w:tc>
        <w:tc>
          <w:tcPr>
            <w:tcW w:w="654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00" w:type="dxa"/>
            <w:vAlign w:val="bottom"/>
            <w:tcBorders>
              <w:bottom w:val="single" w:sz="8" w:color="D5EAEA"/>
            </w:tcBorders>
            <w:gridSpan w:val="26"/>
            <w:shd w:val="clear" w:color="auto" w:fill="D5EAEA"/>
          </w:tcPr>
          <w:p>
            <w:pPr>
              <w:spacing w:after="0"/>
              <w:rPr>
                <w:sz w:val="17"/>
                <w:szCs w:val="17"/>
                <w:color w:val="auto"/>
              </w:rPr>
            </w:pPr>
          </w:p>
        </w:tc>
        <w:tc>
          <w:tcPr>
            <w:tcW w:w="654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54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340" w:type="dxa"/>
            <w:vAlign w:val="bottom"/>
            <w:tcBorders>
              <w:bottom w:val="single" w:sz="8" w:color="D5EAEA"/>
            </w:tcBorders>
            <w:gridSpan w:val="12"/>
            <w:shd w:val="clear" w:color="auto" w:fill="D5EAEA"/>
          </w:tcPr>
          <w:p>
            <w:pPr>
              <w:spacing w:after="0"/>
              <w:rPr>
                <w:sz w:val="17"/>
                <w:szCs w:val="17"/>
                <w:color w:val="auto"/>
              </w:rPr>
            </w:pPr>
          </w:p>
        </w:tc>
        <w:tc>
          <w:tcPr>
            <w:tcW w:w="654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4"/>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60" w:type="dxa"/>
            <w:vAlign w:val="bottom"/>
            <w:gridSpan w:val="2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880" w:type="dxa"/>
            <w:vAlign w:val="bottom"/>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2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880" w:type="dxa"/>
            <w:vAlign w:val="bottom"/>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0000EE"/>
            </w:tcBorders>
            <w:shd w:val="clear" w:color="auto" w:fill="D5EAEA"/>
          </w:tcPr>
          <w:p>
            <w:pPr>
              <w:spacing w:after="0" w:line="20" w:lineRule="exact"/>
              <w:rPr>
                <w:sz w:val="1"/>
                <w:szCs w:val="1"/>
                <w:color w:val="auto"/>
              </w:rPr>
            </w:pPr>
          </w:p>
        </w:tc>
        <w:tc>
          <w:tcPr>
            <w:tcW w:w="3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AC Immune SA</w:t>
            </w:r>
          </w:p>
        </w:tc>
        <w:tc>
          <w:tcPr>
            <w:tcW w:w="480" w:type="dxa"/>
            <w:vAlign w:val="bottom"/>
            <w:gridSpan w:val="2"/>
          </w:tcPr>
          <w:p>
            <w:pPr>
              <w:spacing w:after="0"/>
              <w:rPr>
                <w:sz w:val="15"/>
                <w:szCs w:val="15"/>
                <w:color w:val="auto"/>
              </w:rPr>
            </w:pP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gridSpan w:val="5"/>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40" w:type="dxa"/>
            <w:vAlign w:val="bottom"/>
            <w:gridSpan w:val="22"/>
            <w:shd w:val="clear" w:color="auto" w:fill="D5EAEA"/>
          </w:tcPr>
          <w:p>
            <w:pPr>
              <w:spacing w:after="0"/>
              <w:rPr>
                <w:sz w:val="15"/>
                <w:szCs w:val="15"/>
                <w:color w:val="auto"/>
              </w:rPr>
            </w:pPr>
          </w:p>
        </w:tc>
        <w:tc>
          <w:tcPr>
            <w:tcW w:w="6880" w:type="dxa"/>
            <w:vAlign w:val="bottom"/>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gridSpan w:val="26"/>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Share Capital and Articles of Association</w:t>
            </w:r>
          </w:p>
        </w:tc>
        <w:tc>
          <w:tcPr>
            <w:tcW w:w="280" w:type="dxa"/>
            <w:vAlign w:val="bottom"/>
            <w:shd w:val="clear" w:color="auto" w:fill="D5EAEA"/>
          </w:tcPr>
          <w:p>
            <w:pPr>
              <w:spacing w:after="0"/>
              <w:rPr>
                <w:sz w:val="15"/>
                <w:szCs w:val="15"/>
                <w:color w:val="auto"/>
              </w:rPr>
            </w:pPr>
          </w:p>
        </w:tc>
        <w:tc>
          <w:tcPr>
            <w:tcW w:w="6880" w:type="dxa"/>
            <w:vAlign w:val="bottom"/>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0000EE"/>
            </w:tcBorders>
            <w:shd w:val="clear" w:color="auto" w:fill="D5EAEA"/>
          </w:tcPr>
          <w:p>
            <w:pPr>
              <w:spacing w:after="0" w:line="20" w:lineRule="exact"/>
              <w:rPr>
                <w:sz w:val="1"/>
                <w:szCs w:val="1"/>
                <w:color w:val="auto"/>
              </w:rPr>
            </w:pPr>
          </w:p>
        </w:tc>
        <w:tc>
          <w:tcPr>
            <w:tcW w:w="3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65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Comparison of Swiss Law and Delaware Law</w:t>
            </w:r>
          </w:p>
        </w:tc>
        <w:tc>
          <w:tcPr>
            <w:tcW w:w="280" w:type="dxa"/>
            <w:vAlign w:val="bottom"/>
          </w:tcPr>
          <w:p>
            <w:pPr>
              <w:spacing w:after="0"/>
              <w:rPr>
                <w:sz w:val="15"/>
                <w:szCs w:val="15"/>
                <w:color w:val="auto"/>
              </w:rPr>
            </w:pP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160" w:type="dxa"/>
            <w:vAlign w:val="bottom"/>
            <w:tcBorders>
              <w:bottom w:val="single" w:sz="8" w:color="D5EAEA"/>
            </w:tcBorders>
            <w:gridSpan w:val="11"/>
            <w:shd w:val="clear" w:color="auto" w:fill="D5EAEA"/>
          </w:tcPr>
          <w:p>
            <w:pPr>
              <w:spacing w:after="0"/>
              <w:rPr>
                <w:sz w:val="17"/>
                <w:szCs w:val="17"/>
                <w:color w:val="auto"/>
              </w:rPr>
            </w:pPr>
          </w:p>
        </w:tc>
        <w:tc>
          <w:tcPr>
            <w:tcW w:w="670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Purchase Contracts</w:t>
            </w:r>
          </w:p>
        </w:tc>
        <w:tc>
          <w:tcPr>
            <w:tcW w:w="1880" w:type="dxa"/>
            <w:vAlign w:val="bottom"/>
            <w:tcBorders>
              <w:bottom w:val="single" w:sz="8" w:color="D5EAEA"/>
            </w:tcBorders>
            <w:gridSpan w:val="9"/>
            <w:shd w:val="clear" w:color="auto" w:fill="D5EAEA"/>
          </w:tcPr>
          <w:p>
            <w:pPr>
              <w:spacing w:after="0"/>
              <w:rPr>
                <w:sz w:val="17"/>
                <w:szCs w:val="17"/>
                <w:color w:val="auto"/>
              </w:rPr>
            </w:pPr>
          </w:p>
        </w:tc>
        <w:tc>
          <w:tcPr>
            <w:tcW w:w="670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9"/>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1840" w:type="dxa"/>
            <w:vAlign w:val="bottom"/>
            <w:tcBorders>
              <w:bottom w:val="single" w:sz="8" w:color="D5EAEA"/>
            </w:tcBorders>
            <w:gridSpan w:val="8"/>
            <w:shd w:val="clear" w:color="auto" w:fill="D5EAEA"/>
          </w:tcPr>
          <w:p>
            <w:pPr>
              <w:spacing w:after="0"/>
              <w:rPr>
                <w:sz w:val="17"/>
                <w:szCs w:val="17"/>
                <w:color w:val="auto"/>
              </w:rPr>
            </w:pPr>
          </w:p>
        </w:tc>
        <w:tc>
          <w:tcPr>
            <w:tcW w:w="670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7"/>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880" w:type="dxa"/>
            <w:vAlign w:val="bottom"/>
            <w:gridSpan w:val="5"/>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700" w:type="dxa"/>
            <w:vAlign w:val="bottom"/>
            <w:tcBorders>
              <w:top w:val="single" w:sz="8" w:color="D5EAEA"/>
            </w:tcBorders>
            <w:gridSpan w:val="3"/>
          </w:tcPr>
          <w:p>
            <w:pPr>
              <w:spacing w:after="0"/>
              <w:rPr>
                <w:sz w:val="15"/>
                <w:szCs w:val="15"/>
                <w:color w:val="auto"/>
              </w:rPr>
            </w:pPr>
          </w:p>
        </w:tc>
        <w:tc>
          <w:tcPr>
            <w:tcW w:w="6700" w:type="dxa"/>
            <w:vAlign w:val="bottom"/>
            <w:tcBorders>
              <w:top w:val="single" w:sz="8" w:color="D5EAEA"/>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D5EAEA"/>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40" w:type="dxa"/>
            <w:vAlign w:val="bottom"/>
            <w:tcBorders>
              <w:bottom w:val="single" w:sz="8" w:color="D5EAEA"/>
            </w:tcBorders>
            <w:gridSpan w:val="19"/>
            <w:shd w:val="clear" w:color="auto" w:fill="D5EAEA"/>
          </w:tcPr>
          <w:p>
            <w:pPr>
              <w:spacing w:after="0"/>
              <w:rPr>
                <w:sz w:val="17"/>
                <w:szCs w:val="17"/>
                <w:color w:val="auto"/>
              </w:rPr>
            </w:pPr>
          </w:p>
        </w:tc>
        <w:tc>
          <w:tcPr>
            <w:tcW w:w="670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incorporated by reference herein are presented in Swiss Francs and in accordance with International Financial Reporting Standards (IFRS), as issued by the International Accounting Standards Board (IASB). None of the consolidated financial statements incorporated by reference herein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1.00 to CHF 0.914, the official exchange rate quoted as of September 30, 2023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 Unless explicitly mentioned otherwise herein, all references to our financial statements in this prospectus supplement are references to our IFRS financial statements exclusively.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40" w:firstLine="324"/>
        <w:spacing w:after="0" w:line="237" w:lineRule="auto"/>
        <w:rPr>
          <w:sz w:val="20"/>
          <w:szCs w:val="20"/>
          <w:color w:val="auto"/>
        </w:rPr>
      </w:pPr>
      <w:r>
        <w:rPr>
          <w:rFonts w:ascii="Times New Roman" w:cs="Times New Roman" w:eastAsia="Times New Roman" w:hAnsi="Times New Roman"/>
          <w:sz w:val="17"/>
          <w:szCs w:val="17"/>
          <w:color w:val="auto"/>
        </w:rPr>
        <w:t>The Company owns various registered and unregistered trademarks, for some of which protection has been obtained or is being sought, including Morphomer™, SupraAntigen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its corporate name, logo and Nasdaq Global Market symbol. All other trademarks, trade names and service marks of other companies appearing in this prospectus supplement are the property of their respective owners. Solely for convenience, the trademarks and trade</w:t>
      </w:r>
    </w:p>
    <w:p>
      <w:pPr>
        <w:spacing w:after="0" w:line="3"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8"/>
          <w:szCs w:val="18"/>
          <w:color w:val="auto"/>
        </w:rPr>
        <w:t xml:space="preserve">names in this prospectus supplement may be referred to without the respective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any related free writing prospectus filed by us with the SEC. We have not, and the underwriters have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“AC Immune,” “ACIU,” “Company,” “we,” “our,” “ours,” “us” or similar terms refer to AC Immune SA, a Swiss stock corporation, together with its subsidiary.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within the meaning of Section 27A of the Securities Act of 1933, as amended, or the Securities Act, and Section 21E of the Exchange Act of 1934, as amended, or the Exchange Act. Many of the forward-looking statements contained in this prospectus supplement can be identified by the use of forward-looking words such as “anticipate,” “believe,” “could,” “expect,” “should,” “plan,” “intend,” “estimate,” “will” and “potential,” among others.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supplement. These risks and uncertainties include factors relating to:</w:t>
      </w:r>
    </w:p>
    <w:p>
      <w:pPr>
        <w:spacing w:after="0" w:line="183" w:lineRule="exact"/>
        <w:rPr>
          <w:sz w:val="20"/>
          <w:szCs w:val="20"/>
          <w:color w:val="auto"/>
        </w:rPr>
      </w:pPr>
    </w:p>
    <w:p>
      <w:pPr>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active immunotherapies (ACI-35.030, ACI-24.060 and ACI-7104.056), monoclonal antibodies (semorinemab and crenezumab) and diagnostics (Tau-PET tracer PI-2620 and a-syn PET tracer ACI-12589) and to a lesser extent our preclinical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and applicable foreign regulatory authorities of data from studies that we and our collaboration partners conduct within and outside the United States now and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“Risk Factors.”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are subject to a number of risks, uncertainties and assumptions described under the section in this prospectus supplement entitled “Risk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136130" cy="6424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S-8 of this prospectus supplement, along with our consolidated financial statements and notes to those consolidated financial statements and the other information incorporated by reference in this prospectus supplement.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0" w:firstLine="324"/>
        <w:spacing w:after="0" w:line="261"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0" w:lineRule="exact"/>
        <w:rPr>
          <w:sz w:val="20"/>
          <w:szCs w:val="20"/>
          <w:color w:val="auto"/>
        </w:rPr>
      </w:pPr>
    </w:p>
    <w:p>
      <w:pPr>
        <w:ind w:left="40" w:right="300" w:firstLine="324"/>
        <w:spacing w:after="0" w:line="255"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with the goal of being first-in-class or best-in-class candidates spanning multiple treatment modalities and targeting both established and emerging neurodegenerative pathologies. We are currently advancing 16 therapeutic and diagnostic programs, with one program in Phase 3 and five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187" w:lineRule="exact"/>
        <w:rPr>
          <w:sz w:val="20"/>
          <w:szCs w:val="20"/>
          <w:color w:val="auto"/>
        </w:rPr>
      </w:pPr>
    </w:p>
    <w:p>
      <w:pPr>
        <w:ind w:left="40" w:right="100" w:firstLine="324"/>
        <w:spacing w:after="0" w:line="277"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70" w:lineRule="exact"/>
        <w:rPr>
          <w:sz w:val="20"/>
          <w:szCs w:val="20"/>
          <w:color w:val="auto"/>
        </w:rPr>
      </w:pPr>
    </w:p>
    <w:p>
      <w:pPr>
        <w:ind w:left="40" w:right="500" w:firstLine="324"/>
        <w:spacing w:after="0" w:line="266" w:lineRule="auto"/>
        <w:rPr>
          <w:sz w:val="20"/>
          <w:szCs w:val="20"/>
          <w:color w:val="auto"/>
        </w:rPr>
      </w:pPr>
      <w:r>
        <w:rPr>
          <w:rFonts w:ascii="Times New Roman" w:cs="Times New Roman" w:eastAsia="Times New Roman" w:hAnsi="Times New Roman"/>
          <w:sz w:val="18"/>
          <w:szCs w:val="18"/>
          <w:color w:val="auto"/>
          <w:highlight w:val="white"/>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4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we announced that our development partner has programmed the launch of a Phase 2b clinical study to evaluate ACI-35.030 (JNJ-64042056) in patients with preclinical AD, those individuals not yet showing symptoms. Under the terms of the licensing agreement with Janssen Pharmaceuticals, Inc. (Janssen), a Johnson &amp; Johnson company, we will now receive a milestone payment of CHF 15 million and are eligible to receive another milestone payment of CHF 25 million related to achieving a non-disclosed enrollment target.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ind w:left="40" w:right="20" w:firstLine="324"/>
        <w:spacing w:after="0" w:line="282" w:lineRule="auto"/>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 Exchange Act as a non-U.S. company with foreign private issuer status. This means that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80" w:top="22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136130" cy="2995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9959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right="660"/>
        <w:spacing w:after="0" w:line="282" w:lineRule="auto"/>
        <w:rPr>
          <w:sz w:val="20"/>
          <w:szCs w:val="20"/>
          <w:color w:val="auto"/>
        </w:rPr>
      </w:pPr>
      <w:r>
        <w:rPr>
          <w:rFonts w:ascii="Times New Roman" w:cs="Times New Roman" w:eastAsia="Times New Roman" w:hAnsi="Times New Roman"/>
          <w:sz w:val="18"/>
          <w:szCs w:val="18"/>
          <w:color w:val="auto"/>
        </w:rPr>
        <w:t>as long as we qualify as a foreign private issuer under the Exchange Act we will be exempt from certain provisions of the Exchange Act that are applicable to U.S. domestic public companies, including:</w:t>
      </w:r>
    </w:p>
    <w:p>
      <w:pPr>
        <w:spacing w:after="0" w:line="162" w:lineRule="exact"/>
        <w:rPr>
          <w:sz w:val="20"/>
          <w:szCs w:val="20"/>
          <w:color w:val="auto"/>
        </w:rPr>
      </w:pPr>
    </w:p>
    <w:p>
      <w:pPr>
        <w:ind w:left="680" w:right="260" w:hanging="318"/>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80" w:right="100" w:hanging="318"/>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right="80" w:hanging="318"/>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40" w:right="80" w:firstLine="324"/>
        <w:spacing w:after="0" w:line="282" w:lineRule="auto"/>
        <w:rPr>
          <w:sz w:val="20"/>
          <w:szCs w:val="20"/>
          <w:color w:val="auto"/>
        </w:rPr>
      </w:pPr>
      <w:r>
        <w:rPr>
          <w:rFonts w:ascii="Times New Roman" w:cs="Times New Roman" w:eastAsia="Times New Roman" w:hAnsi="Times New Roman"/>
          <w:sz w:val="18"/>
          <w:szCs w:val="18"/>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62" w:lineRule="exact"/>
        <w:rPr>
          <w:sz w:val="20"/>
          <w:szCs w:val="20"/>
          <w:color w:val="auto"/>
        </w:rPr>
      </w:pPr>
    </w:p>
    <w:p>
      <w:pPr>
        <w:ind w:left="40" w:firstLine="324"/>
        <w:spacing w:after="0" w:line="276" w:lineRule="auto"/>
        <w:rPr>
          <w:sz w:val="20"/>
          <w:szCs w:val="20"/>
          <w:color w:val="auto"/>
        </w:rPr>
      </w:pPr>
      <w:r>
        <w:rPr>
          <w:rFonts w:ascii="Times New Roman" w:cs="Times New Roman" w:eastAsia="Times New Roman" w:hAnsi="Times New Roman"/>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spacing w:after="0" w:line="1" w:lineRule="exact"/>
        <w:rPr>
          <w:sz w:val="20"/>
          <w:szCs w:val="20"/>
          <w:color w:val="auto"/>
        </w:rPr>
      </w:pPr>
    </w:p>
    <w:p>
      <w:pPr>
        <w:ind w:left="260" w:hanging="22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 (ii) more than 50% of our assets are located in the United States or</w:t>
      </w:r>
    </w:p>
    <w:p>
      <w:pPr>
        <w:spacing w:after="0" w:line="9" w:lineRule="exact"/>
        <w:rPr>
          <w:rFonts w:ascii="Times New Roman" w:cs="Times New Roman" w:eastAsia="Times New Roman" w:hAnsi="Times New Roman"/>
          <w:sz w:val="18"/>
          <w:szCs w:val="18"/>
          <w:color w:val="auto"/>
        </w:rPr>
      </w:pPr>
    </w:p>
    <w:p>
      <w:pPr>
        <w:ind w:left="360" w:hanging="32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administered principally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80" w:top="229" w:right="4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601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013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100"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shares offered by us</w:t>
            </w: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At the ordinary shareholders’ meeting held on June 24, 2022, our</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shareholders approved the creation of an authorized share capital which</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allows the Board of Directors to increase the share capital of the Company</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and issue new common shares, without further shareholder approval, at</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any time until June 24, 2024, in an amount not exceeding CHF 400,000</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through the issuance of up to 20,000,000 common shares (the “Authorized</w:t>
            </w:r>
          </w:p>
        </w:tc>
      </w:tr>
      <w:tr>
        <w:trPr>
          <w:trHeight w:val="234"/>
        </w:trPr>
        <w:tc>
          <w:tcPr>
            <w:tcW w:w="3860" w:type="dxa"/>
            <w:vAlign w:val="bottom"/>
          </w:tcPr>
          <w:p>
            <w:pPr>
              <w:spacing w:after="0"/>
              <w:rPr>
                <w:sz w:val="20"/>
                <w:szCs w:val="20"/>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Share Capital”).</w:t>
            </w:r>
          </w:p>
        </w:tc>
      </w:tr>
      <w:tr>
        <w:trPr>
          <w:trHeight w:val="414"/>
        </w:trPr>
        <w:tc>
          <w:tcPr>
            <w:tcW w:w="3860" w:type="dxa"/>
            <w:vAlign w:val="bottom"/>
          </w:tcPr>
          <w:p>
            <w:pPr>
              <w:spacing w:after="0"/>
              <w:rPr>
                <w:sz w:val="24"/>
                <w:szCs w:val="24"/>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Board of Directors will determine the time of issuance, the issue</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price, the manner in which the new shares will be paid for, the date from</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which the new shares carry the right to dividends and, subject to the</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provisions of the Articles of Association, the limitation or exclusion of the</w:t>
            </w:r>
          </w:p>
        </w:tc>
      </w:tr>
      <w:tr>
        <w:trPr>
          <w:trHeight w:val="234"/>
        </w:trPr>
        <w:tc>
          <w:tcPr>
            <w:tcW w:w="3860" w:type="dxa"/>
            <w:vAlign w:val="bottom"/>
          </w:tcPr>
          <w:p>
            <w:pPr>
              <w:spacing w:after="0"/>
              <w:rPr>
                <w:sz w:val="20"/>
                <w:szCs w:val="20"/>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preferential subscription rights of existing shares.</w:t>
            </w:r>
          </w:p>
        </w:tc>
      </w:tr>
      <w:tr>
        <w:trPr>
          <w:trHeight w:val="414"/>
        </w:trPr>
        <w:tc>
          <w:tcPr>
            <w:tcW w:w="3860" w:type="dxa"/>
            <w:vAlign w:val="bottom"/>
          </w:tcPr>
          <w:p>
            <w:pPr>
              <w:spacing w:after="0"/>
              <w:rPr>
                <w:sz w:val="24"/>
                <w:szCs w:val="24"/>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At the Board of Directors’ meeting held on December 11, 2023, the Board</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of Directors approved an authorized capital increase of up to 16.5 million</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common shares (the “Capital Increase”). The Public Offering consists of</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sale by us of our common shares (the “Offered Shares”), which consist</w:t>
            </w:r>
          </w:p>
        </w:tc>
      </w:tr>
      <w:tr>
        <w:trPr>
          <w:trHeight w:val="234"/>
        </w:trPr>
        <w:tc>
          <w:tcPr>
            <w:tcW w:w="3860" w:type="dxa"/>
            <w:vAlign w:val="bottom"/>
          </w:tcPr>
          <w:p>
            <w:pPr>
              <w:spacing w:after="0"/>
              <w:rPr>
                <w:sz w:val="20"/>
                <w:szCs w:val="20"/>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of 14,300,000 shares newly issued through the Capital Increase.</w:t>
            </w:r>
          </w:p>
        </w:tc>
      </w:tr>
      <w:tr>
        <w:trPr>
          <w:trHeight w:val="414"/>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Offered Shares</w:t>
            </w: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Offered Shares will have a nominal value of CHF 0.02 each. All</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14,300,000 Offered Shares will be issued in an authorized share capital</w:t>
            </w:r>
          </w:p>
        </w:tc>
      </w:tr>
      <w:tr>
        <w:trPr>
          <w:trHeight w:val="214"/>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increase against cash contributions. The Offered Shares will be fully</w:t>
            </w:r>
          </w:p>
        </w:tc>
      </w:tr>
      <w:tr>
        <w:trPr>
          <w:trHeight w:val="218"/>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xml:space="preserve">fungible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each other and with all of</w:t>
            </w:r>
          </w:p>
        </w:tc>
      </w:tr>
      <w:tr>
        <w:trPr>
          <w:trHeight w:val="234"/>
        </w:trPr>
        <w:tc>
          <w:tcPr>
            <w:tcW w:w="3860" w:type="dxa"/>
            <w:vAlign w:val="bottom"/>
          </w:tcPr>
          <w:p>
            <w:pPr>
              <w:spacing w:after="0"/>
              <w:rPr>
                <w:sz w:val="20"/>
                <w:szCs w:val="20"/>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our existing shares.</w:t>
            </w:r>
          </w:p>
        </w:tc>
      </w:tr>
      <w:tr>
        <w:trPr>
          <w:trHeight w:val="412"/>
        </w:trPr>
        <w:tc>
          <w:tcPr>
            <w:tcW w:w="3860" w:type="dxa"/>
            <w:vAlign w:val="bottom"/>
          </w:tcPr>
          <w:p>
            <w:pPr>
              <w:spacing w:after="0"/>
              <w:rPr>
                <w:sz w:val="24"/>
                <w:szCs w:val="24"/>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Offered Shares are / will be issued as uncertificated securities (</w:t>
            </w:r>
            <w:r>
              <w:rPr>
                <w:rFonts w:ascii="Times New Roman" w:cs="Times New Roman" w:eastAsia="Times New Roman" w:hAnsi="Times New Roman"/>
                <w:sz w:val="18"/>
                <w:szCs w:val="18"/>
                <w:i w:val="1"/>
                <w:iCs w:val="1"/>
                <w:color w:val="auto"/>
              </w:rPr>
              <w:t>droits-</w:t>
            </w:r>
          </w:p>
        </w:tc>
      </w:tr>
      <w:tr>
        <w:trPr>
          <w:trHeight w:val="218"/>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i w:val="1"/>
                <w:iCs w:val="1"/>
                <w:color w:val="auto"/>
              </w:rPr>
              <w:t>valeurs</w:t>
            </w:r>
            <w:r>
              <w:rPr>
                <w:rFonts w:ascii="Times New Roman" w:cs="Times New Roman" w:eastAsia="Times New Roman" w:hAnsi="Times New Roman"/>
                <w:sz w:val="18"/>
                <w:szCs w:val="18"/>
                <w:color w:val="auto"/>
              </w:rPr>
              <w:t>, within the meaning of Article 973c of the Swiss Code of</w:t>
            </w:r>
          </w:p>
        </w:tc>
      </w:tr>
      <w:tr>
        <w:trPr>
          <w:trHeight w:val="214"/>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Obligations) and, when administered by a financial intermediary</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w:t>
            </w:r>
          </w:p>
        </w:tc>
      </w:tr>
      <w:tr>
        <w:trPr>
          <w:trHeight w:val="218"/>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Securities, “FISA”), qualify as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within the meaning of the FISA). The Offered Shares are / will be</w:t>
            </w:r>
          </w:p>
        </w:tc>
      </w:tr>
      <w:tr>
        <w:trPr>
          <w:trHeight w:val="214"/>
        </w:trPr>
        <w:tc>
          <w:tcPr>
            <w:tcW w:w="3860" w:type="dxa"/>
            <w:vAlign w:val="bottom"/>
          </w:tcPr>
          <w:p>
            <w:pPr>
              <w:spacing w:after="0"/>
              <w:rPr>
                <w:sz w:val="18"/>
                <w:szCs w:val="18"/>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registered in the Company’s non-public register of uncertificated securities</w:t>
            </w:r>
          </w:p>
        </w:tc>
      </w:tr>
      <w:tr>
        <w:trPr>
          <w:trHeight w:val="236"/>
        </w:trPr>
        <w:tc>
          <w:tcPr>
            <w:tcW w:w="3860" w:type="dxa"/>
            <w:vAlign w:val="bottom"/>
          </w:tcPr>
          <w:p>
            <w:pPr>
              <w:spacing w:after="0"/>
              <w:rPr>
                <w:sz w:val="20"/>
                <w:szCs w:val="20"/>
                <w:color w:val="auto"/>
              </w:rPr>
            </w:pPr>
          </w:p>
        </w:tc>
        <w:tc>
          <w:tcPr>
            <w:tcW w:w="73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w:t>
            </w:r>
          </w:p>
        </w:tc>
      </w:tr>
      <w:tr>
        <w:trPr>
          <w:trHeight w:val="280"/>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328"/>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91440</wp:posOffset>
            </wp:positionV>
            <wp:extent cx="7136130" cy="438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4384675"/>
                    </a:xfrm>
                    <a:prstGeom prst="rect">
                      <a:avLst/>
                    </a:prstGeom>
                    <a:noFill/>
                  </pic:spPr>
                </pic:pic>
              </a:graphicData>
            </a:graphic>
          </wp:anchor>
        </w:drawing>
      </w:r>
    </w:p>
    <w:p>
      <w:pPr>
        <w:sectPr>
          <w:pgSz w:w="11900" w:h="16838" w:orient="portrait"/>
          <w:cols w:equalWidth="0" w:num="1">
            <w:col w:w="11060"/>
          </w:cols>
          <w:pgMar w:left="380" w:top="229" w:right="4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98,749,352 common shares.</w:t>
      </w:r>
    </w:p>
    <w:p>
      <w:pPr>
        <w:spacing w:after="0" w:line="200" w:lineRule="exact"/>
        <w:rPr>
          <w:sz w:val="20"/>
          <w:szCs w:val="20"/>
          <w:color w:val="auto"/>
        </w:rPr>
      </w:pPr>
    </w:p>
    <w:p>
      <w:pPr>
        <w:sectPr>
          <w:pgSz w:w="11900" w:h="16838" w:orient="portrait"/>
          <w:cols w:equalWidth="0" w:num="2">
            <w:col w:w="4840" w:space="720"/>
            <w:col w:w="5500"/>
          </w:cols>
          <w:pgMar w:left="380" w:top="229" w:right="45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Determination of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Offering Price was determined by us and the underwriters on the basis of investor demand resulting from an accelerated book building procedure and prevailing market conditions, as further as described in the “Underwriting” section of this prospectus supplement.</w:t>
      </w:r>
    </w:p>
    <w:p>
      <w:pPr>
        <w:spacing w:after="0" w:line="180" w:lineRule="exact"/>
        <w:rPr>
          <w:sz w:val="20"/>
          <w:szCs w:val="20"/>
          <w:color w:val="auto"/>
        </w:rPr>
      </w:pPr>
    </w:p>
    <w:p>
      <w:pPr>
        <w:sectPr>
          <w:pgSz w:w="11900" w:h="16838" w:orient="portrait"/>
          <w:cols w:equalWidth="0" w:num="2">
            <w:col w:w="4840" w:space="720"/>
            <w:col w:w="5500"/>
          </w:cols>
          <w:pgMar w:left="380" w:top="229" w:right="4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$46.3 million (CHF 42.3 million), after deducting underwriting discounts and commissions and estimated offering expenses payable by us. We intend to use the net proceeds from this offering, together with existing liquidity, primarily to strategically invest in research and clinical development of our current pipeline, our technology platforms, working capital, capital expenditures and general corporate purposes. See “Use of Proceeds.”</w:t>
      </w:r>
    </w:p>
    <w:p>
      <w:pPr>
        <w:spacing w:after="0" w:line="192" w:lineRule="exact"/>
        <w:rPr>
          <w:sz w:val="20"/>
          <w:szCs w:val="20"/>
          <w:color w:val="auto"/>
        </w:rPr>
      </w:pPr>
    </w:p>
    <w:p>
      <w:pPr>
        <w:sectPr>
          <w:pgSz w:w="11900" w:h="16838" w:orient="portrait"/>
          <w:cols w:equalWidth="0" w:num="2">
            <w:col w:w="4840" w:space="720"/>
            <w:col w:w="5500"/>
          </w:cols>
          <w:pgMar w:left="380" w:top="229" w:right="4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for a discussion of factors to consider carefully before deciding to purchase our securities.</w:t>
      </w:r>
    </w:p>
    <w:p>
      <w:pPr>
        <w:spacing w:after="0" w:line="176" w:lineRule="exact"/>
        <w:rPr>
          <w:sz w:val="20"/>
          <w:szCs w:val="20"/>
          <w:color w:val="auto"/>
        </w:rPr>
      </w:pPr>
    </w:p>
    <w:p>
      <w:pPr>
        <w:sectPr>
          <w:pgSz w:w="11900" w:h="16838" w:orient="portrait"/>
          <w:cols w:equalWidth="0" w:num="2">
            <w:col w:w="4840" w:space="720"/>
            <w:col w:w="5500"/>
          </w:cols>
          <w:pgMar w:left="380" w:top="229" w:right="4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“ACIU”</w:t>
      </w:r>
    </w:p>
    <w:p>
      <w:pPr>
        <w:spacing w:after="0" w:line="200" w:lineRule="exact"/>
        <w:rPr>
          <w:sz w:val="20"/>
          <w:szCs w:val="20"/>
          <w:color w:val="auto"/>
        </w:rPr>
      </w:pPr>
    </w:p>
    <w:p>
      <w:pPr>
        <w:sectPr>
          <w:pgSz w:w="11900" w:h="16838" w:orient="portrait"/>
          <w:cols w:equalWidth="0" w:num="2">
            <w:col w:w="4840" w:space="720"/>
            <w:col w:w="5500"/>
          </w:cols>
          <w:pgMar w:left="380" w:top="229" w:right="459" w:bottom="1440" w:gutter="0" w:footer="0" w:header="0"/>
          <w:type w:val="continuous"/>
        </w:sectPr>
      </w:pPr>
    </w:p>
    <w:p>
      <w:pPr>
        <w:spacing w:after="0" w:line="25" w:lineRule="exact"/>
        <w:rPr>
          <w:sz w:val="20"/>
          <w:szCs w:val="20"/>
          <w:color w:val="auto"/>
        </w:rPr>
      </w:pPr>
    </w:p>
    <w:p>
      <w:pPr>
        <w:ind w:left="40" w:right="100"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our issued share capital registered in the commercial register of the Canton of Vaud is CHF 1,794,907.30 consisting of 89,745,365 common shares, of which 5,243,958 are held as treasury shares, leaving 84,501,407 common shares outstanding with a nominal value of CHF 0.02 each. The number of our common shares to be outstanding immediately after this offering is based on 84,449,352 common shares outstanding as of September 30, 2023, but excludes 92,540 of our common shares which were issued upon the exercise of options and restricted share units between January 1, 2023 and September 30, 2023 and have not been registered and an additional 6,342,329 common shares which will be issuable upon the exercise of options and restricted share units outstanding under our existing equity incentive plans at a weighted-average exercise price of CHF 3.51 per common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80" w:top="229" w:right="459"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83"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2022, and our other filings with the SEC that are also incorporated by reference into this prospectus supplement.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Shares and the Public Offering</w:t>
      </w:r>
    </w:p>
    <w:p>
      <w:pPr>
        <w:spacing w:after="0" w:line="225" w:lineRule="exact"/>
        <w:rPr>
          <w:sz w:val="20"/>
          <w:szCs w:val="20"/>
          <w:color w:val="auto"/>
        </w:rPr>
      </w:pPr>
    </w:p>
    <w:p>
      <w:pPr>
        <w:ind w:left="18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Board of Directors’ resolutions regarding an authorized capital increase may be challenged, it is not certain that the share capital increase in connection with the offering will occur when anticipated.</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issuance of the 14,300,000 shares requires registration of the share capital increase with the commercial register of the Canton of Vaud. The Public Offering is based upon the resolution regarding an authorized ordinary capital increase that was approved by the Board of Directors on December 11, 2023. Such registration may, for reasons beyond our control, not take place in time to enable all Offered Shares to be traded on a timely basis, or to be issued and delivered at all. Consequently, investors may suffer losses, in particular, if they entered into short selling transactions and are unable to meet their obligations to deliver Offered Shares.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is volatile and may fluctuate due to factors beyond our control.</w:t>
      </w:r>
    </w:p>
    <w:p>
      <w:pPr>
        <w:spacing w:after="0" w:line="229"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share prices of publicly traded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of testing and clinical studies by us, strategic partners, or competitors;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61" w:lineRule="exact"/>
        <w:rPr>
          <w:rFonts w:ascii="Times New Roman" w:cs="Times New Roman" w:eastAsia="Times New Roman" w:hAnsi="Times New Roman"/>
          <w:sz w:val="18"/>
          <w:szCs w:val="18"/>
          <w:color w:val="auto"/>
        </w:rPr>
      </w:pPr>
    </w:p>
    <w:p>
      <w:pPr>
        <w:jc w:val="both"/>
        <w:ind w:left="660" w:right="40" w:hanging="328"/>
        <w:spacing w:after="0" w:line="312"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our collaboration partners or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key opinion leaders;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or biopharmaceutical industry or in the economy as a whole;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beyond our control.</w:t>
      </w:r>
    </w:p>
    <w:p>
      <w:pPr>
        <w:spacing w:after="0" w:line="22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pacing w:after="0" w:line="188" w:lineRule="exact"/>
        <w:rPr>
          <w:sz w:val="20"/>
          <w:szCs w:val="20"/>
          <w:color w:val="auto"/>
        </w:rPr>
      </w:pPr>
    </w:p>
    <w:p>
      <w:pPr>
        <w:ind w:left="18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only a limited free float of our common shares; this may have a negative impact on the liquidity of and the market price for our common shares.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15, 2023, certain principal shareholders controlling 5% or more of our common shares as well as our executive officers and directors together beneficially owned approximately 59.9% of our common shares. The limited free float may have a negative impact on the liquidity of our common shares and result in a low trading volume of our common shares, which could adversely affect the price of our common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exercise significant control over us, and your interests may conflict with the interests of such shareholders.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December 15, 2023, certain principal shareholders as well as our executive officers and directors together beneficially owned approximately 59.9%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common shares could adversely affect the price of our common shares.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October 2020 and August 2018, we filed registration statements on Form F-3 to register the resale of two of our shareholder’s common shares pursuant to the requirements of their registration rights agreements. In addition,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common shares in this offering, you will suffer immediate dilution of your investment.</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Offering Price will be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Based on the public offering price of $3.50 per common share, you will experience immediate dilution of $2.20 (CHF 2.01) per common share, representing the difference between our as adjusted net tangible book value per common share after giving effect to this offering and the Offering Price. To the extent outstanding options or warrants are exercised, you will incur further dilution. See “Dilution.”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short-term financial assets (liquidity) and may not use them effectively.</w:t>
      </w:r>
    </w:p>
    <w:p>
      <w:pPr>
        <w:spacing w:after="0" w:line="22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168" w:lineRule="exact"/>
        <w:rPr>
          <w:sz w:val="20"/>
          <w:szCs w:val="20"/>
          <w:color w:val="auto"/>
        </w:rPr>
      </w:pPr>
    </w:p>
    <w:p>
      <w:pPr>
        <w:ind w:left="18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158"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shares are issued under the laws of Switzerland, which may not protect investors in a similar fashion afforded by incorporation in a U.S. state.</w:t>
      </w:r>
    </w:p>
    <w:p>
      <w:pPr>
        <w:spacing w:after="0" w:line="15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72"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Swiss law effective at the time according to which our current Authorized Share Capital were installed (i.e., on June 24, 2022) allowed our shareholders to authorize share capital that can be issued by the board of directors without additional shareholder approval. This authorization is limited to 50% of the existing registered share capital and must be renewed by the shareholders once expired. 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of Association by way of a resolution of a duly convened general meeting of shareholders of the Company. Under the capital band mechanism, the general meeting of shareholders can authorize the board of directors at any time within a maximum of five years to increase or decrease the share capital by a maximum amount of 50% of the current share capital.</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Additionally, as a principle, Swiss law grants pre-emptive subscription rights to existing shareholders to subscribe to any new issuance of shares. Any common share capital increase resolution preserving pre-emptive subscription rights expires after 3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in which greater flexibility would have provided substantial benefits to our shareholders.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contributions received from shareholders) in the “reserve from capital contributions.” Distributions may be made out of issued share capital—the aggregate nominal value of a company’s issued shares—only by way of a capital reduction. To the extent we introduce the capital band, only net proceeds from capital increase using the capital band (less certain expenses and net of repayments from us) will be recognized as reserves from capital contributions. As of December 31, 2022, we had CHF 432.6 million of reserves from capital contributions confirmed by the Swiss Federal Tax Administration and CHF 1,794,907 of issued share capital (consisting of 89,745,365 common shares each with a nominal value of CHF 0.02 and no preferred shares) on our audited statutory balance sheet. Of the total issued shares and issued share capital, we held 6,214,021 fully paid-in treasury shares representing CHF 124,280 of issued share capital. In addition, we expect that part of the proceeds from this Public Offering will be recognized as reserves from capital contributions.</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We expect the aggregate of the reserves from capital contributions confirmed by the Swiss Federal Tax Administration and share capital, less the total losses brought forward (to the extent set off against reserves from capital contributions or share capital), less the treasury shares (to the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extent booked against reserves from capital contributions), less the lowest legally possible issued share capital and legal reserve to represent the maximum amount potentially available for future dividends or capital reductions on a Swiss withholding tax-free basis. We would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U.S. investor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If we are unable to make a distribution through a reduction in nominal value or out of confirmed reserves from capital contributions, we will not be able to make distributions without subjecting our shareholders to Swiss withholding taxes.</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“Tax Considerations—Swiss Tax Considerations” for a summary of certain Swiss tax consequences regarding dividends distributed to holders of our common shares.</w:t>
      </w:r>
    </w:p>
    <w:p>
      <w:pPr>
        <w:spacing w:after="0" w:line="158" w:lineRule="exact"/>
        <w:rPr>
          <w:sz w:val="20"/>
          <w:szCs w:val="20"/>
          <w:color w:val="auto"/>
        </w:rPr>
      </w:pPr>
    </w:p>
    <w:p>
      <w:pPr>
        <w:ind w:left="1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9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660" w:right="4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58"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Although under the current Swiss law our shareholders may resolve a capital band which authorizes the board of directors to increase or decrease the share capital without additional shareholder approval, Swiss law limits this authorization to 50% of the issued share capital at the time of the authorization. The authorization, furthermore, has a limited duration of up to five years and must be renewed by the shareholders from time to time thereafter.</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Since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by way of a resolution of a duly convened general meeting of shareholders of the Company.</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6" w:lineRule="exact"/>
        <w:rPr>
          <w:sz w:val="20"/>
          <w:szCs w:val="20"/>
          <w:color w:val="auto"/>
        </w:rPr>
      </w:pPr>
    </w:p>
    <w:p>
      <w:pPr>
        <w:ind w:left="1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72" w:lineRule="exact"/>
        <w:rPr>
          <w:sz w:val="20"/>
          <w:szCs w:val="20"/>
          <w:color w:val="auto"/>
        </w:rPr>
      </w:pPr>
    </w:p>
    <w:p>
      <w:pPr>
        <w:ind w:left="1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5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their liability for insiders who profit from trades made in a short period of time; and (iii) the 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four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83"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While Swiss law also requires that our board of directors elects an audit and finance committee from among its members, as a foreign private issuer, the independence of the members of such committee is determined by home country regulations and the conditions of Section 10B of the Securities Exchange Act, excluding any Nasdaq Listing Rules. Section 10B of the Securities Exchange Act also prescribes qualification requirements for the audit and finance committee. Swiss law also requires that we elect a compensation committee, we follow home country requirements with respect to such committee and our compensation, nomination and corporate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above, you may not have the same protections afforded to shareholders of companies that are not foreign private issuers.</w:t>
      </w:r>
    </w:p>
    <w:p>
      <w:pPr>
        <w:spacing w:after="0" w:line="221" w:lineRule="exact"/>
        <w:rPr>
          <w:sz w:val="20"/>
          <w:szCs w:val="20"/>
          <w:color w:val="auto"/>
        </w:rPr>
      </w:pPr>
    </w:p>
    <w:p>
      <w:pPr>
        <w:ind w:left="1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2024 (or the end of our second fiscal quarter in any subsequent fiscal year), which would require us to comply with all of the periodic disclosure and current reporting requirements of the Exchange Act applicable to U.S. domestic issuers as of January 1, 2025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9" w:lineRule="exact"/>
        <w:rPr>
          <w:sz w:val="20"/>
          <w:szCs w:val="20"/>
          <w:color w:val="auto"/>
        </w:rPr>
      </w:pPr>
    </w:p>
    <w:p>
      <w:pPr>
        <w:ind w:left="1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8" w:lineRule="exact"/>
        <w:rPr>
          <w:sz w:val="20"/>
          <w:szCs w:val="20"/>
          <w:color w:val="auto"/>
        </w:rPr>
      </w:pPr>
    </w:p>
    <w:p>
      <w:pPr>
        <w:ind w:left="1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79" w:lineRule="exact"/>
        <w:rPr>
          <w:sz w:val="20"/>
          <w:szCs w:val="20"/>
          <w:color w:val="auto"/>
        </w:rPr>
      </w:pPr>
    </w:p>
    <w:p>
      <w:pPr>
        <w:jc w:val="both"/>
        <w:ind w:left="1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likelihood that we will be a passive foreign investment company (a “PFIC”) for 2023 or future taxable years. If we are a PFIC for any taxable year during which a U.S. investor owns our common shares, the investor generally will be subject to adverse U.S. federal income tax consequences.</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our taxable years of 2019, 2020 and 2022. For the reasons described below, there is a substantial likelihood that we will be a PFIC for our taxable year of 2023. We may also be a PFIC for future taxable years.</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the Internal Revenue Code of 1986, as amended, we will be a PFIC for any taxable year in which, after the application of certain look-through rules with respect to subsidiaries, either (i) 75% or more of our gross income consists of passive income (the “income test”), or (ii) 50% or more of the average value of our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(the value of which may be determined by reference to the excess of the sum of a corporation’s market capitalization and liabilities over the value of its other assets) is generally an active asset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not obtained valuations of our assets (including goodwill or going concern value) and thus are not in a position to make a definitive determination regarding their value. However, the average value of our assets (including goodwill and going concern value) may be implied by reference to our market capitalization, which has been volatile. As a result, the average value of our goodwill, going concern value and other active assets may not be sufficiently large in relation to the average value of our passive assets for 2023 (or any other taxable year) for purposes of the PFIC asset test. Because our PFIC status is a factual annual determination that can be determined only after the end of the relevant taxable year, we cannot express any definitive view regarding our PFIC status for the current or any future taxable year. However, if the value of our assets is determined by reference to our market capitalization and our market capitalization does not increase substantially by the end of 2023, we will most likely be a PFIC for 2023.</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8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and a U.S. investor owns our common shares during any portion of that year, we will continue to be treated as a PFIC with respect to the U.S. investor, even if we are not a PFIC for any subsequent taxable year, unless the U.S. investor makes a “deemed sale” election with respect to our common shares.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U.S. investors that own our common shares during any taxable year in which we are (or were) a PFIC generally will be subject to adverse U.S. federal income tax consequences, including (i) the treatment of all or a portion of any gain on disposition of our common shares as ordinary income, (ii) the application of a deferred interest charge on such gain and the receipt of certain dividends and (iii) the requirement to file certain reports to the IRS. We do not intend to provide the information that would enable investors to make a “qualified electing fund” election which, if available, could materially affect the U.S. federal income tax consequences to investors if we are a PFIC for any taxable year.</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further discussion, see the section in this prospectus supplement entitled “Tax Considerations—Material U.S. Federal Income Tax Considerations —Passive Foreign Investment Company.”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Public Offering will be approximately $46.3 million (CHF 42.3 million), after deducting underwriting discounts and commissions and estimated offering expenses payable by us.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2023, we had cash and cash equivalents of CHF 31.9 million and short-term financial assets of CHF 48.0 million for a total liquidity balance of CHF 79.9 million. We intend to use the net proceeds from this offering, together with existing liquidity, primarily to strategically invest in research and clinical development of our current pipeline, our technology platforms, working capital, capital expenditures and general corporate purposes.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the Public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the Public Offering, and investors will be relying on our judgment regarding the application of the net proceeds. In addition, we might decide to postpone or not pursue certain preclinical activities or clinical studies if the net proceeds from the Public Offering and our other sources of cash are less than expected.</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the Public Offering, we intend to invest the net proceeds in short-term, interest-bearing deposits. We are likely to convert a substantial amount of the proceeds into CHF shortly after the closing of the Public Offering.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60" w:firstLine="415"/>
        <w:spacing w:after="0" w:line="266" w:lineRule="auto"/>
        <w:rPr>
          <w:sz w:val="20"/>
          <w:szCs w:val="20"/>
          <w:color w:val="auto"/>
        </w:rPr>
      </w:pPr>
      <w:r>
        <w:rPr>
          <w:rFonts w:ascii="Times New Roman" w:cs="Times New Roman" w:eastAsia="Times New Roman" w:hAnsi="Times New Roman"/>
          <w:sz w:val="18"/>
          <w:szCs w:val="18"/>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76"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Times New Roman" w:cs="Times New Roman" w:eastAsia="Times New Roman" w:hAnsi="Times New Roman"/>
          <w:sz w:val="18"/>
          <w:szCs w:val="18"/>
          <w:i w:val="1"/>
          <w:iCs w:val="1"/>
          <w:color w:val="auto"/>
        </w:rPr>
        <w:t>report des bénéfices</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 nominal share capital, which is the aggregate nominal value of a corporation’s issued shares, may be made only by way of a share capital reduction.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our cash and cash equivalents and our total capitalization (defined as total debt and equity) as of September 30, 2023:</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our sale of 14,300,000 shares in the Public Offering, at the public offering price of $3.50 per common share, after deducting underwriting discounts and estimated offering expenses payable by us.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Investors should read this table in conjunction with our consolidated financial statements and related notes included in this prospectus supplement and incorporated by reference herein. For more details on how you can obtain the documents incorporated by reference in this prospectus supplement and the accompanying prospectus, see “Where You Can Find More Information” and “Incorporation by Reference.”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40" w:hanging="161"/>
        <w:spacing w:after="0" w:line="250" w:lineRule="auto"/>
        <w:rPr>
          <w:sz w:val="20"/>
          <w:szCs w:val="20"/>
          <w:color w:val="auto"/>
        </w:rPr>
      </w:pPr>
      <w:r>
        <w:rPr>
          <w:rFonts w:ascii="Times New Roman" w:cs="Times New Roman" w:eastAsia="Times New Roman" w:hAnsi="Times New Roman"/>
          <w:sz w:val="18"/>
          <w:szCs w:val="18"/>
          <w:color w:val="auto"/>
        </w:rPr>
        <w:t>Common shares, nominal value CHF 0.02 per share 84,449,352 shares issued and outstanding on an actual basis and 98,749,352 issued and outstanding on an as adjusted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Currency translation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losses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19685</wp:posOffset>
            </wp:positionV>
            <wp:extent cx="1774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19685</wp:posOffset>
            </wp:positionV>
            <wp:extent cx="1774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thousands of CHF)</w:t>
      </w:r>
    </w:p>
    <w:p>
      <w:pPr>
        <w:spacing w:after="0" w:line="23"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color w:val="auto"/>
        </w:rPr>
        <w:t>31,927</w:t>
      </w:r>
      <w:r>
        <w:rPr>
          <w:sz w:val="20"/>
          <w:szCs w:val="20"/>
          <w:color w:val="auto"/>
        </w:rPr>
        <w:tab/>
      </w:r>
      <w:r>
        <w:rPr>
          <w:rFonts w:ascii="Times New Roman" w:cs="Times New Roman" w:eastAsia="Times New Roman" w:hAnsi="Times New Roman"/>
          <w:sz w:val="18"/>
          <w:szCs w:val="18"/>
          <w:color w:val="auto"/>
        </w:rPr>
        <w:t>74,231</w:t>
      </w:r>
    </w:p>
    <w:p>
      <w:pPr>
        <w:spacing w:after="0" w:line="23"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color w:val="auto"/>
        </w:rPr>
        <w:t>48,000</w:t>
      </w:r>
      <w:r>
        <w:rPr>
          <w:sz w:val="20"/>
          <w:szCs w:val="20"/>
          <w:color w:val="auto"/>
        </w:rPr>
        <w:tab/>
      </w:r>
      <w:r>
        <w:rPr>
          <w:rFonts w:ascii="Times New Roman" w:cs="Times New Roman" w:eastAsia="Times New Roman" w:hAnsi="Times New Roman"/>
          <w:sz w:val="18"/>
          <w:szCs w:val="18"/>
          <w:color w:val="auto"/>
        </w:rPr>
        <w:t>48,000</w:t>
      </w:r>
    </w:p>
    <w:p>
      <w:pPr>
        <w:spacing w:after="0" w:line="31"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79,927</w:t>
      </w:r>
      <w:r>
        <w:rPr>
          <w:sz w:val="20"/>
          <w:szCs w:val="20"/>
          <w:color w:val="auto"/>
        </w:rPr>
        <w:tab/>
      </w:r>
      <w:r>
        <w:rPr>
          <w:rFonts w:ascii="Times New Roman" w:cs="Times New Roman" w:eastAsia="Times New Roman" w:hAnsi="Times New Roman"/>
          <w:sz w:val="18"/>
          <w:szCs w:val="18"/>
          <w:color w:val="auto"/>
        </w:rPr>
        <w:t>122,231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34290</wp:posOffset>
            </wp:positionV>
            <wp:extent cx="1705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spacing w:after="0"/>
        <w:tabs>
          <w:tab w:leader="none" w:pos="1840" w:val="left"/>
        </w:tabs>
        <w:rPr>
          <w:sz w:val="20"/>
          <w:szCs w:val="20"/>
          <w:color w:val="auto"/>
        </w:rPr>
      </w:pPr>
      <w:r>
        <w:rPr>
          <w:rFonts w:ascii="Times New Roman" w:cs="Times New Roman" w:eastAsia="Times New Roman" w:hAnsi="Times New Roman"/>
          <w:sz w:val="18"/>
          <w:szCs w:val="18"/>
          <w:color w:val="auto"/>
        </w:rPr>
        <w:t>1,802</w:t>
      </w:r>
      <w:r>
        <w:rPr>
          <w:sz w:val="20"/>
          <w:szCs w:val="20"/>
          <w:color w:val="auto"/>
        </w:rPr>
        <w:tab/>
      </w:r>
      <w:r>
        <w:rPr>
          <w:rFonts w:ascii="Times New Roman" w:cs="Times New Roman" w:eastAsia="Times New Roman" w:hAnsi="Times New Roman"/>
          <w:sz w:val="18"/>
          <w:szCs w:val="18"/>
          <w:color w:val="auto"/>
        </w:rPr>
        <w:t>2,088</w:t>
      </w:r>
    </w:p>
    <w:p>
      <w:pPr>
        <w:spacing w:after="0" w:line="27" w:lineRule="exact"/>
        <w:rPr>
          <w:sz w:val="20"/>
          <w:szCs w:val="20"/>
          <w:color w:val="auto"/>
        </w:rPr>
      </w:pPr>
    </w:p>
    <w:p>
      <w:pPr>
        <w:ind w:left="240"/>
        <w:spacing w:after="0"/>
        <w:tabs>
          <w:tab w:leader="none" w:pos="1660" w:val="left"/>
        </w:tabs>
        <w:rPr>
          <w:sz w:val="20"/>
          <w:szCs w:val="20"/>
          <w:color w:val="auto"/>
        </w:rPr>
      </w:pPr>
      <w:r>
        <w:rPr>
          <w:rFonts w:ascii="Times New Roman" w:cs="Times New Roman" w:eastAsia="Times New Roman" w:hAnsi="Times New Roman"/>
          <w:sz w:val="18"/>
          <w:szCs w:val="18"/>
          <w:color w:val="auto"/>
        </w:rPr>
        <w:t>434,451</w:t>
      </w:r>
      <w:r>
        <w:rPr>
          <w:sz w:val="20"/>
          <w:szCs w:val="20"/>
          <w:color w:val="auto"/>
        </w:rPr>
        <w:tab/>
      </w:r>
      <w:r>
        <w:rPr>
          <w:rFonts w:ascii="Times New Roman" w:cs="Times New Roman" w:eastAsia="Times New Roman" w:hAnsi="Times New Roman"/>
          <w:sz w:val="18"/>
          <w:szCs w:val="18"/>
          <w:color w:val="auto"/>
        </w:rPr>
        <w:t>476,469</w:t>
      </w:r>
    </w:p>
    <w:p>
      <w:pPr>
        <w:spacing w:after="0" w:line="9" w:lineRule="exact"/>
        <w:rPr>
          <w:sz w:val="20"/>
          <w:szCs w:val="20"/>
          <w:color w:val="auto"/>
        </w:rPr>
      </w:pPr>
    </w:p>
    <w:p>
      <w:pPr>
        <w:ind w:left="1940" w:hanging="1442"/>
        <w:spacing w:after="0"/>
        <w:tabs>
          <w:tab w:leader="none" w:pos="1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9" w:lineRule="exact"/>
        <w:rPr>
          <w:sz w:val="20"/>
          <w:szCs w:val="20"/>
          <w:color w:val="auto"/>
        </w:rPr>
      </w:pPr>
    </w:p>
    <w:p>
      <w:pPr>
        <w:ind w:left="180"/>
        <w:spacing w:after="0"/>
        <w:tabs>
          <w:tab w:leader="none" w:pos="1600" w:val="left"/>
        </w:tabs>
        <w:rPr>
          <w:sz w:val="20"/>
          <w:szCs w:val="20"/>
          <w:color w:val="auto"/>
        </w:rPr>
      </w:pPr>
      <w:r>
        <w:rPr>
          <w:rFonts w:ascii="Times New Roman" w:cs="Times New Roman" w:eastAsia="Times New Roman" w:hAnsi="Times New Roman"/>
          <w:sz w:val="18"/>
          <w:szCs w:val="18"/>
          <w:color w:val="auto"/>
        </w:rPr>
        <w:t>(310,488)</w:t>
      </w:r>
      <w:r>
        <w:rPr>
          <w:sz w:val="20"/>
          <w:szCs w:val="20"/>
          <w:color w:val="auto"/>
        </w:rPr>
        <w:tab/>
      </w:r>
      <w:r>
        <w:rPr>
          <w:rFonts w:ascii="Times New Roman" w:cs="Times New Roman" w:eastAsia="Times New Roman" w:hAnsi="Times New Roman"/>
          <w:sz w:val="18"/>
          <w:szCs w:val="18"/>
          <w:color w:val="auto"/>
        </w:rPr>
        <w:t>(310,488)</w:t>
      </w:r>
    </w:p>
    <w:p>
      <w:pPr>
        <w:spacing w:after="0" w:line="21" w:lineRule="exact"/>
        <w:rPr>
          <w:sz w:val="20"/>
          <w:szCs w:val="20"/>
          <w:color w:val="auto"/>
        </w:rPr>
      </w:pPr>
    </w:p>
    <w:p>
      <w:pPr>
        <w:sectPr>
          <w:pgSz w:w="11900" w:h="16838" w:orient="portrait"/>
          <w:cols w:equalWidth="0" w:num="2">
            <w:col w:w="8140" w:space="720"/>
            <w:col w:w="23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844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125,664</w:t>
            </w:r>
          </w:p>
        </w:tc>
        <w:tc>
          <w:tcPr>
            <w:tcW w:w="2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167,968</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1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number of common shares in the table above excludes 92,540 of our common shares which were issued upon the exercise of options and restricted share units between January 1, 2023 and September 30, 2023 and have not been registered and an additional 6,342,329 common shares which will be issuable upon the exercise of options and restricted share units outstanding under our existing equity incentive plans at a weighted-average exercise price of CHF 3.51 per common share.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62" w:lineRule="exact"/>
        <w:rPr>
          <w:sz w:val="20"/>
          <w:szCs w:val="20"/>
          <w:color w:val="auto"/>
        </w:rPr>
      </w:pPr>
    </w:p>
    <w:p>
      <w:pPr>
        <w:jc w:val="both"/>
        <w:ind w:right="400" w:firstLine="324"/>
        <w:spacing w:after="0" w:line="289" w:lineRule="auto"/>
        <w:rPr>
          <w:sz w:val="20"/>
          <w:szCs w:val="20"/>
          <w:color w:val="auto"/>
        </w:rPr>
      </w:pPr>
      <w:r>
        <w:rPr>
          <w:rFonts w:ascii="Times New Roman" w:cs="Times New Roman" w:eastAsia="Times New Roman" w:hAnsi="Times New Roman"/>
          <w:sz w:val="17"/>
          <w:szCs w:val="17"/>
          <w:color w:val="auto"/>
        </w:rPr>
        <w:t>Our net tangible book value as of September 30, 2023 was $82.3 million (CHF 75.2 million), or $0.97 per common share (CHF 0.89 per common share), based on 84,449,352 common shares then outstanding. Net tangible book value per share represents the amount of our total assets less our total liabilities, excluding intangible assets, divided by 84,449,352, the total number of our common shares issued and outstanding at September 30, 2023.</w:t>
      </w:r>
    </w:p>
    <w:p>
      <w:pPr>
        <w:spacing w:after="0" w:line="158"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14,300,000 shares in this offering at a public offering price of $3.50 per share, less the underwriting discounts and estimated offering expenses payable by us, our net tangible book value at September 30, 2023 would have been $128.6 million, or $1.30 per common share. This represents an immediate increase in net tangible book value of $0.33 per share to existing shareholders and an immediate dilution of $2.20 per share to investors in this offering. The following table illustrates this per share dilution: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Borders>
              <w:bottom w:val="single" w:sz="8" w:color="D5EAEA"/>
            </w:tcBorders>
          </w:tcPr>
          <w:p>
            <w:pPr>
              <w:spacing w:after="0"/>
              <w:rPr>
                <w:sz w:val="20"/>
                <w:szCs w:val="20"/>
                <w:color w:val="auto"/>
              </w:rPr>
            </w:pPr>
          </w:p>
        </w:tc>
        <w:tc>
          <w:tcPr>
            <w:tcW w:w="12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D5EAEA"/>
            </w:tcBorders>
          </w:tcPr>
          <w:p>
            <w:pPr>
              <w:spacing w:after="0"/>
              <w:rPr>
                <w:sz w:val="20"/>
                <w:szCs w:val="20"/>
                <w:color w:val="auto"/>
              </w:rPr>
            </w:pPr>
          </w:p>
        </w:tc>
        <w:tc>
          <w:tcPr>
            <w:tcW w:w="17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 CHF)</w:t>
            </w:r>
          </w:p>
        </w:tc>
      </w:tr>
      <w:tr>
        <w:trPr>
          <w:trHeight w:val="209"/>
        </w:trPr>
        <w:tc>
          <w:tcPr>
            <w:tcW w:w="77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960" w:type="dxa"/>
            <w:vAlign w:val="bottom"/>
            <w:gridSpan w:val="2"/>
            <w:shd w:val="clear" w:color="auto" w:fill="D5EAEA"/>
          </w:tcPr>
          <w:p>
            <w:pPr>
              <w:ind w:left="54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shd w:val="clear" w:color="auto" w:fill="D5EAEA"/>
          </w:tcPr>
          <w:p>
            <w:pPr>
              <w:spacing w:after="0"/>
              <w:rPr>
                <w:sz w:val="18"/>
                <w:szCs w:val="18"/>
                <w:color w:val="auto"/>
              </w:rPr>
            </w:pPr>
          </w:p>
        </w:tc>
        <w:tc>
          <w:tcPr>
            <w:tcW w:w="4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980" w:type="dxa"/>
            <w:vAlign w:val="bottom"/>
            <w:gridSpan w:val="2"/>
            <w:shd w:val="clear" w:color="auto" w:fill="D5EAEA"/>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740" w:type="dxa"/>
            <w:vAlign w:val="bottom"/>
            <w:shd w:val="clear" w:color="auto" w:fill="D5EAEA"/>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2023</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0.97</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7720" w:type="dxa"/>
            <w:vAlign w:val="bottom"/>
            <w:shd w:val="clear" w:color="auto" w:fill="D5EAEA"/>
          </w:tcPr>
          <w:p>
            <w:pPr>
              <w:ind w:left="180"/>
              <w:spacing w:after="0"/>
              <w:rPr>
                <w:sz w:val="20"/>
                <w:szCs w:val="20"/>
                <w:color w:val="auto"/>
              </w:rPr>
            </w:pPr>
            <w:r>
              <w:rPr>
                <w:rFonts w:ascii="Times New Roman" w:cs="Times New Roman" w:eastAsia="Times New Roman" w:hAnsi="Times New Roman"/>
                <w:sz w:val="18"/>
                <w:szCs w:val="18"/>
                <w:color w:val="auto"/>
              </w:rPr>
              <w:t>Increase per share attributable to new investors purchasing shares in this offering</w:t>
            </w:r>
          </w:p>
        </w:tc>
        <w:tc>
          <w:tcPr>
            <w:tcW w:w="8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520" w:type="dxa"/>
            <w:vAlign w:val="bottom"/>
            <w:gridSpan w:val="2"/>
            <w:shd w:val="clear" w:color="auto" w:fill="D5EAEA"/>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172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740" w:type="dxa"/>
            <w:vAlign w:val="bottom"/>
            <w:tcBorders>
              <w:top w:val="single" w:sz="8" w:color="auto"/>
            </w:tcBorders>
          </w:tcPr>
          <w:p>
            <w:pPr>
              <w:spacing w:after="0"/>
              <w:rPr>
                <w:sz w:val="18"/>
                <w:szCs w:val="18"/>
                <w:color w:val="auto"/>
              </w:rPr>
            </w:pPr>
          </w:p>
        </w:tc>
      </w:tr>
      <w:tr>
        <w:trPr>
          <w:trHeight w:val="209"/>
        </w:trPr>
        <w:tc>
          <w:tcPr>
            <w:tcW w:w="7720" w:type="dxa"/>
            <w:vAlign w:val="bottom"/>
            <w:tcBorders>
              <w:top w:val="single" w:sz="8" w:color="D5EAEA"/>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840" w:type="dxa"/>
            <w:vAlign w:val="bottom"/>
            <w:tcBorders>
              <w:top w:val="single" w:sz="8" w:color="auto"/>
              <w:bottom w:val="single" w:sz="8" w:color="auto"/>
            </w:tcBorders>
            <w:shd w:val="clear" w:color="auto" w:fill="D5EAEA"/>
          </w:tcPr>
          <w:p>
            <w:pPr>
              <w:ind w:left="540"/>
              <w:spacing w:after="0"/>
              <w:rPr>
                <w:sz w:val="20"/>
                <w:szCs w:val="20"/>
                <w:color w:val="auto"/>
              </w:rPr>
            </w:pPr>
            <w:r>
              <w:rPr>
                <w:rFonts w:ascii="Times New Roman" w:cs="Times New Roman" w:eastAsia="Times New Roman" w:hAnsi="Times New Roman"/>
                <w:sz w:val="18"/>
                <w:szCs w:val="18"/>
                <w:color w:val="auto"/>
                <w:w w:val="88"/>
              </w:rPr>
              <w:t>2.20</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320" w:type="dxa"/>
            <w:vAlign w:val="bottom"/>
            <w:tcBorders>
              <w:top w:val="single" w:sz="8" w:color="D5EAEA"/>
              <w:bottom w:val="single" w:sz="8" w:color="D5EAEA"/>
            </w:tcBorders>
            <w:shd w:val="clear" w:color="auto" w:fill="D5EAEA"/>
          </w:tcPr>
          <w:p>
            <w:pPr>
              <w:spacing w:after="0"/>
              <w:rPr>
                <w:sz w:val="18"/>
                <w:szCs w:val="18"/>
                <w:color w:val="auto"/>
              </w:rPr>
            </w:pPr>
          </w:p>
        </w:tc>
        <w:tc>
          <w:tcPr>
            <w:tcW w:w="4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8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740" w:type="dxa"/>
            <w:vAlign w:val="bottom"/>
            <w:tcBorders>
              <w:top w:val="single" w:sz="8" w:color="D5EAEA"/>
              <w:bottom w:val="single" w:sz="8" w:color="D5EAEA"/>
            </w:tcBorders>
            <w:shd w:val="clear" w:color="auto" w:fill="D5EAEA"/>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Swiss Franc amounts have been translated into U.S. dollars at a rate of CHF 0.914 to USD 1.00, the official exchange rate quoted as of September 30, 2023 by the U.S. Federal Reserve Bank. Such U.S. dollar amounts are not necessarily indicative of the amounts of U.S. dollars that could actually have been purchased upon exchange of Swiss Francs on September 30, 2023 and have been provided solely for the convenience of the reader.</w:t>
      </w:r>
    </w:p>
    <w:p>
      <w:pPr>
        <w:spacing w:after="0" w:line="176"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calculations above are based on 84,449,352 common shares outstanding as of September 30, 2023, but excludes 92,540 of our common shares which were issued upon the exercise of options and restricted share units between January 1, 2023 and September 30, 2023 and have not been registered and an additional 6,342,329 common shares which will be issuable upon the exercise of options and restricted share units outstanding under our existing equity incentive plans at a weighted-average exercise price of CHF 3.51 per common share.</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7"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Swiss tax consequences of the acquisition, ownership and disposition of Offered Shares, but it does not purport to be a comprehensive description of all of the Swiss tax considerations that may be relevant to a decision to purchase, own or dispose. In particular, the summary does not take into account the specific circumstances of any particular investor.</w:t>
      </w:r>
    </w:p>
    <w:p>
      <w:pPr>
        <w:spacing w:after="0" w:line="173" w:lineRule="exact"/>
        <w:rPr>
          <w:sz w:val="20"/>
          <w:szCs w:val="20"/>
          <w:color w:val="auto"/>
        </w:rPr>
      </w:pPr>
    </w:p>
    <w:p>
      <w:pPr>
        <w:jc w:val="both"/>
        <w:ind w:right="18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i w:val="1"/>
          <w:iCs w:val="1"/>
          <w:color w:val="auto"/>
        </w:rPr>
        <w:t>Investors are urged to consult their own tax advisors regarding the Swiss tax consequences of acquiring, owning and disposing of Offered Shares or the receipt of dividends or distributions, if any, on Offered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respect of Offered Shares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Swiss federal withholding tax on dividends and similar distributions on the Offered Shares</w:t>
      </w:r>
    </w:p>
    <w:p>
      <w:pPr>
        <w:spacing w:after="0" w:line="227"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Dividends on Offered Shares made or paid by the Company out of reserves from capital contributions confirmed by the Swiss Federal Tax Administration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and distributions on Offered Shares made or paid by the Company based upon a reduction of nominal value of Offered Shares (</w:t>
      </w:r>
      <w:r>
        <w:rPr>
          <w:rFonts w:ascii="Times New Roman" w:cs="Times New Roman" w:eastAsia="Times New Roman" w:hAnsi="Times New Roman"/>
          <w:sz w:val="17"/>
          <w:szCs w:val="17"/>
          <w:i w:val="1"/>
          <w:iCs w:val="1"/>
          <w:color w:val="auto"/>
        </w:rPr>
        <w:t>reduction de la valeur nominale</w:t>
      </w:r>
      <w:r>
        <w:rPr>
          <w:rFonts w:ascii="Times New Roman" w:cs="Times New Roman" w:eastAsia="Times New Roman" w:hAnsi="Times New Roman"/>
          <w:sz w:val="17"/>
          <w:szCs w:val="17"/>
          <w:color w:val="auto"/>
        </w:rPr>
        <w:t>) are exempt from Swiss federal withholding tax (</w:t>
      </w:r>
      <w:r>
        <w:rPr>
          <w:rFonts w:ascii="Times New Roman" w:cs="Times New Roman" w:eastAsia="Times New Roman" w:hAnsi="Times New Roman"/>
          <w:sz w:val="17"/>
          <w:szCs w:val="17"/>
          <w:i w:val="1"/>
          <w:iCs w:val="1"/>
          <w:color w:val="auto"/>
        </w:rPr>
        <w:t>impôt anticipé</w:t>
      </w:r>
      <w:r>
        <w:rPr>
          <w:rFonts w:ascii="Times New Roman" w:cs="Times New Roman" w:eastAsia="Times New Roman" w:hAnsi="Times New Roman"/>
          <w:sz w:val="17"/>
          <w:szCs w:val="17"/>
          <w:color w:val="auto"/>
        </w:rPr>
        <w:t>). Any other dividends and cash or in-kind distributions (including scrip or stock dividends) on Offered Shares made or paid by the Company are subject to Swiss federal withholding tax imposed on the gross amount of the taxable distribution at the then prevailing rate (currently, at a rate of 35% of the gross amount of the taxable distribution). The withholding tax must be withheld by the Company from the gross amount of the dividend or distribution and be remitted to the Swiss Federal Tax Administration. Capital gains realized on the sale of Offered Shares are not subject to the Swiss federal withholding tax (other than in case of a sale to the Company (i) for cancellation, (ii) if the total of repurchased Offers Shares exceeds 10% of the Company's share capital or (iii) if the repurchased Offered Shares are not resold within the applicable time period after the repurchase, if and to the extent the redemption price less the nominal value of the redeemed Offered Shares is not booked against reserves from capital contributions confirmed by the Swiss Federal Tax Administration ("Taxable Repurchases").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Refund to Swiss-resident recipients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relevant Swiss tax authority will refund or credit the Swiss federal withholding tax deducted by the Company on dividends or distributions on Offered Shares in full to holders of Offered Shares who are tax resident in Switzerland and to holders who hold the Offered Shares as part of a trade or business in Switzerland through a permanent establishment with fixed place of business situated in Switzerland for tax purposes,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 and if there is no tax avoidance.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Refund to non-resident recipients</w:t>
      </w:r>
    </w:p>
    <w:p>
      <w:pPr>
        <w:spacing w:after="0" w:line="225" w:lineRule="exact"/>
        <w:rPr>
          <w:sz w:val="20"/>
          <w:szCs w:val="20"/>
          <w:color w:val="auto"/>
        </w:rPr>
      </w:pPr>
    </w:p>
    <w:p>
      <w:pPr>
        <w:ind w:left="860" w:hanging="528"/>
        <w:spacing w:after="0"/>
        <w:tabs>
          <w:tab w:leader="none" w:pos="8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holder who is not a tax resident of Switzerland and who does not hold the Offered Shares as part of a trade or business in Switzerland through a permanent establishment with fixed place of business situated in Switzerland for tax purposes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Swiss federal withholding tax at source is not provided for by Switzerland for portfolio holdings and,</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Swiss federal withholding tax.</w:t>
      </w:r>
    </w:p>
    <w:p>
      <w:pPr>
        <w:spacing w:after="0" w:line="174" w:lineRule="exact"/>
        <w:rPr>
          <w:sz w:val="20"/>
          <w:szCs w:val="20"/>
          <w:color w:val="auto"/>
        </w:rPr>
      </w:pPr>
    </w:p>
    <w:p>
      <w:pPr>
        <w:ind w:left="860" w:hanging="528"/>
        <w:spacing w:after="0"/>
        <w:tabs>
          <w:tab w:leader="none" w:pos="8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Residents of the U.S.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in the case of qualified U.S. pension funds, apply for a full refund of the Swiss federal withholding tax, if the holder is a corporation owning at least 10% of the voting rights of the Company, apply for a refund of the Swiss federal withholding tax withheld in excess of the 5% reduced treaty rate, or a refund of the Swiss federal withholding tax withheld in excess of the 15% treaty rate in all other cases. 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 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Swiss income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Offered Shares held by holders resident outside of Switzerland and with no trade or business in Switzerland</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Holders of Offered Shares who are not resident in Switzerland for tax purposes, and who, during the respective taxation year, have not engaged in a trade or business carried on through a permanent establishment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above for a summary on the Swiss withholding tax treatment of dividends and distributions on Offered Shares. Refer to “</w:t>
      </w:r>
      <w:r>
        <w:rPr>
          <w:rFonts w:ascii="Times New Roman" w:cs="Times New Roman" w:eastAsia="Times New Roman" w:hAnsi="Times New Roman"/>
          <w:sz w:val="18"/>
          <w:szCs w:val="18"/>
          <w:i w:val="1"/>
          <w:iCs w:val="1"/>
          <w:color w:val="auto"/>
        </w:rPr>
        <w:t>―International Automatic Exchange of Information</w:t>
      </w:r>
      <w:r>
        <w:rPr>
          <w:rFonts w:ascii="Times New Roman" w:cs="Times New Roman" w:eastAsia="Times New Roman" w:hAnsi="Times New Roman"/>
          <w:sz w:val="18"/>
          <w:szCs w:val="18"/>
          <w:color w:val="auto"/>
        </w:rPr>
        <w:t>” below for a summary on the international exchange of information in tax matters by Switzerland in respect of Offered Shares held in accounts or deposits with a paying agent in Switzerland. Refer to “</w:t>
      </w:r>
      <w:r>
        <w:rPr>
          <w:rFonts w:ascii="Times New Roman" w:cs="Times New Roman" w:eastAsia="Times New Roman" w:hAnsi="Times New Roman"/>
          <w:sz w:val="18"/>
          <w:szCs w:val="18"/>
          <w:i w:val="1"/>
          <w:iCs w:val="1"/>
          <w:color w:val="auto"/>
        </w:rPr>
        <w:t>―Swiss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Implementation of the U.S. Foreign Account Tax Compliance Act</w:t>
      </w:r>
      <w:r>
        <w:rPr>
          <w:rFonts w:ascii="Times New Roman" w:cs="Times New Roman" w:eastAsia="Times New Roman" w:hAnsi="Times New Roman"/>
          <w:sz w:val="18"/>
          <w:szCs w:val="18"/>
          <w:color w:val="auto"/>
        </w:rPr>
        <w:t>” below for a summary on the implementation of FATCA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Switzerland.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Offered Shares held by Swiss resident individuals as private investments</w:t>
      </w:r>
    </w:p>
    <w:p>
      <w:pPr>
        <w:spacing w:after="0" w:line="227"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Dividends and other distributions, if any, on Offered Shares, made or paid by the Company out of reserves from capital contributions confirmed by the Swiss Federal Tax Administration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and distributions made or paid by the Company on Offered Shares based upon a capital reduction (</w:t>
      </w:r>
      <w:r>
        <w:rPr>
          <w:rFonts w:ascii="Times New Roman" w:cs="Times New Roman" w:eastAsia="Times New Roman" w:hAnsi="Times New Roman"/>
          <w:sz w:val="17"/>
          <w:szCs w:val="17"/>
          <w:i w:val="1"/>
          <w:iCs w:val="1"/>
          <w:color w:val="auto"/>
        </w:rPr>
        <w:t>reduction de la valeur nominale</w:t>
      </w:r>
      <w:r>
        <w:rPr>
          <w:rFonts w:ascii="Times New Roman" w:cs="Times New Roman" w:eastAsia="Times New Roman" w:hAnsi="Times New Roman"/>
          <w:sz w:val="17"/>
          <w:szCs w:val="17"/>
          <w:color w:val="auto"/>
        </w:rPr>
        <w:t>), if any, are exempt from Swiss federal, cantonal and communal income taxes for holders of Offered Shares who are individuals resident in Switzerland for tax purposes and who hold the Offered Shares as private capital investments. Other dividends and distributions, including Taxable Repurchases, if any, on Offered Shares will be subject to Swiss federal, cantonal or communal income taxes for such holders.</w:t>
      </w:r>
    </w:p>
    <w:p>
      <w:pPr>
        <w:spacing w:after="0" w:line="1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capital gain realized by an individual resident in Switzerland on the sale of Offered Shares held by her or him as private capital investments classifies typically as tax-exempt private capital gain and, conversely, a capital loss as non-tax deductible private capital loss for purposes of Swiss federal, cantonal and communal income taxes. Refer to “—Offered Shares held as assets of a Swiss business” for information on the taxation of individuals classified as “professional securities dealers.”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Offered Shares held as assets of a Swiss business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w:t>
      </w:r>
      <w:r>
        <w:rPr>
          <w:rFonts w:ascii="Times New Roman" w:cs="Times New Roman" w:eastAsia="Times New Roman" w:hAnsi="Times New Roman"/>
          <w:sz w:val="18"/>
          <w:szCs w:val="18"/>
          <w:i w:val="1"/>
          <w:iCs w:val="1"/>
          <w:color w:val="auto"/>
        </w:rPr>
        <w:t>réductions pour participations</w:t>
      </w:r>
      <w:r>
        <w:rPr>
          <w:rFonts w:ascii="Times New Roman" w:cs="Times New Roman" w:eastAsia="Times New Roman" w:hAnsi="Times New Roman"/>
          <w:sz w:val="18"/>
          <w:szCs w:val="18"/>
          <w:color w:val="auto"/>
        </w:rPr>
        <w:t>) in respect of dividends and distributions, if any, on Offered Shares held as part of a Swiss business if the market value of the Offered Shares held by them equals or exceeds CHF 1 million or represents 10% or more of, the share capital or the dividend rights, of the Company. No capital gain relief is generally available for portfolio holdings.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Swiss federal issuance stamp tax</w:t>
      </w:r>
    </w:p>
    <w:p>
      <w:pPr>
        <w:spacing w:after="0" w:line="227" w:lineRule="exact"/>
        <w:rPr>
          <w:sz w:val="20"/>
          <w:szCs w:val="20"/>
          <w:color w:val="auto"/>
        </w:rPr>
      </w:pPr>
    </w:p>
    <w:p>
      <w:pPr>
        <w:ind w:right="720" w:firstLine="324"/>
        <w:spacing w:after="0" w:line="284" w:lineRule="auto"/>
        <w:rPr>
          <w:sz w:val="20"/>
          <w:szCs w:val="20"/>
          <w:color w:val="auto"/>
        </w:rPr>
      </w:pPr>
      <w:r>
        <w:rPr>
          <w:rFonts w:ascii="Times New Roman" w:cs="Times New Roman" w:eastAsia="Times New Roman" w:hAnsi="Times New Roman"/>
          <w:sz w:val="18"/>
          <w:szCs w:val="18"/>
          <w:color w:val="auto"/>
        </w:rPr>
        <w:t>The Company will be subject to the Swiss issuance stamp tax (</w:t>
      </w:r>
      <w:r>
        <w:rPr>
          <w:rFonts w:ascii="Times New Roman" w:cs="Times New Roman" w:eastAsia="Times New Roman" w:hAnsi="Times New Roman"/>
          <w:sz w:val="18"/>
          <w:szCs w:val="18"/>
          <w:i w:val="1"/>
          <w:iCs w:val="1"/>
          <w:color w:val="auto"/>
        </w:rPr>
        <w:t>droit de timbre d’émission</w:t>
      </w:r>
      <w:r>
        <w:rPr>
          <w:rFonts w:ascii="Times New Roman" w:cs="Times New Roman" w:eastAsia="Times New Roman" w:hAnsi="Times New Roman"/>
          <w:sz w:val="18"/>
          <w:szCs w:val="18"/>
          <w:color w:val="auto"/>
        </w:rPr>
        <w:t>) on the issuance of the Offered Shares of 1% on the consideration received for the issuance of the Offered Shares, net of certain deductions.</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securities turnover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respect of purchases of Offered Shares in the Offering</w:t>
      </w:r>
    </w:p>
    <w:p>
      <w:pPr>
        <w:spacing w:after="0" w:line="22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The issuance and delivery of Offered Shares to the initial shareholders at the settlement date is exempt from Swiss federal securities turnover tax (</w:t>
      </w:r>
      <w:r>
        <w:rPr>
          <w:rFonts w:ascii="Times New Roman" w:cs="Times New Roman" w:eastAsia="Times New Roman" w:hAnsi="Times New Roman"/>
          <w:sz w:val="18"/>
          <w:szCs w:val="18"/>
          <w:i w:val="1"/>
          <w:iCs w:val="1"/>
          <w:color w:val="auto"/>
        </w:rPr>
        <w:t>droit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timbre de négotiation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respect of other transactions in Offered Shares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transactions in the Offered Shares after the offering, where a bank or another securities dealer in Switzerland or Liechtenstein, as defined in the Swiss Federal Stamp Tax Act, acts as an intermediary, or is a party, to the transaction, is subject to Swiss federal securities turnover tax at a tax rate of up to 0.15% of the consideration paid for such Offered Shares.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statutory exemptions in respect of the one or the other party to such a transaction, half of the tax is customarily charged to each of the parties.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Automatic Exchange of Information</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Switzerland has concluded a multilateral agreement with the EU on the international automatic exchange of information (AEOI) in tax matters. The agreement applies to all 27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 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U.S. to facilitate the implementation of FATCA. The agreement ensures that accounts held by U.S. persons with Swiss financial institutions, which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accounts may include Offered Shares and income derived thereon,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Treaty (including, since 20 September 2019, the FATCA group requests process in respect of the information on U.S. accounts without a declaration of consent and on non-consenting non-participating financial institutions).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the ownership and disposition of our common shares. This discussion applies only to a U.S. Holder that acquires our common shares in this offering and holds them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electing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in connection with a trade or business conducted outside of the United States.</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and their partners should consult their tax advisers as to the particular U.S. federal income tax consequences of owning and disposing of the common shares.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Holder” is a person that, for U.S. federal income tax purposes, is a beneficial owner of common shares and is any of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 In addition, U.S. Holders should note that this disclosure addresses only common shares acquired pursuant to this offering. 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U.S. Holder that already owns our common shares should consult its tax adviser regarding the consequences of owning its existing shares, including the application of the passive foreign investment company (“PFIC”) rules to these shares, taking into account that we were likely a PFIC for 2022 and some of our other prior taxable years.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our taxable years of 2019, 2020 and 2022. For the reasons described below, there is a substantial likelihood that we will be a PFIC for our taxable year of 2023. We may also be a PFIC for future taxable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look-through rules with respect to subsidiaries, either</w:t>
      </w:r>
    </w:p>
    <w:p>
      <w:pPr>
        <w:spacing w:after="0" w:line="27" w:lineRule="exact"/>
        <w:rPr>
          <w:sz w:val="20"/>
          <w:szCs w:val="20"/>
          <w:color w:val="auto"/>
        </w:rPr>
      </w:pPr>
    </w:p>
    <w:p>
      <w:pPr>
        <w:ind w:firstLine="8"/>
        <w:spacing w:after="0" w:line="252"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(the value of which may be determined by reference to the excess of the sum of a corporation’s market capitalization and liabilities over the value of its other assets) generally is an active asset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not obtained valuations of our assets (including goodwill or going concern value) and thus are not in a position to make a definitive determination regarding their value. However, the average value of our assets (including goodwill and going concern value) may be implied by reference to our market capitalization, which has been volatile. As a result, the average value of our goodwill, going concern value and other active assets may not be sufficiently large in relation to the average value of our passive assets for 2023 (or any other taxable year) for purposes of the PFIC asset test. Because our PFIC status is a factual annual determination that can be determined only after the end of the relevant taxable year, we cannot express any definitive view regarding our PFIC status for the current or any future taxable year. However, if the value of our assets is determined by reference to our market capitalization and our market capitalization does not increase substantially by the end of 2023, we will most likely be a PFIC for 2023.</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8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and a U.S. Holder owns our common shares during any portion of that year, we will continue to be treated as a PFIC with respect to the U.S. Holder even if we cease to be a PFIC for any subsequent taxable year. If we are a PFIC for any taxable year during which a U.S. Holder owns our common shares but cease to be a PFIC thereafter, a U.S. Holder may make a “deemed sale” election with respect to our common shares, in which case the U.S. Holder may be required to recognize income under the rules described in the subsequent paragraph without receiving any corresponding cash.</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our common shares in any year in which we are a PFIC, subject to the discussion above regarding the deemed sale election and the discussion below regarding the mark-to-market election, any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 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may be able to avoid the rules described above by making a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treated as capital loss).</w:t>
      </w:r>
    </w:p>
    <w:p>
      <w:pPr>
        <w:spacing w:after="0" w:line="188"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a “qualified electing fund” election which, if available, could materially affect the tax consequences to U.S. Holders of the ownership and disposition of our common shares if we are a PFIC for any taxable year. Therefore, U.S. Holders will not be able to make such elections.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must file annual reports on IRS Form 8621 with respect to us with the U.S. Holder’s federal income tax return.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Holders should consult their tax advisers concerning our PFIC status for any taxable year and the consequences thereof.</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discussed above under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Dividends will not be eligible for the dividends-received deduction generally available to U.S. corporations under the Code. Dividends will be included in a U.S. Holder’s income on the date of receipt.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The IRS released a notice which waives certain of the Treasury Regulations' requirements, including the consistency requirement mentioned above, for taxable years ending before the date that a notice or other guidance withdrawing or modifying the temporary relief is issued (or any later date specified in such notice or other guidance).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foreign taxes instead of claiming foreign tax credits applies to all creditable foreign taxes paid or accrued in the taxable year.</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Any Swiss federal securities turnover tax on the sale will not be creditable, but may reduce the amount realized on any gain.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generally subject to information reporting, and may be subject to backup withholding, unless (i) the U.S. Holder is a corporation or other exempt recipient (and establishes that fact if required to do so)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our common shares or non-U.S. accounts through which the shares may be held. U.S. Holders should consult their tax advisers regarding their reporting obligations with respect to the ownership and disposition of our common shares.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December 15, 2023, among us and Jefferies LLC and Leerink Partners LLC, as the representatives of the underwriters named below, we have agreed to sell to the underwriters, and each of the underwriters has agreed, severally and not jointly, to purchase from us, the respective number of common shares shown opposite its name below:</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3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09"/>
        </w:trPr>
        <w:tc>
          <w:tcPr>
            <w:tcW w:w="628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60" w:type="dxa"/>
            <w:vAlign w:val="bottom"/>
            <w:tcBorders>
              <w:top w:val="single" w:sz="8" w:color="D5EAEA"/>
            </w:tcBorders>
            <w:shd w:val="clear" w:color="auto" w:fill="D5EAEA"/>
          </w:tcPr>
          <w:p>
            <w:pPr>
              <w:spacing w:after="0"/>
              <w:rPr>
                <w:sz w:val="18"/>
                <w:szCs w:val="18"/>
                <w:color w:val="auto"/>
              </w:rPr>
            </w:pPr>
          </w:p>
        </w:tc>
        <w:tc>
          <w:tcPr>
            <w:tcW w:w="900" w:type="dxa"/>
            <w:vAlign w:val="bottom"/>
            <w:tcBorders>
              <w:top w:val="single" w:sz="8" w:color="auto"/>
            </w:tcBorders>
            <w:gridSpan w:val="2"/>
            <w:shd w:val="clear" w:color="auto" w:fill="D5EAEA"/>
          </w:tcPr>
          <w:p>
            <w:pPr>
              <w:jc w:val="right"/>
              <w:ind w:right="20"/>
              <w:spacing w:after="0"/>
              <w:rPr>
                <w:sz w:val="20"/>
                <w:szCs w:val="20"/>
                <w:color w:val="auto"/>
              </w:rPr>
            </w:pPr>
            <w:r>
              <w:rPr>
                <w:rFonts w:ascii="Times New Roman" w:cs="Times New Roman" w:eastAsia="Times New Roman" w:hAnsi="Times New Roman"/>
                <w:sz w:val="18"/>
                <w:szCs w:val="18"/>
                <w:color w:val="auto"/>
              </w:rPr>
              <w:t>7,150,000</w:t>
            </w:r>
          </w:p>
        </w:tc>
        <w:tc>
          <w:tcPr>
            <w:tcW w:w="40" w:type="dxa"/>
            <w:vAlign w:val="bottom"/>
            <w:tcBorders>
              <w:top w:val="single" w:sz="8" w:color="auto"/>
            </w:tcBorders>
            <w:shd w:val="clear" w:color="auto" w:fill="D5EAEA"/>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6,435,000</w:t>
            </w:r>
          </w:p>
        </w:tc>
        <w:tc>
          <w:tcPr>
            <w:tcW w:w="40" w:type="dxa"/>
            <w:vAlign w:val="bottom"/>
          </w:tcPr>
          <w:p>
            <w:pPr>
              <w:spacing w:after="0"/>
              <w:rPr>
                <w:sz w:val="18"/>
                <w:szCs w:val="18"/>
                <w:color w:val="auto"/>
              </w:rPr>
            </w:pPr>
          </w:p>
        </w:tc>
      </w:tr>
      <w:tr>
        <w:trPr>
          <w:trHeight w:val="230"/>
        </w:trPr>
        <w:tc>
          <w:tcPr>
            <w:tcW w:w="63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900" w:type="dxa"/>
            <w:vAlign w:val="bottom"/>
            <w:gridSpan w:val="2"/>
            <w:shd w:val="clear" w:color="auto" w:fill="D5EAEA"/>
          </w:tcPr>
          <w:p>
            <w:pPr>
              <w:jc w:val="right"/>
              <w:ind w:right="20"/>
              <w:spacing w:after="0"/>
              <w:rPr>
                <w:sz w:val="20"/>
                <w:szCs w:val="20"/>
                <w:color w:val="auto"/>
              </w:rPr>
            </w:pPr>
            <w:r>
              <w:rPr>
                <w:rFonts w:ascii="Times New Roman" w:cs="Times New Roman" w:eastAsia="Times New Roman" w:hAnsi="Times New Roman"/>
                <w:sz w:val="18"/>
                <w:szCs w:val="18"/>
                <w:color w:val="auto"/>
              </w:rPr>
              <w:t>715,000</w:t>
            </w:r>
          </w:p>
        </w:tc>
        <w:tc>
          <w:tcPr>
            <w:tcW w:w="40" w:type="dxa"/>
            <w:vAlign w:val="bottom"/>
            <w:shd w:val="clear" w:color="auto" w:fill="D5EAEA"/>
          </w:tcPr>
          <w:p>
            <w:pPr>
              <w:spacing w:after="0"/>
              <w:rPr>
                <w:sz w:val="19"/>
                <w:szCs w:val="19"/>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common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this offering, they currently intend to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common shares, that you will be able to sell any of the common shares held by you at a particular time or that the prices that you receive when you sell will be favorable.</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underwriters are offering the common shares subject to their acceptance of the common shares from us and subject to prior sale. The underwriters reserve the right to withdraw, cancel or modify offers to the public and to reject orders in whole or in part.</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address of Jefferies LLC is 520 Madison Avenue, New York, New York 10022; the address of Leerink Partners LLC is 1301 Avenue of the Americas, 12th Floor, New York, New York 10019.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common shares to the public at the Offering Price set forth on the cover page of this prospectus supplement and to certain dealers, which may include the underwriters, at that price less a concession not in excess of $0.126 per share. After the offering, the Offering Price and concession to dealers may be reduced by the representatives. No such reduction will change the amount of proceeds to be received by us as set forth on the cover page of this prospectus supplement.</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Offering Price, the underwriting discounts and commissions that we are to pay the underwriters and the proceeds, before expenses, to us in connection with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Borders>
              <w:bottom w:val="single" w:sz="8" w:color="D5EAEA"/>
            </w:tcBorders>
          </w:tcPr>
          <w:p>
            <w:pPr>
              <w:spacing w:after="0"/>
              <w:rPr>
                <w:sz w:val="20"/>
                <w:szCs w:val="20"/>
                <w:color w:val="auto"/>
              </w:rPr>
            </w:pPr>
          </w:p>
        </w:tc>
        <w:tc>
          <w:tcPr>
            <w:tcW w:w="2320" w:type="dxa"/>
            <w:vAlign w:val="bottom"/>
            <w:tcBorders>
              <w:bottom w:val="single" w:sz="8" w:color="D5EAEA"/>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D5EAEA"/>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1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32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D5EAEA"/>
          </w:tcPr>
          <w:p>
            <w:pPr>
              <w:spacing w:after="0"/>
              <w:rPr>
                <w:sz w:val="18"/>
                <w:szCs w:val="18"/>
                <w:color w:val="auto"/>
              </w:rPr>
            </w:pPr>
          </w:p>
        </w:tc>
        <w:tc>
          <w:tcPr>
            <w:tcW w:w="26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50,050,000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3,003,000</w:t>
            </w:r>
          </w:p>
        </w:tc>
      </w:tr>
      <w:tr>
        <w:trPr>
          <w:trHeight w:val="216"/>
        </w:trPr>
        <w:tc>
          <w:tcPr>
            <w:tcW w:w="61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520" w:type="dxa"/>
            <w:vAlign w:val="bottom"/>
            <w:gridSpan w:val="2"/>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360" w:type="dxa"/>
            <w:vAlign w:val="bottom"/>
            <w:gridSpan w:val="2"/>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47,047,000</w:t>
            </w: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$0.7 million. We have agreed to reimburse the underwriters up to an aggregate of $30,000 for fees incurred by them in connection with any required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filings with the Financial Industry Regulatory Authority. Jefferies LLC has agreed to reimburse us for certain offering expenses incurred by us in connection with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a period of 60-days after the date of this prospectus supplement, we have agreed that we will not, directly or indirectly (i) offer, sell, issue, contract to sell, pledge or otherwise dispose of our common shares or any shares convertible into or exchangeable or exercisable for any of our common shares (“related securities”), (ii) offer, sell, issue, contract to sell, contract to purchase or grant any option, right or warrant to purchase our common shares or related securities, (iii) enter into any swap, hedge or any other agreement that transfers, in whole or in part, the economic consequences of our common shares or related securities, (iv) establish or increase a put equivalent position or liquidate or decrease a call equivalent position in our common shares or related securities within the meaning of Section 16 of the Exchange Act or (v) file with the SEC a registration statement under the Securities Act relating to our common shares or related securities, or publicly disclose the intention to take any such action, without the prior written consent of Jefferies LLC and Leerink Partners LLC.</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restrictions described above will not apply to:</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issued and sold hereby;</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common shares upon the exercise of an option or warrant or the conversion of a security outstanding on the date hereof or described in this prospectus supplement;</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any options or warrants pursuant to any employee equity incentive plan or share ownership plan existing on the date hereof or described in this prospectus supplement;</w:t>
      </w:r>
    </w:p>
    <w:p>
      <w:pPr>
        <w:spacing w:after="0" w:line="161" w:lineRule="exact"/>
        <w:rPr>
          <w:rFonts w:ascii="Times New Roman" w:cs="Times New Roman" w:eastAsia="Times New Roman" w:hAnsi="Times New Roman"/>
          <w:sz w:val="18"/>
          <w:szCs w:val="18"/>
          <w:color w:val="auto"/>
        </w:rPr>
      </w:pPr>
    </w:p>
    <w:p>
      <w:pPr>
        <w:jc w:val="both"/>
        <w:ind w:left="660" w:right="340" w:hanging="328"/>
        <w:spacing w:after="0" w:line="312"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by us of a registration statement with the SEC on Form S-8 in respect of any common shares issued under or the grant of any award pursuant to an employee equity incentive plan or share ownership plan existing on the date hereof or described in this prospectus supplement;</w:t>
      </w:r>
    </w:p>
    <w:p>
      <w:pPr>
        <w:spacing w:after="0" w:line="139" w:lineRule="exact"/>
        <w:rPr>
          <w:rFonts w:ascii="Times New Roman" w:cs="Times New Roman" w:eastAsia="Times New Roman" w:hAnsi="Times New Roman"/>
          <w:sz w:val="17"/>
          <w:szCs w:val="17"/>
          <w:color w:val="auto"/>
        </w:rPr>
      </w:pPr>
    </w:p>
    <w:p>
      <w:pPr>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our common shares or related securities pursuant to a bona fide third-party tender offer, merger, consolidation or other similar transaction that is approved by our board of directors, made to all holders of common shares, involving a change of control after the completion of this offering,</w:t>
      </w:r>
    </w:p>
    <w:p>
      <w:pPr>
        <w:spacing w:after="0" w:line="174"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that the tender offer, merger, consolidation or other such transaction is not completed, our common shares or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remain subject to the restrictions described in the preceding paragraph;</w:t>
      </w:r>
    </w:p>
    <w:p>
      <w:pPr>
        <w:spacing w:after="0" w:line="160" w:lineRule="exact"/>
        <w:rPr>
          <w:sz w:val="20"/>
          <w:szCs w:val="20"/>
          <w:color w:val="auto"/>
        </w:rPr>
      </w:pPr>
    </w:p>
    <w:p>
      <w:pPr>
        <w:ind w:left="660" w:right="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our common shares or related securities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 (vi) the filing of a registration statement with respect to any of the foregoing;</w:t>
      </w:r>
    </w:p>
    <w:p>
      <w:pPr>
        <w:spacing w:after="0" w:line="183" w:lineRule="exact"/>
        <w:rPr>
          <w:rFonts w:ascii="Times New Roman" w:cs="Times New Roman" w:eastAsia="Times New Roman" w:hAnsi="Times New Roman"/>
          <w:sz w:val="18"/>
          <w:szCs w:val="18"/>
          <w:color w:val="auto"/>
        </w:rPr>
      </w:pPr>
    </w:p>
    <w:p>
      <w:pPr>
        <w:ind w:left="660" w:right="460" w:hanging="328"/>
        <w:spacing w:after="0" w:line="199" w:lineRule="auto"/>
        <w:tabs>
          <w:tab w:leader="none" w:pos="660" w:val="left"/>
        </w:tabs>
        <w:numPr>
          <w:ilvl w:val="0"/>
          <w:numId w:val="1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sales of our common shares pursuant to our Open Market Sales Agreement</w:t>
      </w:r>
      <w:r>
        <w:rPr>
          <w:rFonts w:ascii="Times New Roman" w:cs="Times New Roman" w:eastAsia="Times New Roman" w:hAnsi="Times New Roman"/>
          <w:sz w:val="27"/>
          <w:szCs w:val="27"/>
          <w:color w:val="auto"/>
          <w:vertAlign w:val="superscript"/>
        </w:rPr>
        <w:t>SM</w:t>
      </w:r>
      <w:r>
        <w:rPr>
          <w:rFonts w:ascii="Times New Roman" w:cs="Times New Roman" w:eastAsia="Times New Roman" w:hAnsi="Times New Roman"/>
          <w:sz w:val="17"/>
          <w:szCs w:val="17"/>
          <w:color w:val="auto"/>
        </w:rPr>
        <w:t xml:space="preserve"> with Jefferies LLC, dated May 5, 2021, the Sales Agreement;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sales shall be made under the Sale Agreement until the earlier of the thirtieth day following the date of this Prospectus; or</w:t>
      </w:r>
    </w:p>
    <w:p>
      <w:pPr>
        <w:spacing w:after="0" w:line="198" w:lineRule="exact"/>
        <w:rPr>
          <w:rFonts w:ascii="Times New Roman" w:cs="Times New Roman" w:eastAsia="Times New Roman" w:hAnsi="Times New Roman"/>
          <w:sz w:val="34"/>
          <w:szCs w:val="34"/>
          <w:color w:val="auto"/>
          <w:vertAlign w:val="superscript"/>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common shares subject to certain restrictions.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our directors and certain of our officers have agreed that, for a period of 60-days after the date of this prospectus supplement and without the prior written consent of Jefferies LLC and Leerink Partners LLC, he or she will not (i) sell or offer to sell any common shares or related securities currently or hereafter owned either of record or beneficially (as defined in Rule 13d-3 under the Exchange Act) by such person, or such person’s family members (which shall mean the spouse of such person, an immediate family member (as defined in Rule 16a-1(e) under the Exchange Act) of such person or an immediate family member of such person’s spouse, in each case living in such person’s household or whose principal residence is such person’s household (regardless of whether such spouse or family member may at the time be living elsewhere due to educational activities, health care treatment, military service, temporary internship or employment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otherwise)); (ii) enter into any swap, hedge or similar arrangement or agreement that transfers, in whole or in part, the economic risk of ownership of common shares or related securities, regardless of whether any such transaction is to be settled in securities, in cash or otherwise; (iii) make any demand for, or exercise any right with respect to, the registration under the Securities Act of the offer and sale of any common shares or related securities, or cause to be filed a registration statement, prospectus or prospectus supplement (or an amendment or supplement thereto) with respect to any such registration; or (iv) publicly announce any intention to do any of the foregoing.</w:t>
      </w:r>
    </w:p>
    <w:p>
      <w:pPr>
        <w:spacing w:after="0" w:line="183"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However, notwithstanding the immediately preceding paragraph, the restrictions described in the lock-up agreement will not apply in certain circumstances, including to:</w:t>
      </w:r>
    </w:p>
    <w:p>
      <w:pPr>
        <w:spacing w:after="0" w:line="162" w:lineRule="exact"/>
        <w:rPr>
          <w:sz w:val="20"/>
          <w:szCs w:val="20"/>
          <w:color w:val="auto"/>
        </w:rPr>
      </w:pPr>
    </w:p>
    <w:p>
      <w:pPr>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exercise of stock options or other similar awards granted pursuant to our equity incentive plans or the vesting or settlement of awards granted pursuant to our equity incentive plans (including the delivery and receipt of common shares and related securities in connection with such vesting or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(a), the foregoing restrictions shall apply to any of the undersigned’s common shares issued upon such exercise, vesting or settlement; or (b) the transfer of common shares or any related securities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of options for our common shares, whether by means of a “net settlement” or otherwise;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common shares or related securities:</w:t>
      </w:r>
    </w:p>
    <w:p>
      <w:pPr>
        <w:spacing w:after="0" w:line="225"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including as a result of the operation of law or estate or intestate succession, or pursuant to a will or other testamentary document;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natural person, to a member of the immediate family member of such person;</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natural person, to any trust or other like entity for the direct or indirect benefit of such person or the immediate family member of such person;</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natural person, by operation of law or by order of a court of competent jurisdiction pursuant to a qualified domestic order or in connection with a divorce settlement;</w:t>
      </w:r>
    </w:p>
    <w:p>
      <w:pPr>
        <w:spacing w:after="0" w:line="161"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natural person, to a corporation, partnership, limited liability company or other entity of which such person and the immediate family member of such person are the direct or indirect legal and beneficial owners of all the outstanding equity securities or similar interests of such corporation, partnership, limited liability company or other entity;</w:t>
      </w:r>
    </w:p>
    <w:p>
      <w:pPr>
        <w:spacing w:after="0" w:line="17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partnership, limited liability company or other entity, to any affiliate thereof;</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partnership, limited liability company or other entity, to any investment fund or other entity controlled or managed by such person;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any affiliate, wholly-owned subsidiary, limited partner, member or stockholder of such person;</w:t>
      </w:r>
    </w:p>
    <w:p>
      <w:pPr>
        <w:spacing w:after="0" w:line="223" w:lineRule="exact"/>
        <w:rPr>
          <w:sz w:val="20"/>
          <w:szCs w:val="20"/>
          <w:color w:val="auto"/>
        </w:rPr>
      </w:pPr>
    </w:p>
    <w:p>
      <w:pPr>
        <w:ind w:left="66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the sub-bullets above, each donee, distributee or transferee agrees to be bound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writing by the terms of the lock-up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filing under the Exchange Act shall be required except in the case of transfers pursuant to the first bullet point above;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660" w:right="4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or modification of any contract, instruction or trading plan intended to comply with Rule 10b5-1 under the Exchange Act for the transfer of common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shares during the 60-day lock-up period, (ii) the establishment of such plan shall not be voluntarily publicly announced or filed under the Exchange Act and (iii) to the extent a public announcement or filing under the Exchange Act, if any, is required by or on behalf of such person or us regarding the establishment or modification of such plan, such announcement or filing shall include a statement to the effect that no transfer of common shares may be made under such plan during the 60-day lock-up period;</w:t>
      </w:r>
    </w:p>
    <w:p>
      <w:pPr>
        <w:spacing w:after="0" w:line="18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or sale of Shares or Related Securities in transactions pursuant to any trading plan pursuant to Rule 10b5-1 under the Exchange Act entered into prior to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any required filings under the Exchange Act shall disclose by footnote that such transaction was pursuant to a 10b5-1 Plan;</w:t>
      </w:r>
    </w:p>
    <w:p>
      <w:pPr>
        <w:spacing w:after="0" w:line="17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common shares or related securities to us, pursuant to agreements or rights in existence on the date of this prospectus supplement under which we have the option to repurchase such shares or a right of first refusal with respect to transfers of such shares or in connection with the termination of such person’s employment with us;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common shares or related securities that occurs by any order or settlement resulting from any legal proceeding; or</w:t>
      </w:r>
    </w:p>
    <w:p>
      <w:pPr>
        <w:spacing w:after="0" w:line="225" w:lineRule="exact"/>
        <w:rPr>
          <w:rFonts w:ascii="Times New Roman" w:cs="Times New Roman" w:eastAsia="Times New Roman" w:hAnsi="Times New Roman"/>
          <w:sz w:val="18"/>
          <w:szCs w:val="18"/>
          <w:color w:val="auto"/>
        </w:rPr>
      </w:pPr>
    </w:p>
    <w:p>
      <w:pPr>
        <w:jc w:val="both"/>
        <w:ind w:left="660" w:right="18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common shares or related securities pursuant to a bona fide third-party tender offer, merger, amalgamation, consolidation or other similar transaction made to all holders of the common shares or related securities involving a change of control of 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amalgamation, consolidation or other such transaction is not completed, the common shares owned by such person shall remain subject to the restrictions described above.</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Jefferies LLC and Leerink Partners LLC may, in their sole discretion and at any time or from time to time before the termination of the 60-day period release all or any portion of the securities subject to lock-up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Because we have not granted the underwriters an option to purchase additional shares, the underwriters must close out any naked short position by purchasing shares in the open market.</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stabilizing bid is a bid for the purchase of our common shares on behalf of the underwriters for the purpose of fixing or maintaining the price of our common shares. A syndicate covering transaction is the bid for or the purchase of common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19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shares.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are not obligated to engage in these activities and, if commenced, any of the activities may be discontinued at any time.</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shares on The Nasdaq Global Market in accordance with Rule 103 of Regulation M during a period before the commencement of offers or sales of our common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A prospectus supplement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supplement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229"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w:t>
      </w:r>
    </w:p>
    <w:p>
      <w:pPr>
        <w:spacing w:after="0" w:line="3"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example, we are party to an Open Market Sales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dated May 5, 2021, pursuant to which we may sell our ordinary shares from time to time, through Jefferies LLC, as agent.</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660" w:hanging="301"/>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660" w:right="440" w:hanging="301"/>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6" w:lineRule="exact"/>
        <w:rPr>
          <w:sz w:val="20"/>
          <w:szCs w:val="20"/>
          <w:color w:val="auto"/>
        </w:rPr>
      </w:pPr>
    </w:p>
    <w:p>
      <w:pPr>
        <w:ind w:left="660" w:hanging="28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120" w:hanging="28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common shares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our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common shares.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By purchasing our common shares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ind w:left="1300" w:right="18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common shares without the benefit of a prospectus qualified under those securities laws as it is an “accredited investor” as defined under National Instrument 45-106—</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Exemptions or Section 73.3(1) of the Securities Act (Ontario), as applicable,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00" w:right="28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certain of the underwriters are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Canadian purchasers of common shares should consult their own legal and tax advisors with respect to the tax consequences of an investment in our common shares in their particular circumstances and about the eligibility of our common shares for investment by the purchaser under relevant Canadian legislation.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confirm and warrant that you are either:</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25"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None of our common shares have been offered or sold, and none of our common shares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our common shares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our common shares which are or are intended to be disposed of only to persons outside Hong Kong or only to “professional investors” as defined in the SFO and any rules made under that Ordinance.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with the Registrar of Companies in Hong Kong. Accordingly, this prospectus may not be issued, circulated or distributed in Hong Kong, and our common shares may not be offered for subscription to members of the public in Hong Kong. Each person acquiring our common shares will be required, and is deemed by the acquisition of our common shares, to confirm that he is aware of the restriction on offers of our common shares described in this prospectus and the relevant offering documents and that he is not acquiring, and has not been offered any of our common shares in circumstances that contravene any such restrictions.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our common shares are subscribed or purchased under Section 275 of the SFA by a relevant person which is:</w:t>
      </w:r>
    </w:p>
    <w:p>
      <w:pPr>
        <w:spacing w:after="0" w:line="225" w:lineRule="exact"/>
        <w:rPr>
          <w:sz w:val="20"/>
          <w:szCs w:val="20"/>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980" w:right="1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common shares pursuant to an offer made under Section 275 of the SFA except:</w:t>
      </w:r>
    </w:p>
    <w:p>
      <w:pPr>
        <w:spacing w:after="0" w:line="179"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227" w:lineRule="exact"/>
        <w:rPr>
          <w:sz w:val="20"/>
          <w:szCs w:val="20"/>
          <w:color w:val="auto"/>
        </w:rPr>
      </w:pPr>
    </w:p>
    <w:p>
      <w:pPr>
        <w:ind w:firstLine="336"/>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directly or indirectly, in Switzerland within the meaning of the Swiss Financial Services Act and will not be listed or admitted to trading on the SIX Swiss Exchange or on any trading venue (exchange or multilateral trading facility) in Switzerland. Neither this document nor any other offering or marketing material relating to the securities constitutes a prospectus as such term is understood pursuant to the Financial Services Act, and neither this document nor any other offering or marketing material relating to the securities may be publicly distributed or otherwise made publicly available in Switzerland.</w:t>
      </w:r>
    </w:p>
    <w:p>
      <w:pPr>
        <w:spacing w:after="0" w:line="183" w:lineRule="exact"/>
        <w:rPr>
          <w:sz w:val="20"/>
          <w:szCs w:val="20"/>
          <w:color w:val="auto"/>
        </w:rPr>
      </w:pPr>
    </w:p>
    <w:p>
      <w:pPr>
        <w:ind w:right="160" w:firstLine="336"/>
        <w:spacing w:after="0" w:line="258"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securities and certain other matters of Swiss law will be passed upon for us by Bär &amp; Karrer AG, Zurich, Switzerland. Certain matters of U.S. federal and New York State law will be passed upon for us by Davis Polk &amp; Wardwell LLP, New York, New York, and for the underwriter by Paul Hastings LLP, New York, New York.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2022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offered by this prospectus supplement, you may examine the registration statement on Form F-3 and the exhibits filed with it at the website provided in the previous paragraph.</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www.acimmune.com. The reference to our website is an inactive textual reference only, and information contained therein or connected thereto is not incorporated into this prospectus supplement or the registration statement of which it forms a part.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2022 Annual Report on Form 20-F for the fiscal year ended </w:t>
      </w:r>
      <w:hyperlink r:id="rId60">
        <w:r>
          <w:rPr>
            <w:rFonts w:ascii="Times New Roman" w:cs="Times New Roman" w:eastAsia="Times New Roman" w:hAnsi="Times New Roman"/>
            <w:sz w:val="18"/>
            <w:szCs w:val="18"/>
            <w:u w:val="single" w:color="auto"/>
            <w:color w:val="0000EE"/>
          </w:rPr>
          <w:t>December 31,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Forms 6-K filed on </w:t>
      </w:r>
      <w:hyperlink r:id="rId61">
        <w:r>
          <w:rPr>
            <w:rFonts w:ascii="Times New Roman" w:cs="Times New Roman" w:eastAsia="Times New Roman" w:hAnsi="Times New Roman"/>
            <w:sz w:val="18"/>
            <w:szCs w:val="18"/>
            <w:u w:val="single" w:color="auto"/>
            <w:color w:val="0000EE"/>
          </w:rPr>
          <w:t>March 16,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“Item 1.C—2022 and 2021 Board Compensation” and “Item 2.C—2022 and 2021 Executive Compensation” under section “Directors and Executive Management Compensation Report” of Exhibit 99.2), </w:t>
      </w:r>
      <w:hyperlink r:id="rId62">
        <w:r>
          <w:rPr>
            <w:rFonts w:ascii="Times New Roman" w:cs="Times New Roman" w:eastAsia="Times New Roman" w:hAnsi="Times New Roman"/>
            <w:sz w:val="18"/>
            <w:szCs w:val="18"/>
            <w:u w:val="single" w:color="auto"/>
            <w:color w:val="0000EE"/>
          </w:rPr>
          <w:t>April 28,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w:t>
      </w:r>
      <w:hyperlink r:id="rId63">
        <w:r>
          <w:rPr>
            <w:rFonts w:ascii="Times New Roman" w:cs="Times New Roman" w:eastAsia="Times New Roman" w:hAnsi="Times New Roman"/>
            <w:sz w:val="18"/>
            <w:szCs w:val="18"/>
            <w:color w:val="auto"/>
          </w:rPr>
          <w:t xml:space="preserve">respect to Exhibits 99.1, 99.2 and 99.4),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(only with respect to Exhibit 99.1), </w:t>
        </w:r>
        <w:r>
          <w:rPr>
            <w:rFonts w:ascii="Times New Roman" w:cs="Times New Roman" w:eastAsia="Times New Roman" w:hAnsi="Times New Roman"/>
            <w:sz w:val="18"/>
            <w:szCs w:val="18"/>
            <w:u w:val="single" w:color="auto"/>
            <w:color w:val="0000EE"/>
          </w:rPr>
          <w:t>June 26, 2023</w:t>
        </w:r>
        <w:r>
          <w:rPr>
            <w:rFonts w:ascii="Times New Roman" w:cs="Times New Roman" w:eastAsia="Times New Roman" w:hAnsi="Times New Roman"/>
            <w:sz w:val="18"/>
            <w:szCs w:val="18"/>
            <w:color w:val="auto"/>
          </w:rPr>
          <w:t xml:space="preserve"> (only with respect to Exhibit 99.3),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27, 2023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Exhibit 99.1),</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 xml:space="preserve">July 26, 2023 </w:t>
        </w:r>
      </w:hyperlink>
      <w:hyperlink r:id="rId63">
        <w:r>
          <w:rPr>
            <w:rFonts w:ascii="Times New Roman" w:cs="Times New Roman" w:eastAsia="Times New Roman" w:hAnsi="Times New Roman"/>
            <w:sz w:val="18"/>
            <w:szCs w:val="18"/>
            <w:color w:val="000000"/>
          </w:rPr>
          <w:t>(other than Exhibit 99.1),</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 xml:space="preserve">August 4, 2023 </w:t>
        </w:r>
      </w:hyperlink>
      <w:hyperlink r:id="rId63">
        <w:r>
          <w:rPr>
            <w:rFonts w:ascii="Times New Roman" w:cs="Times New Roman" w:eastAsia="Times New Roman" w:hAnsi="Times New Roman"/>
            <w:sz w:val="18"/>
            <w:szCs w:val="18"/>
            <w:color w:val="000000"/>
          </w:rPr>
          <w:t>(only with respect to Exhibits 99.1 and 99.2),</w:t>
        </w:r>
      </w:hyperlink>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November 3,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(only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Exhibits 99.1 and 99.2),</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December 1, 2023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Exhibit 99.1) and</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 xml:space="preserve">December 15, 2023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Exhibit 99.1); and</w:t>
      </w:r>
    </w:p>
    <w:p>
      <w:pPr>
        <w:spacing w:after="0" w:line="187" w:lineRule="exact"/>
        <w:rPr>
          <w:rFonts w:ascii="Times New Roman" w:cs="Times New Roman" w:eastAsia="Times New Roman" w:hAnsi="Times New Roman"/>
          <w:sz w:val="18"/>
          <w:szCs w:val="18"/>
          <w:color w:val="0000EE"/>
        </w:rPr>
      </w:pPr>
    </w:p>
    <w:p>
      <w:pPr>
        <w:ind w:left="660" w:right="14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Form 8-A filed with the SEC on </w:t>
      </w:r>
      <w:hyperlink r:id="rId69">
        <w:r>
          <w:rPr>
            <w:rFonts w:ascii="Times New Roman" w:cs="Times New Roman" w:eastAsia="Times New Roman" w:hAnsi="Times New Roman"/>
            <w:sz w:val="18"/>
            <w:szCs w:val="18"/>
            <w:u w:val="single" w:color="auto"/>
            <w:color w:val="0000EE"/>
          </w:rPr>
          <w:t>September 23, 2016</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0" w:lineRule="exact"/>
        <w:rPr>
          <w:rFonts w:ascii="Times New Roman" w:cs="Times New Roman" w:eastAsia="Times New Roman" w:hAnsi="Times New Roman"/>
          <w:sz w:val="18"/>
          <w:szCs w:val="18"/>
          <w:color w:val="0000EE"/>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w:t>
      </w:r>
    </w:p>
    <w:p>
      <w:pPr>
        <w:spacing w:after="0" w:line="284"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obtain documents incorporated by reference in this document by requesting them from us in writing at EPFL Innovation Park Building B, 1015 Lausanne, Switzerland or via telephone at +41 21 345 91 21.</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191135</wp:posOffset>
            </wp:positionV>
            <wp:extent cx="1877060" cy="488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8770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3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31.</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April 27, 2021, the last sale price of our common shares as reported by the NASDAQ Global Market was $7.14 per common share. As of April 27, 2021, the aggregate market value of our outstanding common shares held by non-affiliates was approximately $225,144,185 based on approximately 72,652,654 shares of outstanding common shares, of which approximately 31,532,799 shares were held by non-affiliates.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w:t>
      </w:r>
    </w:p>
    <w:p>
      <w:pPr>
        <w:spacing w:after="0" w:line="22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100" w:type="dxa"/>
            <w:vAlign w:val="bottom"/>
          </w:tcPr>
          <w:p>
            <w:pPr>
              <w:jc w:val="center"/>
              <w:ind w:left="2048"/>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6"/>
        </w:trPr>
        <w:tc>
          <w:tcPr>
            <w:tcW w:w="9100" w:type="dxa"/>
            <w:vAlign w:val="bottom"/>
          </w:tcPr>
          <w:p>
            <w:pPr>
              <w:jc w:val="center"/>
              <w:ind w:left="2068"/>
              <w:spacing w:after="0"/>
              <w:rPr>
                <w:sz w:val="20"/>
                <w:szCs w:val="20"/>
                <w:color w:val="auto"/>
              </w:rPr>
            </w:pPr>
            <w:r>
              <w:rPr>
                <w:rFonts w:ascii="Times New Roman" w:cs="Times New Roman" w:eastAsia="Times New Roman" w:hAnsi="Times New Roman"/>
                <w:sz w:val="22"/>
                <w:szCs w:val="22"/>
                <w:b w:val="1"/>
                <w:bCs w:val="1"/>
                <w:color w:val="auto"/>
                <w:w w:val="97"/>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7"/>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40"/>
        </w:trPr>
        <w:tc>
          <w:tcPr>
            <w:tcW w:w="9100" w:type="dxa"/>
            <w:vAlign w:val="bottom"/>
            <w:tcBorders>
              <w:bottom w:val="single" w:sz="8" w:color="auto"/>
            </w:tcBorders>
          </w:tcPr>
          <w:p>
            <w:pPr>
              <w:jc w:val="center"/>
              <w:ind w:left="2008"/>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3" w:lineRule="exact"/>
        <w:rPr>
          <w:sz w:val="20"/>
          <w:szCs w:val="20"/>
          <w:color w:val="auto"/>
        </w:rPr>
      </w:pPr>
    </w:p>
    <w:p>
      <w:pPr>
        <w:ind w:left="660" w:right="240" w:hanging="328"/>
        <w:spacing w:after="0" w:line="289"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and our collaboration partners’ clinical studies, and our and their ability to obtain and maintain regulatory approval and to commercialize ACI-35, semorinemab, Morphomer Tau, ACI-24 for Alzheimer’s disease (AD) and for Down syndrome-related AD (ACI-24 for DS), crenezumab, and PI-2620, our Tau-positron emission tomography (PET) imaging tracer and to a lesser extent our preclinical candidates;</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TDP-43. Our corporate strategy is founded upon a three-pillar approach that targets (i) AD, (ii) focused non-Alzheimer’s neurodegenerative diseases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7"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7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22, 2021, our issued share capital is CHF 1,537,748.98, consisting of 76,887,449 common shares with a nominal value of CHF 0.02 each. Of these issued totals, we held 4,235,023 as treasury shares totaling CHF 84,700.46 in share capital. We have no dividend rights certificates (</w:t>
      </w:r>
      <w:r>
        <w:rPr>
          <w:rFonts w:ascii="Times New Roman" w:cs="Times New Roman" w:eastAsia="Times New Roman" w:hAnsi="Times New Roman"/>
          <w:sz w:val="18"/>
          <w:szCs w:val="18"/>
          <w:i w:val="1"/>
          <w:iCs w:val="1"/>
          <w:color w:val="auto"/>
        </w:rPr>
        <w:t>bons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jouissance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On February 23, 2021, we adopted amended articles of association and when we refer to our articles of association, we refer to the articles of association as filed as Exhibit 3.1 to our Annual Report on Form 20-F.</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Furthermore, under the Swiss Code of Obligations, or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74" w:lineRule="exact"/>
        <w:rPr>
          <w:sz w:val="20"/>
          <w:szCs w:val="20"/>
          <w:color w:val="auto"/>
        </w:rPr>
      </w:pPr>
    </w:p>
    <w:p>
      <w:pPr>
        <w:jc w:val="both"/>
        <w:ind w:left="660" w:right="20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79"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7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Article 3a of our articles of association, board of directors is authorized to increase the share capital, in one or several steps until 27 June 2022, by a maximum amount of CHF 190,000 by issuing a maximum of 9,500,000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and to allot them to third parties:</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161"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39" w:lineRule="exact"/>
        <w:rPr>
          <w:rFonts w:ascii="Times New Roman" w:cs="Times New Roman" w:eastAsia="Times New Roman" w:hAnsi="Times New Roman"/>
          <w:sz w:val="17"/>
          <w:szCs w:val="17"/>
          <w:color w:val="auto"/>
        </w:rPr>
      </w:pPr>
    </w:p>
    <w:p>
      <w:pPr>
        <w:ind w:left="660" w:right="3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of up to 20% of the total number of registered shares in a placement or sale of registered shares to the respective initial purchaser(s) or underwriter(s);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which probably could not be reached without the exclusion of the statutory pre-emptive right of the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CO; or</w:t>
      </w:r>
    </w:p>
    <w:p>
      <w:pPr>
        <w:spacing w:after="0" w:line="225"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33 1/3 %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basis that the board of directors has not found the takeover bid to be financially fair to the shareholders.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91,560.94 through the issue of a maximum of 4,578,047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65,954.32 through the issue of a maximum of 3,297,716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5560" w:right="3020" w:hanging="5228"/>
        <w:spacing w:after="0" w:line="6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right="7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 and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authorized or conditional share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common shares into bearer shares and vice versa;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227"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76"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68" w:lineRule="exact"/>
        <w:rPr>
          <w:sz w:val="20"/>
          <w:szCs w:val="20"/>
          <w:color w:val="auto"/>
        </w:rPr>
      </w:pPr>
    </w:p>
    <w:p>
      <w:pPr>
        <w:ind w:left="660" w:right="1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right="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6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8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6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are required for management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assigns the persons with signatory power for the Company and the kind of signatory power.</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5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7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non-performance-related compensation of the board of directors for the next term of office;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a possible additional compensation of the board of directors for the preceding business year;</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non-performance-related compensation of the executive management for the 12-month period starting on 1 July following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variable compensation for the executive management for the current year;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options or shares in the Company granted to the board of directors and the executive management.</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hold 4,235,023 fully paid up common shares of par value CHF 0.02 each, as treasury shares.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10" w:lineRule="exact"/>
        <w:rPr>
          <w:sz w:val="20"/>
          <w:szCs w:val="20"/>
          <w:color w:val="auto"/>
        </w:rPr>
      </w:pPr>
    </w:p>
    <w:p>
      <w:pPr>
        <w:ind w:left="14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240"/>
          </w:cols>
          <w:pgMar w:left="320" w:top="223" w:right="339" w:bottom="1440" w:gutter="0" w:footer="0" w:header="0"/>
        </w:sectPr>
      </w:pPr>
    </w:p>
    <w:p>
      <w:pPr>
        <w:spacing w:after="0" w:line="6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7"/>
          <w:szCs w:val="17"/>
          <w:i w:val="1"/>
          <w:iCs w:val="1"/>
          <w:color w:val="auto"/>
        </w:rPr>
        <w:t>Loi sur la fusion</w:t>
      </w:r>
      <w:r>
        <w:rPr>
          <w:rFonts w:ascii="Times New Roman" w:cs="Times New Roman" w:eastAsia="Times New Roman" w:hAnsi="Times New Roman"/>
          <w:sz w:val="17"/>
          <w:szCs w:val="17"/>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20" w:lineRule="exact"/>
        <w:rPr>
          <w:sz w:val="20"/>
          <w:szCs w:val="20"/>
          <w:color w:val="auto"/>
        </w:rPr>
      </w:pPr>
    </w:p>
    <w:p>
      <w:pPr>
        <w:sectPr>
          <w:pgSz w:w="11900" w:h="16838" w:orient="portrait"/>
          <w:cols w:equalWidth="0" w:num="2">
            <w:col w:w="5580" w:space="280"/>
            <w:col w:w="5380"/>
          </w:cols>
          <w:pgMar w:left="320" w:top="223" w:right="33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240"/>
          </w:cols>
          <w:pgMar w:left="320" w:top="223" w:right="339" w:bottom="1440" w:gutter="0" w:footer="0" w:header="0"/>
          <w:type w:val="continuous"/>
        </w:sectPr>
      </w:pP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80"/>
            <w:col w:w="5380"/>
          </w:cols>
          <w:pgMar w:left="320" w:top="223" w:right="339" w:bottom="1440" w:gutter="0" w:footer="0" w:header="0"/>
          <w:type w:val="continuous"/>
        </w:sectPr>
      </w:pP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62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Shareholder vote on board and management compensation</w:t>
      </w:r>
    </w:p>
    <w:p>
      <w:pPr>
        <w:sectPr>
          <w:pgSz w:w="11900" w:h="16838" w:orient="portrait"/>
          <w:cols w:equalWidth="0" w:num="1">
            <w:col w:w="11220"/>
          </w:cols>
          <w:pgMar w:left="320" w:top="223" w:right="359" w:bottom="1440" w:gutter="0" w:footer="0" w:header="0"/>
        </w:sectPr>
      </w:pP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Swiss Ordinance against excessive compensation in listed stock corporations (</w:t>
      </w:r>
      <w:r>
        <w:rPr>
          <w:rFonts w:ascii="Times New Roman" w:cs="Times New Roman" w:eastAsia="Times New Roman" w:hAnsi="Times New Roman"/>
          <w:sz w:val="18"/>
          <w:szCs w:val="18"/>
          <w:i w:val="1"/>
          <w:iCs w:val="1"/>
          <w:color w:val="auto"/>
        </w:rPr>
        <w:t>Ordonnance contre les rémunérations abusives dans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sociétés anonymes cotées en bourse</w:t>
      </w:r>
      <w:r>
        <w:rPr>
          <w:rFonts w:ascii="Times New Roman" w:cs="Times New Roman" w:eastAsia="Times New Roman" w:hAnsi="Times New Roman"/>
          <w:sz w:val="18"/>
          <w:szCs w:val="18"/>
          <w:color w:val="auto"/>
        </w:rPr>
        <w:t>), the general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has the non-transferable right, amongst others, to vote on the aggregate amount of compensation of the members of the board of directors, of the executive committee and of the advisory boards.</w:t>
      </w:r>
    </w:p>
    <w:p>
      <w:pPr>
        <w:spacing w:after="0" w:line="23" w:lineRule="exact"/>
        <w:rPr>
          <w:sz w:val="20"/>
          <w:szCs w:val="20"/>
          <w:color w:val="auto"/>
        </w:rPr>
      </w:pPr>
    </w:p>
    <w:p>
      <w:pPr>
        <w:sectPr>
          <w:pgSz w:w="11900" w:h="16838" w:orient="portrait"/>
          <w:cols w:equalWidth="0" w:num="2">
            <w:col w:w="5520" w:space="340"/>
            <w:col w:w="5360"/>
          </w:cols>
          <w:pgMar w:left="320" w:top="223"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220"/>
          </w:cols>
          <w:pgMar w:left="320" w:top="223" w:right="359" w:bottom="1440" w:gutter="0" w:footer="0" w:header="0"/>
          <w:type w:val="continuous"/>
        </w:sectPr>
      </w:pP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235" w:lineRule="exact"/>
        <w:rPr>
          <w:sz w:val="20"/>
          <w:szCs w:val="20"/>
          <w:color w:val="auto"/>
        </w:rPr>
      </w:pPr>
    </w:p>
    <w:p>
      <w:pPr>
        <w:sectPr>
          <w:pgSz w:w="11900" w:h="16838" w:orient="portrait"/>
          <w:cols w:equalWidth="0" w:num="2">
            <w:col w:w="5460" w:space="400"/>
            <w:col w:w="5360"/>
          </w:cols>
          <w:pgMar w:left="320" w:top="223"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220"/>
          </w:cols>
          <w:pgMar w:left="320" w:top="223" w:right="359" w:bottom="1440" w:gutter="0" w:footer="0" w:header="0"/>
          <w:type w:val="continuous"/>
        </w:sectPr>
      </w:pP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87" w:lineRule="exact"/>
        <w:rPr>
          <w:sz w:val="20"/>
          <w:szCs w:val="20"/>
          <w:color w:val="auto"/>
        </w:rPr>
      </w:pPr>
    </w:p>
    <w:p>
      <w:pPr>
        <w:ind w:left="160" w:right="860" w:hanging="152"/>
        <w:spacing w:after="0" w:line="282" w:lineRule="auto"/>
        <w:tabs>
          <w:tab w:leader="none" w:pos="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duty of loyalty to the corporation or its shareholders;</w:t>
      </w:r>
    </w:p>
    <w:p>
      <w:pPr>
        <w:spacing w:after="0" w:line="161" w:lineRule="exact"/>
        <w:rPr>
          <w:rFonts w:ascii="Times New Roman" w:cs="Times New Roman" w:eastAsia="Times New Roman" w:hAnsi="Times New Roman"/>
          <w:sz w:val="18"/>
          <w:szCs w:val="18"/>
          <w:color w:val="auto"/>
        </w:rPr>
      </w:pPr>
    </w:p>
    <w:p>
      <w:pPr>
        <w:ind w:left="160" w:right="100" w:hanging="152"/>
        <w:spacing w:after="0" w:line="282" w:lineRule="auto"/>
        <w:tabs>
          <w:tab w:leader="none" w:pos="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160" w:right="460" w:hanging="152"/>
        <w:spacing w:after="0" w:line="282" w:lineRule="auto"/>
        <w:tabs>
          <w:tab w:leader="none" w:pos="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stock purchase or redemption; or</w:t>
      </w:r>
    </w:p>
    <w:p>
      <w:pPr>
        <w:spacing w:after="0" w:line="161" w:lineRule="exact"/>
        <w:rPr>
          <w:rFonts w:ascii="Times New Roman" w:cs="Times New Roman" w:eastAsia="Times New Roman" w:hAnsi="Times New Roman"/>
          <w:sz w:val="18"/>
          <w:szCs w:val="18"/>
          <w:color w:val="auto"/>
        </w:rPr>
      </w:pPr>
    </w:p>
    <w:p>
      <w:pPr>
        <w:ind w:left="160" w:right="540" w:hanging="152"/>
        <w:spacing w:after="0" w:line="282" w:lineRule="auto"/>
        <w:tabs>
          <w:tab w:leader="none" w:pos="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pacing w:after="0" w:line="818" w:lineRule="exact"/>
        <w:rPr>
          <w:sz w:val="20"/>
          <w:szCs w:val="20"/>
          <w:color w:val="auto"/>
        </w:rPr>
      </w:pPr>
    </w:p>
    <w:p>
      <w:pPr>
        <w:sectPr>
          <w:pgSz w:w="11900" w:h="16838" w:orient="portrait"/>
          <w:cols w:equalWidth="0" w:num="2">
            <w:col w:w="5640" w:space="220"/>
            <w:col w:w="5360"/>
          </w:cols>
          <w:pgMar w:left="320" w:top="223" w:right="35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5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ectPr>
          <w:pgSz w:w="11900" w:h="16838" w:orient="portrait"/>
          <w:cols w:equalWidth="0" w:num="1">
            <w:col w:w="11200"/>
          </w:cols>
          <w:pgMar w:left="320" w:top="223" w:right="379" w:bottom="1440" w:gutter="0" w:footer="0" w:header="0"/>
        </w:sectPr>
      </w:pPr>
    </w:p>
    <w:p>
      <w:pPr>
        <w:spacing w:after="0" w:line="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220" w:hanging="8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25" w:lineRule="exact"/>
        <w:rPr>
          <w:rFonts w:ascii="Times New Roman" w:cs="Times New Roman" w:eastAsia="Times New Roman" w:hAnsi="Times New Roman"/>
          <w:sz w:val="18"/>
          <w:szCs w:val="18"/>
          <w:color w:val="auto"/>
        </w:rPr>
      </w:pPr>
    </w:p>
    <w:p>
      <w:pPr>
        <w:ind w:left="220" w:hanging="8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7"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3" w:lineRule="exact"/>
        <w:rPr>
          <w:sz w:val="20"/>
          <w:szCs w:val="20"/>
          <w:color w:val="auto"/>
        </w:rPr>
      </w:pPr>
    </w:p>
    <w:p>
      <w:pPr>
        <w:ind w:left="147" w:right="640" w:hanging="147"/>
        <w:spacing w:after="0" w:line="282" w:lineRule="auto"/>
        <w:tabs>
          <w:tab w:leader="none" w:pos="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161"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225" w:lineRule="exact"/>
        <w:rPr>
          <w:rFonts w:ascii="Times New Roman" w:cs="Times New Roman" w:eastAsia="Times New Roman" w:hAnsi="Times New Roman"/>
          <w:sz w:val="18"/>
          <w:szCs w:val="18"/>
          <w:color w:val="auto"/>
        </w:rPr>
      </w:pPr>
    </w:p>
    <w:p>
      <w:pPr>
        <w:jc w:val="right"/>
        <w:ind w:left="147" w:right="500" w:hanging="147"/>
        <w:spacing w:after="0" w:line="282" w:lineRule="auto"/>
        <w:tabs>
          <w:tab w:leader="none" w:pos="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spacing w:after="0" w:line="161" w:lineRule="exact"/>
        <w:rPr>
          <w:rFonts w:ascii="Times New Roman" w:cs="Times New Roman" w:eastAsia="Times New Roman" w:hAnsi="Times New Roman"/>
          <w:sz w:val="18"/>
          <w:szCs w:val="18"/>
          <w:color w:val="auto"/>
        </w:rPr>
      </w:pPr>
    </w:p>
    <w:p>
      <w:pPr>
        <w:ind w:left="147" w:right="160" w:hanging="147"/>
        <w:spacing w:after="0" w:line="282" w:lineRule="auto"/>
        <w:tabs>
          <w:tab w:leader="none" w:pos="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161" w:lineRule="exact"/>
        <w:rPr>
          <w:rFonts w:ascii="Times New Roman" w:cs="Times New Roman" w:eastAsia="Times New Roman" w:hAnsi="Times New Roman"/>
          <w:sz w:val="18"/>
          <w:szCs w:val="18"/>
          <w:color w:val="auto"/>
        </w:rPr>
      </w:pPr>
    </w:p>
    <w:p>
      <w:pPr>
        <w:ind w:left="147" w:right="500" w:hanging="147"/>
        <w:spacing w:after="0" w:line="289" w:lineRule="auto"/>
        <w:tabs>
          <w:tab w:leader="none" w:pos="8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157" w:lineRule="exact"/>
        <w:rPr>
          <w:rFonts w:ascii="Times New Roman" w:cs="Times New Roman" w:eastAsia="Times New Roman" w:hAnsi="Times New Roman"/>
          <w:sz w:val="17"/>
          <w:szCs w:val="17"/>
          <w:color w:val="auto"/>
        </w:rPr>
      </w:pPr>
    </w:p>
    <w:p>
      <w:pPr>
        <w:ind w:left="147" w:hanging="147"/>
        <w:spacing w:after="0" w:line="282" w:lineRule="auto"/>
        <w:tabs>
          <w:tab w:leader="none" w:pos="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 and</w:t>
      </w:r>
    </w:p>
    <w:p>
      <w:pPr>
        <w:spacing w:after="0" w:line="161"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members of the board of directors must perform their duties with all</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due diligence and safeguard the interests of the corporation in good faith.</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They must afford the shareholders equal treatment in equal circumstances.</w:t>
      </w:r>
    </w:p>
    <w:p>
      <w:pPr>
        <w:spacing w:after="0" w:line="218" w:lineRule="exact"/>
        <w:rPr>
          <w:sz w:val="20"/>
          <w:szCs w:val="20"/>
          <w:color w:val="auto"/>
        </w:rPr>
      </w:pPr>
    </w:p>
    <w:p>
      <w:pPr>
        <w:ind w:left="7" w:right="260" w:firstLine="324"/>
        <w:spacing w:after="0" w:line="312"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192" w:lineRule="exact"/>
        <w:rPr>
          <w:sz w:val="20"/>
          <w:szCs w:val="20"/>
          <w:color w:val="auto"/>
        </w:rPr>
      </w:pPr>
    </w:p>
    <w:p>
      <w:pPr>
        <w:sectPr>
          <w:pgSz w:w="11900" w:h="16838" w:orient="portrait"/>
          <w:cols w:equalWidth="0" w:num="2">
            <w:col w:w="5640" w:space="213"/>
            <w:col w:w="5347"/>
          </w:cols>
          <w:pgMar w:left="320" w:top="223"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1200"/>
          </w:cols>
          <w:pgMar w:left="320" w:top="223" w:right="379" w:bottom="1440" w:gutter="0" w:footer="0" w:header="0"/>
          <w:type w:val="continuous"/>
        </w:sectPr>
      </w:pP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87" w:lineRule="exact"/>
        <w:rPr>
          <w:sz w:val="20"/>
          <w:szCs w:val="20"/>
          <w:color w:val="auto"/>
        </w:rPr>
      </w:pPr>
    </w:p>
    <w:p>
      <w:pPr>
        <w:sectPr>
          <w:pgSz w:w="11900" w:h="16838" w:orient="portrait"/>
          <w:cols w:equalWidth="0" w:num="2">
            <w:col w:w="5540" w:space="320"/>
            <w:col w:w="5340"/>
          </w:cols>
          <w:pgMar w:left="320" w:top="223" w:right="3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60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240"/>
          </w:cols>
          <w:pgMar w:left="320" w:top="223" w:right="339" w:bottom="1440" w:gutter="0" w:footer="0" w:header="0"/>
        </w:sectPr>
      </w:pP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3" w:lineRule="exact"/>
        <w:rPr>
          <w:sz w:val="20"/>
          <w:szCs w:val="20"/>
          <w:color w:val="auto"/>
        </w:rPr>
      </w:pPr>
    </w:p>
    <w:p>
      <w:pPr>
        <w:ind w:left="147" w:right="140" w:hanging="147"/>
        <w:spacing w:after="0" w:line="266" w:lineRule="auto"/>
        <w:tabs>
          <w:tab w:leader="none" w:pos="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175" w:lineRule="exact"/>
        <w:rPr>
          <w:rFonts w:ascii="Times New Roman" w:cs="Times New Roman" w:eastAsia="Times New Roman" w:hAnsi="Times New Roman"/>
          <w:sz w:val="18"/>
          <w:szCs w:val="18"/>
          <w:color w:val="auto"/>
        </w:rPr>
      </w:pPr>
    </w:p>
    <w:p>
      <w:pPr>
        <w:ind w:left="147" w:right="20" w:hanging="147"/>
        <w:spacing w:after="0" w:line="261" w:lineRule="auto"/>
        <w:tabs>
          <w:tab w:leader="none" w:pos="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0" w:lineRule="exact"/>
        <w:rPr>
          <w:sz w:val="20"/>
          <w:szCs w:val="20"/>
          <w:color w:val="auto"/>
        </w:rPr>
      </w:pPr>
    </w:p>
    <w:p>
      <w:pPr>
        <w:jc w:val="both"/>
        <w:ind w:left="7" w:right="42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has been included as an agenda item.</w:t>
      </w:r>
    </w:p>
    <w:p>
      <w:pPr>
        <w:spacing w:after="0" w:line="176" w:lineRule="exact"/>
        <w:rPr>
          <w:sz w:val="20"/>
          <w:szCs w:val="20"/>
          <w:color w:val="auto"/>
        </w:rPr>
      </w:pPr>
    </w:p>
    <w:p>
      <w:pPr>
        <w:ind w:left="7" w:right="140"/>
        <w:spacing w:after="0" w:line="254"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24" w:lineRule="exact"/>
        <w:rPr>
          <w:sz w:val="20"/>
          <w:szCs w:val="20"/>
          <w:color w:val="auto"/>
        </w:rPr>
      </w:pPr>
    </w:p>
    <w:p>
      <w:pPr>
        <w:sectPr>
          <w:pgSz w:w="11900" w:h="16838" w:orient="portrait"/>
          <w:cols w:equalWidth="0" w:num="2">
            <w:col w:w="5640" w:space="213"/>
            <w:col w:w="5387"/>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240"/>
          </w:cols>
          <w:pgMar w:left="320" w:top="223" w:right="339" w:bottom="1440" w:gutter="0" w:footer="0" w:header="0"/>
          <w:type w:val="continuous"/>
        </w:sectPr>
      </w:pP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pacing w:after="0" w:line="111" w:lineRule="exact"/>
        <w:rPr>
          <w:sz w:val="20"/>
          <w:szCs w:val="20"/>
          <w:color w:val="auto"/>
        </w:rPr>
      </w:pPr>
    </w:p>
    <w:p>
      <w:pPr>
        <w:sectPr>
          <w:pgSz w:w="11900" w:h="16838" w:orient="portrait"/>
          <w:cols w:equalWidth="0" w:num="2">
            <w:col w:w="5400" w:space="460"/>
            <w:col w:w="5380"/>
          </w:cols>
          <w:pgMar w:left="320" w:top="223"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5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ectPr>
          <w:pgSz w:w="11900" w:h="16838" w:orient="portrait"/>
          <w:cols w:equalWidth="0" w:num="1">
            <w:col w:w="11180"/>
          </w:cols>
          <w:pgMar w:left="320" w:top="223" w:right="399" w:bottom="1440" w:gutter="0" w:footer="0" w:header="0"/>
        </w:sectPr>
      </w:pP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9" w:lineRule="exact"/>
        <w:rPr>
          <w:sz w:val="20"/>
          <w:szCs w:val="20"/>
          <w:color w:val="auto"/>
        </w:rPr>
      </w:pPr>
    </w:p>
    <w:p>
      <w:pPr>
        <w:sectPr>
          <w:pgSz w:w="11900" w:h="16838" w:orient="portrait"/>
          <w:cols w:equalWidth="0" w:num="2">
            <w:col w:w="5300" w:space="560"/>
            <w:col w:w="5320"/>
          </w:cols>
          <w:pgMar w:left="320" w:top="22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Transactions with interested shareholders</w:t>
      </w:r>
    </w:p>
    <w:p>
      <w:pPr>
        <w:sectPr>
          <w:pgSz w:w="11900" w:h="16838" w:orient="portrait"/>
          <w:cols w:equalWidth="0" w:num="1">
            <w:col w:w="11180"/>
          </w:cols>
          <w:pgMar w:left="320" w:top="223" w:right="399" w:bottom="1440" w:gutter="0" w:footer="0" w:header="0"/>
          <w:type w:val="continuous"/>
        </w:sectPr>
      </w:pP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152" w:lineRule="exact"/>
        <w:rPr>
          <w:sz w:val="20"/>
          <w:szCs w:val="20"/>
          <w:color w:val="auto"/>
        </w:rPr>
      </w:pPr>
    </w:p>
    <w:p>
      <w:pPr>
        <w:sectPr>
          <w:pgSz w:w="11900" w:h="16838" w:orient="portrait"/>
          <w:cols w:equalWidth="0" w:num="2">
            <w:col w:w="5420" w:space="440"/>
            <w:col w:w="5320"/>
          </w:cols>
          <w:pgMar w:left="320" w:top="22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Dissolution; Winding up</w:t>
      </w:r>
    </w:p>
    <w:p>
      <w:pPr>
        <w:sectPr>
          <w:pgSz w:w="11900" w:h="16838" w:orient="portrait"/>
          <w:cols w:equalWidth="0" w:num="1">
            <w:col w:w="11180"/>
          </w:cols>
          <w:pgMar w:left="320" w:top="223" w:right="399" w:bottom="1440" w:gutter="0" w:footer="0" w:header="0"/>
          <w:type w:val="continuous"/>
        </w:sectPr>
      </w:pP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436" w:lineRule="exact"/>
        <w:rPr>
          <w:sz w:val="20"/>
          <w:szCs w:val="20"/>
          <w:color w:val="auto"/>
        </w:rPr>
      </w:pPr>
    </w:p>
    <w:p>
      <w:pPr>
        <w:sectPr>
          <w:pgSz w:w="11900" w:h="16838" w:orient="portrait"/>
          <w:cols w:equalWidth="0" w:num="2">
            <w:col w:w="5600" w:space="260"/>
            <w:col w:w="5320"/>
          </w:cols>
          <w:pgMar w:left="320" w:top="223"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180"/>
          </w:cols>
          <w:pgMar w:left="320" w:top="223" w:right="399" w:bottom="1440" w:gutter="0" w:footer="0" w:header="0"/>
          <w:type w:val="continuous"/>
        </w:sectPr>
      </w:pP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200" w:lineRule="exact"/>
        <w:rPr>
          <w:sz w:val="20"/>
          <w:szCs w:val="20"/>
          <w:color w:val="auto"/>
        </w:rPr>
      </w:pPr>
    </w:p>
    <w:p>
      <w:pPr>
        <w:sectPr>
          <w:pgSz w:w="11900" w:h="16838" w:orient="portrait"/>
          <w:cols w:equalWidth="0" w:num="2">
            <w:col w:w="5220" w:space="640"/>
            <w:col w:w="5320"/>
          </w:cols>
          <w:pgMar w:left="320" w:top="223" w:right="399" w:bottom="1440" w:gutter="0" w:footer="0" w:header="0"/>
          <w:type w:val="continuous"/>
        </w:sect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6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ectPr>
          <w:pgSz w:w="11900" w:h="16838" w:orient="portrait"/>
          <w:cols w:equalWidth="0" w:num="1">
            <w:col w:w="11240"/>
          </w:cols>
          <w:pgMar w:left="320" w:top="223" w:right="339" w:bottom="1440" w:gutter="0" w:footer="0" w:header="0"/>
        </w:sectPr>
      </w:pP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4" w:lineRule="exact"/>
        <w:rPr>
          <w:sz w:val="20"/>
          <w:szCs w:val="20"/>
          <w:color w:val="auto"/>
        </w:rPr>
      </w:pPr>
    </w:p>
    <w:p>
      <w:pPr>
        <w:sectPr>
          <w:pgSz w:w="11900" w:h="16838" w:orient="portrait"/>
          <w:cols w:equalWidth="0" w:num="2">
            <w:col w:w="5380" w:space="480"/>
            <w:col w:w="5380"/>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240"/>
          </w:cols>
          <w:pgMar w:left="320" w:top="223" w:right="339" w:bottom="1440" w:gutter="0" w:footer="0" w:header="0"/>
          <w:type w:val="continuous"/>
        </w:sectPr>
      </w:pP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24" w:lineRule="exact"/>
        <w:rPr>
          <w:sz w:val="20"/>
          <w:szCs w:val="20"/>
          <w:color w:val="auto"/>
        </w:rPr>
      </w:pPr>
    </w:p>
    <w:p>
      <w:pPr>
        <w:sectPr>
          <w:pgSz w:w="11900" w:h="16838" w:orient="portrait"/>
          <w:cols w:equalWidth="0" w:num="2">
            <w:col w:w="5560" w:space="300"/>
            <w:col w:w="5380"/>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ectPr>
          <w:pgSz w:w="11900" w:h="16838" w:orient="portrait"/>
          <w:cols w:equalWidth="0" w:num="1">
            <w:col w:w="11240"/>
          </w:cols>
          <w:pgMar w:left="320" w:top="223" w:right="339" w:bottom="1440" w:gutter="0" w:footer="0" w:header="0"/>
          <w:type w:val="continuous"/>
        </w:sectPr>
      </w:pP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100" w:hanging="92"/>
        <w:spacing w:after="0"/>
        <w:tabs>
          <w:tab w:leader="none" w:pos="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25" w:lineRule="exact"/>
        <w:rPr>
          <w:rFonts w:ascii="Times New Roman" w:cs="Times New Roman" w:eastAsia="Times New Roman" w:hAnsi="Times New Roman"/>
          <w:sz w:val="18"/>
          <w:szCs w:val="18"/>
          <w:color w:val="auto"/>
        </w:rPr>
      </w:pPr>
    </w:p>
    <w:p>
      <w:pPr>
        <w:ind w:left="160" w:right="260" w:hanging="152"/>
        <w:spacing w:after="0" w:line="282" w:lineRule="auto"/>
        <w:tabs>
          <w:tab w:leader="none" w:pos="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12" w:lineRule="exact"/>
        <w:rPr>
          <w:sz w:val="20"/>
          <w:szCs w:val="20"/>
          <w:color w:val="auto"/>
        </w:rPr>
      </w:pPr>
    </w:p>
    <w:p>
      <w:pPr>
        <w:sectPr>
          <w:pgSz w:w="11900" w:h="16838" w:orient="portrait"/>
          <w:cols w:equalWidth="0" w:num="2">
            <w:col w:w="5580" w:space="280"/>
            <w:col w:w="5380"/>
          </w:cols>
          <w:pgMar w:left="320" w:top="223" w:right="339" w:bottom="1440" w:gutter="0" w:footer="0" w:header="0"/>
          <w:type w:val="continuous"/>
        </w:sectPr>
      </w:pP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156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Creation and issuance of new shares</w:t>
      </w:r>
    </w:p>
    <w:p>
      <w:pPr>
        <w:sectPr>
          <w:pgSz w:w="11900" w:h="16838" w:orient="portrait"/>
          <w:cols w:equalWidth="0" w:num="1">
            <w:col w:w="11160"/>
          </w:cols>
          <w:pgMar w:left="320" w:top="223" w:right="419" w:bottom="1440" w:gutter="0" w:footer="0" w:header="0"/>
        </w:sectPr>
      </w:pPr>
    </w:p>
    <w:p>
      <w:pPr>
        <w:spacing w:after="0" w:line="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ectPr>
          <w:pgSz w:w="11900" w:h="16838" w:orient="portrait"/>
          <w:cols w:equalWidth="0" w:num="2">
            <w:col w:w="5700" w:space="160"/>
            <w:col w:w="5300"/>
          </w:cols>
          <w:pgMar w:left="320" w:top="223" w:right="41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23"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or any combination of such securities.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3"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or warrants for those securities will be offered under the shareholder subscription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Standby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340" w:right="2340" w:firstLine="316"/>
        <w:spacing w:after="0" w:line="500" w:lineRule="auto"/>
        <w:tabs>
          <w:tab w:leader="none" w:pos="9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2020 Annual Report on Form 20-F for the fiscal year ended </w:t>
      </w:r>
      <w:hyperlink r:id="rId111">
        <w:r>
          <w:rPr>
            <w:rFonts w:ascii="Times New Roman" w:cs="Times New Roman" w:eastAsia="Times New Roman" w:hAnsi="Times New Roman"/>
            <w:sz w:val="18"/>
            <w:szCs w:val="18"/>
            <w:u w:val="single" w:color="auto"/>
            <w:color w:val="0000EE"/>
          </w:rPr>
          <w:t>December 31, 2020</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112">
        <w:r>
          <w:rPr>
            <w:rFonts w:ascii="Times New Roman" w:cs="Times New Roman" w:eastAsia="Times New Roman" w:hAnsi="Times New Roman"/>
            <w:sz w:val="18"/>
            <w:szCs w:val="18"/>
            <w:u w:val="single" w:color="auto"/>
            <w:color w:val="0000EE"/>
          </w:rPr>
          <w:t>March 23,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“Item 1.C—2020 and 2019 Board Compensation” and “Item 2.C—2020 and 2019 Executive Compensation” of Exhibit 99.4), </w:t>
      </w:r>
      <w:hyperlink r:id="rId113">
        <w:r>
          <w:rPr>
            <w:rFonts w:ascii="Times New Roman" w:cs="Times New Roman" w:eastAsia="Times New Roman" w:hAnsi="Times New Roman"/>
            <w:sz w:val="18"/>
            <w:szCs w:val="18"/>
            <w:u w:val="single" w:color="auto"/>
            <w:color w:val="0000EE"/>
          </w:rPr>
          <w:t>March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4">
        <w:r>
          <w:rPr>
            <w:rFonts w:ascii="Times New Roman" w:cs="Times New Roman" w:eastAsia="Times New Roman" w:hAnsi="Times New Roman"/>
            <w:sz w:val="18"/>
            <w:szCs w:val="18"/>
            <w:u w:val="single" w:color="auto"/>
            <w:color w:val="0000EE"/>
          </w:rPr>
          <w:t>April 28,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Exhibits 99.1 and 99.2).</w:t>
      </w:r>
    </w:p>
    <w:p>
      <w:pPr>
        <w:spacing w:after="0" w:line="176" w:lineRule="exact"/>
        <w:rPr>
          <w:rFonts w:ascii="Times New Roman" w:cs="Times New Roman" w:eastAsia="Times New Roman" w:hAnsi="Times New Roman"/>
          <w:sz w:val="18"/>
          <w:szCs w:val="18"/>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rFonts w:ascii="Times New Roman" w:cs="Times New Roman" w:eastAsia="Times New Roman" w:hAnsi="Times New Roman"/>
          <w:sz w:val="18"/>
          <w:szCs w:val="18"/>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rFonts w:ascii="Times New Roman" w:cs="Times New Roman" w:eastAsia="Times New Roman" w:hAnsi="Times New Roman"/>
          <w:sz w:val="18"/>
          <w:szCs w:val="18"/>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84"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9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080" w:type="dxa"/>
            <w:vAlign w:val="bottom"/>
            <w:tcBorders>
              <w:top w:val="single" w:sz="8" w:color="0000EE"/>
            </w:tcBorders>
          </w:tcPr>
          <w:p>
            <w:pPr>
              <w:spacing w:after="0"/>
              <w:rPr>
                <w:sz w:val="24"/>
                <w:szCs w:val="24"/>
                <w:color w:val="auto"/>
              </w:rPr>
            </w:pPr>
          </w:p>
        </w:tc>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8"/>
        </w:trPr>
        <w:tc>
          <w:tcPr>
            <w:tcW w:w="1080" w:type="dxa"/>
            <w:vAlign w:val="bottom"/>
            <w:tcBorders>
              <w:bottom w:val="single" w:sz="8" w:color="D5EAEA"/>
            </w:tcBorders>
          </w:tcPr>
          <w:p>
            <w:pPr>
              <w:spacing w:after="0"/>
              <w:rPr>
                <w:sz w:val="20"/>
                <w:szCs w:val="20"/>
                <w:color w:val="auto"/>
              </w:rPr>
            </w:pPr>
          </w:p>
        </w:tc>
        <w:tc>
          <w:tcPr>
            <w:tcW w:w="860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 Be Paid</w:t>
            </w:r>
          </w:p>
        </w:tc>
        <w:tc>
          <w:tcPr>
            <w:tcW w:w="0" w:type="dxa"/>
            <w:vAlign w:val="bottom"/>
          </w:tcPr>
          <w:p>
            <w:pPr>
              <w:spacing w:after="0"/>
              <w:rPr>
                <w:sz w:val="1"/>
                <w:szCs w:val="1"/>
                <w:color w:val="auto"/>
              </w:rPr>
            </w:pPr>
          </w:p>
        </w:tc>
      </w:tr>
      <w:tr>
        <w:trPr>
          <w:trHeight w:val="209"/>
        </w:trPr>
        <w:tc>
          <w:tcPr>
            <w:tcW w:w="96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0" w:type="dxa"/>
            <w:vAlign w:val="bottom"/>
            <w:shd w:val="clear" w:color="auto" w:fill="D5EAEA"/>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38,185</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tcBorders>
              <w:bottom w:val="single" w:sz="8" w:color="auto"/>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880" w:firstLine="2"/>
        <w:spacing w:after="0" w:line="529" w:lineRule="auto"/>
        <w:tabs>
          <w:tab w:leader="none" w:pos="3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 ** Includes the $24,375 previously paid in connection with unsold securities pursuant to Rule 415(a)(6).</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Bär &amp; Karrer Ltd., Zurich,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matters of U.S. federal and New York State law will be passed upon for us by Davis Polk &amp; Wardwell LLP, New York, New York.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20-F for the year ended December 31, 2020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534670</wp:posOffset>
            </wp:positionV>
            <wp:extent cx="1791335" cy="420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14,300,000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161290</wp:posOffset>
            </wp:positionV>
            <wp:extent cx="1062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778510</wp:posOffset>
            </wp:positionV>
            <wp:extent cx="1062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Joint Book-Running Managers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Lead Manager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162560</wp:posOffset>
            </wp:positionV>
            <wp:extent cx="10629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156845</wp:posOffset>
            </wp:positionV>
            <wp:extent cx="1062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388620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4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prospectus to which this Exhibit is attached is a final prospectus for the related offering(s). The maximum aggregate offering price of the related offering(s) is $50,050,000.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lowerRoman"/>
      <w:start w:val="1"/>
    </w:lvl>
  </w:abstractNum>
  <w:abstractNum w:abstractNumId="5">
    <w:nsid w:val="3A95F874"/>
    <w:multiLevelType w:val="hybridMultilevel"/>
    <w:lvl w:ilvl="0">
      <w:lvlJc w:val="left"/>
      <w:lvlText w:val="(%1)"/>
      <w:numFmt w:val="lowerRoman"/>
      <w:start w:val="3"/>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06"/>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2"/>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Roman"/>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lvl w:ilvl="1">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Letter"/>
      <w:start w:val="1"/>
    </w:lvl>
    <w:lvl w:ilvl="1">
      <w:lvlJc w:val="left"/>
      <w:lvlText w:val="(%2)"/>
      <w:numFmt w:val="lowerLetter"/>
      <w:start w:val="3"/>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upperLetter"/>
      <w:start w:val="2"/>
    </w:lvl>
    <w:lvl w:ilvl="1">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jpe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jpe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60" Type="http://schemas.openxmlformats.org/officeDocument/2006/relationships/hyperlink" Target="https://www.sec.gov/ix?doc=/Archives/edgar/data/0001651625/000155837023003963/aciu-20221231x20f.htm" TargetMode="External"/><Relationship Id="rId61" Type="http://schemas.openxmlformats.org/officeDocument/2006/relationships/hyperlink" Target="https://www.sec.gov/Archives/edgar/data/1651625/000110465923033059/tm239349d1_6k.htm" TargetMode="External"/><Relationship Id="rId62" Type="http://schemas.openxmlformats.org/officeDocument/2006/relationships/hyperlink" Target="https://www.sec.gov/Archives/edgar/data/1651625/000155837023007153/aciu-20230428x6k.htm" TargetMode="External"/><Relationship Id="rId63" Type="http://schemas.openxmlformats.org/officeDocument/2006/relationships/hyperlink" Target="https://www.sec.gov/Archives/edgar/data/1651625/000095010323009306/dp195769_6k.htm" TargetMode="External"/><Relationship Id="rId64" Type="http://schemas.openxmlformats.org/officeDocument/2006/relationships/hyperlink" Target="https://www.sec.gov/Archives/edgar/data/1651625/000095010323010770/dp197159_6k.htm" TargetMode="External"/><Relationship Id="rId65" Type="http://schemas.openxmlformats.org/officeDocument/2006/relationships/hyperlink" Target="https://www.sec.gov/ix?doc=/Archives/edgar/data/0001651625/000155837023013301/aciu-20230630x6k.htm" TargetMode="External"/><Relationship Id="rId66" Type="http://schemas.openxmlformats.org/officeDocument/2006/relationships/hyperlink" Target="https://www.sec.gov/Archives/edgar/data/1651625/000155837023017498/aciu-20231103x6k.htm" TargetMode="External"/><Relationship Id="rId67" Type="http://schemas.openxmlformats.org/officeDocument/2006/relationships/hyperlink" Target="https://www.sec.gov/Archives/edgar/data/1651625/000095010323016936/dp203232_6k.htm" TargetMode="External"/><Relationship Id="rId68" Type="http://schemas.openxmlformats.org/officeDocument/2006/relationships/hyperlink" Target="https://www.sec.gov/Archives/edgar/data/1651625/000095010323017504/dp203992_6k.htm" TargetMode="External"/><Relationship Id="rId69" Type="http://schemas.openxmlformats.org/officeDocument/2006/relationships/hyperlink" Target="https://www.sec.gov/Archives/edgar/data/1651625/000119312516717617/d252179d8a12b.htm" TargetMode="External"/><Relationship Id="rId111" Type="http://schemas.openxmlformats.org/officeDocument/2006/relationships/hyperlink" Target="https://www.sec.gov/Archives/edgar/data/1651625/000095010321004378/dp148007_20f.htm" TargetMode="External"/><Relationship Id="rId112" Type="http://schemas.openxmlformats.org/officeDocument/2006/relationships/hyperlink" Target="https://www.sec.gov/Archives/edgar/data/1651625/000095010321004379/dp148008_6k.htm" TargetMode="External"/><Relationship Id="rId113" Type="http://schemas.openxmlformats.org/officeDocument/2006/relationships/hyperlink" Target="https://www.sec.gov/Archives/edgar/data/1651625/000095010321004994/dp148807_6k-2.htm" TargetMode="External"/><Relationship Id="rId114" Type="http://schemas.openxmlformats.org/officeDocument/2006/relationships/hyperlink" Target="https://www.sec.gov/Archives/edgar/data/1651625/000095010321006207/dp149874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2023-12-15T16:39:55Z</dcterms:created>
  <dcterms:modified xsi:type="dcterms:W3CDTF">2023-12-15T16:39:55Z</dcterms:modified>
</cp:coreProperties>
</file>