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9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100" w:lineRule="exact"/>
        <w:rPr>
          <w:sz w:val="24"/>
          <w:szCs w:val="24"/>
          <w:color w:val="auto"/>
        </w:rPr>
      </w:pPr>
    </w:p>
    <w:p>
      <w:pPr>
        <w:ind w:left="340" w:hanging="316"/>
        <w:spacing w:after="0"/>
        <w:tabs>
          <w:tab w:leader="none" w:pos="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130" w:lineRule="exact"/>
        <w:rPr>
          <w:rFonts w:ascii="MS PGothic" w:cs="MS PGothic" w:eastAsia="MS PGothic" w:hAnsi="MS PGothic"/>
          <w:sz w:val="18"/>
          <w:szCs w:val="18"/>
          <w:color w:val="auto"/>
        </w:rPr>
      </w:pPr>
    </w:p>
    <w:p>
      <w:pPr>
        <w:ind w:left="49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17" w:lineRule="exact"/>
        <w:rPr>
          <w:rFonts w:ascii="MS PGothic" w:cs="MS PGothic" w:eastAsia="MS PGothic" w:hAnsi="MS PGothic"/>
          <w:sz w:val="18"/>
          <w:szCs w:val="18"/>
          <w:color w:val="auto"/>
        </w:rPr>
      </w:pPr>
    </w:p>
    <w:p>
      <w:pPr>
        <w:ind w:left="300" w:right="1140" w:hanging="290"/>
        <w:spacing w:after="0" w:line="263" w:lineRule="auto"/>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jc w:val="center"/>
        <w:ind w:left="4980" w:right="740" w:hanging="4970"/>
        <w:spacing w:after="0" w:line="370" w:lineRule="auto"/>
        <w:tabs>
          <w:tab w:leader="none" w:pos="32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36" w:lineRule="exact"/>
        <w:rPr>
          <w:rFonts w:ascii="MS PGothic" w:cs="MS PGothic" w:eastAsia="MS PGothic" w:hAnsi="MS PGothic"/>
          <w:sz w:val="18"/>
          <w:szCs w:val="18"/>
          <w:color w:val="auto"/>
        </w:rPr>
      </w:pPr>
    </w:p>
    <w:p>
      <w:pPr>
        <w:ind w:left="320" w:right="320" w:hanging="310"/>
        <w:spacing w:after="0" w:line="271" w:lineRule="auto"/>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Date of event requiring this shell company report</w:t>
      </w:r>
    </w:p>
    <w:p>
      <w:pPr>
        <w:spacing w:after="0" w:line="11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For the transition period from ____________ to ____________</w:t>
      </w:r>
    </w:p>
    <w:p>
      <w:pPr>
        <w:spacing w:after="0" w:line="15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Commission file number: 001-37891</w:t>
      </w:r>
    </w:p>
    <w:p>
      <w:pPr>
        <w:spacing w:after="0" w:line="10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9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9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2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(Jurisdiction of incorporation)</w:t>
      </w:r>
    </w:p>
    <w:p>
      <w:pPr>
        <w:spacing w:after="0" w:line="9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Andrea Pfeifer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+41 21 345 91 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Telephone, E-mail and/or Facsimile number and Address of Company Contact Person)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Derek J. Dostal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450-4000</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2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Shares, nominal value CHF 0.02</w:t>
            </w:r>
          </w:p>
        </w:tc>
        <w:tc>
          <w:tcPr>
            <w:tcW w:w="22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ACIU</w:t>
            </w:r>
          </w:p>
        </w:tc>
        <w:tc>
          <w:tcPr>
            <w:tcW w:w="200" w:type="dxa"/>
            <w:vAlign w:val="bottom"/>
          </w:tcPr>
          <w:p>
            <w:pPr>
              <w:spacing w:after="0"/>
              <w:rPr>
                <w:sz w:val="16"/>
                <w:szCs w:val="16"/>
                <w:color w:val="auto"/>
              </w:rPr>
            </w:pPr>
          </w:p>
        </w:tc>
        <w:tc>
          <w:tcPr>
            <w:tcW w:w="3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20" w:type="dxa"/>
            <w:vAlign w:val="bottom"/>
          </w:tcPr>
          <w:p>
            <w:pPr>
              <w:spacing w:after="0"/>
              <w:rPr>
                <w:sz w:val="20"/>
                <w:szCs w:val="20"/>
                <w:color w:val="auto"/>
              </w:rPr>
            </w:pPr>
          </w:p>
        </w:tc>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per share</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898"/>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stock or common stock as of the close of the period covered by the annual report.</w:t>
      </w:r>
    </w:p>
    <w:p>
      <w:pPr>
        <w:spacing w:after="0" w:line="6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Common shares: 100,410,377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76" w:lineRule="exact"/>
        <w:rPr>
          <w:sz w:val="20"/>
          <w:szCs w:val="20"/>
          <w:color w:val="auto"/>
        </w:rPr>
      </w:pPr>
    </w:p>
    <w:p>
      <w:pPr>
        <w:ind w:left="4840" w:hanging="206"/>
        <w:spacing w:after="0" w:line="207" w:lineRule="exact"/>
        <w:tabs>
          <w:tab w:leader="none" w:pos="48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27" w:lineRule="exact"/>
        <w:rPr>
          <w:sz w:val="20"/>
          <w:szCs w:val="20"/>
          <w:color w:val="auto"/>
        </w:rPr>
      </w:pPr>
    </w:p>
    <w:p>
      <w:pPr>
        <w:ind w:left="4840" w:hanging="206"/>
        <w:spacing w:after="0" w:line="207" w:lineRule="exact"/>
        <w:tabs>
          <w:tab w:leader="none" w:pos="48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5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4" w:lineRule="exact"/>
        <w:rPr>
          <w:sz w:val="20"/>
          <w:szCs w:val="20"/>
          <w:color w:val="auto"/>
        </w:rPr>
      </w:pPr>
    </w:p>
    <w:p>
      <w:pPr>
        <w:ind w:left="4840" w:hanging="206"/>
        <w:spacing w:after="0" w:line="207" w:lineRule="exact"/>
        <w:tabs>
          <w:tab w:leader="none" w:pos="48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4" w:lineRule="exact"/>
        <w:rPr>
          <w:sz w:val="20"/>
          <w:szCs w:val="20"/>
          <w:color w:val="auto"/>
        </w:rPr>
      </w:pPr>
    </w:p>
    <w:p>
      <w:pPr>
        <w:ind w:left="4840" w:hanging="206"/>
        <w:spacing w:after="0" w:line="207" w:lineRule="exact"/>
        <w:tabs>
          <w:tab w:leader="none" w:pos="48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0160"/>
          </w:cols>
          <w:pgMar w:left="840" w:top="513" w:right="899" w:bottom="1440" w:gutter="0" w:footer="0" w:header="0"/>
        </w:sectPr>
      </w:pPr>
    </w:p>
    <w:p>
      <w:pPr>
        <w:spacing w:after="0" w:line="5" w:lineRule="exact"/>
        <w:rPr>
          <w:sz w:val="20"/>
          <w:szCs w:val="20"/>
          <w:color w:val="auto"/>
        </w:rPr>
      </w:pPr>
    </w:p>
    <w:p>
      <w:pPr>
        <w:ind w:left="8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jc w:val="center"/>
        <w:ind w:right="560"/>
        <w:spacing w:after="0" w:line="19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70" w:lineRule="exact"/>
        <w:rPr>
          <w:sz w:val="20"/>
          <w:szCs w:val="20"/>
          <w:color w:val="auto"/>
        </w:rPr>
      </w:pPr>
    </w:p>
    <w:p>
      <w:pPr>
        <w:jc w:val="center"/>
        <w:ind w:right="5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720" w:space="720"/>
            <w:col w:w="2280" w:space="720"/>
            <w:col w:w="2720"/>
          </w:cols>
          <w:pgMar w:left="840" w:top="513" w:right="899" w:bottom="1440" w:gutter="0" w:footer="0" w:header="0"/>
          <w:type w:val="continuous"/>
        </w:sectPr>
      </w:pPr>
    </w:p>
    <w:p>
      <w:pPr>
        <w:spacing w:after="0" w:line="19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checkmark if the registrant has elected not to use the extended transition period for complying with any new or revised financial accounting standards provided pursuant to Section 13(a) of the Exchange Act.</w:t>
      </w:r>
    </w:p>
    <w:p>
      <w:pPr>
        <w:spacing w:after="0" w:line="2" w:lineRule="exact"/>
        <w:rPr>
          <w:sz w:val="20"/>
          <w:szCs w:val="20"/>
          <w:color w:val="auto"/>
        </w:rPr>
      </w:pPr>
    </w:p>
    <w:p>
      <w:pPr>
        <w:jc w:val="center"/>
        <w:ind w:right="-39"/>
        <w:spacing w:after="0" w:line="181" w:lineRule="exact"/>
        <w:rPr>
          <w:sz w:val="20"/>
          <w:szCs w:val="20"/>
          <w:color w:val="auto"/>
        </w:rPr>
      </w:pPr>
      <w:r>
        <w:rPr>
          <w:rFonts w:ascii="MS PGothic" w:cs="MS PGothic" w:eastAsia="MS PGothic" w:hAnsi="MS PGothic"/>
          <w:sz w:val="18"/>
          <w:szCs w:val="18"/>
          <w:color w:val="auto"/>
        </w:rPr>
        <w:t>☐</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7" w:lineRule="exact"/>
        <w:rPr>
          <w:sz w:val="20"/>
          <w:szCs w:val="20"/>
          <w:color w:val="auto"/>
        </w:rPr>
      </w:pPr>
    </w:p>
    <w:p>
      <w:pPr>
        <w:ind w:left="4840" w:hanging="206"/>
        <w:spacing w:after="0" w:line="207" w:lineRule="exact"/>
        <w:tabs>
          <w:tab w:leader="none" w:pos="484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0"/>
          <w:szCs w:val="20"/>
          <w:color w:val="auto"/>
        </w:rPr>
      </w:pPr>
    </w:p>
    <w:p>
      <w:pPr>
        <w:jc w:val="center"/>
        <w:ind w:right="-39"/>
        <w:spacing w:after="0" w:line="181" w:lineRule="exact"/>
        <w:rPr>
          <w:sz w:val="20"/>
          <w:szCs w:val="20"/>
          <w:color w:val="auto"/>
        </w:rPr>
      </w:pPr>
      <w:r>
        <w:rPr>
          <w:rFonts w:ascii="MS PGothic" w:cs="MS PGothic" w:eastAsia="MS PGothic" w:hAnsi="MS PGothic"/>
          <w:sz w:val="18"/>
          <w:szCs w:val="18"/>
          <w:color w:val="auto"/>
        </w:rPr>
        <w:t>☐</w:t>
      </w:r>
    </w:p>
    <w:p>
      <w:pPr>
        <w:spacing w:after="0" w:line="185" w:lineRule="exact"/>
        <w:rPr>
          <w:sz w:val="20"/>
          <w:szCs w:val="20"/>
          <w:color w:val="auto"/>
        </w:rPr>
      </w:pPr>
    </w:p>
    <w:p>
      <w:pPr>
        <w:jc w:val="both"/>
        <w:ind w:right="720"/>
        <w:spacing w:after="0" w:line="306" w:lineRule="auto"/>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1" w:lineRule="exact"/>
        <w:rPr>
          <w:sz w:val="20"/>
          <w:szCs w:val="20"/>
          <w:color w:val="auto"/>
        </w:rPr>
      </w:pPr>
    </w:p>
    <w:p>
      <w:pPr>
        <w:jc w:val="center"/>
        <w:ind w:right="-39"/>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548640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160"/>
          </w:cols>
          <w:pgMar w:left="840" w:top="513" w:right="8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which basis of accounting the registrant has used to prepare the financial statements included in this filing:</w:t>
      </w:r>
    </w:p>
    <w:p>
      <w:pPr>
        <w:sectPr>
          <w:pgSz w:w="11900" w:h="16838" w:orient="portrait"/>
          <w:cols w:equalWidth="0" w:num="1">
            <w:col w:w="10040"/>
          </w:cols>
          <w:pgMar w:left="840" w:top="513" w:right="1019" w:bottom="1440" w:gutter="0" w:footer="0" w:header="0"/>
        </w:sectPr>
      </w:pPr>
    </w:p>
    <w:p>
      <w:pPr>
        <w:spacing w:after="0" w:line="88" w:lineRule="exact"/>
        <w:rPr>
          <w:sz w:val="20"/>
          <w:szCs w:val="20"/>
          <w:color w:val="auto"/>
        </w:rPr>
      </w:pPr>
    </w:p>
    <w:p>
      <w:pPr>
        <w:jc w:val="center"/>
        <w:ind w:left="70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680"/>
        <w:spacing w:after="0" w:line="232"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721" w:lineRule="exact"/>
        <w:rPr>
          <w:sz w:val="20"/>
          <w:szCs w:val="20"/>
          <w:color w:val="auto"/>
        </w:rPr>
      </w:pPr>
    </w:p>
    <w:p>
      <w:pPr>
        <w:sectPr>
          <w:pgSz w:w="11900" w:h="16838" w:orient="portrait"/>
          <w:cols w:equalWidth="0" w:num="3">
            <w:col w:w="2760" w:space="720"/>
            <w:col w:w="4020" w:space="720"/>
            <w:col w:w="1820"/>
          </w:cols>
          <w:pgMar w:left="840" w:top="513" w:right="1019" w:bottom="1440" w:gutter="0" w:footer="0" w:header="0"/>
          <w:type w:val="continuous"/>
        </w:sect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3" w:lineRule="exact"/>
        <w:rPr>
          <w:sz w:val="20"/>
          <w:szCs w:val="20"/>
          <w:color w:val="auto"/>
        </w:rPr>
      </w:pPr>
    </w:p>
    <w:p>
      <w:pPr>
        <w:ind w:left="4520" w:hanging="200"/>
        <w:spacing w:after="0" w:line="207" w:lineRule="exact"/>
        <w:tabs>
          <w:tab w:leader="none" w:pos="452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this is an annual report, indicate by check mark whether the registrant is a shell company (as defined in Rule 12b-2 of the Exchange Act).</w:t>
      </w:r>
    </w:p>
    <w:p>
      <w:pPr>
        <w:spacing w:after="0" w:line="74" w:lineRule="exact"/>
        <w:rPr>
          <w:sz w:val="20"/>
          <w:szCs w:val="20"/>
          <w:color w:val="auto"/>
        </w:rPr>
      </w:pPr>
    </w:p>
    <w:p>
      <w:pPr>
        <w:ind w:left="5000" w:hanging="204"/>
        <w:spacing w:after="0" w:line="207" w:lineRule="exact"/>
        <w:tabs>
          <w:tab w:leader="none" w:pos="500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848995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111760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163195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040"/>
          </w:cols>
          <w:pgMar w:left="840" w:top="513" w:right="1019"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6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bottom w:val="single" w:sz="8" w:color="0000EE"/>
            </w:tcBorders>
          </w:tcPr>
          <w:p>
            <w:pPr>
              <w:spacing w:after="0"/>
              <w:rPr>
                <w:sz w:val="16"/>
                <w:szCs w:val="16"/>
                <w:color w:val="auto"/>
              </w:rPr>
            </w:pPr>
          </w:p>
        </w:tc>
        <w:tc>
          <w:tcPr>
            <w:tcW w:w="520" w:type="dxa"/>
            <w:vAlign w:val="bottom"/>
            <w:tcBorders>
              <w:top w:val="single" w:sz="8" w:color="0000EE"/>
              <w:bottom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EE"/>
                <w:w w:val="88"/>
              </w:rPr>
              <w:t>PART I</w:t>
            </w:r>
          </w:p>
        </w:tc>
        <w:tc>
          <w:tcPr>
            <w:tcW w:w="3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6240" w:type="dxa"/>
            <w:vAlign w:val="bottom"/>
            <w:tcBorders>
              <w:bottom w:val="single" w:sz="8" w:color="0000EE"/>
            </w:tcBorders>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ITEM 1. IDENTITY OF DIRECTORS, SENIOR MANAGEMENT AND ADVISERS</w:t>
            </w:r>
          </w:p>
        </w:tc>
        <w:tc>
          <w:tcPr>
            <w:tcW w:w="1360" w:type="dxa"/>
            <w:vAlign w:val="bottom"/>
            <w:tcBorders>
              <w:bottom w:val="single" w:sz="8" w:color="CCEEFF"/>
            </w:tcBorders>
            <w:gridSpan w:val="2"/>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Directors and senior management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Advisers</w:t>
            </w:r>
          </w:p>
        </w:tc>
        <w:tc>
          <w:tcPr>
            <w:tcW w:w="6140" w:type="dxa"/>
            <w:vAlign w:val="bottom"/>
            <w:tcBorders>
              <w:bottom w:val="single" w:sz="8" w:color="CCEEFF"/>
            </w:tcBorders>
            <w:gridSpan w:val="36"/>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C.</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Auditors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Borders>
              <w:top w:val="single" w:sz="8" w:color="0000EE"/>
            </w:tcBorders>
          </w:tcPr>
          <w:p>
            <w:pPr>
              <w:spacing w:after="0"/>
              <w:rPr>
                <w:sz w:val="16"/>
                <w:szCs w:val="16"/>
                <w:color w:val="auto"/>
              </w:rPr>
            </w:pPr>
          </w:p>
        </w:tc>
        <w:tc>
          <w:tcPr>
            <w:tcW w:w="3840" w:type="dxa"/>
            <w:vAlign w:val="bottom"/>
            <w:tcBorders>
              <w:top w:val="single" w:sz="8" w:color="0000EE"/>
            </w:tcBorders>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Offer statistics</w:t>
            </w:r>
          </w:p>
        </w:tc>
        <w:tc>
          <w:tcPr>
            <w:tcW w:w="2940" w:type="dxa"/>
            <w:vAlign w:val="bottom"/>
            <w:tcBorders>
              <w:top w:val="single" w:sz="8" w:color="CCEEFF"/>
            </w:tcBorders>
            <w:gridSpan w:val="7"/>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0000EE"/>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Method and expected timetable</w:t>
            </w:r>
          </w:p>
        </w:tc>
        <w:tc>
          <w:tcPr>
            <w:tcW w:w="4520" w:type="dxa"/>
            <w:vAlign w:val="bottom"/>
            <w:tcBorders>
              <w:bottom w:val="single" w:sz="8" w:color="CCEEFF"/>
            </w:tcBorders>
            <w:gridSpan w:val="14"/>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3. KEY INFORMATION</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[Reserved]</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EE"/>
            </w:tcBorders>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Reasons for the offer and use of proceeds</w:t>
            </w:r>
          </w:p>
        </w:tc>
        <w:tc>
          <w:tcPr>
            <w:tcW w:w="3800" w:type="dxa"/>
            <w:vAlign w:val="bottom"/>
            <w:tcBorders>
              <w:bottom w:val="single" w:sz="8" w:color="CCEEFF"/>
            </w:tcBorders>
            <w:gridSpan w:val="9"/>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4. INFORMATION ON THE COMPANY</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History and development of the company</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Business overview</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Organizational structure</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Borders>
              <w:top w:val="single" w:sz="8" w:color="0000EE"/>
            </w:tcBorders>
          </w:tcPr>
          <w:p>
            <w:pPr>
              <w:spacing w:after="0"/>
              <w:rPr>
                <w:sz w:val="16"/>
                <w:szCs w:val="16"/>
                <w:color w:val="auto"/>
              </w:rPr>
            </w:pPr>
          </w:p>
        </w:tc>
        <w:tc>
          <w:tcPr>
            <w:tcW w:w="4480" w:type="dxa"/>
            <w:vAlign w:val="bottom"/>
            <w:tcBorders>
              <w:top w:val="single" w:sz="8" w:color="0000EE"/>
            </w:tcBorders>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Operating results</w:t>
            </w:r>
          </w:p>
        </w:tc>
        <w:tc>
          <w:tcPr>
            <w:tcW w:w="2300" w:type="dxa"/>
            <w:vAlign w:val="bottom"/>
            <w:tcBorders>
              <w:top w:val="single" w:sz="8" w:color="CCEEFF"/>
            </w:tcBorders>
            <w:gridSpan w:val="4"/>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0000EE"/>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4560" w:type="dxa"/>
            <w:vAlign w:val="bottom"/>
            <w:tcBorders>
              <w:bottom w:val="single" w:sz="8" w:color="CCEEFF"/>
            </w:tcBorders>
            <w:gridSpan w:val="15"/>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C.</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Research and development, patents and licenses, etc.</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Trend information</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0"/>
              </w:rPr>
              <w:t>E.</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Critical Accounting Estimates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Borders>
              <w:top w:val="single" w:sz="8" w:color="0000EE"/>
            </w:tcBorders>
          </w:tcPr>
          <w:p>
            <w:pPr>
              <w:spacing w:after="0"/>
              <w:rPr>
                <w:sz w:val="16"/>
                <w:szCs w:val="16"/>
                <w:color w:val="auto"/>
              </w:rPr>
            </w:pPr>
          </w:p>
        </w:tc>
        <w:tc>
          <w:tcPr>
            <w:tcW w:w="4440" w:type="dxa"/>
            <w:vAlign w:val="bottom"/>
            <w:tcBorders>
              <w:top w:val="single" w:sz="8" w:color="0000EE"/>
            </w:tcBorders>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Directors and senior management</w:t>
            </w:r>
          </w:p>
        </w:tc>
        <w:tc>
          <w:tcPr>
            <w:tcW w:w="2340" w:type="dxa"/>
            <w:vAlign w:val="bottom"/>
            <w:tcBorders>
              <w:top w:val="single" w:sz="8" w:color="CCEEFF"/>
            </w:tcBorders>
            <w:gridSpan w:val="5"/>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Compensation</w:t>
            </w:r>
          </w:p>
        </w:tc>
        <w:tc>
          <w:tcPr>
            <w:tcW w:w="5740" w:type="dxa"/>
            <w:vAlign w:val="bottom"/>
            <w:tcBorders>
              <w:bottom w:val="single" w:sz="8" w:color="CCEEFF"/>
            </w:tcBorders>
            <w:gridSpan w:val="32"/>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C.</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Board practices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Employees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0"/>
              </w:rPr>
              <w:t>E.</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Share ownership</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0000EE"/>
              </w:rPr>
              <w:t>F.</w:t>
            </w:r>
          </w:p>
        </w:tc>
        <w:tc>
          <w:tcPr>
            <w:tcW w:w="300" w:type="dxa"/>
            <w:vAlign w:val="bottom"/>
            <w:shd w:val="clear" w:color="auto" w:fill="CCEEFF"/>
          </w:tcPr>
          <w:p>
            <w:pPr>
              <w:spacing w:after="0"/>
              <w:rPr>
                <w:sz w:val="19"/>
                <w:szCs w:val="19"/>
                <w:color w:val="auto"/>
              </w:rPr>
            </w:pPr>
          </w:p>
        </w:tc>
        <w:tc>
          <w:tcPr>
            <w:tcW w:w="6780" w:type="dxa"/>
            <w:vAlign w:val="bottom"/>
            <w:gridSpan w:val="4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Disclosure of a registrant’s action to recover erroneously awarded compensation</w:t>
            </w:r>
          </w:p>
        </w:tc>
        <w:tc>
          <w:tcPr>
            <w:tcW w:w="12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600" w:type="dxa"/>
            <w:vAlign w:val="bottom"/>
            <w:gridSpan w:val="46"/>
          </w:tcPr>
          <w:p>
            <w:pPr>
              <w:spacing w:after="0" w:line="183" w:lineRule="exact"/>
              <w:rPr>
                <w:sz w:val="20"/>
                <w:szCs w:val="20"/>
                <w:color w:val="auto"/>
              </w:rPr>
            </w:pPr>
            <w:r>
              <w:rPr>
                <w:rFonts w:ascii="Times New Roman" w:cs="Times New Roman" w:eastAsia="Times New Roman" w:hAnsi="Times New Roman"/>
                <w:sz w:val="18"/>
                <w:szCs w:val="18"/>
                <w:color w:val="0000EE"/>
              </w:rPr>
              <w:t>ITEM 7. MAJOR SHAREHOLDERS AND RELATED-PARTY TRANSACTIONS</w:t>
            </w:r>
          </w:p>
        </w:tc>
        <w:tc>
          <w:tcPr>
            <w:tcW w:w="128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Major shareholders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Related-party transactions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Interests of experts and counsel</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shd w:val="clear" w:color="auto" w:fill="CCEEFF"/>
          </w:tcPr>
          <w:p>
            <w:pPr>
              <w:spacing w:after="0"/>
              <w:rPr>
                <w:sz w:val="18"/>
                <w:szCs w:val="18"/>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Consolidated statements and other financial information</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40" w:type="dxa"/>
            <w:vAlign w:val="bottom"/>
            <w:tcBorders>
              <w:top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Significant changes</w:t>
            </w:r>
          </w:p>
        </w:tc>
        <w:tc>
          <w:tcPr>
            <w:tcW w:w="2740" w:type="dxa"/>
            <w:vAlign w:val="bottom"/>
            <w:tcBorders>
              <w:top w:val="single" w:sz="8" w:color="CCEEFF"/>
            </w:tcBorders>
            <w:gridSpan w:val="6"/>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2780" w:type="dxa"/>
            <w:vAlign w:val="bottom"/>
            <w:tcBorders>
              <w:bottom w:val="single" w:sz="8" w:color="0000EE"/>
            </w:tcBorders>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ITEM 9. THE OFFER AND LISTING</w:t>
            </w:r>
          </w:p>
        </w:tc>
        <w:tc>
          <w:tcPr>
            <w:tcW w:w="4820" w:type="dxa"/>
            <w:vAlign w:val="bottom"/>
            <w:tcBorders>
              <w:bottom w:val="single" w:sz="8" w:color="CCEEFF"/>
            </w:tcBorders>
            <w:gridSpan w:val="18"/>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Offering and listing details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380" w:type="dxa"/>
            <w:vAlign w:val="bottom"/>
            <w:tcBorders>
              <w:top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Markets</w:t>
            </w:r>
          </w:p>
        </w:tc>
        <w:tc>
          <w:tcPr>
            <w:tcW w:w="5400" w:type="dxa"/>
            <w:vAlign w:val="bottom"/>
            <w:tcBorders>
              <w:top w:val="single" w:sz="8" w:color="CCEEFF"/>
            </w:tcBorders>
            <w:gridSpan w:val="26"/>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8"/>
                <w:szCs w:val="18"/>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shareholders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0"/>
              </w:rPr>
              <w:t>E.</w:t>
            </w:r>
          </w:p>
        </w:tc>
        <w:tc>
          <w:tcPr>
            <w:tcW w:w="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60" w:type="dxa"/>
            <w:vAlign w:val="bottom"/>
            <w:tcBorders>
              <w:top w:val="single" w:sz="8" w:color="0000EE"/>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Dilution</w:t>
            </w:r>
          </w:p>
        </w:tc>
        <w:tc>
          <w:tcPr>
            <w:tcW w:w="5320" w:type="dxa"/>
            <w:vAlign w:val="bottom"/>
            <w:tcBorders>
              <w:top w:val="single" w:sz="8" w:color="CCEEFF"/>
            </w:tcBorders>
            <w:gridSpan w:val="24"/>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Expenses of the issue</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396875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140" w:type="dxa"/>
            <w:vAlign w:val="bottom"/>
            <w:gridSpan w:val="49"/>
          </w:tcPr>
          <w:p>
            <w:pPr>
              <w:spacing w:after="0"/>
              <w:rPr>
                <w:sz w:val="20"/>
                <w:szCs w:val="20"/>
                <w:color w:val="auto"/>
              </w:rPr>
            </w:pPr>
            <w:r>
              <w:rPr>
                <w:rFonts w:ascii="Times New Roman" w:cs="Times New Roman" w:eastAsia="Times New Roman" w:hAnsi="Times New Roman"/>
                <w:sz w:val="18"/>
                <w:szCs w:val="18"/>
                <w:color w:val="0000EE"/>
              </w:rPr>
              <w:t>ITEM 10. ADDITIONAL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Share capital</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Memorandum and articles of association</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C.</w:t>
            </w:r>
          </w:p>
        </w:tc>
        <w:tc>
          <w:tcPr>
            <w:tcW w:w="340" w:type="dxa"/>
            <w:vAlign w:val="bottom"/>
            <w:tcBorders>
              <w:bottom w:val="single" w:sz="8" w:color="CCEEFF"/>
            </w:tcBorders>
            <w:gridSpan w:val="3"/>
            <w:shd w:val="clear" w:color="auto" w:fill="CCEEFF"/>
          </w:tcPr>
          <w:p>
            <w:pPr>
              <w:spacing w:after="0"/>
              <w:rPr>
                <w:sz w:val="18"/>
                <w:szCs w:val="18"/>
                <w:color w:val="auto"/>
              </w:rPr>
            </w:pPr>
          </w:p>
        </w:tc>
        <w:tc>
          <w:tcPr>
            <w:tcW w:w="130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Material contracts</w:t>
            </w:r>
          </w:p>
        </w:tc>
        <w:tc>
          <w:tcPr>
            <w:tcW w:w="6000" w:type="dxa"/>
            <w:vAlign w:val="bottom"/>
            <w:tcBorders>
              <w:bottom w:val="single" w:sz="8" w:color="CCEEFF"/>
            </w:tcBorders>
            <w:gridSpan w:val="28"/>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Exchange controls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E.</w:t>
            </w:r>
          </w:p>
        </w:tc>
        <w:tc>
          <w:tcPr>
            <w:tcW w:w="340" w:type="dxa"/>
            <w:vAlign w:val="bottom"/>
            <w:tcBorders>
              <w:bottom w:val="single" w:sz="8" w:color="CCEEFF"/>
            </w:tcBorders>
            <w:gridSpan w:val="3"/>
            <w:shd w:val="clear" w:color="auto" w:fill="CCEEFF"/>
          </w:tcPr>
          <w:p>
            <w:pPr>
              <w:spacing w:after="0"/>
              <w:rPr>
                <w:sz w:val="18"/>
                <w:szCs w:val="18"/>
                <w:color w:val="auto"/>
              </w:rPr>
            </w:pPr>
          </w:p>
        </w:tc>
        <w:tc>
          <w:tcPr>
            <w:tcW w:w="62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3"/>
              </w:rPr>
              <w:t>Taxation</w:t>
            </w:r>
          </w:p>
        </w:tc>
        <w:tc>
          <w:tcPr>
            <w:tcW w:w="6680" w:type="dxa"/>
            <w:vAlign w:val="bottom"/>
            <w:tcBorders>
              <w:bottom w:val="single" w:sz="8" w:color="CCEEFF"/>
            </w:tcBorders>
            <w:gridSpan w:val="35"/>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7"/>
          </w:tcPr>
          <w:p>
            <w:pPr>
              <w:jc w:val="center"/>
              <w:ind w:right="360"/>
              <w:spacing w:after="0" w:line="189" w:lineRule="exact"/>
              <w:rPr>
                <w:sz w:val="20"/>
                <w:szCs w:val="20"/>
                <w:color w:val="auto"/>
              </w:rPr>
            </w:pPr>
            <w:r>
              <w:rPr>
                <w:rFonts w:ascii="Times New Roman" w:cs="Times New Roman" w:eastAsia="Times New Roman" w:hAnsi="Times New Roman"/>
                <w:sz w:val="18"/>
                <w:szCs w:val="18"/>
                <w:color w:val="0000EE"/>
                <w:w w:val="96"/>
              </w:rPr>
              <w:t>F.</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Dividends and paying agents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G.</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Statement by experts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H.</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Documents on display</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gridSpan w:val="6"/>
            <w:shd w:val="clear" w:color="auto" w:fill="CCEEFF"/>
          </w:tcPr>
          <w:p>
            <w:pPr>
              <w:jc w:val="center"/>
              <w:ind w:right="380"/>
              <w:spacing w:after="0" w:line="189" w:lineRule="exact"/>
              <w:rPr>
                <w:sz w:val="20"/>
                <w:szCs w:val="20"/>
                <w:color w:val="auto"/>
              </w:rPr>
            </w:pPr>
            <w:r>
              <w:rPr>
                <w:rFonts w:ascii="Times New Roman" w:cs="Times New Roman" w:eastAsia="Times New Roman" w:hAnsi="Times New Roman"/>
                <w:sz w:val="18"/>
                <w:szCs w:val="18"/>
                <w:color w:val="0000EE"/>
                <w:w w:val="94"/>
              </w:rPr>
              <w:t>I.</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Subsidiary information</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7"/>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J.</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Annual report to security holders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11. QUANTITATIVE AND QUALITATIVE DISCLOSURES ABOUT MARKET RISK</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6860" w:type="dxa"/>
            <w:vAlign w:val="bottom"/>
            <w:tcBorders>
              <w:top w:val="single" w:sz="8" w:color="0000EE"/>
            </w:tcBorders>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260" w:type="dxa"/>
            <w:vAlign w:val="bottom"/>
            <w:tcBorders>
              <w:top w:val="single" w:sz="8" w:color="CCEEFF"/>
            </w:tcBorders>
            <w:gridSpan w:val="2"/>
          </w:tcPr>
          <w:p>
            <w:pPr>
              <w:spacing w:after="0"/>
              <w:rPr>
                <w:sz w:val="16"/>
                <w:szCs w:val="16"/>
                <w:color w:val="auto"/>
              </w:rPr>
            </w:pPr>
          </w:p>
        </w:tc>
        <w:tc>
          <w:tcPr>
            <w:tcW w:w="76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Debt securities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Warrants and rights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C.</w:t>
            </w:r>
          </w:p>
        </w:tc>
        <w:tc>
          <w:tcPr>
            <w:tcW w:w="340" w:type="dxa"/>
            <w:vAlign w:val="bottom"/>
            <w:gridSpan w:val="3"/>
            <w:shd w:val="clear" w:color="auto" w:fill="CCEEFF"/>
          </w:tcPr>
          <w:p>
            <w:pPr>
              <w:spacing w:after="0"/>
              <w:rPr>
                <w:sz w:val="16"/>
                <w:szCs w:val="16"/>
                <w:color w:val="auto"/>
              </w:rPr>
            </w:pP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securities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American depositary shares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0000EE"/>
            </w:tcBorders>
            <w:vMerge w:val="continue"/>
          </w:tcPr>
          <w:p>
            <w:pPr>
              <w:spacing w:after="0"/>
              <w:rPr>
                <w:sz w:val="18"/>
                <w:szCs w:val="18"/>
                <w:color w:val="auto"/>
              </w:rPr>
            </w:pPr>
          </w:p>
        </w:tc>
        <w:tc>
          <w:tcPr>
            <w:tcW w:w="580" w:type="dxa"/>
            <w:vAlign w:val="bottom"/>
            <w:tcBorders>
              <w:bottom w:val="single" w:sz="8" w:color="0000EE"/>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9"/>
              </w:rPr>
              <w:t>PART II</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Defaults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Arrears and delinquencies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14. MATERIAL MODIFICATIONS TO THE RIGHTS OF SECURITY HOLDERS AND USE OF</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3"/>
        </w:trPr>
        <w:tc>
          <w:tcPr>
            <w:tcW w:w="20" w:type="dxa"/>
            <w:vAlign w:val="bottom"/>
            <w:tcBorders>
              <w:top w:val="single" w:sz="8" w:color="0000EE"/>
              <w:bottom w:val="single" w:sz="8" w:color="0000EE"/>
            </w:tcBorders>
          </w:tcPr>
          <w:p>
            <w:pPr>
              <w:spacing w:after="0"/>
              <w:rPr>
                <w:sz w:val="21"/>
                <w:szCs w:val="21"/>
                <w:color w:val="auto"/>
              </w:rPr>
            </w:pPr>
          </w:p>
        </w:tc>
        <w:tc>
          <w:tcPr>
            <w:tcW w:w="900" w:type="dxa"/>
            <w:vAlign w:val="bottom"/>
            <w:tcBorders>
              <w:top w:val="single" w:sz="8" w:color="0000EE"/>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PROCEEDS</w:t>
            </w:r>
          </w:p>
        </w:tc>
        <w:tc>
          <w:tcPr>
            <w:tcW w:w="6720" w:type="dxa"/>
            <w:vAlign w:val="bottom"/>
            <w:tcBorders>
              <w:top w:val="single" w:sz="8" w:color="0000EE"/>
              <w:bottom w:val="single" w:sz="8" w:color="CCEEFF"/>
            </w:tcBorders>
            <w:gridSpan w:val="37"/>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20" w:type="dxa"/>
            <w:vAlign w:val="bottom"/>
            <w:gridSpan w:val="48"/>
          </w:tcPr>
          <w:p>
            <w:pPr>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Disclosure controls and procedures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Management’s Annual Report on internal control over financial reporting</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C.</w:t>
            </w:r>
          </w:p>
        </w:tc>
        <w:tc>
          <w:tcPr>
            <w:tcW w:w="340" w:type="dxa"/>
            <w:vAlign w:val="bottom"/>
            <w:tcBorders>
              <w:bottom w:val="single" w:sz="8" w:color="CCEEFF"/>
            </w:tcBorders>
            <w:gridSpan w:val="3"/>
            <w:shd w:val="clear" w:color="auto" w:fill="CCEEFF"/>
          </w:tcPr>
          <w:p>
            <w:pPr>
              <w:spacing w:after="0"/>
              <w:rPr>
                <w:sz w:val="18"/>
                <w:szCs w:val="18"/>
                <w:color w:val="auto"/>
              </w:rPr>
            </w:pPr>
          </w:p>
        </w:tc>
        <w:tc>
          <w:tcPr>
            <w:tcW w:w="4160" w:type="dxa"/>
            <w:vAlign w:val="bottom"/>
            <w:tcBorders>
              <w:bottom w:val="single" w:sz="8" w:color="0000EE"/>
            </w:tcBorders>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Attestation report of the registered public accounting firm</w:t>
            </w:r>
          </w:p>
        </w:tc>
        <w:tc>
          <w:tcPr>
            <w:tcW w:w="3140" w:type="dxa"/>
            <w:vAlign w:val="bottom"/>
            <w:tcBorders>
              <w:bottom w:val="single" w:sz="8" w:color="CCEEFF"/>
            </w:tcBorders>
            <w:gridSpan w:val="8"/>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73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Changes in internal control over financial reporting</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16. [RESERVED]</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1920" w:type="dxa"/>
            <w:vAlign w:val="bottom"/>
            <w:tcBorders>
              <w:bottom w:val="single" w:sz="8" w:color="0000EE"/>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ITEM 16B. Code of Ethics</w:t>
            </w:r>
          </w:p>
        </w:tc>
        <w:tc>
          <w:tcPr>
            <w:tcW w:w="6200" w:type="dxa"/>
            <w:vAlign w:val="bottom"/>
            <w:tcBorders>
              <w:bottom w:val="single" w:sz="8" w:color="CCEEFF"/>
            </w:tcBorders>
            <w:gridSpan w:val="30"/>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5140" w:type="dxa"/>
            <w:vAlign w:val="bottom"/>
            <w:tcBorders>
              <w:bottom w:val="single" w:sz="8" w:color="0000EE"/>
            </w:tcBorders>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ITEM 16D. Exemptions from the listing standards for audit committees</w:t>
            </w:r>
          </w:p>
        </w:tc>
        <w:tc>
          <w:tcPr>
            <w:tcW w:w="2980" w:type="dxa"/>
            <w:vAlign w:val="bottom"/>
            <w:tcBorders>
              <w:bottom w:val="single" w:sz="8" w:color="CCEEFF"/>
            </w:tcBorders>
            <w:gridSpan w:val="7"/>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960" w:type="dxa"/>
            <w:vAlign w:val="bottom"/>
            <w:tcBorders>
              <w:top w:val="single" w:sz="8" w:color="0000EE"/>
            </w:tcBorders>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4160" w:type="dxa"/>
            <w:vAlign w:val="bottom"/>
            <w:tcBorders>
              <w:top w:val="single" w:sz="8" w:color="CCEEFF"/>
            </w:tcBorders>
            <w:gridSpan w:val="10"/>
          </w:tcPr>
          <w:p>
            <w:pPr>
              <w:spacing w:after="0"/>
              <w:rPr>
                <w:sz w:val="16"/>
                <w:szCs w:val="16"/>
                <w:color w:val="auto"/>
              </w:rPr>
            </w:pPr>
          </w:p>
        </w:tc>
        <w:tc>
          <w:tcPr>
            <w:tcW w:w="76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2460" w:type="dxa"/>
            <w:vAlign w:val="bottom"/>
            <w:tcBorders>
              <w:bottom w:val="single" w:sz="8" w:color="0000EE"/>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ITEM 16J. Insider trading policies</w:t>
            </w:r>
          </w:p>
        </w:tc>
        <w:tc>
          <w:tcPr>
            <w:tcW w:w="5660" w:type="dxa"/>
            <w:vAlign w:val="bottom"/>
            <w:tcBorders>
              <w:bottom w:val="single" w:sz="8" w:color="CCEEFF"/>
            </w:tcBorders>
            <w:gridSpan w:val="22"/>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16K. Cybersecurity</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64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0"/>
              </w:rPr>
              <w:t>PART III</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ITEM 17. Financial statements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bottom w:val="single" w:sz="8" w:color="0000EE"/>
            </w:tcBorders>
          </w:tcPr>
          <w:p>
            <w:pPr>
              <w:spacing w:after="0"/>
              <w:rPr>
                <w:sz w:val="16"/>
                <w:szCs w:val="16"/>
                <w:color w:val="auto"/>
              </w:rPr>
            </w:pPr>
          </w:p>
        </w:tc>
        <w:tc>
          <w:tcPr>
            <w:tcW w:w="1340" w:type="dxa"/>
            <w:vAlign w:val="bottom"/>
            <w:tcBorders>
              <w:top w:val="single" w:sz="8" w:color="0000EE"/>
              <w:bottom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EE"/>
                <w:w w:val="97"/>
              </w:rPr>
              <w:t>ITEM 19. Exhibits</w:t>
            </w:r>
          </w:p>
        </w:tc>
        <w:tc>
          <w:tcPr>
            <w:tcW w:w="860" w:type="dxa"/>
            <w:vAlign w:val="bottom"/>
            <w:tcBorders>
              <w:top w:val="single" w:sz="8" w:color="0000EE"/>
            </w:tcBorders>
            <w:gridSpan w:val="11"/>
          </w:tcPr>
          <w:p>
            <w:pPr>
              <w:spacing w:after="0"/>
              <w:rPr>
                <w:sz w:val="16"/>
                <w:szCs w:val="16"/>
                <w:color w:val="auto"/>
              </w:rPr>
            </w:pPr>
          </w:p>
        </w:tc>
        <w:tc>
          <w:tcPr>
            <w:tcW w:w="5920" w:type="dxa"/>
            <w:vAlign w:val="bottom"/>
            <w:tcBorders>
              <w:top w:val="single" w:sz="8" w:color="CCEEFF"/>
            </w:tcBorders>
            <w:gridSpan w:val="26"/>
          </w:tcPr>
          <w:p>
            <w:pPr>
              <w:spacing w:after="0"/>
              <w:rPr>
                <w:sz w:val="16"/>
                <w:szCs w:val="16"/>
                <w:color w:val="auto"/>
              </w:rPr>
            </w:pPr>
          </w:p>
        </w:tc>
        <w:tc>
          <w:tcPr>
            <w:tcW w:w="76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left="60" w:right="79" w:firstLine="324"/>
        <w:spacing w:after="0" w:line="230"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annual report on Form 20-F (the “Annual Report”) to “AC Immune,” “ACIU,” “Company,” “we,” “our,” “ours,” “us” or similar terms refer to AC Immune SA together with its subsidiary. The Company owns various registered and unregistered trademarks, for some of which protection has been obtained or is being sought, including Morphomer™, SupraAntigen</w:t>
      </w:r>
      <w:r>
        <w:rPr>
          <w:rFonts w:ascii="Times New Roman" w:cs="Times New Roman" w:eastAsia="Times New Roman" w:hAnsi="Times New Roman"/>
          <w:sz w:val="26"/>
          <w:szCs w:val="26"/>
          <w:color w:val="222222"/>
          <w:vertAlign w:val="superscript"/>
        </w:rPr>
        <w:t>®</w:t>
      </w:r>
      <w:r>
        <w:rPr>
          <w:rFonts w:ascii="Times New Roman" w:cs="Times New Roman" w:eastAsia="Times New Roman" w:hAnsi="Times New Roman"/>
          <w:sz w:val="18"/>
          <w:szCs w:val="18"/>
          <w:color w:val="auto"/>
        </w:rPr>
        <w:t xml:space="preserve"> and its corporate name, logo and Nasdaq Global Market symbol. All other trademarks, trade names and service marks of other companies appearing in this Annual Report are the property of their respective owners. Solely for convenience, the trademarks and trade names in this Annual Report may be referred to without the respective </w:t>
      </w:r>
      <w:r>
        <w:rPr>
          <w:rFonts w:ascii="Times New Roman" w:cs="Times New Roman" w:eastAsia="Times New Roman" w:hAnsi="Times New Roman"/>
          <w:sz w:val="26"/>
          <w:szCs w:val="26"/>
          <w:color w:val="222222"/>
          <w:vertAlign w:val="superscript"/>
        </w:rPr>
        <w:t>®</w:t>
      </w:r>
      <w:r>
        <w:rPr>
          <w:rFonts w:ascii="Times New Roman" w:cs="Times New Roman" w:eastAsia="Times New Roman" w:hAnsi="Times New Roman"/>
          <w:sz w:val="18"/>
          <w:szCs w:val="18"/>
          <w:color w:val="auto"/>
        </w:rPr>
        <w:t xml:space="preserve"> and ™ symbols, but such references should not be construed as any indicator that their respective owners will not assert, to the fullest extent under applicable law, their rights thereto. The Company does not intend to use or display other companies’ trademarks and/or trade names to imply a relationship with, or endorsement or sponsorship of the Company by, any other companies.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presented in Swiss Francs and in accordance with International Financial Reporting Standards (IFRS) Accounting Standards, as issued by the International Accounting Standards Board (IASB). None of the consolidated financial statements was prepared in accordance with generally accepted accounting principles in the United States (U.S.). The terms “dollar” and “USD” refer to U.S. dollars, and the terms “Swiss Franc” and “CHF” refer to the legal currency of Switzerland, unless otherwise indicated. We have made rounding adjustments to some of the figures included in this Annual Report. Accordingly, any numerical discrepancies in any table between totals and sums of the amounts listed are due to rounding.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product candidates, product pipeline, ongoing and planned clinical studies, including those of our collaboration partners, regulatory approvals, research and development (R&amp;D) costs, timing and likelihood of success, as well as plans and objectives of management for future operations, are forward-looking statements. Many of the forward-looking statements contained in this Annual Report can be identified by the use of forward-looking words such as “anticipate,” “believe,” “could,” “expect,” “should,” “plan,” “intend,” “estimate,” “will” and “potential,” among others.</w:t>
      </w:r>
    </w:p>
    <w:p>
      <w:pPr>
        <w:spacing w:after="0" w:line="19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“Item 3. Key information—D. Risk factors” in this Annual Report. These risks and uncertainties include multiple factors:</w:t>
      </w:r>
    </w:p>
    <w:p>
      <w:pPr>
        <w:spacing w:after="0" w:line="203" w:lineRule="exact"/>
        <w:rPr>
          <w:sz w:val="20"/>
          <w:szCs w:val="20"/>
          <w:color w:val="auto"/>
        </w:rPr>
      </w:pPr>
    </w:p>
    <w:p>
      <w:pPr>
        <w:ind w:left="720" w:right="139" w:hanging="319"/>
        <w:spacing w:after="0" w:line="26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and maintain regulatory approval and to commercialize our active immunotherapies (ACI-35.030, ACI-24.060 and ACI-</w:t>
      </w:r>
    </w:p>
    <w:p>
      <w:pPr>
        <w:spacing w:after="0" w:line="1" w:lineRule="exact"/>
        <w:rPr>
          <w:rFonts w:ascii="Times New Roman" w:cs="Times New Roman" w:eastAsia="Times New Roman" w:hAnsi="Times New Roman"/>
          <w:sz w:val="18"/>
          <w:szCs w:val="18"/>
          <w:color w:val="auto"/>
        </w:rPr>
      </w:pPr>
    </w:p>
    <w:p>
      <w:pPr>
        <w:ind w:left="720" w:right="15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7104.056) and diagnostics (Tau-PET tracer PI-2620, a-syn-PET tracers ACI-12589 and ACI-15916 and TDP-43-PET tracer ACI-19626) and to a lesser extent our preclinical candidates;</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and clinical safety, efficacy and utility of our product candidates;</w:t>
      </w:r>
    </w:p>
    <w:p>
      <w:pPr>
        <w:spacing w:after="0" w:line="225"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25"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and not infringe on third parties’,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720" w:right="123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720" w:right="179" w:hanging="319"/>
        <w:spacing w:after="0" w:line="312" w:lineRule="auto"/>
        <w:tabs>
          <w:tab w:leader="none" w:pos="7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39" w:lineRule="exact"/>
        <w:rPr>
          <w:rFonts w:ascii="Times New Roman" w:cs="Times New Roman" w:eastAsia="Times New Roman" w:hAnsi="Times New Roman"/>
          <w:sz w:val="17"/>
          <w:szCs w:val="17"/>
          <w:color w:val="auto"/>
        </w:rPr>
      </w:pPr>
    </w:p>
    <w:p>
      <w:pPr>
        <w:ind w:left="720" w:right="4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(FPI) status, the loss of which would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under “Item 3. Key information—D. Risk factors.”</w:t>
      </w:r>
    </w:p>
    <w:p>
      <w:pPr>
        <w:spacing w:after="0" w:line="22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applicable only as of the date of this Annual Report, and are subject to a number of risks, uncertainties and assumptions described under the sections in this Annual Report entitled “Item 3. Key information—D. Risk factors” and “Item 5. Operating and financial review and prospects,”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5" w:lineRule="exact"/>
        <w:rPr>
          <w:sz w:val="20"/>
          <w:szCs w:val="20"/>
          <w:color w:val="auto"/>
        </w:rPr>
      </w:pPr>
    </w:p>
    <w:p>
      <w:pPr>
        <w:ind w:left="380" w:right="6039" w:hanging="330"/>
        <w:spacing w:after="0" w:line="500" w:lineRule="auto"/>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Directors and senior management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Advisers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w:t>
      </w:r>
    </w:p>
    <w:p>
      <w:pPr>
        <w:spacing w:after="0" w:line="215"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5" w:lineRule="exact"/>
        <w:rPr>
          <w:sz w:val="20"/>
          <w:szCs w:val="20"/>
          <w:color w:val="auto"/>
        </w:rPr>
      </w:pPr>
    </w:p>
    <w:p>
      <w:pPr>
        <w:jc w:val="both"/>
        <w:ind w:left="380" w:right="7519" w:hanging="330"/>
        <w:spacing w:after="0" w:line="530" w:lineRule="auto"/>
        <w:tabs>
          <w:tab w:leader="none" w:pos="3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Offer statistics </w:t>
      </w:r>
      <w:r>
        <w:rPr>
          <w:rFonts w:ascii="Times New Roman" w:cs="Times New Roman" w:eastAsia="Times New Roman" w:hAnsi="Times New Roman"/>
          <w:sz w:val="17"/>
          <w:szCs w:val="17"/>
          <w:color w:val="auto"/>
        </w:rPr>
        <w:t>Not applicable.</w:t>
      </w:r>
    </w:p>
    <w:p>
      <w:pPr>
        <w:ind w:left="380" w:right="6239" w:hanging="330"/>
        <w:spacing w:after="0" w:line="500" w:lineRule="auto"/>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 and expected timetable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12"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80" w:right="6179" w:hanging="330"/>
        <w:spacing w:after="0" w:line="500" w:lineRule="auto"/>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5499" w:hanging="330"/>
        <w:spacing w:after="0" w:line="500" w:lineRule="auto"/>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w:t>
      </w:r>
    </w:p>
    <w:p>
      <w:pPr>
        <w:spacing w:after="0" w:line="29" w:lineRule="exact"/>
        <w:rPr>
          <w:sz w:val="20"/>
          <w:szCs w:val="20"/>
          <w:color w:val="auto"/>
        </w:rPr>
      </w:pPr>
    </w:p>
    <w:p>
      <w:pPr>
        <w:ind w:left="60" w:right="59"/>
        <w:spacing w:after="0" w:line="249" w:lineRule="auto"/>
        <w:rPr>
          <w:sz w:val="20"/>
          <w:szCs w:val="20"/>
          <w:color w:val="auto"/>
        </w:rPr>
      </w:pPr>
      <w:r>
        <w:rPr>
          <w:rFonts w:ascii="Times New Roman" w:cs="Times New Roman" w:eastAsia="Times New Roman" w:hAnsi="Times New Roman"/>
          <w:sz w:val="18"/>
          <w:szCs w:val="18"/>
          <w:i w:val="1"/>
          <w:iCs w:val="1"/>
          <w:color w:val="auto"/>
        </w:rPr>
        <w:t>Report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Annual Report also contains forward-looking statements that involve risks and uncertainties. See “Forward-Looking Statements.” Our actual results could differ materially and adversely from those anticipated in these forward-looking statements as a result of certain factors.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below provides a summary of our principal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depend heavily on the success of our clinical and, to a lesser extent, preclinical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139" w:hanging="331"/>
        <w:spacing w:after="0" w:line="266" w:lineRule="auto"/>
        <w:tabs>
          <w:tab w:leader="none" w:pos="1380" w:val="left"/>
        </w:tabs>
        <w:numPr>
          <w:ilvl w:val="1"/>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ability to generate product revenues, which we do not expect to occur for several years, will depend on clinical and regulatory success which have low probabilities of success in the central nervous system (CNS) space in which we operate.</w:t>
      </w:r>
    </w:p>
    <w:p>
      <w:pPr>
        <w:spacing w:after="0" w:line="175" w:lineRule="exact"/>
        <w:rPr>
          <w:rFonts w:ascii="Times New Roman" w:cs="Times New Roman" w:eastAsia="Times New Roman" w:hAnsi="Times New Roman"/>
          <w:sz w:val="18"/>
          <w:szCs w:val="18"/>
          <w:color w:val="222222"/>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Results of early preclinical and clinical studies may not be predictive of future results:</w:t>
      </w:r>
    </w:p>
    <w:p>
      <w:pPr>
        <w:spacing w:after="0" w:line="225" w:lineRule="exact"/>
        <w:rPr>
          <w:rFonts w:ascii="Times New Roman" w:cs="Times New Roman" w:eastAsia="Times New Roman" w:hAnsi="Times New Roman"/>
          <w:sz w:val="18"/>
          <w:szCs w:val="18"/>
          <w:color w:val="222222"/>
        </w:rPr>
      </w:pPr>
    </w:p>
    <w:p>
      <w:pPr>
        <w:ind w:left="1380" w:right="219" w:hanging="331"/>
        <w:spacing w:after="0" w:line="282" w:lineRule="auto"/>
        <w:tabs>
          <w:tab w:leader="none" w:pos="1380" w:val="left"/>
        </w:tabs>
        <w:numPr>
          <w:ilvl w:val="1"/>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Products that show positive or timely preclinical or early clinical results may not show sufficient safety or efficacy in later-stage clinical studies and therefore may fail to obtain regulatory approvals.</w:t>
      </w:r>
    </w:p>
    <w:p>
      <w:pPr>
        <w:spacing w:after="0" w:line="161" w:lineRule="exact"/>
        <w:rPr>
          <w:rFonts w:ascii="Times New Roman" w:cs="Times New Roman" w:eastAsia="Times New Roman" w:hAnsi="Times New Roman"/>
          <w:sz w:val="18"/>
          <w:szCs w:val="18"/>
          <w:color w:val="222222"/>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gain market acceptance or may be preempted by competitors:</w:t>
      </w:r>
    </w:p>
    <w:p>
      <w:pPr>
        <w:spacing w:after="0" w:line="225" w:lineRule="exact"/>
        <w:rPr>
          <w:rFonts w:ascii="Times New Roman" w:cs="Times New Roman" w:eastAsia="Times New Roman" w:hAnsi="Times New Roman"/>
          <w:sz w:val="18"/>
          <w:szCs w:val="18"/>
          <w:color w:val="auto"/>
        </w:rPr>
      </w:pPr>
    </w:p>
    <w:p>
      <w:pPr>
        <w:ind w:left="1380" w:right="519" w:hanging="331"/>
        <w:spacing w:after="0" w:line="282" w:lineRule="auto"/>
        <w:tabs>
          <w:tab w:leader="none" w:pos="1380" w:val="left"/>
        </w:tabs>
        <w:numPr>
          <w:ilvl w:val="1"/>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Even if our products obtain regulatory approval, they may not be accepted by healthcare providers, patients or the medical community.</w:t>
      </w:r>
    </w:p>
    <w:p>
      <w:pPr>
        <w:spacing w:after="0" w:line="161" w:lineRule="exact"/>
        <w:rPr>
          <w:rFonts w:ascii="Times New Roman" w:cs="Times New Roman" w:eastAsia="Times New Roman" w:hAnsi="Times New Roman"/>
          <w:sz w:val="18"/>
          <w:szCs w:val="18"/>
          <w:color w:val="222222"/>
        </w:rPr>
      </w:pPr>
    </w:p>
    <w:p>
      <w:pPr>
        <w:ind w:left="1380" w:right="119" w:hanging="331"/>
        <w:spacing w:after="0" w:line="261" w:lineRule="auto"/>
        <w:tabs>
          <w:tab w:leader="none" w:pos="1380" w:val="left"/>
        </w:tabs>
        <w:numPr>
          <w:ilvl w:val="1"/>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success is dependent on the ability to discover, develop and obtain marketing approval for our products. We face and will continue to face intense competition from a variety of businesses, including large fully integrated biopharmaceutical and pharmaceutical companies and others that may have greater financial, technical and human resources.</w:t>
      </w:r>
    </w:p>
    <w:p>
      <w:pPr>
        <w:spacing w:after="0" w:line="166" w:lineRule="exact"/>
        <w:rPr>
          <w:rFonts w:ascii="Times New Roman" w:cs="Times New Roman" w:eastAsia="Times New Roman" w:hAnsi="Times New Roman"/>
          <w:sz w:val="18"/>
          <w:szCs w:val="18"/>
          <w:color w:val="222222"/>
        </w:rPr>
      </w:pPr>
    </w:p>
    <w:p>
      <w:pPr>
        <w:ind w:left="1380" w:hanging="331"/>
        <w:spacing w:after="0"/>
        <w:tabs>
          <w:tab w:leader="none" w:pos="1380" w:val="left"/>
        </w:tabs>
        <w:numPr>
          <w:ilvl w:val="1"/>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A competitor may enter with a generic of an approved innovator product.</w:t>
      </w:r>
    </w:p>
    <w:p>
      <w:pPr>
        <w:spacing w:after="0" w:line="225" w:lineRule="exact"/>
        <w:rPr>
          <w:rFonts w:ascii="Times New Roman" w:cs="Times New Roman" w:eastAsia="Times New Roman" w:hAnsi="Times New Roman"/>
          <w:sz w:val="18"/>
          <w:szCs w:val="18"/>
          <w:color w:val="222222"/>
        </w:rPr>
      </w:pPr>
    </w:p>
    <w:p>
      <w:pPr>
        <w:ind w:left="720" w:right="479" w:hanging="319"/>
        <w:spacing w:after="0" w:line="282" w:lineRule="auto"/>
        <w:tabs>
          <w:tab w:leader="none" w:pos="720"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may not be successful in using and expanding our Morphomer and SupraAntigen proprietary technology platforms.</w:t>
      </w:r>
    </w:p>
    <w:p>
      <w:pPr>
        <w:spacing w:after="0" w:line="161" w:lineRule="exact"/>
        <w:rPr>
          <w:rFonts w:ascii="Times New Roman" w:cs="Times New Roman" w:eastAsia="Times New Roman" w:hAnsi="Times New Roman"/>
          <w:sz w:val="18"/>
          <w:szCs w:val="18"/>
          <w:color w:val="222222"/>
        </w:rPr>
      </w:pPr>
    </w:p>
    <w:p>
      <w:pPr>
        <w:ind w:left="720" w:right="659" w:hanging="319"/>
        <w:spacing w:after="0" w:line="282" w:lineRule="auto"/>
        <w:tabs>
          <w:tab w:leader="none" w:pos="720"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operate in highly competitive and rapidly changing industries, which may result in others discovering, developing or commercializing competing products before or more successfully than we do.</w:t>
      </w:r>
    </w:p>
    <w:p>
      <w:pPr>
        <w:spacing w:after="0" w:line="161" w:lineRule="exact"/>
        <w:rPr>
          <w:rFonts w:ascii="Times New Roman" w:cs="Times New Roman" w:eastAsia="Times New Roman" w:hAnsi="Times New Roman"/>
          <w:sz w:val="18"/>
          <w:szCs w:val="18"/>
          <w:color w:val="222222"/>
        </w:rPr>
      </w:pPr>
    </w:p>
    <w:p>
      <w:pPr>
        <w:ind w:left="720" w:right="639" w:hanging="319"/>
        <w:spacing w:after="0" w:line="282" w:lineRule="auto"/>
        <w:tabs>
          <w:tab w:leader="none" w:pos="720"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future growth and ability to compete depends on retaining our key personnel and recruiting additional qualified personnel including members of our Executive Committee.</w:t>
      </w:r>
    </w:p>
    <w:p>
      <w:pPr>
        <w:spacing w:after="0" w:line="161" w:lineRule="exact"/>
        <w:rPr>
          <w:rFonts w:ascii="Times New Roman" w:cs="Times New Roman" w:eastAsia="Times New Roman" w:hAnsi="Times New Roman"/>
          <w:sz w:val="18"/>
          <w:szCs w:val="18"/>
          <w:color w:val="222222"/>
        </w:rPr>
      </w:pPr>
    </w:p>
    <w:p>
      <w:pPr>
        <w:ind w:left="720" w:right="419" w:hanging="319"/>
        <w:spacing w:after="0" w:line="266" w:lineRule="auto"/>
        <w:tabs>
          <w:tab w:leader="none" w:pos="720"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 breakdown or breach of our information technology systems and cybersecurity efforts, or those of our key business partners, contract research organizations (CROs) or service providers, could subject us to liability or reputational damage or interrupt the operation of our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9" w:lineRule="exact"/>
        <w:rPr>
          <w:sz w:val="20"/>
          <w:szCs w:val="20"/>
          <w:color w:val="auto"/>
        </w:rPr>
      </w:pPr>
    </w:p>
    <w:p>
      <w:pPr>
        <w:ind w:left="720" w:right="299" w:hanging="319"/>
        <w:spacing w:after="0" w:line="312" w:lineRule="auto"/>
        <w:tabs>
          <w:tab w:leader="none" w:pos="720" w:val="left"/>
        </w:tabs>
        <w:numPr>
          <w:ilvl w:val="0"/>
          <w:numId w:val="17"/>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If we fail to maintain, or realize the benefits from, our current strategic relationships with our current and potential future license and collaboration partners our financial condition may be materially adversely affected.</w:t>
      </w:r>
    </w:p>
    <w:p>
      <w:pPr>
        <w:spacing w:after="0" w:line="139" w:lineRule="exact"/>
        <w:rPr>
          <w:rFonts w:ascii="Times New Roman" w:cs="Times New Roman" w:eastAsia="Times New Roman" w:hAnsi="Times New Roman"/>
          <w:sz w:val="17"/>
          <w:szCs w:val="17"/>
          <w:color w:val="222222"/>
        </w:rPr>
      </w:pPr>
    </w:p>
    <w:p>
      <w:pPr>
        <w:ind w:left="720" w:right="199" w:hanging="319"/>
        <w:spacing w:after="0" w:line="266" w:lineRule="auto"/>
        <w:tabs>
          <w:tab w:leader="none" w:pos="720" w:val="left"/>
        </w:tabs>
        <w:numPr>
          <w:ilvl w:val="0"/>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75" w:lineRule="exact"/>
        <w:rPr>
          <w:rFonts w:ascii="Times New Roman" w:cs="Times New Roman" w:eastAsia="Times New Roman" w:hAnsi="Times New Roman"/>
          <w:sz w:val="18"/>
          <w:szCs w:val="18"/>
          <w:color w:val="222222"/>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collaboration agreements may make us an attractive acquisition target under certain circumstances.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9" w:lineRule="exact"/>
        <w:rPr>
          <w:sz w:val="20"/>
          <w:szCs w:val="20"/>
          <w:color w:val="auto"/>
        </w:rPr>
      </w:pPr>
    </w:p>
    <w:p>
      <w:pPr>
        <w:ind w:left="720" w:right="419" w:hanging="319"/>
        <w:spacing w:after="0" w:line="282" w:lineRule="auto"/>
        <w:tabs>
          <w:tab w:leader="none" w:pos="720" w:val="left"/>
        </w:tabs>
        <w:numPr>
          <w:ilvl w:val="0"/>
          <w:numId w:val="1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or our licensing or collaboration partners may not have sufficient patent terms to protect our products and business effectively, which may adversely affect our product sales and technology development.</w:t>
      </w:r>
    </w:p>
    <w:p>
      <w:pPr>
        <w:spacing w:after="0" w:line="161" w:lineRule="exact"/>
        <w:rPr>
          <w:rFonts w:ascii="Times New Roman" w:cs="Times New Roman" w:eastAsia="Times New Roman" w:hAnsi="Times New Roman"/>
          <w:sz w:val="18"/>
          <w:szCs w:val="18"/>
          <w:color w:val="222222"/>
        </w:rPr>
      </w:pPr>
    </w:p>
    <w:p>
      <w:pPr>
        <w:ind w:left="720" w:right="179" w:hanging="319"/>
        <w:spacing w:after="0" w:line="266" w:lineRule="auto"/>
        <w:tabs>
          <w:tab w:leader="none" w:pos="720" w:val="left"/>
        </w:tabs>
        <w:numPr>
          <w:ilvl w:val="0"/>
          <w:numId w:val="1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If we fail to comply with the obligations to obtain and maintain patent protection such as compliance with intellectual property agreements, including those under which we license intellectual property and other rights to or from third parties, or otherwise experience disruptions to our business relationships with our licensees,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222222"/>
        </w:rPr>
        <w:t>licensors and collaboration partners, we could lose intellectual property rights that are important to our business.</w:t>
      </w:r>
    </w:p>
    <w:p>
      <w:pPr>
        <w:spacing w:after="0" w:line="225"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may be subject to claims challenging the inventorship of our patents and other intellectual property.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720" w:right="119" w:hanging="319"/>
        <w:spacing w:after="0" w:line="261" w:lineRule="auto"/>
        <w:tabs>
          <w:tab w:leader="none" w:pos="720" w:val="left"/>
        </w:tabs>
        <w:numPr>
          <w:ilvl w:val="0"/>
          <w:numId w:val="2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are a clinical stage biopharmaceutical company with a history of losses. We anticipate incurring losses for the foreseeable future. As such, if we fail to obtain additional funding via product revenues, license and collaboration agreements, equity offerings or other forms of financing, we may need to delay, reduce or eliminate certain of our product development programs.</w:t>
      </w:r>
    </w:p>
    <w:p>
      <w:pPr>
        <w:spacing w:after="0" w:line="166" w:lineRule="exact"/>
        <w:rPr>
          <w:rFonts w:ascii="Times New Roman" w:cs="Times New Roman" w:eastAsia="Times New Roman" w:hAnsi="Times New Roman"/>
          <w:sz w:val="18"/>
          <w:szCs w:val="18"/>
          <w:color w:val="222222"/>
        </w:rPr>
      </w:pPr>
    </w:p>
    <w:p>
      <w:pPr>
        <w:ind w:left="720" w:right="259" w:hanging="319"/>
        <w:spacing w:after="0" w:line="282" w:lineRule="auto"/>
        <w:tabs>
          <w:tab w:leader="none" w:pos="720" w:val="left"/>
        </w:tabs>
        <w:numPr>
          <w:ilvl w:val="0"/>
          <w:numId w:val="2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If we fail to obtain additional funding, we may delay, reduce or eliminate our product development programs or commercialization efforts.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229" w:lineRule="exact"/>
        <w:rPr>
          <w:sz w:val="20"/>
          <w:szCs w:val="20"/>
          <w:color w:val="auto"/>
        </w:rPr>
      </w:pPr>
    </w:p>
    <w:p>
      <w:pPr>
        <w:ind w:left="720" w:right="579" w:hanging="319"/>
        <w:spacing w:after="0" w:line="282"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cannot give any assurance that any of our product candidates will receive regulatory approval, which is necessary before they can be commercialized.</w:t>
      </w:r>
    </w:p>
    <w:p>
      <w:pPr>
        <w:spacing w:after="0" w:line="161" w:lineRule="exact"/>
        <w:rPr>
          <w:rFonts w:ascii="Times New Roman" w:cs="Times New Roman" w:eastAsia="Times New Roman" w:hAnsi="Times New Roman"/>
          <w:sz w:val="18"/>
          <w:szCs w:val="18"/>
          <w:color w:val="222222"/>
        </w:rPr>
      </w:pPr>
    </w:p>
    <w:p>
      <w:pPr>
        <w:ind w:left="720" w:right="239" w:hanging="319"/>
        <w:spacing w:after="0" w:line="266"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Even if we obtain regulatory approvals in one jurisdiction, we may not be able to obtain approval in other jurisdictions. Additionally, we will be subject to ongoing obligations and review which may result in significant additional expenses.</w:t>
      </w:r>
    </w:p>
    <w:p>
      <w:pPr>
        <w:spacing w:after="0" w:line="175" w:lineRule="exact"/>
        <w:rPr>
          <w:rFonts w:ascii="Times New Roman" w:cs="Times New Roman" w:eastAsia="Times New Roman" w:hAnsi="Times New Roman"/>
          <w:sz w:val="18"/>
          <w:szCs w:val="18"/>
          <w:color w:val="222222"/>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have conducted and may in the future conduct clinical studies for our product candidates outside the U.S., and the FDA and applicable foreign regulatory authorities may not accept data from such studies.</w:t>
      </w:r>
    </w:p>
    <w:p>
      <w:pPr>
        <w:spacing w:after="0" w:line="161" w:lineRule="exact"/>
        <w:rPr>
          <w:rFonts w:ascii="Times New Roman" w:cs="Times New Roman" w:eastAsia="Times New Roman" w:hAnsi="Times New Roman"/>
          <w:sz w:val="18"/>
          <w:szCs w:val="18"/>
          <w:color w:val="222222"/>
        </w:rPr>
      </w:pPr>
    </w:p>
    <w:p>
      <w:pPr>
        <w:ind w:left="720" w:right="439" w:hanging="319"/>
        <w:spacing w:after="0" w:line="282"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Enacted and future legislation may increase the difficulty and cost for us to obtain marketing approval of and commercialize our product candidates and may affect the prices we may set.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229" w:lineRule="exact"/>
        <w:rPr>
          <w:sz w:val="20"/>
          <w:szCs w:val="20"/>
          <w:color w:val="auto"/>
        </w:rPr>
      </w:pPr>
    </w:p>
    <w:p>
      <w:pPr>
        <w:ind w:left="720" w:right="239" w:hanging="319"/>
        <w:spacing w:after="0" w:line="282"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have limited free float in our common shares which may have a negative impact on the liquidity and market price of our common shares.</w:t>
      </w:r>
    </w:p>
    <w:p>
      <w:pPr>
        <w:spacing w:after="0" w:line="161" w:lineRule="exact"/>
        <w:rPr>
          <w:rFonts w:ascii="Times New Roman" w:cs="Times New Roman" w:eastAsia="Times New Roman" w:hAnsi="Times New Roman"/>
          <w:sz w:val="18"/>
          <w:szCs w:val="18"/>
          <w:color w:val="222222"/>
        </w:rPr>
      </w:pPr>
    </w:p>
    <w:p>
      <w:pPr>
        <w:ind w:left="720" w:right="159" w:hanging="319"/>
        <w:spacing w:after="0" w:line="282"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Certain of our existing shareholders exercise significant control over us, and your or other shareholders’ interests may conflict with the interests of such shareholders.</w:t>
      </w:r>
    </w:p>
    <w:p>
      <w:pPr>
        <w:spacing w:after="0" w:line="161" w:lineRule="exact"/>
        <w:rPr>
          <w:rFonts w:ascii="Times New Roman" w:cs="Times New Roman" w:eastAsia="Times New Roman" w:hAnsi="Times New Roman"/>
          <w:sz w:val="18"/>
          <w:szCs w:val="18"/>
          <w:color w:val="222222"/>
        </w:rPr>
      </w:pPr>
    </w:p>
    <w:p>
      <w:pPr>
        <w:ind w:left="720" w:right="399" w:hanging="319"/>
        <w:spacing w:after="0" w:line="282"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are a Swiss corporation. The rights of our shareholders may be different from the rights of shareholders in companies governed by the laws of U.S. jurisdictions.</w:t>
      </w:r>
    </w:p>
    <w:p>
      <w:pPr>
        <w:spacing w:after="0" w:line="161" w:lineRule="exact"/>
        <w:rPr>
          <w:rFonts w:ascii="Times New Roman" w:cs="Times New Roman" w:eastAsia="Times New Roman" w:hAnsi="Times New Roman"/>
          <w:sz w:val="18"/>
          <w:szCs w:val="18"/>
          <w:color w:val="222222"/>
        </w:rPr>
      </w:pPr>
    </w:p>
    <w:p>
      <w:pPr>
        <w:ind w:left="720" w:right="119" w:hanging="319"/>
        <w:spacing w:after="0" w:line="312" w:lineRule="auto"/>
        <w:tabs>
          <w:tab w:leader="none" w:pos="720" w:val="left"/>
        </w:tabs>
        <w:numPr>
          <w:ilvl w:val="0"/>
          <w:numId w:val="22"/>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are an FPI and, as a result, we are not subject to U.S. proxy rules and are subject to Exchange Act reporting obligations that, to some extent, are more lenient and less frequent than those of a U.S. domestic public company.</w:t>
      </w:r>
    </w:p>
    <w:p>
      <w:pPr>
        <w:spacing w:after="0" w:line="139" w:lineRule="exact"/>
        <w:rPr>
          <w:rFonts w:ascii="Times New Roman" w:cs="Times New Roman" w:eastAsia="Times New Roman" w:hAnsi="Times New Roman"/>
          <w:sz w:val="17"/>
          <w:szCs w:val="17"/>
          <w:color w:val="222222"/>
        </w:rPr>
      </w:pPr>
    </w:p>
    <w:p>
      <w:pPr>
        <w:ind w:left="720" w:right="179" w:hanging="319"/>
        <w:spacing w:after="0" w:line="261"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As an FPI, and as permitted by the listing requirements of Nasdaq, we rely on certain home country governance practices rather than the corporate governance requirements of Nasdaq. Should we lose our FPI status, we would be required to comply with the Exchange Act’s domestic reporting regime, which would cause us to incur significant legal, accounting and other expenses.</w:t>
      </w:r>
    </w:p>
    <w:p>
      <w:pPr>
        <w:spacing w:after="0" w:line="166" w:lineRule="exact"/>
        <w:rPr>
          <w:rFonts w:ascii="Times New Roman" w:cs="Times New Roman" w:eastAsia="Times New Roman" w:hAnsi="Times New Roman"/>
          <w:sz w:val="18"/>
          <w:szCs w:val="18"/>
          <w:color w:val="222222"/>
        </w:rPr>
      </w:pPr>
    </w:p>
    <w:p>
      <w:pPr>
        <w:ind w:left="720" w:right="419" w:hanging="319"/>
        <w:spacing w:after="0" w:line="266"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were likely a passive foreign investment company (a “PFIC”) for certain of our previous taxable years. Although we believe we were likely not a PFIC for 2024, there can be no assurance that the Internal Revenue Service will agree. We cannot express any expectation regarding our PFIC status for 2025 or future taxable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spacing w:after="0" w:line="282" w:lineRule="auto"/>
        <w:rPr>
          <w:sz w:val="20"/>
          <w:szCs w:val="20"/>
          <w:color w:val="auto"/>
        </w:rPr>
      </w:pPr>
      <w:r>
        <w:rPr>
          <w:rFonts w:ascii="Times New Roman" w:cs="Times New Roman" w:eastAsia="Times New Roman" w:hAnsi="Times New Roman"/>
          <w:sz w:val="18"/>
          <w:szCs w:val="18"/>
          <w:color w:val="222222"/>
        </w:rPr>
        <w:t>years. If we are a PFIC for any taxable year during which a U.S. investor owns our common shares, the investor generally will be subject to adverse U.S. federal income tax consequences.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220" w:right="41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depend heavily on the success of our clinical and, to a lesser extent, preclinical products. Our clinical product candidates currently in development include our active immunotherapies (ACI-35.030, ACI-24.060 and ACI-</w:t>
      </w:r>
    </w:p>
    <w:p>
      <w:pPr>
        <w:spacing w:after="0" w:line="1" w:lineRule="exact"/>
        <w:rPr>
          <w:sz w:val="20"/>
          <w:szCs w:val="20"/>
          <w:color w:val="auto"/>
        </w:rPr>
      </w:pPr>
    </w:p>
    <w:p>
      <w:pPr>
        <w:ind w:left="220" w:right="99"/>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7104.056) and diagnostics (Tau-PET tracer PI-2620, a-syn-PET tracers ACI-12589 and ACI-15916 and TDP-43-PET tracer ACI-19626). If our clinical studies are unsuccessful, if we or our collaboration partners do not obtain regulatory approval or if we or our collaboration partners are unable to commercialize our active immunotherapies (ACI-35.030, ACI-24.060 and ACI-7104.056) and diagnostics (Tau-PET tracer PI-2620, a-syn-PET tracers ACI-12589 and ACI-15916 and TDP-43-PET tracer ACI-19626), or if we experience significant delays in doing so, our business, financial condition and results of operations will be materially adversely affected.</w:t>
      </w:r>
    </w:p>
    <w:p>
      <w:pPr>
        <w:spacing w:after="0" w:line="192"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We currently have no products approved for sale and have invested, and will continue to invest, a significant portion of our efforts and financial resources in the development of our active immunotherapies (ACI-35.030, ACI-24.060 and ACI-7104.056) and diagnostics (Tau-PET tracer PI-2620, a-syn-PET tracers ACI-12589 and ACI-15916 and TDP-43-PET tracer ACI-19626), all of which are in clinical development as well as other preclinical candidates such as our small molecule programs including therapeutics (Morphomer Tau), our TDP-43 antibody, Morphomer a-syn and inflammasome therapeutics (NLRP3 small molecule and ASC antibody). Our ability to generate product revenues, which we do not expect will occur for at least the next several years, if ever, will depend heavily on successful clinical development, obtaining regulatory approval and eventual commercialization of these product candidates. In this regard, we rely heavily on our collaboration partners for clinical development of certain of our product candidates, and they may choose to discontinue the clinical development process in certain cases. In addition, we currently generate no revenues from sales of any drugs or diagnostics, and we may never be able to develop or commercialize a marketable drug or diagnostic. The success of our current and future product candidates will depend on several factors, including, but not limited to, the following:</w:t>
      </w:r>
    </w:p>
    <w:p>
      <w:pPr>
        <w:spacing w:after="0" w:line="197" w:lineRule="exact"/>
        <w:rPr>
          <w:sz w:val="20"/>
          <w:szCs w:val="20"/>
          <w:color w:val="auto"/>
        </w:rPr>
      </w:pPr>
    </w:p>
    <w:p>
      <w:pPr>
        <w:ind w:left="720" w:right="7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preclinical and clinical studies that demonstrate the efficacy, safety and clinical utility of our preclinical and clinical product candidates;</w:t>
      </w:r>
    </w:p>
    <w:p>
      <w:pPr>
        <w:spacing w:after="0" w:line="1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marketing and distribution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 or diagnostic approaches; and</w:t>
      </w:r>
    </w:p>
    <w:p>
      <w:pPr>
        <w:spacing w:after="0" w:line="225"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enforcing and defending our intellectual property rights and claims and not infringing on third parties’ intellectual property rights.</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If we or our collaboration partners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Results of early clinical studies may not be predictive of future study results.</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Positive or timely results from preclinical or early-stage clinical studies do not ensure positive or timely results in mid-to late-stage clinical studies or product approval by the U.S. FDA, the European Medicines Agency (EMA), or comparable foreign regulatory authorities. Products that show positive preclinical or early clinical results may not show sufficient safety or efficacy in later-stage clinical studies and therefore may fail to obtain regulatory approvals. In addition, preclinical and clinical data are often susceptible to varying interpretations and analyses. Many companies that believed their 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that the data collected from clinical studies of our product candidates are promising, such data may not be sufficient to support approval by the FDA, the EMA or any other regulatory authority.</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later-stage clinical product candidates, results may differ in general on the basis of the larger number of clinical study sites and the additional countries and languages involved in these clinical studies.</w:t>
      </w:r>
    </w:p>
    <w:p>
      <w:pPr>
        <w:spacing w:after="0" w:line="189" w:lineRule="exact"/>
        <w:rPr>
          <w:sz w:val="20"/>
          <w:szCs w:val="20"/>
          <w:color w:val="auto"/>
        </w:rPr>
      </w:pPr>
    </w:p>
    <w:p>
      <w:pPr>
        <w:ind w:left="60" w:right="299" w:firstLine="324"/>
        <w:spacing w:after="0" w:line="253" w:lineRule="auto"/>
        <w:rPr>
          <w:sz w:val="20"/>
          <w:szCs w:val="20"/>
          <w:color w:val="auto"/>
        </w:rPr>
      </w:pPr>
      <w:r>
        <w:rPr>
          <w:rFonts w:ascii="Times New Roman" w:cs="Times New Roman" w:eastAsia="Times New Roman" w:hAnsi="Times New Roman"/>
          <w:sz w:val="18"/>
          <w:szCs w:val="18"/>
          <w:color w:val="auto"/>
        </w:rPr>
        <w:t>Clinical studies may include subject-reported outcomes, some of which may be captured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are conducting and may conduct will demonstrate consistent or adequate efficacy and safety to obtain regulatory approval to market our product candidates.</w:t>
      </w:r>
    </w:p>
    <w:p>
      <w:pPr>
        <w:spacing w:after="0" w:line="18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183"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720" w:right="73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1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conditional approval or otherwise to additional post-marketing studies or other requirements;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product from the market after obtaining marketing approval.</w:t>
      </w:r>
    </w:p>
    <w:p>
      <w:pPr>
        <w:spacing w:after="0" w:line="22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receiving marketing approvals and we may be required to obtain additional funds to complete clinical studies. We cannot assure you that our clinical studies will begin as planned or be completed on schedule, if at all, or that we will not need to amend our studies after they have begun. Significant clinical study delays could also shorten any periods during which we or our collaboration partners may have the exclusive right to commercialize our product candidates, or allow our competitors to bring products to market before we do, which may harm our business and results of operations. In addition, some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factors that cause, or lead to, clinical study delays may ultimately lead to the denial of regulatory approval of our product candidates.</w:t>
      </w:r>
    </w:p>
    <w:p>
      <w:pPr>
        <w:spacing w:after="0" w:line="158" w:lineRule="exact"/>
        <w:rPr>
          <w:sz w:val="20"/>
          <w:szCs w:val="20"/>
          <w:color w:val="auto"/>
        </w:rPr>
      </w:pPr>
    </w:p>
    <w:p>
      <w:pPr>
        <w:ind w:left="38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undertake one or more significant corporate transactions that may not achieve their intended results, may adversely affect our financial condition and our results of operations or result in unforeseeable risks to our business.</w:t>
      </w:r>
    </w:p>
    <w:p>
      <w:pPr>
        <w:spacing w:after="0" w:line="175"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We continuously evaluate the acquisition or disposition of operating businesses and assets and may in the future undertake one or more significant transactions, such as our purchase in 2021 of Affiris AG’s (Affiris) program portfolio of therapeutics targeting a-syn, notably the predecessor of our ACI-7104.056, a clinically-validated active immunotherapy candidate for the treatment of Parkinson’s disease (PD). Any such transaction could be material to our business and could take any number of forms, including mergers, joint ventures and the purchase of equity interests, amongst others. The consideration for such acquisitive transactions may include, among other things, cash, common shares or equity interests in us or our subsidiary, or a contribution of equipment to obtain equity interests, and in conjunction with a transaction we might incur additional indebtedness. We also routinely evaluate the benefits of disposing of certain of our assets.</w:t>
      </w:r>
    </w:p>
    <w:p>
      <w:pPr>
        <w:spacing w:after="0" w:line="192"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These transactions may present significant risks such as insufficient revenue to offset liabilities assumed, potential loss of significant revenue and income streams, increased or unexpected expenses, inadequate return of capital, regulatory or compliance issues, the triggering of certain covenants in our debt agreements (including accelerated repayment) and unidentified issues not discovered in due diligence. In addition, such transactions could distract management from current operations. As a result of the risks inherent in such transactions, we cannot guarantee that any such transaction will ultimately result in the realization of its anticipated benefits or that it will not have a material adverse effect on our business, financial condition and results of operations. If we were to complete such an acquisition, disposition, investment or other strategic transaction, we may require additional debt or equity financing that could result in a significant increase in our amount of debt and our debt service obligations or the number of outstanding common shares, thereby diluting holders of our common shares outstanding prior to such acquisition.</w:t>
      </w:r>
    </w:p>
    <w:p>
      <w:pPr>
        <w:spacing w:after="0" w:line="189" w:lineRule="exact"/>
        <w:rPr>
          <w:sz w:val="20"/>
          <w:szCs w:val="20"/>
          <w:color w:val="auto"/>
        </w:rPr>
      </w:pPr>
    </w:p>
    <w:p>
      <w:pPr>
        <w:ind w:left="3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competitors could enter the market with generic versions of our products, which may result in a material decline in sales of affected products.</w:t>
      </w:r>
    </w:p>
    <w:p>
      <w:pPr>
        <w:spacing w:after="0" w:line="159"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Act, a pharmaceutical manufacturer may file an abbreviated new drug application (ANDA), seeking approval of a generic copy of an approved innovator product. Under the Hatch-Waxman Act, a manufacturer may also submit a new drug application (NDA) under Section 505(b)(2) that references the FDA’s prior approval of the innovator product. A 505(b)(2) NDA product may be submitted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also be given to the innovator, and if within 45 days of receiving notice the innovator, in order to protect its patents, sues the company that manufactures the generic, approval of the ANDA is stayed for 30 months, or as lengthened or shortened by the court.</w:t>
      </w:r>
    </w:p>
    <w:p>
      <w:pPr>
        <w:spacing w:after="0" w:line="19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Accordingly, if our active immunotherapies (ACI-35.030, ACI-24.060 and ACI-7104.056) and diagnostics (Tau-PET tracer PI-2620, a-syn-PET tracers ACI-12589 and ACI-15916 and TDP-43-PET tracer ACI-19626) are approved, competitors could file ANDAs for generic versions of our active immunotherapies (ACI-35.030, ACI-24.060 and ACI-7104.056) and diagnostics (Tau-PET tracer PI-2620, a-syn-PET tracers ACI-12589 and ACI-15916 and TDP-43-PET tracer ACI-19626) or 505(b)(2) NDAs that reference our active immunotherapies (ACI-35.030, ACI-24.060 and ACI-7104.056) and diagnostics (Tau-PET tracer PI-2620, a-syn-PET tracers ACI-12589 and ACI-15916 and TDP-43-PET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tracer ACI-19626), respectively. If there are patents listed in the Orange Book for our active immunotherapies (ACI-</w:t>
      </w:r>
    </w:p>
    <w:p>
      <w:pPr>
        <w:spacing w:after="0" w:line="27"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35.030, ACI-24.060 and ACI-7104.056) and diagnostics (Tau-PET tracer PI-2620, a-syn-PET tracers ACI-12589 and ACI-15916 and TDP-43-PET tracer ACI-19626), respectively, those ANDAs and 505(b)(2) NDAs would be required to include a certification for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7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We may not be successful in securing or maintaining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183" w:lineRule="exact"/>
        <w:rPr>
          <w:sz w:val="20"/>
          <w:szCs w:val="20"/>
          <w:color w:val="auto"/>
        </w:rPr>
      </w:pPr>
    </w:p>
    <w:p>
      <w:pPr>
        <w:ind w:left="380" w:right="3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182"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For example, the Inflation Reduction Act (IRA) of 2022, among other things, incentivizes the renegotiation with the U.S. government of the prices of certain pharmaceutical drugs and imposes penalties for Medicare drugs that increase in price faster than the rate of inflation. See “—Enacted and future legislation may increase the difficulty and cost for us to obtain marketing approval of and commercialize our product candidates and may affect the prices we may set” below. In light of such challenges to prices and the requirement for increasing levels of evidence of the benefits and clinical outcomes of new technologies, we cannot be sure that coverage will be available for any of our current or future product candidates that we or our collaboration partners will commercialize or, if available, that the reimbursement rates will be adequate in each respective region. If we are unable to obtain adequate levels of coverage and reimbursement for our product candidates, their marketability will be negatively and materially impacted.</w:t>
      </w:r>
    </w:p>
    <w:p>
      <w:pPr>
        <w:spacing w:after="0" w:line="183"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Third-party payors may deny coverage and reimbursement status altogether for a given drug product, or may cover the product but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in the future depending on policy changes enacted by the U.S. Congress.</w:t>
      </w:r>
    </w:p>
    <w:p>
      <w:pPr>
        <w:spacing w:after="0" w:line="18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unavailability or inadequacy and variability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83" w:lineRule="exact"/>
        <w:rPr>
          <w:sz w:val="20"/>
          <w:szCs w:val="20"/>
          <w:color w:val="auto"/>
        </w:rPr>
      </w:pPr>
    </w:p>
    <w:p>
      <w:pPr>
        <w:ind w:left="380" w:right="1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 Fast Track designation by the FDA may not lead to faster development or a faster regulatory review or approval process and does not increase the likelihood that our product candidates will receive regulatory approval.</w:t>
      </w:r>
    </w:p>
    <w:p>
      <w:pPr>
        <w:spacing w:after="0" w:line="136" w:lineRule="exact"/>
        <w:rPr>
          <w:sz w:val="20"/>
          <w:szCs w:val="20"/>
          <w:color w:val="auto"/>
        </w:rPr>
      </w:pPr>
    </w:p>
    <w:p>
      <w:pPr>
        <w:ind w:left="60" w:right="279" w:firstLine="324"/>
        <w:spacing w:after="0" w:line="280" w:lineRule="auto"/>
        <w:rPr>
          <w:sz w:val="20"/>
          <w:szCs w:val="20"/>
          <w:color w:val="auto"/>
        </w:rPr>
      </w:pPr>
      <w:r>
        <w:rPr>
          <w:rFonts w:ascii="Times New Roman" w:cs="Times New Roman" w:eastAsia="Times New Roman" w:hAnsi="Times New Roman"/>
          <w:sz w:val="17"/>
          <w:szCs w:val="17"/>
          <w:color w:val="auto"/>
        </w:rPr>
        <w:t>If a drug or biologic is intended for the treatment of a serious or life-threatening condition and the product demonstrates the potential to address unmet medical needs for this condition, the sponsor may apply for FDA Fast Track designation for a particular indication. We have received Fast Track designation for ACI-24.060, ACI-35.030 and PI-</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9" w:lineRule="auto"/>
        <w:rPr>
          <w:sz w:val="20"/>
          <w:szCs w:val="20"/>
          <w:color w:val="auto"/>
        </w:rPr>
      </w:pPr>
      <w:r>
        <w:rPr>
          <w:rFonts w:ascii="Times New Roman" w:cs="Times New Roman" w:eastAsia="Times New Roman" w:hAnsi="Times New Roman"/>
          <w:sz w:val="17"/>
          <w:szCs w:val="17"/>
          <w:color w:val="auto"/>
        </w:rPr>
        <w:t>2620 and we may also seek Fast Track designation for certain of our future product candidates, but there is no assurance that the FDA will grant this status to any of our future product candidates. If granted, Fast Track designation makes a product eligible for more frequent interactions with the FDA to discuss the development plan and clinical trial design, as well as rolling review of the application, which means that the company can submit completed sections of its marketing application for review prior to completion of the entire submission. Even if this designation is obtained, we may not experience a faster development process, review or approval compared to conventional FDA procedures, and receiving a fast-track designation does not provide any assurance of ultimate FDA approval. In addition, the FDA may withdraw Fast Track designation if it believes that the designation is no longer supported by data from our clinical development program.</w:t>
      </w:r>
    </w:p>
    <w:p>
      <w:pPr>
        <w:spacing w:after="0" w:line="174" w:lineRule="exact"/>
        <w:rPr>
          <w:sz w:val="20"/>
          <w:szCs w:val="20"/>
          <w:color w:val="auto"/>
        </w:rPr>
      </w:pPr>
    </w:p>
    <w:p>
      <w:pPr>
        <w:jc w:val="both"/>
        <w:ind w:left="38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may not gain market acceptance, in which case we or our collaboration partners may not be able to generate product revenues, which will materially adversely affect our business, financial condition and results of operations.</w:t>
      </w:r>
    </w:p>
    <w:p>
      <w:pPr>
        <w:spacing w:after="0" w:line="17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Even if the FDA, the EMA or any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or our collaboration partners may not generate significant product or royalty revenues or any profits from operations. The degree of market acceptance of our product candidates that are approved for commercial sale will depend on a variety of factors, including:</w:t>
      </w:r>
    </w:p>
    <w:p>
      <w:pPr>
        <w:spacing w:after="0" w:line="187"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clinicians and potential patients perceive our novel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clinical profile of competing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 or clinical utility;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diagnostics and screening infrastructure in each market;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reimbursement and adequate payment from health maintenance organizations and other third-party payors, both public and private;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over alternative treatment methods.</w:t>
      </w:r>
    </w:p>
    <w:p>
      <w:pPr>
        <w:spacing w:after="0" w:line="225"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to not be large enough to allow us to generate significant revenues.</w:t>
      </w:r>
    </w:p>
    <w:p>
      <w:pPr>
        <w:spacing w:after="0" w:line="176"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the potential market opportunity of our product candidates is difficult to estimate precisely. Our estimates of the potential market opportunity are predicated on several key assumptions such as industry knowledge and publications, third-party research reports and other surveys. These assumptions involve the exercise of significant judgment on the part of our management and are inherently uncertain, and the reasonableness of these assumptions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healthcare payors and patients, our product or royalty revenue may be limited and it may be more difficult for us to achieve or maintain profitability.</w:t>
      </w:r>
    </w:p>
    <w:p>
      <w:pPr>
        <w:spacing w:after="0" w:line="179" w:lineRule="exact"/>
        <w:rPr>
          <w:sz w:val="20"/>
          <w:szCs w:val="20"/>
          <w:color w:val="auto"/>
        </w:rPr>
      </w:pPr>
    </w:p>
    <w:p>
      <w:pPr>
        <w:ind w:left="38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122"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Successful and timely completion of clinical studies will require that we enroll a sufficient number of patient candidates. Studies may be subject to delays as a result of patient enrollment taking longer than anticipated or by patient withdrawal. Patient enrollment depends on many factors, including the size and nature of the patient population, the eligibility criteria for the study, the proximity of patients to clinical sites, the design of the clinical protocol, the existence of competing clinical studies, the availability of new drugs approved for the indication the clinical study is investigating, and clinicians’ and patients’ perceptions as to the potential advantages of the drug being studied in relation to other available therapies. In addition, with the passage of the Food and Drug Omnibus Reform Act of 2022 (FDORA), Congress required sponsors to develop and submit a diversity action plan for each Phase 3 clinical trial or any other pivotal study of a new drug. These plans are meant to encourage the enrollment of more diverse patient populations in late-stage clinical trials of FDA-regulated products. Specifically, action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19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Generally, the specific target population of patients and therapeutic time windows may make it difficult for us to enroll enough patients to complete clinical studies for our product candidates in a timely and cost-effective manner. Delays in the completion of any clinical study of our product candidates will increase our costs, slow down our product candidate development and approval process, and delay or potentially jeopardize our or our collaboration partners’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183" w:lineRule="exact"/>
        <w:rPr>
          <w:sz w:val="20"/>
          <w:szCs w:val="20"/>
          <w:color w:val="auto"/>
        </w:rPr>
      </w:pPr>
    </w:p>
    <w:p>
      <w:pPr>
        <w:ind w:left="380" w:right="1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8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early-stage testing were later found to cause side effects that restricted their use and prevented further development of the compound for larger indications.</w:t>
      </w:r>
    </w:p>
    <w:p>
      <w:pPr>
        <w:spacing w:after="0" w:line="183"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Occurrence of serious procedure- or treatment-related side effects could impede clinical study enrollment and receipt of marketing approval from the FDA, the EMA and comparable foreign regulatory authorities. Adverse events (AEs) could also adversely affect physician or patient acceptance of our product candidates.</w:t>
      </w:r>
    </w:p>
    <w:p>
      <w:pPr>
        <w:spacing w:after="0" w:line="183"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 the following:</w:t>
      </w:r>
    </w:p>
    <w:p>
      <w:pPr>
        <w:spacing w:after="0" w:line="176" w:lineRule="exact"/>
        <w:rPr>
          <w:sz w:val="20"/>
          <w:szCs w:val="20"/>
          <w:color w:val="auto"/>
        </w:rPr>
      </w:pPr>
    </w:p>
    <w:p>
      <w:pPr>
        <w:ind w:left="720" w:right="41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and require us or our collaboration partners to take any approved products off the market;</w:t>
      </w:r>
    </w:p>
    <w:p>
      <w:pPr>
        <w:spacing w:after="0" w:line="16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1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to conduct additional studies or to change the labeling of the product;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collaboration partners may be subject to limitations in how we promote the product;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225"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ind w:left="38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59"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pharmaceutical and biopharmaceutical industries may result in even more resources being concentrated among a smaller number of our competitors.</w:t>
      </w:r>
    </w:p>
    <w:p>
      <w:pPr>
        <w:spacing w:after="0" w:line="193"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highly competitive nature of and rapid technological changes in the pharmaceutical and biopharmaceutical industries could render our product candidates or our technology obsolete or noncompetitive. The commercial opportunity for our products could be reduced or eliminated if our competitors:</w:t>
      </w:r>
    </w:p>
    <w:p>
      <w:pPr>
        <w:spacing w:after="0" w:line="176" w:lineRule="exact"/>
        <w:rPr>
          <w:sz w:val="20"/>
          <w:szCs w:val="20"/>
          <w:color w:val="auto"/>
        </w:rPr>
      </w:pPr>
    </w:p>
    <w:p>
      <w:pPr>
        <w:ind w:left="720" w:right="9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products that are safer, more effective, less expensive, or more convenient or easier to administer;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quicker FDA or other regulatory approval for their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intellectual property and proprietary positions;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access to more manufacturing capacity;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more effective approaches to sales, marketing and distribution;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advantageous strategic alliances.</w:t>
      </w:r>
    </w:p>
    <w:p>
      <w:pPr>
        <w:spacing w:after="0" w:line="22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Should any of these occur, our business, financial condition and results of operations could be materially adversely affected.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that our key competitor product candidates are (i) AADvac1 (Axon Neuroscience) for ACI-35.030;</w:t>
      </w:r>
    </w:p>
    <w:p>
      <w:pPr>
        <w:spacing w:after="0" w:line="27" w:lineRule="exact"/>
        <w:rPr>
          <w:sz w:val="20"/>
          <w:szCs w:val="20"/>
          <w:color w:val="auto"/>
        </w:rPr>
      </w:pPr>
    </w:p>
    <w:p>
      <w:pPr>
        <w:ind w:left="320" w:hanging="270"/>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UB-311 (Vaxxinity) and ABvac-40 (Araclon Biotech) for ACI-24.060; (iii) UB-312 (Vaxxinity) for ACI-7104.056;</w:t>
      </w:r>
    </w:p>
    <w:p>
      <w:pPr>
        <w:spacing w:after="0" w:line="9" w:lineRule="exact"/>
        <w:rPr>
          <w:rFonts w:ascii="Times New Roman" w:cs="Times New Roman" w:eastAsia="Times New Roman" w:hAnsi="Times New Roman"/>
          <w:sz w:val="18"/>
          <w:szCs w:val="18"/>
          <w:color w:val="auto"/>
        </w:rPr>
      </w:pPr>
    </w:p>
    <w:p>
      <w:pPr>
        <w:ind w:left="60" w:right="219" w:hanging="10"/>
        <w:spacing w:after="0" w:line="249" w:lineRule="auto"/>
        <w:tabs>
          <w:tab w:leader="none" w:pos="3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bepranemab (UCB/Roche), E-2814 (Eisai) and JNJ63733657 (Janssen) for semorinemab; (v) Leqembi (BioArctic/Eisai), Kisunla (Eli Lilly and Company) and their subcutaneous formulations, trontinemab (Roche), ACU193 (Acumen Pharmaceuticals), PMN310 (ProMIS Neurosciences) and PRX012 (Prothena) for crenezumab; (vi) HMTM (TauRx Pharmaceuticals) for Morphomer Tau; (vii) Tauvid (Eli Lilly and Company), florzolotau (Aprinoia Therapeutics), MK-6240 (Lantheus) and GTP1 (Genentech) for PI-2620; (viii) UCB-2897 (UCB) for ACI-12589 and ACI-15916, as described under “Item 4. Information on the Company—B. Business overview—Competition.”</w:t>
      </w:r>
    </w:p>
    <w:p>
      <w:pPr>
        <w:spacing w:after="0" w:line="188" w:lineRule="exact"/>
        <w:rPr>
          <w:sz w:val="20"/>
          <w:szCs w:val="20"/>
          <w:color w:val="auto"/>
        </w:rPr>
      </w:pPr>
    </w:p>
    <w:p>
      <w:pPr>
        <w:ind w:left="38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15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A key element of our strategy is to use and expand our Morphomer and SupraAntigen proprietary technology platforms to create unique therapies and diagnostics misfolded proteins in diseases, such as AD, PD and others (including NeuroOrphan diseases such as ALS and PSP), and progress these product candidates through clinical development. Although our research and development efforts to date have resulted in a pipeline of product candidates, we may not be able in the future to develop product candidates that are safe and effective. Even if we are successful in continuing to build our pipelines, the potential product candidates that we identify may not be suitable for clinical development, potentially as a result of having harmful side effects or other characteristics indicating they may be unlikely to receive marketing approval and achieve market acceptance.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international operations.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We and a number of our suppliers and collaborative and clinical study relationships are located outside the U.S. Accordingly, our future results could be harmed by a variety of factors, including:</w:t>
      </w:r>
    </w:p>
    <w:p>
      <w:pPr>
        <w:spacing w:after="0" w:line="162"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non-U.S. countries;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such as sanctions by U.S. or non-U.S. governments;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9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61"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In addition, the ongoing conflicts between Russia and Ukraine and Israel and Hamas have caused, and may cause additional, political and economic disruptions. Governments in the United States, United Kingdom and European Union have imposed certain sanctions against Russia. The invasion of Ukraine and the retaliatory measures that have been taken, or could be taken in the future, by the United States, NATO, and other countries have created global security concerns that could result in a regional conflict and otherwise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this region. Currently, none of our clinical development or business activities are conducted directly or otherwise in Russia or Ukraine.</w:t>
      </w:r>
    </w:p>
    <w:p>
      <w:pPr>
        <w:spacing w:after="0" w:line="187" w:lineRule="exact"/>
        <w:rPr>
          <w:sz w:val="20"/>
          <w:szCs w:val="20"/>
          <w:color w:val="auto"/>
        </w:rPr>
      </w:pPr>
    </w:p>
    <w:p>
      <w:pPr>
        <w:ind w:left="60" w:right="5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5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rising interest rates and high inflation may cause our cost of doing business to materially increase and may adversely impact our ability to operate or may adversely impact other parties upon whom we rely for research and development capabilities to operate. The most recent global financial crisis caused extreme volatility and disruptions in the capital and credit markets. A severe or prolonged economic downturn, such as the most recent global financial crisis, could result in a variety of risks to our business, including our ability to raise additional capital when needed on acceptable terms, if at all.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189"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On February 1, 2025, the President of the United States signed an executive order which provided that, effective February 4, 2025, certain imports from Mexico, Canada and China would be subject to tariffs. The application of the executive order was subsequently suspended and the final implementation and size of the respective tariffs remains uncertain. However, these proposed tariffs have resulted in retaliatory tariffs, and threats thereof, against U.S. goods. It remains too early to know what the ultimate impact of these potential and actual tariffs on our business and financial condition could be. In addition, ongoing changes in U.S. and foreign government trade policies, including potential modifications to existing trade agreements, could introduce additional uncertainty. Trade restrictions and export regulations, or increases in tariffs (including tariffs on imports from Europe) and additional taxes, including any retaliatory measures could have a material and adverse effect on our business, results of operations, or financial condition.</w:t>
      </w:r>
    </w:p>
    <w:p>
      <w:pPr>
        <w:spacing w:after="0" w:line="189" w:lineRule="exact"/>
        <w:rPr>
          <w:sz w:val="20"/>
          <w:szCs w:val="20"/>
          <w:color w:val="auto"/>
        </w:rPr>
      </w:pPr>
    </w:p>
    <w:p>
      <w:pPr>
        <w:ind w:left="38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such as the Covid-19 pandemic may impact our business, including preclinical and clinical trials and regulatory approvals.</w:t>
      </w:r>
    </w:p>
    <w:p>
      <w:pPr>
        <w:spacing w:after="0" w:line="15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response to a public health crisis, governments, public institutions, and other organizations in countries and localities may take certain preventative or protective measures to combat the transmission of the virus, including the implementation of travel restrictions or bans, closures of non-essential businesses, limitations of public gatherings, other social distancing and shelter-in-place measures, and delays or cancellations of elective surgeries. A public health crisis could pose the risk that the Company, our employees, contractors, suppliers, and other partners may be prevented from conducting business activities for an indefinite period of time due to shutdowns that may be requested or mandated by state and federal governmental authorities.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business and planned clinical trials could be materially impacted by disruptions such as:</w:t>
      </w:r>
    </w:p>
    <w:p>
      <w:pPr>
        <w:spacing w:after="0" w:line="225"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conducting preclinical research and clinical trials;</w:t>
      </w:r>
    </w:p>
    <w:p>
      <w:pPr>
        <w:spacing w:after="0" w:line="225"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manufacturing and shipping that may affect the manufacturing and/or transport of clinical trial materials and other materials, including testing equipment and personal protective equipment, used at our or our CROs’ and contract manufacturing organizations’ (CMOs’) facilities;</w:t>
      </w:r>
    </w:p>
    <w:p>
      <w:pPr>
        <w:spacing w:after="0" w:line="175"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public health crisis which may require us to change the way in which clinical trials are conducted and may result in unexpected costs;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secure additional financing.</w:t>
      </w:r>
    </w:p>
    <w:p>
      <w:pPr>
        <w:spacing w:after="0" w:line="225"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addition, a public health crisis could disrupt our operations due to absenteeism by infected or ill members of Executive Management or other employees, or absenteeism by members of Executive Management and other employees who elect not to come to work due to the illness affecting others in our office or laboratory facilities, or due to quarantines. Such a public health crisis could also impact members of our Board and its ability to hold meetings.</w:t>
      </w:r>
    </w:p>
    <w:p>
      <w:pPr>
        <w:spacing w:after="0" w:line="176" w:lineRule="exact"/>
        <w:rPr>
          <w:sz w:val="20"/>
          <w:szCs w:val="20"/>
          <w:color w:val="auto"/>
        </w:rPr>
      </w:pPr>
    </w:p>
    <w:p>
      <w:pPr>
        <w:ind w:left="380" w:right="2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monitor and respond to the rapid and ongoing developments and expectations relating to environmental, social and governance (ESG) and climate change matters, including legal and regulatory developments and related social expectations and concerns, may impose costs on us or result in reputational or other harm to us that could have a material adverse effect on our business, financial condition and results of operations.</w:t>
      </w:r>
    </w:p>
    <w:p>
      <w:pPr>
        <w:spacing w:after="0" w:line="18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If we are not able to adequately recognize and respond to the rapid and ongoing developments and governmental and social expectations relating to ESG matters such as climate change and access to health care and affordable drugs, this failure could result in missed corporate opportunities, additional regulatory, social or other scrutiny of us and our business, the imposition of unexpected costs or in damage to our reputation or our various relationships with governments, customers, employees, third parties and the communities in which we operate, in each case that could have a material adverse effect on our business, financial condition and results of operations.</w:t>
      </w:r>
    </w:p>
    <w:p>
      <w:pPr>
        <w:spacing w:after="0" w:line="18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For example, expectations 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 In addition, certain market participants, including major institutional investors and capital providers, use third 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To the extent ESG matters negatively impact our reputation, it may also impede our ability to compete as effectively to attract and retain employees, which may adversely impact our operations.</w:t>
      </w:r>
    </w:p>
    <w:p>
      <w:pPr>
        <w:spacing w:after="0" w:line="192"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Climate change, and laws, regulations and policies regarding climate change and the disclosure of climate change-related information and risks, could also pose additional legal or regulatory requirements related to greenhouse gas emissions reporting, carbon pricing, and mandatory reduction targets. For example, on March 6, 2024, the SEC finalized new rules for public companies that will require extensive climate-related disclosures and significant analysis of the impact of climate-related issues on our business strategy, results of operations, and financial condition (the “SEC Climate Disclosure Rules”). The SEC issued an order staying implementation of the SEC Climate Disclosure Rules pending the resolution of certain challenges; moreover, the ultimate fate of the SEC Climate Disclosure Rules under the Trump administration is uncertain. Climate change and ESG related disclosure and diligence rules have also been enacted or proposed in the EU and other jurisdictions. Our legal, accounting, and other compliance expenses may increase significantly, and compliance efforts may divert management time and attention, as we prepare for the potential implementation of the SEC Climate Disclosure Rules and climate change disclosure requirements in the EU and other jurisdictions. As such, existing climate change-related requirements, and any more stringent requirements in the future, could increase our costs of sourcing, production, and transportation, increase our costs of compliance with disclosure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reporting requirements, as well as have negative reputational impacts if we fail to meet such requirements, and could have a material adverse effect on our business, financial condition, results of operations and reputation.</w:t>
      </w:r>
    </w:p>
    <w:p>
      <w:pPr>
        <w:spacing w:after="0" w:line="158" w:lineRule="exact"/>
        <w:rPr>
          <w:sz w:val="20"/>
          <w:szCs w:val="20"/>
          <w:color w:val="auto"/>
        </w:rPr>
      </w:pPr>
    </w:p>
    <w:p>
      <w:pPr>
        <w:ind w:left="38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commercializing biologics or pharmaceutical products, which may make it difficult to evaluate the prospects for our future viability.</w:t>
      </w:r>
    </w:p>
    <w:p>
      <w:pPr>
        <w:spacing w:after="0" w:line="15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We began our operations in 2003. Our operations to date have been limited to financing and staffing our company, developing our technology and developing our product candidates as well as clinical trials. We have not yet demonstrated an ability to successfully complete a large-scale, pivotal clinical study, obtain marketing approval, manufacture a commercial-scale product, or conduct sales and marketing activities necessary for successful product commercialization. Consequently, predictions about our future success or viability may not be as accurate as they could be if we had a history of successfully developing and commercializing biologics or pharmaceutical products.</w:t>
      </w:r>
    </w:p>
    <w:p>
      <w:pPr>
        <w:spacing w:after="0" w:line="185" w:lineRule="exact"/>
        <w:rPr>
          <w:sz w:val="20"/>
          <w:szCs w:val="20"/>
          <w:color w:val="auto"/>
        </w:rPr>
      </w:pPr>
    </w:p>
    <w:p>
      <w:pPr>
        <w:ind w:left="38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and ability to compete depends on retaining our key personnel and recruiting additional qualified personnel.</w:t>
      </w:r>
    </w:p>
    <w:p>
      <w:pPr>
        <w:spacing w:after="0" w:line="15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Andrea Pfeifer, Ph.D., our Chief Executive Officer; Anke Post, M.D., Ph.D., our Chief Medical Officer; Christopher Roberts, our Chief Financial Officer; Piergiorgio Donati, our Chief Technical Operations Officer; Howard Donovan, our Chief Human Resources Officer; Mark Danton, our Executive Vice President (EVP) EVP Artificial Intelligence and Information Systems; Günther Staffler, Ph.D., our Senior Vice President (SVP) Immunotherapy; Julien Rongère, Ph.D., our SVP for Regulatory Affairs and Quality Assurance; Gary Waanders, Ph.D., our SVP Investor Relations and Corporate Communications; Matthias Maurer, Ph.D., our SVP General Counsel; Bojana Portmann, Ph.D., our Vice President (VP) for Intellectual Property and Business Development (VP IP and BD); Olivier Sol, M.D., our VP Head of Clinical Development; and Francesca Capotosti, Ph.D., our VP Research.</w:t>
      </w:r>
    </w:p>
    <w:p>
      <w:pPr>
        <w:spacing w:after="0" w:line="176" w:lineRule="exact"/>
        <w:rPr>
          <w:sz w:val="20"/>
          <w:szCs w:val="20"/>
          <w:color w:val="auto"/>
        </w:rPr>
      </w:pPr>
    </w:p>
    <w:p>
      <w:pPr>
        <w:ind w:left="60" w:right="99" w:firstLine="324"/>
        <w:spacing w:after="0" w:line="251" w:lineRule="auto"/>
        <w:rPr>
          <w:sz w:val="20"/>
          <w:szCs w:val="20"/>
          <w:color w:val="auto"/>
        </w:rPr>
      </w:pPr>
      <w:r>
        <w:rPr>
          <w:rFonts w:ascii="Times New Roman" w:cs="Times New Roman" w:eastAsia="Times New Roman" w:hAnsi="Times New Roman"/>
          <w:sz w:val="18"/>
          <w:szCs w:val="18"/>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imposes an annual binding shareholders’ “say on pay” vote with respect to the total compensation of executive management, including executive officers and the board of directors, and prohibits severance or similar payment, bonuses for company purchases and sales, and additional contracts as consultants to or employees of other companies in the group. In addition, the competition for qualified personnel in the pharmaceutical and biopharmaceutical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could have a material adverse effect on our business.</w:t>
      </w:r>
    </w:p>
    <w:p>
      <w:pPr>
        <w:spacing w:after="0" w:line="193" w:lineRule="exact"/>
        <w:rPr>
          <w:sz w:val="20"/>
          <w:szCs w:val="20"/>
          <w:color w:val="auto"/>
        </w:rPr>
      </w:pPr>
    </w:p>
    <w:p>
      <w:pPr>
        <w:ind w:left="380" w:right="2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or as a result of claims against our directors and officers; and our liability insurance may not cover all damages from such claims.</w:t>
      </w:r>
    </w:p>
    <w:p>
      <w:pPr>
        <w:spacing w:after="0" w:line="18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potential clinical trial liability and professional indemnity risks that are inherent in the research, development, manufacturing, marketing and use of pharmaceutical or biopharmaceutical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by healthcare providers, or by pharmaceutical or biopharmaceutical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3"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purchase liability insurance in connection with the clinical studies that we undertake and for the purpose of indemnifying our directors and officers for claims against them in amounts that we consider to be consistent with industry norms. It is possible that our liabilities could exceed our insurance coverage. For example, if we obtain marketing approval for any of our product candidates, we will intend to expand our insurance coverage to include the sale of commercial products. However, we may not be able to maintain insurance coverage at a reasonable cost or obtain insurance coverage that will be adequate to satisfy any liability that may arise. If a successful liability claim or series of claims is brought against us for uninsured liabilities or in excess of insured liabilities, our assets may not be sufficient to cover such claims and our business operations could be impaired.</w:t>
      </w:r>
    </w:p>
    <w:p>
      <w:pPr>
        <w:spacing w:after="0" w:line="192"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172" w:lineRule="exact"/>
        <w:rPr>
          <w:sz w:val="20"/>
          <w:szCs w:val="20"/>
          <w:color w:val="auto"/>
        </w:rPr>
      </w:pPr>
    </w:p>
    <w:p>
      <w:pPr>
        <w:jc w:val="both"/>
        <w:ind w:left="380" w:right="3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obtain orphan-drug designation for certain of our product candidates. Orphan-drug designation may not ensure that we will enjoy market exclusivity in a particular market, and if we fail to obtain or maintain orphan-drug exclusivity for such product candidates, we may be subject to earlier competition and our potential revenue will be reduced.</w:t>
      </w:r>
    </w:p>
    <w:p>
      <w:pPr>
        <w:spacing w:after="0" w:line="180"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(EU), the EMA’s Committee for Orphan Medicinal Products grants orphan-drug designation to promote the development of products that meet the following criteria: a) they are intended for the diagnosis, prevention, or treatment of a life-threatening or chronically debilitating condition affecting not more than 5 in 10,000 persons in the EU or for products that are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and b) there is no satisfactory method of diagnosis, prevention, or treatment, or, if such a method exists, the medicine must be of significant benefit to those affected by the condition.</w:t>
      </w:r>
    </w:p>
    <w:p>
      <w:pPr>
        <w:spacing w:after="0" w:line="19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the U.S., orphan-drug designation entitles a party to financial incentives such as opportunities for grant funding toward clinical study costs, tax advantages and user-fee waivers. In addition, if a product receives the first FDA approval for the indication for which it has orphan designation, the product is entitled to orphan-drug exclusivity, which means that the FDA cannot approve any other application to market the same drug for the same indication for a period of 7 years, except in limited circumstances, such as a showing of clinical superiority over the product with orphan exclusivity or if the manufacturer is unable to assure sufficient product quantity. In the EU, orphan-drug designation entitles a party to financial incentives such as reduction of fees or fee waivers and 10 years of market exclusivity for the orphan indication following drug or biological product approval, provided that the criteria for orphan designation are still applicable at the time of the granting of the marketing authorization. This period may be reduced to 6 years if at the end of the fifth year, the orphan-drug designation criteria are no longer met, including where it is shown that the product is sufficiently profitable not to justify maintenance of market exclusivity.</w:t>
      </w:r>
    </w:p>
    <w:p>
      <w:pPr>
        <w:spacing w:after="0" w:line="18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may not be able to obtain orphan-drug designation for any of our product candidates, and even if we do, we may not be the first to obtain marketing approval for any particular orphan indication due to the uncertainties associated with developing pharmaceutical or biopharmaceutical products. Further, even if we obtain orphan-drug designation for a product, that exclusivity may not effectively protect the product from competition because different drugs with different active moieties can be approved for the same condition. Orphan-drug designation neither shortens the development time or regulatory review time of a drug nor gives the drug any advantage in the regulatory review or approval process.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prioritize development of certain product candidates.</w:t>
      </w:r>
    </w:p>
    <w:p>
      <w:pPr>
        <w:spacing w:after="0" w:line="229" w:lineRule="exact"/>
        <w:rPr>
          <w:sz w:val="20"/>
          <w:szCs w:val="20"/>
          <w:color w:val="auto"/>
        </w:rPr>
      </w:pPr>
    </w:p>
    <w:p>
      <w:pPr>
        <w:ind w:left="60" w:right="219" w:firstLine="324"/>
        <w:spacing w:after="0" w:line="252"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pharmaceutical or biopharmaceutical industry, in particular for neurological disorders, our business, financial condition and results of operations could be materially adversely affected.</w:t>
      </w:r>
    </w:p>
    <w:p>
      <w:pPr>
        <w:spacing w:after="0" w:line="186" w:lineRule="exact"/>
        <w:rPr>
          <w:sz w:val="20"/>
          <w:szCs w:val="20"/>
          <w:color w:val="auto"/>
        </w:rPr>
      </w:pPr>
    </w:p>
    <w:p>
      <w:pPr>
        <w:ind w:left="38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that the activities of these groups are successful, our research and development activities may be interrupted, delayed or become more expensive.</w:t>
      </w:r>
    </w:p>
    <w:p>
      <w:pPr>
        <w:spacing w:after="0" w:line="185" w:lineRule="exact"/>
        <w:rPr>
          <w:sz w:val="20"/>
          <w:szCs w:val="20"/>
          <w:color w:val="auto"/>
        </w:rPr>
      </w:pPr>
    </w:p>
    <w:p>
      <w:pPr>
        <w:ind w:left="38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breakdown or breach of our information technology systems and cybersecurity efforts, or those of our key business partners, CROs or service providers, could subject us to liability or reputational damage or interrupt the operation of our business.</w:t>
      </w:r>
    </w:p>
    <w:p>
      <w:pPr>
        <w:spacing w:after="0" w:line="1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We are increasingly dependent upon technology systems and data. Our computer systems continue to increase in</w:t>
      </w:r>
    </w:p>
    <w:p>
      <w:pPr>
        <w:spacing w:after="0" w:line="16"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multitude and complexity due to the growth in our business, making them potentially vulnerable to breakdown, malicious intrusion and random attack. Despite the implementation of security measures, our internal computer systems and those of our key business partners, CROs and service providers may be vulnerable to damage from computer viruses, unauthorized access or other similar cyber-attacks or incidents. Events such as these have significantly increased in recent years, in part because of the proliferation of new technologies (including artificial intelligence), and if such an event were to occur and cause interruptions in our operations, it could result in a material disruption of our development programs and our business operations.</w:t>
      </w:r>
    </w:p>
    <w:p>
      <w:pPr>
        <w:spacing w:after="0" w:line="179"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Data privacy or security breaches, cyber-attacks and other cybersecurity incidents, including those by individuals authorized to access our technology systems or others, may pose a risk that sensitive data, including intellectual property, trade secrets or personal information belonging to us, our patients, study subjects or other business partners, may be exposed to unauthorized persons or to the public. Cyber-attacks are increasing in their frequency, sophistication and intensity, and are becoming increasingly difficult to detect. They are often carried out by motivated, well-resourced, skilled and persistent actors, including nation states, state-sponsored actors, organized crime groups, “hacktivists”, employees or contractors acting with malicious intent and other external actors, and such actors may see their effectiveness enhanced by the use of artificial intelligence. Cyber-attacks could include the deployment of harmful malware and key loggers, ransomware, a denial-of-service attack, a malicious website, phishing attacks, computer viruses, social engineering and other means to affect the confidentiality, integrity, availability and traceability of our technology systems and data. Our systems and networks are also vulnerable to damage or interruption from, among other things, software bugs, server malfunctions, software or hardware failure, telecommunications failures, insider theft, human error, fire, terrorist attacks, natural disasters, power loss, war, misuse, mistake, fraud, misconduct or other events that may harm our systems and networks. Our key business partners, CROs and service providers face similar risks, and any security breach or other failure of their systems could adversely affect our security posture.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on other third parties for the manufacture of our product candidates and to conduct clinical trials, and similar events relating to their computer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2" w:lineRule="auto"/>
        <w:rPr>
          <w:sz w:val="20"/>
          <w:szCs w:val="20"/>
          <w:color w:val="auto"/>
        </w:rPr>
      </w:pPr>
      <w:r>
        <w:rPr>
          <w:rFonts w:ascii="Times New Roman" w:cs="Times New Roman" w:eastAsia="Times New Roman" w:hAnsi="Times New Roman"/>
          <w:sz w:val="18"/>
          <w:szCs w:val="18"/>
          <w:color w:val="auto"/>
        </w:rPr>
        <w:t>systems could also have a material adverse effect on our business. Our ability to evaluate and monitor our CROs’, contractors’ and consultants’ data security practices are limited, and due to applicable laws and regulations or contractual obligations, we may be held responsible for any security breaches or cybersecurity attack attributed to them as they relate to the information we share with them. To the extent that any disruption or security breach were to result in a loss of, or damage to, our data or systems, or inappropriate disclosure of confidential or proprietary information or personal data of our employees, partners or study subjects, we could incur liability including notification obligations (including to the impacted individuals and applicable regulators or supervisory authorities), and the further development and commercialization of our product candidates could be delayed.</w:t>
      </w:r>
    </w:p>
    <w:p>
      <w:pPr>
        <w:spacing w:after="0" w:line="192"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Although we continue to build and improve our systems and infrastructure, and to implement technical, organizational and legal security measures, and believe we have taken appropriate security measures to reduce these risks to our data and information technology systems, there can be no assurance that our efforts will prevent, detect or appropriately respond to breakdowns or breaches in our systems that could adversely affect our business and operations and/or result in the loss of critical or sensitive information, including personal information, which could result in financial, legal, business or reputational harm to us. We continue to invest in industry standard IS/IT solutions and managed services that often include the relevant, layered protection and monitoring practices surrounding our data and IT systems and related infrastructure. These investments reduce further these risks in that they enable organizations such as ours to leverage the resources necessary to monitor IT systems and infrastructure for any current or potential threats. We also regularly perform risk and impact assessments, the results of which generally lead to the implementation of certain measures designed to increase our level of data protection. These investments are costly, and as cyber threats continue to evolve, we may be required to expend significant, additional resources to continue to modify and/or enhance our protective, detective and responsive measures required to remediate any identified information security vulnerabilities. In addition, our liability insurance may not be sufficient in type or amount to cover us against claims related to security breaches, cyber-attacks and other related breaches, and we cannot be sure that our existing coverage will continue to be available on acceptable terms or at all, or that our insurers will not deny coverage as to any future claim. We may be required to expend significant capital and other resources to protect against and respond to any attempted or existing cybersecurity incidents. In addition, our remediation efforts may not be successful.</w:t>
      </w:r>
    </w:p>
    <w:p>
      <w:pPr>
        <w:spacing w:after="0" w:line="196"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In addition, certain global geo-political events can increase our cybersecurity risk. For example, due to the recent Russia-Ukraine conflict, there have been publicized threats to increase cyber-attack activity against the critical infrastructure of any nation or organization that retaliates against Russia for its invasion of Ukraine. There may also be increased risks of cyber-attacks as a result of the unfolding events in Israel, the Gaza Strip, Lebanon and Iran. Any such increase in such attacks on us or our key business partners, CROs or service providers could adversely affect our systems or other operations.</w:t>
      </w:r>
    </w:p>
    <w:p>
      <w:pPr>
        <w:spacing w:after="0" w:line="185" w:lineRule="exact"/>
        <w:rPr>
          <w:sz w:val="20"/>
          <w:szCs w:val="20"/>
          <w:color w:val="auto"/>
        </w:rPr>
      </w:pPr>
    </w:p>
    <w:p>
      <w:pPr>
        <w:ind w:left="38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in laws, rules, regulations or standards relating to data privacy and security, or any actual or perceived failure by us to comply with such laws, rules, regulations and standards, or contractual or other obligations relating to data privacy and security, could result in claims, changes to our business practices, penalties, increased cost of operations and could have a material adverse effect on our reputation, results of operations, financial condition and cash flows.</w:t>
      </w:r>
    </w:p>
    <w:p>
      <w:pPr>
        <w:spacing w:after="0" w:line="18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rules, regulations, treaties, decisions and standards,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rules, regulations, treaties, decisions and standards may be interpreted and applied differently over time and from jurisdiction to jurisdiction and in a manner that is inconsistent with our data practices and that could have a material adverse effect on our results of operations, financial condition and cash flows. New laws, amendments to or reinterpretations of existing laws, rules, regulations, treaties, decisions, standards and other obligations may require us to incur additional costs and restrict our business operations, and may require us to change how we use, collect, store, transfer or otherwise process certain types of personal information and to implement new processes to comply with those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In the U.S., there are numerous federal and state laws and regulations related to the privacy and security of personal information. Regulations promulgated pursuant to the U.S. Health Insurance Portability and Accountability Act of 1996 (HIPAA) establish privacy and security standards that limit the use and disclosure of protected health information, and require the implementation of administrative, physical and technological safeguards to protect the privacy of protected health information and to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Numerous states have enacted or are in the process of enacting state level data privacy laws and regulations governing the collection, use, and other processing of state residents’ personal information, such as the California Consumer Privacy Act (CCPA) as amended by the California Privacy Rights Act of 2020 (CPRA), which provides new and enhanced data privacy rights to California residents, such as affording California residents the right to access and delete their information and to opt out of certain sharing and sales of personal information. In addition, laws in all 50 states require businesses to provide notice to individuals whose personal information has been disclosed as a result of a data breach.</w:t>
      </w:r>
    </w:p>
    <w:p>
      <w:pPr>
        <w:spacing w:after="0" w:line="196" w:lineRule="exact"/>
        <w:rPr>
          <w:sz w:val="20"/>
          <w:szCs w:val="20"/>
          <w:color w:val="auto"/>
        </w:rPr>
      </w:pPr>
    </w:p>
    <w:p>
      <w:pPr>
        <w:ind w:left="60" w:right="59" w:firstLine="324"/>
        <w:spacing w:after="0" w:line="248" w:lineRule="auto"/>
        <w:rPr>
          <w:sz w:val="20"/>
          <w:szCs w:val="20"/>
          <w:color w:val="auto"/>
        </w:rPr>
      </w:pPr>
      <w:r>
        <w:rPr>
          <w:rFonts w:ascii="Times New Roman" w:cs="Times New Roman" w:eastAsia="Times New Roman" w:hAnsi="Times New Roman"/>
          <w:sz w:val="18"/>
          <w:szCs w:val="18"/>
          <w:color w:val="auto"/>
        </w:rPr>
        <w:t>Internationally, laws, regulations and standards in many jurisdictions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EU Member States are tasked under the GDPR to enact, and to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Switzerland (via its Federal Data Protection Act)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(and the obligations of sponsors of clinical trials acting as data controllers), the transfer of personal data out of the European Economic Area (EEA), the notification of security breaches and the security and confidentiality of personal data. The GDPR authorizes fines for certain violations of up to 4% of global annual revenue or EUR 20 million, whichever is greater. The GDPR also applies to our key business partners, CROs and service providers, whether or not they are located in Europe, with which we share personal data subject to the GDPR. Additionally, following Brexit, we also are subject to the UK General Data Protection Regulation (UK GDPR) (i.e. a version of the GDPR as implemented into UK law), exposing us to two parallel regimes with potentially divergent interpretations and enforcement actions for certain violations. While the European Commission issued an adequacy decision intended to remain in effect until June 2025 in respect of the UK’s data protection framework, enabling data transfers from EU Member States to the UK to continue without requiring organizations to put in place contractual or other measures in order to lawfully transfer personal data between the territories, the relationship between the UK and the EU in relation to certain aspects of data privacy and security law remains unclear. For example, such decision may be revoked in the future by the European Commission if the UK data protection regime is reformed in ways that deviate substantially from the GDPR. Although we do not have material operations in the UK, we cannot rule out potential disruptions in relation to the clinical regulatory framework applicable to our clinical studies in the UK, and to data privacy and security rules with respect to personal data sharing with vendors and clinical investigators in the UK, and we cannot predict future implications. Similarly, while on July 10, 2023 the European Commission adopted an adequacy decision concluding that the U.S. ensures an adequate level of protection for personal data transferred from the EEA to the U.S. under the EU-U.S. Data Privacy Framework (followed on October 12, 2023 with the adoption of an adequacy decision in the UK for the UK-U.S. Data Bridge and on August 14, 2024 by the new Data Privacy Framework between Switzerland and the U.S. adding the U.S. to the list of countries with an adequate level of data protection), such decision does not foreclose, and is likely to face, future legal challenges and ongoing legal uncertainty. In addition, additional costs may need to be incurred in order to implement necessary safeguards to comply with the GDPR, UK GDPR and the Swiss Federal Act on Data Protection (FADP) and potential new rules and restrictions on the flow of data across borders could increase the cost and complexity of conducting business in some markets. If our policies and practices or those of our key business partners, CROs or service providers are, or are perceived to be, insufficient, or if our users have concerns regarding our transfers of data, we could be subject to enforcement actions or investigations by individual EU, UK or Swiss data protection authorities or lawsuits by private parties. While we have taken steps to mitigate the impact of such complexities and uncertainties on us by implementing supplementary measures in accordance with the applicable regulations, the efficacy and longevity of these mechanisms remains uncertain due to the fast-moving regulatory environment.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which are likely to increase over time. In addition, such requirements may require us to modify our data processing practices and policies, distract management or divert resources from other initiatives and projects. If we are unable to properly protect the privacy and security of personal information, including protected health information, we could be found to have breached our contracts. In addition, any failure or perceived failure by us to comply with any applicable federal, state or similar foreign laws and regulations relating to data privacy and security could result in damage to our reputation and our relationship with our customers, as well as proceedings or litigation by governmental agencies, customers, partners, collaborators and/or study subjects, including class action privacy litigation in certain jurisdictions, which would subject us to significant fines, sanctions, awards, penalties or judgments, all of which could have a material adverse effect on our business, results of operations, financial condition and prospects.</w:t>
      </w:r>
    </w:p>
    <w:p>
      <w:pPr>
        <w:spacing w:after="0" w:line="185" w:lineRule="exact"/>
        <w:rPr>
          <w:sz w:val="20"/>
          <w:szCs w:val="20"/>
          <w:color w:val="auto"/>
        </w:rPr>
      </w:pPr>
    </w:p>
    <w:p>
      <w:pPr>
        <w:ind w:left="38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59"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the ongoing conflicts between Russia and Ukraine and Israel and Hamas have caused, and may cause additional, political and economic disruptions. Governments in the United States, United Kingdom and European Union have imposed certain sanctions against Russia. The invasion of Ukraine and the retaliatory measures that have been taken, or could be taken in the future, by the United States, NATO, and other countries have created global security concerns that could result in a regional conflict and otherwise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this region. Currently, none of our clinical development or business activities are conducted directly or otherwise in Russia or Ukraine.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by other business interruption.</w:t>
      </w:r>
    </w:p>
    <w:p>
      <w:pPr>
        <w:spacing w:after="0" w:line="19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vast majority of our operations including our corporate headquarters are located in Ecublens, near Lausanne, Canton of Vaud,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85" w:lineRule="exact"/>
        <w:rPr>
          <w:sz w:val="20"/>
          <w:szCs w:val="20"/>
          <w:color w:val="auto"/>
        </w:rPr>
      </w:pPr>
    </w:p>
    <w:p>
      <w:pPr>
        <w:ind w:left="38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14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third parties.</w:t>
      </w:r>
    </w:p>
    <w:p>
      <w:pPr>
        <w:spacing w:after="0" w:line="17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addition, successful commercialization also requires an enhanced regulatory organization which we currently do not have. If we are unable to build our own distribution and marketing capabilities, are unable to find suitable partners for the commercialization of our product candidates or do not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successfully obtain the necessary regulatory capabilities, we may not generate revenues from them or be able to reach or sustain profitability.</w:t>
      </w:r>
    </w:p>
    <w:p>
      <w:pPr>
        <w:spacing w:after="0" w:line="158" w:lineRule="exact"/>
        <w:rPr>
          <w:sz w:val="20"/>
          <w:szCs w:val="20"/>
          <w:color w:val="auto"/>
        </w:rPr>
      </w:pPr>
    </w:p>
    <w:p>
      <w:pPr>
        <w:ind w:left="60" w:right="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the acceptance of user fees payments, and statutory, regulatory, and policy changes. Average review times at the agency have fluctuated in recent years as a result. If a prolonged government shutdown occurs, if the FDA is required to furlough review staff or necessary employees, or if the agency operations are otherwise impacted, it could significantly affect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ind w:left="380" w:right="2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current strategic relationships with Eli Lilly and Company (Lilly), Janssen Pharmaceuticals Inc. (Janssen) part of the Janssen Pharmaceutical Companies of Johnson &amp; Johnson, Life Molecular Imaging SA (LMI), Takeda Pharmaceuticals, USA, Inc. (Takeda) and other of our current or future strategic partners, our business, commercialization prospects and financial condition may be materially adversely affected.</w:t>
      </w:r>
    </w:p>
    <w:p>
      <w:pPr>
        <w:spacing w:after="0" w:line="183"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In December 2018, we signed a license agreement with Lilly to research and develop Morphomer Tau small molecules for the treatment of AD and other neurodegenerative diseases (NDD). This collaboration commenced in Q1 2019. We are in a partnership with Janssen to develop and commercialize therapeutic anti-Tau active immunotherapies for the treatment of AD and potentially other tauopathies. We also have a diagnostic partnership with LMI for compounds, which bind pathological Tau for use as a PET tracer. In May 2024, we entered into a worldwide option and license agreement with Takeda for our active immunotherapies targeting Abeta, including ACI-24.060. Our collaboration partners each have the right to terminate their agreements with us for any reason upon providing us with a certain notice period. In April 2024, the termination of the collaboration agreements with Genentech, a member of the Roche group, became effective, and the Company regained the global rights to crenezumab and semorinemab in February 2025. If Lilly, Janssen, LMI, Takeda or other of our current or future strategic partners terminate their agreement with us at any time, it could delay or prevent development of our product candidates and materially harm our business, financial condition, commercialization prospects and results of operations.</w:t>
      </w:r>
    </w:p>
    <w:p>
      <w:pPr>
        <w:spacing w:after="0" w:line="19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Good relationships with Lilly, Janssen, LMI, Takeda and other of our current or future strategic partners are important for our business prospects. If our relationships with Lilly, Janssen, LMI, Takeda or other of our current or future strategic partners were to deteriorate substantially or if Lilly, Janssen, LMI, Takeda or other of our current or future strategic partners were to challenge our use of their intellectual property or our calculations of the payments which are owed under our agreements, our business, financial condition, commercialization prospects and results of operations could be materially adversely affected.</w:t>
      </w:r>
    </w:p>
    <w:p>
      <w:pPr>
        <w:spacing w:after="0" w:line="189" w:lineRule="exact"/>
        <w:rPr>
          <w:sz w:val="20"/>
          <w:szCs w:val="20"/>
          <w:color w:val="auto"/>
        </w:rPr>
      </w:pPr>
    </w:p>
    <w:p>
      <w:pPr>
        <w:ind w:left="60" w:right="459" w:firstLine="324"/>
        <w:spacing w:after="0" w:line="269" w:lineRule="auto"/>
        <w:rPr>
          <w:sz w:val="20"/>
          <w:szCs w:val="20"/>
          <w:color w:val="auto"/>
        </w:rPr>
      </w:pPr>
      <w:r>
        <w:rPr>
          <w:rFonts w:ascii="Times New Roman" w:cs="Times New Roman" w:eastAsia="Times New Roman" w:hAnsi="Times New Roman"/>
          <w:sz w:val="17"/>
          <w:szCs w:val="17"/>
          <w:color w:val="auto"/>
        </w:rPr>
        <w:t>Lastly, our collaboration agreements with Lilly, Janssen, LMI and Takeda (in the case of Takeda, if it exercises its option under our agreement) provide each partner with control over, and responsibility for, the clinical development process, including obtaining regulatory and marketing approvals, manufacturing costs and sales and marketing costs. Future collaboration agreements may also relinquish development control to our partners. Our current or future collaboration partners may and do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fulfill their</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obligations under the collaboration agreements or may be slow in performing their obligations. Any of these circumstances could result in a material adverse impact on our business, financial condition, commercialization prospects or results of operations.</w:t>
      </w:r>
    </w:p>
    <w:p>
      <w:pPr>
        <w:spacing w:after="0" w:line="172" w:lineRule="exact"/>
        <w:rPr>
          <w:sz w:val="20"/>
          <w:szCs w:val="20"/>
          <w:color w:val="auto"/>
        </w:rPr>
      </w:pPr>
    </w:p>
    <w:p>
      <w:pPr>
        <w:jc w:val="both"/>
        <w:ind w:left="38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75" w:lineRule="exact"/>
        <w:rPr>
          <w:sz w:val="20"/>
          <w:szCs w:val="20"/>
          <w:color w:val="auto"/>
        </w:rPr>
      </w:pPr>
    </w:p>
    <w:p>
      <w:pPr>
        <w:ind w:left="60" w:right="299" w:firstLine="324"/>
        <w:spacing w:after="0" w:line="253"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liquidity to fund expenses and may require expertise, such as sales and marketing expertise, which we do not currently possess. Therefore, in addition to our relationships with Lilly, Janssen, LMI and Takeda, we may decide to enter into strategic alliances or to create joint ventures or collaborations with pharmaceutical or biopharmaceutical companies for the further development and potential commercialization of those and other of our product candidates.</w:t>
      </w:r>
    </w:p>
    <w:p>
      <w:pPr>
        <w:spacing w:after="0" w:line="189" w:lineRule="exact"/>
        <w:rPr>
          <w:sz w:val="20"/>
          <w:szCs w:val="20"/>
          <w:color w:val="auto"/>
        </w:rPr>
      </w:pPr>
    </w:p>
    <w:p>
      <w:pPr>
        <w:ind w:left="60" w:right="59" w:firstLine="324"/>
        <w:spacing w:after="0" w:line="249"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Collaborations are complex and time-consuming to negotiate, document and manage.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202" w:lineRule="exact"/>
        <w:rPr>
          <w:sz w:val="20"/>
          <w:szCs w:val="20"/>
          <w:color w:val="auto"/>
        </w:rPr>
      </w:pPr>
    </w:p>
    <w:p>
      <w:pPr>
        <w:ind w:left="720" w:right="3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the collaboration partner devotes to the product development program;</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partner may experience financial difficulties;</w:t>
      </w:r>
    </w:p>
    <w:p>
      <w:pPr>
        <w:spacing w:after="0" w:line="225"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grant or otherwise relinquish important rights such as marketing, distribution and intellectual property rights;</w:t>
      </w:r>
    </w:p>
    <w:p>
      <w:pPr>
        <w:spacing w:after="0" w:line="16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could move forward with a competing product developed either independently or in collaboration with third parties, including our competitors; or</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collaboration partner’s business strategy may adversely affect our willingness to continue any arrangement.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80"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third-party clinical CROs, to monitor and manage data for our ongoing preclinical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clinical CROs does not relieve us of our regulatory responsibilities. We and our clinical CROs and other vendors are required to comply with current Good Manufacturing Practice (cGMP), current Good Clinical Practice (cGCP), and current Good Laboratory Practice (cGLP), which are regulations and guidelines enforced by the FDA, the Competent Authorities of the Member States of the EU and comparable foreign regulatory authorities for our product candidates in nonclinical and clinical development (where applicable). Regulatory authorities enforce these regulations through periodic inspections of study sponsors, principal investigators, study sites and other contractors. If we or any of our clinical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96"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If any of our relationships with these third-party clinical CROs terminates, we may not be able to enter into arrangements with alternative clinical CROs or do so on commercially reasonable terms. In addition, our clinical CROs are not our employees, and except for remedies available to us under our agreements with such clinical CROs, we cannot control whether or not they devote sufficient time and resources to our ongoing nonclinical and clinical programs. If clinical CROs do not successfully carry out their contractual duties or obligations or meet expected deadlines, if they need to be replaced or if the quality or accuracy of the data they obtain is compromised due to their failure to adhere to our protocols, regulatory requirements, or for other reasons, our clinical studies may be extended, delayed, or terminated and we may not be able to obtain regulatory approval for or successfully commercialize our product candidates. Clinical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93"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Switching or adding additional clinical CROs involves additional cost and requires management time and focus. In addition, there is a natural transition period when a new clinical CRO commences work. As a result, delays occur, which could materially impact our ability to meet our desired clinical development timelines. Though we carefully manage our relationships with our clinical CROs, there can be no assurance that we will not encounter similar challenges or delays in the future or that these delays or challenges will not have a material adverse impact on our business, financial condition and prospects.</w:t>
      </w:r>
    </w:p>
    <w:p>
      <w:pPr>
        <w:spacing w:after="0" w:line="185" w:lineRule="exact"/>
        <w:rPr>
          <w:sz w:val="20"/>
          <w:szCs w:val="20"/>
          <w:color w:val="auto"/>
        </w:rPr>
      </w:pPr>
    </w:p>
    <w:p>
      <w:pPr>
        <w:jc w:val="both"/>
        <w:ind w:left="38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175"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currently rely on, and expect to continue to rely on, third parties for the manufacturing and supply of chemical and biological compounds and formulations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(QC), quality assurance (QA) and qualified personnel. If we are compelled or we wish to find alternative manufacturing facilities, this could significantly impact our ability to develop, obtain regulatory approval for or market our product candidates.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Third-party providers may breach agreements they have with us because of factors beyond our control. Contract manufacturers often encounter difficulties involving production yields, QC and QA, as well as shortages of qualified personnel. They may also terminate or refuse to renew their agreements because of their own financial difficulties or business priorities, potentially at a time that is costly or otherwise inconvenient for us. If we are unable to find adequate replacement or another acceptable solution in time, our clinical studies could be delayed or our commercial activities could be harmed.</w:t>
      </w:r>
    </w:p>
    <w:p>
      <w:pPr>
        <w:spacing w:after="0" w:line="189"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Growth in the costs and expenses of components or raw materials, in particular as a result of rising inflation,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or our collaboration partners’, ability to commercialize any products that receive marketing approval on a timely and competitive basis.</w:t>
      </w:r>
    </w:p>
    <w:p>
      <w:pPr>
        <w:spacing w:after="0" w:line="183" w:lineRule="exact"/>
        <w:rPr>
          <w:sz w:val="20"/>
          <w:szCs w:val="20"/>
          <w:color w:val="auto"/>
        </w:rPr>
      </w:pPr>
    </w:p>
    <w:p>
      <w:pPr>
        <w:ind w:left="38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collaboration arrangements with our strategic partners may make us an attractive target for potential acquisition under certain circumstances.</w:t>
      </w:r>
    </w:p>
    <w:p>
      <w:pPr>
        <w:spacing w:after="0" w:line="171"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Under certain circumstances, due to the structure of our collaboration arrangements with our strategic partners, our strategic partners may prefer to acquire us rather than pay the milestone payments or royalties under the collaboration arrangements, which may bring additional uncertainties to our business development and prospects. For example, under our collaboration arrangements with Lilly, Janssen and Takeda, we may become entitled to substantial milestone payments and royalties. As a result, rather than paying the milestone payments or royalties, Lilly, Johnson &amp; Johnson or Takeda, or one of their affiliates may choose to acquire us.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terms to protect our products and business effectively.</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patent is generally 20 years after it is filed. Although various extensions or adjustments may be available, such as adjustments based on certain delays caused by the U.S. Patent and Trademark Office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patents covering our product candidates are obtained and unchallenged, once the patent life has expired for a product, we may be open to competition from generic medications.</w:t>
      </w:r>
    </w:p>
    <w:p>
      <w:pPr>
        <w:spacing w:after="0" w:line="162"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Although patent term extensions under the Hatch-Waxman Act, in the U.S. and under supplementary protection certificates (SPCs) in Europe may be available to extend the patent exclusivity term for our products, we cannot provide any assurances that any such patent term extension will be obtained and, if so, for how long. The Hatch-Waxman Act permits a patent extension term of up to 5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It is not possible to base an SPC in Europe on a patent in a European Member State if that patent expires before the Market Authorization (MA) of the clinical product, protected by the patent, is obtained. As the “product” (active ingredient(s)) must be “protected by a basic patent in force,” only a granted patent that is in force, and remains in force until it reaches the end of its full term, can serve as a “basic patent” upon which an SPC can be based. Therefore, expired patents and pending patent applications cannot serve as the basis for an SPC. Given the relatively long clinical development timelines of biologicals and new chemical entities for therapeutic purposes, we may not be granted any patent extensions as we might fail to apply for the extensions prior to expiration of relevant patents. Moreover, the applicable time period or the scope of patent protection afforded could be less than we request. If we are unable to obtain patent term extension or if the term of any such extension is less than we request, such result could have a material adverse effect on our business.</w:t>
      </w:r>
    </w:p>
    <w:p>
      <w:pPr>
        <w:spacing w:after="0" w:line="192" w:lineRule="exact"/>
        <w:rPr>
          <w:sz w:val="20"/>
          <w:szCs w:val="20"/>
          <w:color w:val="auto"/>
        </w:rPr>
      </w:pPr>
    </w:p>
    <w:p>
      <w:pPr>
        <w:ind w:left="38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licensees and collaborators, any of which could be expensive, time-consuming, and unsuccessful, and may ultimately result in our loss of ownership of intellectual property.</w:t>
      </w:r>
    </w:p>
    <w:p>
      <w:pPr>
        <w:spacing w:after="0" w:line="184" w:lineRule="exact"/>
        <w:rPr>
          <w:sz w:val="20"/>
          <w:szCs w:val="20"/>
          <w:color w:val="auto"/>
        </w:rPr>
      </w:pPr>
    </w:p>
    <w:p>
      <w:pPr>
        <w:ind w:left="60" w:right="79" w:firstLine="324"/>
        <w:spacing w:after="0" w:line="265" w:lineRule="auto"/>
        <w:rPr>
          <w:sz w:val="20"/>
          <w:szCs w:val="20"/>
          <w:color w:val="auto"/>
        </w:rPr>
      </w:pPr>
      <w:r>
        <w:rPr>
          <w:rFonts w:ascii="Times New Roman" w:cs="Times New Roman" w:eastAsia="Times New Roman" w:hAnsi="Times New Roman"/>
          <w:sz w:val="17"/>
          <w:szCs w:val="17"/>
          <w:color w:val="auto"/>
        </w:rPr>
        <w:t>Competitors may infringe our patents or the patents of our licensors or collaborators. To counter such infringement, we may be required to file infringement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the defendant’s products do not infringe our or our licensing collaborators’ patents or that we or our licensing collaborators infringe the defendant’s patents. In patent litigation in the U.S., defendant counterclaims alleging invalidity, unenforceability and non-infringement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U.S. or abroad, even outside the context of litigation. Such mechanisms include re-examination, post-grant review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inter partes </w:t>
      </w:r>
      <w:r>
        <w:rPr>
          <w:rFonts w:ascii="Times New Roman" w:cs="Times New Roman" w:eastAsia="Times New Roman" w:hAnsi="Times New Roman"/>
          <w:sz w:val="17"/>
          <w:szCs w:val="17"/>
          <w:color w:val="auto"/>
        </w:rPr>
        <w:t>review, interference and derivation proceedings as well as equivalent proceedings in foreign jurisdictions,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opposition proceedings in Europe.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395"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Interference, derivation or other proceedings provoked by third parties, brought by us or declared by the USPTO may be necessary to determine the priority of inventions with respect to our patents or patent applications or those of our licensors, licensees or collaborators. An unfavorable outcome could require us or our licensing or collaboration partners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derivation or other proceedings, we may lose our ownership of intellectual property or our patents may be narrowed or invalidated. There can be no assurance as to the outcome of the interference, derivation or other proceedings, and any of the foregoing could result in a material adverse effect on our business, financial condition, results of operations or prospects.</w:t>
      </w:r>
    </w:p>
    <w:p>
      <w:pPr>
        <w:spacing w:after="0" w:line="175"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Our defense of litigation, interference, derivation or other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and research programs or force us to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U.S.</w:t>
      </w:r>
    </w:p>
    <w:p>
      <w:pPr>
        <w:spacing w:after="0" w:line="192"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79" w:lineRule="exact"/>
        <w:rPr>
          <w:sz w:val="20"/>
          <w:szCs w:val="20"/>
          <w:color w:val="auto"/>
        </w:rPr>
      </w:pPr>
    </w:p>
    <w:p>
      <w:pPr>
        <w:ind w:left="380" w:right="3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or our collaboration partners’ ability to successfully commercialize our products and technology may be adversely affected.</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U.S., the EU and other countries with respect to our proprietary technologies and product candidates. In particular, Lilly, Janssen, Takeda or our other licensing or collaboration partners may be dependent on a license with a third party for the development and future commercialization of our product candidates. If such license is not granted or is terminated, Lilly, Janssen, Takeda or other licensing or collaboration partners may be required to cease development and commercialization of our product candidates, any of which could have a material adverse effect on our business, financial condition, results of operations or prospects.</w:t>
      </w:r>
    </w:p>
    <w:p>
      <w:pPr>
        <w:spacing w:after="0" w:line="19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U.S. and abroad related to any of our novel technologies and products that are important to our business. This process is expensive, time-consuming,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9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patent position of pharmaceutical and biopharmaceutical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U.S. or in other foreign countries, or fail to effectively prevent others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commercializing competitive technologies and product candidates. Changes in either the patent laws or interpretation of the patent laws in the U.S. and other countries may diminish the value of our patents or narrow the scope of our patent protection.</w:t>
      </w:r>
    </w:p>
    <w:p>
      <w:pPr>
        <w:spacing w:after="0" w:line="17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or our collaboration partners’ inability to manufacture or commercialize products without infringing third-party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or title in our patents or other intellectual property as an inventor or co-inventor. For example, we may have inventorship disputes arise from conflicting obligations of consultants, CROs, CMOs, academic institutions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ind w:left="38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175"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U.S., EU or elsewhere could increase the uncertainties and costs surrounding the prosecution of patent applications and the enforcement or defense of issued patents. Assuming the other requirements for patentability are met, in the U.S. prior to March 15, 2013, the first to make the claimed invention is entitled to the patent, whereas outside the U.S., the first to file a patent application was entitled to the patent. After March 15, 2013, under the Leahy-Smith America Invents Act (the Leahy-Smith Act), enacted on September 16, 2011, the U.S.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attack the validity of a patent by the USPTO administered during post grant proceedings, including re-examination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derivation proceedings. Therefore, the Leahy-Smith Act and its implementation increases the uncertainties and costs surrounding the prosecution of our patent applications and the enforcement or defense of our issued patents, all of which could have a material adverse effect on our business, financial condition, results of operations and prospects. In addition, future actions by the U.S. Congress,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federal courts and the USPTO could cause the laws and regulations governing patents to change in unpredictable ways.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of the foregoing could harm our business, financial condition and results of operations.</w:t>
      </w:r>
    </w:p>
    <w:p>
      <w:pPr>
        <w:spacing w:after="0" w:line="20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Europe, the Unified Patent Court (UPC) entered into force in June 2023. The UPC provides a new centralized forum for pan-European litigation in contracting EU Member States (18 out of 27 EU Member States). Litigation of European patents in European Patent Convention countries outside of the EU (e.g. Switzerland, the UK, Turkey) and in non-contracting EU countries (e.g. Spain, Poland) continues to be on a country-by-country basis in front of national courts. During a transition period (initially seven years), patent owners can elect to keep their European patents outside of the jurisdiction of the UPC (“opt-out”). Whilst European patents may be opted-out of the UPC during such transition period, after expiry of such transition period EU legislation provides that the UPC jurisdiction will apply, in respect of the UPC contracting states for all European patents. Accordingly, the emergence of the UPC and its implementation increase the uncertainties surrounding the enforcement or defense of issued patents and related costs, which could have a material adverse effect on our business, financial condition, results of operations and prospects.</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in the U.S.</w:t>
      </w:r>
    </w:p>
    <w:p>
      <w:pPr>
        <w:spacing w:after="0" w:line="183" w:lineRule="exact"/>
        <w:rPr>
          <w:sz w:val="20"/>
          <w:szCs w:val="20"/>
          <w:color w:val="auto"/>
        </w:rPr>
      </w:pPr>
    </w:p>
    <w:p>
      <w:pPr>
        <w:ind w:left="38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159" w:lineRule="exact"/>
        <w:rPr>
          <w:sz w:val="20"/>
          <w:szCs w:val="20"/>
          <w:color w:val="auto"/>
        </w:rPr>
      </w:pPr>
    </w:p>
    <w:p>
      <w:pPr>
        <w:ind w:left="60" w:right="99" w:firstLine="324"/>
        <w:spacing w:after="0" w:line="249"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U.S. are less willing or unwilling to protect trade secrets. The EU has introduced a Directive on trade secrets increasing the standards for protection.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master service agreements, and, if applicable, material transfer agreements, consulting agreements or other similar agreements with our advisors, employees, contractors, consultants, licensing and collaboration partners, and other third parties with confidentiality provisions.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We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third-party contractors and consultants, the need to share intellectual property and other confidential information increases the risk that such confidential information becomes known by our competitors, is inadvertently incorporated into the product development of others or is disclosed or used in violation of these agreements. Additionally, our grant agreements typically provide for dissemination of results to academic institutions and to the general public. As a result, our information may be disseminated with the loss of protection status.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the physical security of our premises and the physical and electronic security of our information technology systems. Despite our efforts to protect our intellectual property, our competitors may discover our trade secrets through breach of our agreements by third parties, for which we may not have adequate remedies for any breach, or publication of information by any of our CROs, academic partners, funding organizations or our licensing or collaboration partners. Additionally, if the steps we take or that we impose on our CROs to maintain our trade secrets are deemed inadequate by law,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9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187"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Despite confidentiality clauses within our employment and other agreements with employees, we cannot ensure that departing employees will not breach any post-termination commitments in such agreements by allowing others to access our trade secrets.</w:t>
      </w:r>
    </w:p>
    <w:p>
      <w:pPr>
        <w:spacing w:after="0" w:line="172" w:lineRule="exact"/>
        <w:rPr>
          <w:sz w:val="20"/>
          <w:szCs w:val="20"/>
          <w:color w:val="auto"/>
        </w:rPr>
      </w:pPr>
    </w:p>
    <w:p>
      <w:pPr>
        <w:ind w:left="380" w:right="5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document-submission, fee-payment and other requirements imposed by governmental patent agencies, and our patent protection could be reduced or eliminated for noncompliance with these requirements.</w:t>
      </w:r>
    </w:p>
    <w:p>
      <w:pPr>
        <w:spacing w:after="0" w:line="182"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is dependent on third parties.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Although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or our collaboration partners’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312" w:lineRule="auto"/>
        <w:rPr>
          <w:sz w:val="20"/>
          <w:szCs w:val="20"/>
          <w:color w:val="auto"/>
        </w:rPr>
      </w:pPr>
      <w:r>
        <w:rPr>
          <w:rFonts w:ascii="Times New Roman" w:cs="Times New Roman" w:eastAsia="Times New Roman" w:hAnsi="Times New Roman"/>
          <w:sz w:val="17"/>
          <w:szCs w:val="17"/>
          <w:color w:val="auto"/>
        </w:rPr>
        <w:t>Additionally, we may be adversely affected or prejudiced by actions or inactions of our external and internal patent counsels working solely on our projects or our joint patent counsels representing us and our collaboration partners.</w:t>
      </w:r>
    </w:p>
    <w:p>
      <w:pPr>
        <w:spacing w:after="0" w:line="136" w:lineRule="exact"/>
        <w:rPr>
          <w:sz w:val="20"/>
          <w:szCs w:val="20"/>
          <w:color w:val="auto"/>
        </w:rPr>
      </w:pPr>
    </w:p>
    <w:p>
      <w:pPr>
        <w:ind w:left="38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collaboration partners, we could lose intellectual property rights that are important to our business.</w:t>
      </w:r>
    </w:p>
    <w:p>
      <w:pPr>
        <w:spacing w:after="0" w:line="180"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We are a party to a number of intellectual property license and co-ownership agreements and research and development collaborations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93"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176" w:lineRule="exact"/>
        <w:rPr>
          <w:sz w:val="20"/>
          <w:szCs w:val="20"/>
          <w:color w:val="auto"/>
        </w:rPr>
      </w:pPr>
    </w:p>
    <w:p>
      <w:pPr>
        <w:ind w:left="720" w:right="13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agreement, any restrictions in licensed fields and other interpretation-related issues;</w:t>
      </w:r>
    </w:p>
    <w:p>
      <w:pPr>
        <w:spacing w:after="0" w:line="161"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or otherwise violate the intellectual property of any third parties;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patents and other intellectual property rights;</w:t>
      </w:r>
    </w:p>
    <w:p>
      <w:pPr>
        <w:spacing w:after="0" w:line="225"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diligence, development and commercialization obligations under the agreement and what activities satisfy those obligations;</w:t>
      </w:r>
    </w:p>
    <w:p>
      <w:pPr>
        <w:spacing w:after="0" w:line="161"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or mutual creation or use of intellectual property by our licensors or collaboration partners and us;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non-compete commitments;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for changes in control.</w:t>
      </w:r>
    </w:p>
    <w:p>
      <w:pPr>
        <w:spacing w:after="0" w:line="22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and other rights that we own, have licensed or co-own prevent or impair our ability to maintain our current licensing or exclusivity arrangements on acceptable terms, we or our collaboration partners may be unable to successfully develop and commercialize the affected product candidates.</w:t>
      </w:r>
    </w:p>
    <w:p>
      <w:pPr>
        <w:spacing w:after="0" w:line="176"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licensees or collaborators may not be successful in obtaining or maintaining the necessary rights to our product candidates from third parties through acquisitions and in-licenses.</w:t>
      </w:r>
    </w:p>
    <w:p>
      <w:pPr>
        <w:spacing w:after="0" w:line="159" w:lineRule="exact"/>
        <w:rPr>
          <w:sz w:val="20"/>
          <w:szCs w:val="20"/>
          <w:color w:val="auto"/>
        </w:rPr>
      </w:pPr>
    </w:p>
    <w:p>
      <w:pPr>
        <w:ind w:left="60" w:right="99" w:firstLine="324"/>
        <w:spacing w:after="0" w:line="268" w:lineRule="auto"/>
        <w:rPr>
          <w:sz w:val="20"/>
          <w:szCs w:val="20"/>
          <w:color w:val="auto"/>
        </w:rPr>
      </w:pPr>
      <w:r>
        <w:rPr>
          <w:rFonts w:ascii="Times New Roman" w:cs="Times New Roman" w:eastAsia="Times New Roman" w:hAnsi="Times New Roman"/>
          <w:sz w:val="17"/>
          <w:szCs w:val="17"/>
          <w:color w:val="auto"/>
        </w:rPr>
        <w:t>We or our licensors, licensees or collaborators may require the use of proprietary rights held by third parties in the future, and the growth of our business will likely depend in part on our ability to acquire, in-license, maintain or use these proprietary rights. In addition, our product candidates may require specific processes and/or formulations to work effectively and efficiently and the rights to these processes and/or formulations may be held by others. We or our licensors or licensees may be unable to acquire or in-license from third parties any compositions, methods of use, processes, or other third-party intellectual property rights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or our licensors or licensees also may be unable to license or acquire third-party intellectual property rights on terms that would allow us to make an appropriate return on our investment.</w:t>
      </w:r>
    </w:p>
    <w:p>
      <w:pPr>
        <w:spacing w:after="0" w:line="162"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If we are unable to successfully obtain a license to third-party intellectual property rights necessary for the</w:t>
      </w:r>
    </w:p>
    <w:p>
      <w:pPr>
        <w:spacing w:after="0" w:line="27" w:lineRule="exact"/>
        <w:rPr>
          <w:sz w:val="20"/>
          <w:szCs w:val="20"/>
          <w:color w:val="auto"/>
        </w:rPr>
      </w:pPr>
    </w:p>
    <w:p>
      <w:pPr>
        <w:ind w:left="60" w:right="659"/>
        <w:spacing w:after="0" w:line="245" w:lineRule="auto"/>
        <w:rPr>
          <w:sz w:val="20"/>
          <w:szCs w:val="20"/>
          <w:color w:val="auto"/>
        </w:rPr>
      </w:pPr>
      <w:r>
        <w:rPr>
          <w:rFonts w:ascii="Times New Roman" w:cs="Times New Roman" w:eastAsia="Times New Roman" w:hAnsi="Times New Roman"/>
          <w:sz w:val="18"/>
          <w:szCs w:val="18"/>
          <w:color w:val="auto"/>
        </w:rPr>
        <w:t>development of a product candidate or program, we may have to abandon development of that product candidate or program and our business and financial condition could suffer.</w:t>
      </w:r>
    </w:p>
    <w:p>
      <w:pPr>
        <w:spacing w:after="0" w:line="190" w:lineRule="exact"/>
        <w:rPr>
          <w:sz w:val="20"/>
          <w:szCs w:val="20"/>
          <w:color w:val="auto"/>
        </w:rPr>
      </w:pPr>
    </w:p>
    <w:p>
      <w:pPr>
        <w:ind w:left="38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expose us to substantial liability or may prevent or delay our or our collaboration partners’ development and commercialization efforts.</w:t>
      </w:r>
    </w:p>
    <w:p>
      <w:pPr>
        <w:spacing w:after="0" w:line="159"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Numerous U.S.- and foreign-issued patents and pending patent applications, which are owned by third parties, exist in the fields in which we are developing product candidates. For example, we are aware of third-party patents or patent applications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or be compelled to enter into onerous licenses with such third parties. There may also be other third-party patents or patent applications with claims to materials, formulations, methods of manufacture or methods of treatment related to the use or manufacture of our product candidates and technology. Although we generally conduct a freedom-to-operate search and review with respect to our product candidates, we cannot guarantee that our search and review is complete and thorough, nor can we be sure that we have identified each and every patent and pending application in the U.S. and abroad that is relevant or necessary to the manufacturing or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file and obtain additional patents in the future and claim that use of our technologies infringes upon these patents.</w:t>
      </w:r>
    </w:p>
    <w:p>
      <w:pPr>
        <w:spacing w:after="0" w:line="19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on patents that may be granted in the future, regardless of merit. Even if we believe such claims are without merit, a court of competent jurisdiction could hold that these third-party patents are valid, enforceable and infringed, which could materially and adversely affect our or our collaboration partners’ ability to commercialize our product candidates or technologies covered by the asserted third-party patents.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Parties making claims against us may also obtain injunctive or other equitable relief, which could effectively block our or our collaboration partners’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92"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In addition, claims that we have misappropriated the confidential information or trade secrets of third parties could have a similar negative impact on our business, financial condition, results of operations and prospects.</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patent-holding companies that focus solely on extracting royalties and settlements by enforcing patent rights may target us. As the pharmaceutical and biopharmaceutical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183" w:lineRule="exact"/>
        <w:rPr>
          <w:sz w:val="20"/>
          <w:szCs w:val="20"/>
          <w:color w:val="auto"/>
        </w:rPr>
      </w:pPr>
    </w:p>
    <w:p>
      <w:pPr>
        <w:jc w:val="both"/>
        <w:ind w:left="380" w:right="1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82"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employ and utilize the services of individuals who were previously employed or provided services to universities or other pharmaceutical or biopharmaceutical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employers or of other third parties. Litigation may be necessary to defend against these claims. If we fail in defending any such claims, in addition to paying monetary damages, we may lose valuable intellectual property rights or personnel, which could have a material adverse effect on our business.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addition, although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U.S. may be less extensive than those in the U.S. In addition, the laws of some foreign countries do not protect intellectual property rights to the same extent as the laws in the U.S. Consequently, we may not be able to prevent third parties from practicing our inventions in all countries outside the U.S., or from selling or importing products made using our inventions in and into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U.S.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and products in jurisdictions where we have not obtained or are unable to adequately enforce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9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jc w:val="both"/>
        <w:ind w:left="380" w:right="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our names and brands may be misappropriated by third parties, and our business may be adversely affected.</w:t>
      </w:r>
    </w:p>
    <w:p>
      <w:pPr>
        <w:spacing w:after="0" w:line="182" w:lineRule="exact"/>
        <w:rPr>
          <w:sz w:val="20"/>
          <w:szCs w:val="20"/>
          <w:color w:val="auto"/>
        </w:rPr>
      </w:pPr>
    </w:p>
    <w:p>
      <w:pPr>
        <w:ind w:left="60" w:right="159" w:firstLine="324"/>
        <w:spacing w:after="0" w:line="250" w:lineRule="auto"/>
        <w:rPr>
          <w:sz w:val="20"/>
          <w:szCs w:val="20"/>
          <w:color w:val="auto"/>
        </w:rPr>
      </w:pPr>
      <w:r>
        <w:rPr>
          <w:rFonts w:ascii="Times New Roman" w:cs="Times New Roman" w:eastAsia="Times New Roman" w:hAnsi="Times New Roman"/>
          <w:sz w:val="18"/>
          <w:szCs w:val="18"/>
          <w:color w:val="auto"/>
        </w:rPr>
        <w:t>We have filed trademark applications seeking protection for our corporate name, logo, Nasdaq Global Market symbol and selected names of our technology platforms in selected geographies. While we have been granted registrations in certain geographies for certain trademarks, there is no guarantee that our trademark applications will be approved by the respective authorities at all or that we will not be required to narrow the scope of protection in certain or all geographies. Our applications have in the past faced and may in the future face opposition from third parties, potentially resulting in the lack of protection or narrower protection. Our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domain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and domain names may be ineffective and could result in substantial costs and diversion of resources, and could adversely affect our business, financial condition, results of operations and growth prospects.</w:t>
      </w:r>
    </w:p>
    <w:p>
      <w:pPr>
        <w:spacing w:after="0" w:line="191" w:lineRule="exact"/>
        <w:rPr>
          <w:sz w:val="20"/>
          <w:szCs w:val="20"/>
          <w:color w:val="auto"/>
        </w:rPr>
      </w:pPr>
    </w:p>
    <w:p>
      <w:pPr>
        <w:ind w:left="60" w:right="11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or AI, in our operations may require us to expend material resources and may present risks and challenges that can impact our business, including by posing security and other risks to our confidential information, proprietary information and personal information, any of which may result in reputational harm and liability, or otherwise adversely affect our business.</w:t>
      </w:r>
    </w:p>
    <w:p>
      <w:pPr>
        <w:spacing w:after="0" w:line="16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may choose to integrate AI into our operations, and this innovation presents risks and challenges that could affect its adoption, and therefore our business. There are significant risks involved in utilizing AI and no assurance can be provided that the usage of AI will enhance our business or assist our business in becoming more efficient or profitable. The use of certain AI technology can give rise to intellectual property risks, including compromises to intellectual property and proprietary information as well as intellectual property infringement and misappropriation. Other known risks of AI currently include inaccuracy, bias, toxicity, data privacy and cybersecurity issues, and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provenance disputes. In addition, AI may have errors or inadequacies that are not easily detectable. AI may also be subject to data herding and interconnectedness (i.e., multiple market participants utilizing the same data), which may adversely impact our business. If the data used to train AI or the content, analyses, or recommendations that AI applications assist in producing are or are alleged to be deficient, inaccurate, incomplete, overbroad or biased, our business, financial condition, and results of operations may be adversely affected.</w:t>
      </w:r>
    </w:p>
    <w:p>
      <w:pPr>
        <w:spacing w:after="0" w:line="183"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Additionally, we expect to see increasing government and supranational regulation and ethical concerns related to AI use, which may also significantly increase the burden and cost of research, development and compliance in this area. For example, the EU’s Artificial Intelligence Act, or the AI Act, — the world’s first comprehensive AI law — entered into force on August 1, 2024 and, with some exceptions, will become effective 24 months thereafter. This legislation imposes significant obligations on providers and deployers of AI systems, and encourages providers and deployers of AI systems to account for certain ethical principles in their design, development and use of these systems. The rapid evolution of AI will require the application of significant resources to design, develop, test and maintain our technology and products to help ensure that AI is implemented in accordance with applicable laws and regulations and in a socially responsible manner and to minimize any real or perceived unintended harmful impacts.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 Our use of AI applications may also, in the future, result in cybersecurity incidents that implicate the personal data of customers or patients. Any such cybersecurity incidents related to our use of AI applications could adversely affect our reputation and results of operations.</w:t>
      </w:r>
    </w:p>
    <w:p>
      <w:pPr>
        <w:spacing w:after="0" w:line="195"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collaborators or other third-party service providers may also incorporate AI tools into their own offerings, and the providers of these AI tools may not meet existing or rapidly evolving regulatory or industry standards, including with respect to intellectual property, data privacy and cybersecurity. Any of these effects could damage our reputation, result in the loss of valuable property and information, cause us to breach applicable laws and regulations, or otherwise adversely impact our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company and have a history of operating losses. We anticipate that we will continue to incur losses for the foreseeable future.</w:t>
      </w:r>
    </w:p>
    <w:p>
      <w:pPr>
        <w:spacing w:after="0" w:line="15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Since 2003, although we have received upfront and milestone payments from our collaboration partners and certain other contract revenue, we have also incurred significant operating losses. We incurred net losses (defined as net loss attributable to owners of the Company) of CHF 50.9 million for the year ended December 31, 2024. In addition, we had accumulated losses of CHF 368.2 million as of December 31, 2024.</w:t>
      </w:r>
    </w:p>
    <w:p>
      <w:pPr>
        <w:spacing w:after="0" w:line="187"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66"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liquidity requirements primarily from its public offerings, share issuances, contract revenues from option, license and collaboration agreements and grants. We have no products approved for commercialization and have never generated any revenues from product sales. Biopharmaceutical and 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3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Although we have generated revenues from upfront and milestone payments related to our option, license and collaboration agreements, we have never generated any revenue from product sales and may never be profitable.</w:t>
      </w:r>
    </w:p>
    <w:p>
      <w:pPr>
        <w:spacing w:after="0" w:line="13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Although we have generated contract revenue from upfront and milestone payments related to our option, license and collaboration agreements, we have no products approved for commercialization and have never generated any revenue from product sales. Our ability to generate revenue and achieve profitability depends on our and our licensors’ and collaboration partners’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and our collaboration partners’ success in many areas, including but not limited to:</w:t>
      </w:r>
    </w:p>
    <w:p>
      <w:pPr>
        <w:spacing w:after="0" w:line="192" w:lineRule="exact"/>
        <w:rPr>
          <w:sz w:val="20"/>
          <w:szCs w:val="20"/>
          <w:color w:val="auto"/>
        </w:rPr>
      </w:pPr>
    </w:p>
    <w:p>
      <w:pPr>
        <w:ind w:left="720" w:right="23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research and clinical development of our product candidates, by us or our collaboration partners, as the case may be;</w:t>
      </w:r>
    </w:p>
    <w:p>
      <w:pPr>
        <w:spacing w:after="0" w:line="161"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for our clinical product candidates, including our active immunotherapies (ACI-35.030, ACI-24.060 and ACI-7104.056) and diagnostics (Tau-PET tracer PI-2620, a-syn-PET tracers ACI-12589 and ACI-15916 and TDP-43-PET tracer ACI-19626), for which we or our collaboration partners complete clinical studies;</w:t>
      </w:r>
    </w:p>
    <w:p>
      <w:pPr>
        <w:spacing w:after="0" w:line="166"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any approved product candidates, and maintaining supply and manufacturing relationships with third parties that can conduct the process and provide adequate (in amount, quality and time) products to support clinical development and the market demand for our product candidates, if approved;</w:t>
      </w:r>
    </w:p>
    <w:p>
      <w:pPr>
        <w:spacing w:after="0" w:line="166"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marketing approval, either directly or with a collaborator or distributor;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or diagnostic options;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225"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similar arrangements into which we may enter;</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acquiring and expanding our portfolio of intellectual property rights, including patents, trade secrets and know-how;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Because of the numerous risks and uncertainties with biopharmaceutical and pharmaceutical product development, we are unable to accurately predict the timing or amount of increased expenses and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the treatment population is narrowed by competition, physician choice or treatment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guidelines or other commercial related factors we may not generate significant revenue from sales of such products, even if approved. Accordingly, we may not be profitable in the future from the sale of any approved products.</w:t>
      </w:r>
    </w:p>
    <w:p>
      <w:pPr>
        <w:spacing w:after="0" w:line="16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or our collaboration partners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66" w:lineRule="exact"/>
        <w:rPr>
          <w:sz w:val="20"/>
          <w:szCs w:val="20"/>
          <w:color w:val="auto"/>
        </w:rPr>
      </w:pPr>
    </w:p>
    <w:p>
      <w:pPr>
        <w:ind w:left="38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funding, we may delay, reduce or eliminate our product development programs or commercialization efforts.</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are currently advancing our clinical product candidates through clinical development, either together with a collaboration partner (ACI 24.060, ACI-35.030 and PI-2620) or independently (ACI-7104.056 and ACI-12589). We expect our research and development expenses to continue to increase in connection with our ongoing activities, particularly as we and/or our collaboration partners continue our ongoing studies and initiate new studies of ACI-35.030, ACI-24.060, ACI-7104.056, Morphomer Tau, PI-2620 and ACI-12589 and initiate preclinical and clinical development of our other product candidates.</w:t>
      </w:r>
    </w:p>
    <w:p>
      <w:pPr>
        <w:spacing w:after="0" w:line="18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CHF 36.3 million and short-term financial assets of CHF 129.2 million resulting in a total liquidity position of CHF 165.5 million. We currently believe that our existing capital resources, assuming no other milestones, will be sufficient to meet our projected operating requirements into Q1 2027. We have based this estimate on assumptions that may prove to be wrong, and we could exhaust our capital resources sooner than we currently expect. In addition, changing circumstances, including inflation, may cause us to adjust our projected spending to amounts more than currently expected. We may also need to raise additional funds sooner than we anticipate due to various factors such as the scope and rate of progress of our development activities, regulatory approval outcomes and emergence of competing technologies, among others.</w:t>
      </w:r>
    </w:p>
    <w:p>
      <w:pPr>
        <w:spacing w:after="0" w:line="192"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We expect that we will require additional capital to develop and commercialize certain of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distribution and establishing a regulatory structure, depending on where we choose to commercialize. Additional funds may not be available on a timely basis, on favorable terms, or at all, and such funds, if raised, may not be sufficient to enable us to continue to implement our long-term business strategy, in particular as a result of inflation. Additionally, we may be dependent on the status of the capital markets at the time such capital is sought. In addition, our ability to raise sufficient capital under our “at the market” program may be diminished depending on the market price of our shares. If we are not able to raise capital when needed, we could be forced to delay, reduce or eliminate our product development programs or commercialization efforts.</w:t>
      </w:r>
    </w:p>
    <w:p>
      <w:pPr>
        <w:spacing w:after="0" w:line="176" w:lineRule="exact"/>
        <w:rPr>
          <w:sz w:val="20"/>
          <w:szCs w:val="20"/>
          <w:color w:val="auto"/>
        </w:rPr>
      </w:pPr>
    </w:p>
    <w:p>
      <w:pPr>
        <w:ind w:left="3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159"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royalty revenue, we expect to finance our liquidity needs through a combination of equity offerings, debt financings, grants, and license and development agreements in connection with collaborations. In September 2020, the Company established an “at the market offering” (ATM) for the sale of up to USD 80.0 (CHF 73.0) million worth of our common shares from time to time by entering into an Open Market Sale Agreement (Sales Agreement) with Jefferies LLC (Jefferies). In Q1 2024, we filed a new registration statement on Form F-3 to replace the Company’s expiring registration statement on Form F-3 that had been filed in 2021. In Q3 2024, we entered into a new Open Market Sale Agreement with Jefferies dated August 6, 2024 to replace and extend the ATM program. In accordance with the terms of the Sales Agreement, we may offer and sell our common shares having an aggregate offering price up to USD 80.0 (CHF 73.0) million from time to time through Jefferies LLC, acting as our sales agent. We do not have any material committed external source of funds. In the event we need to seek additional funds, we may raise additional capital through the sale of equity, convertible debt or other securities. In such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80"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tax loss carry-forwards in Switzerland may be limited.</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we reported tax loss carry-forwards from financial years 2018 until 2024 for purposes of Swiss corporate income tax in the aggregate amount of CHF 343.6 million, which could be available to offset future taxable income. If not used, these tax losses will expire 7 years after the year in which they were incurred. Due to our limited income, there is a high risk that the tax loss carry-forwards will expire partly or entirely, and we will not be able to use them to offset future taxable income thereafter for Swiss corporate income tax purposes.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p>
    <w:p>
      <w:pPr>
        <w:spacing w:after="0" w:line="21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Under our existing agreements, we receive and make a significant amount of payments in Swiss Franc, USD and EUR. As a result, changes and fluctuations in currency exchange rates between the Swiss Franc and other currencies, especially the USD and EUR, could have a materially adverse effect on our operating results. As our reporting currency is the Swiss Franc, financial line items are converted into Swiss Francs at the applicable exchange rates. We also expect that in the future, a significant portion of our revenues and expenses will be denominated in Swiss Franc, USD and EUR. Therefore, unfavorable developments in the value of the Swiss Franc as compared to the USD and EUR or any other currency could have a material adverse effect on our business, financial condition and results of operations.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significant in-process research and development (IPR&amp;D) asset may become impaired.</w:t>
      </w:r>
    </w:p>
    <w:p>
      <w:pPr>
        <w:spacing w:after="0" w:line="21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Our consolidated balance sheets contain a material IPR&amp;D asset of CHF 50.4 million. For an IPR&amp;D asset, the risk of failure is significant, and there can be no certainty that the asset will become a successful candidate. Our ability to realize value on this significant investment is often contingent upon, among other things, regulatory approvals and market acceptance. As such, this IPR&amp;D may become impaired and/or be written off at some time in the future if the associated R&amp;D effort is abandoned or is curtailed. For a complete discussion of our IPR&amp;D asset, see “Note 6. Intangible assets”.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225" w:lineRule="exact"/>
        <w:rPr>
          <w:sz w:val="20"/>
          <w:szCs w:val="20"/>
          <w:color w:val="auto"/>
        </w:rPr>
      </w:pPr>
    </w:p>
    <w:p>
      <w:pPr>
        <w:ind w:left="38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which is necessary before they can be commercialized.</w:t>
      </w:r>
    </w:p>
    <w:p>
      <w:pPr>
        <w:spacing w:after="0" w:line="171"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future success is dependent on our and our collaboration partners’ ability to successfully develop, obtain regulatory approval for, and then successfully commercialize one or more product candidates. We are currently advancing therapeutic and diagnostic programs, targeting five different types of misfolded pathological proteins related to AD, PD and other neurodegenerative disorders.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74"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176" w:lineRule="exact"/>
        <w:rPr>
          <w:sz w:val="20"/>
          <w:szCs w:val="20"/>
          <w:color w:val="auto"/>
        </w:rPr>
      </w:pPr>
    </w:p>
    <w:p>
      <w:pPr>
        <w:ind w:left="720" w:right="23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the design or implementation of our clinical studies;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safety in the full population for which we seek approval;</w:t>
      </w:r>
    </w:p>
    <w:p>
      <w:pPr>
        <w:spacing w:after="0" w:line="16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our interpretation of data from nonclinical or clinical studies;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studies of our product candidates may not be sufficient to support the submission of an NDA or other submission or to obtain regulatory approval in the U.S. or elsewhere;</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or comparable foreign regulatory authorities that a product candidate’s benefit-risk ratio for its proposed indication is acceptable;</w:t>
      </w:r>
    </w:p>
    <w:p>
      <w:pPr>
        <w:spacing w:after="0" w:line="161" w:lineRule="exact"/>
        <w:rPr>
          <w:rFonts w:ascii="Times New Roman" w:cs="Times New Roman" w:eastAsia="Times New Roman" w:hAnsi="Times New Roman"/>
          <w:sz w:val="18"/>
          <w:szCs w:val="18"/>
          <w:color w:val="auto"/>
        </w:rPr>
      </w:pPr>
    </w:p>
    <w:p>
      <w:pPr>
        <w:jc w:val="both"/>
        <w:ind w:left="720" w:right="259" w:hanging="319"/>
        <w:spacing w:after="0" w:line="266"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17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comparable foreign regulatory authorities may change significantly in a manner rendering our clinical data insufficient for approval.</w:t>
      </w:r>
    </w:p>
    <w:p>
      <w:pPr>
        <w:spacing w:after="0" w:line="162" w:lineRule="exact"/>
        <w:rPr>
          <w:sz w:val="20"/>
          <w:szCs w:val="20"/>
          <w:color w:val="auto"/>
        </w:rPr>
      </w:pPr>
    </w:p>
    <w:p>
      <w:pPr>
        <w:ind w:left="60" w:right="79" w:firstLine="324"/>
        <w:spacing w:after="0" w:line="216" w:lineRule="exact"/>
        <w:rPr>
          <w:sz w:val="20"/>
          <w:szCs w:val="20"/>
          <w:color w:val="auto"/>
        </w:rPr>
      </w:pPr>
      <w:r>
        <w:rPr>
          <w:rFonts w:ascii="Times New Roman" w:cs="Times New Roman" w:eastAsia="Times New Roman" w:hAnsi="Times New Roman"/>
          <w:sz w:val="18"/>
          <w:szCs w:val="18"/>
          <w:color w:val="auto"/>
        </w:rPr>
        <w:t>In response to scrutiny of the accelerated approval pathway, Section 3210 of the FDORA (incorporated in the 2023 Appropriations Act) revised this pathway to, among other things: require the FDA to specify the conditions for required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trials; permit the FDA to require such trials to be underway prior to approval, or within a specific period after approval; require sponsors to provide reports on postmarketing trial progress no later than 180 days after approval and every 180 days thereafter until such trials are completed; make the failure to conduct required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trials with due diligence and the failure to submit the required reports prohibited acts; and detail procedures the FDA must follow to withdraw an accelerated approval on an expedited basis. This legislation did not, however, change the standard for accelerated approval. Even prior to this legislation, the FDA had held Oncologic Drugs Advisory Committee meetings to discuss accelerated approvals for which confirmatory trials have not verified clinical benefit, resulting in voluntary withdrawals of certain products and indications approved on an accelerated basis. While it is not clear at this time how these legislative and regulatory initiatives will affect our ability to pursue accelerated approval for any of our product candidates, these developments may have a material adverse impact on our business, financial condition, and results of operations.</w:t>
      </w:r>
    </w:p>
    <w:p>
      <w:pPr>
        <w:spacing w:after="0" w:line="208"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We generally plan to seek regulatory approval to commercialize our product candidates in the U.S., the EU and in additional foreign countries where we have commercial and typically intellectual property rights. To obtain regulatory approval in other countries, we must comply with numerous and varying regulatory requirements of such other countries regarding safety, efficacy, chemistry, manufacturing and controls, clinical studies, commercial sales, pricing, marketing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 and results of operations.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189" w:lineRule="exact"/>
        <w:rPr>
          <w:sz w:val="20"/>
          <w:szCs w:val="20"/>
          <w:color w:val="auto"/>
        </w:rPr>
      </w:pPr>
    </w:p>
    <w:p>
      <w:pPr>
        <w:ind w:left="38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180"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To obtain the necessary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Times New Roman" w:cs="Times New Roman" w:eastAsia="Times New Roman" w:hAnsi="Times New Roman"/>
          <w:sz w:val="17"/>
          <w:szCs w:val="17"/>
          <w:color w:val="auto"/>
        </w:rPr>
        <w:t>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pharmaceutical or biopharmaceutical industry, including us, have suffered significant setbacks in advanced clinical studies due to lack of efficacy or adverse safety profiles, notwithstanding promising results in earlier studies. Our future clinical study results may not be successful.</w:t>
      </w:r>
    </w:p>
    <w:p>
      <w:pPr>
        <w:spacing w:after="0" w:line="168"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Clinical studies must be conducted in accordance with the legal requirements, regulations and guidelines of the FDA, EMA and comparable foreign regulatory authorities, and are subject to oversight by these governmental agencies and Institutional Review Boards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92"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To date, neither we nor our collaboration partners have completed all clinical studies required for the approval of any of our product candidates.</w:t>
      </w:r>
    </w:p>
    <w:p>
      <w:pPr>
        <w:spacing w:after="0" w:line="176"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completion of clinical studies for our product candidates may be delayed, suspended or terminated as a result of many factors, including but not limited to:</w:t>
      </w:r>
    </w:p>
    <w:p>
      <w:pPr>
        <w:spacing w:after="0" w:line="162" w:lineRule="exact"/>
        <w:rPr>
          <w:sz w:val="20"/>
          <w:szCs w:val="20"/>
          <w:color w:val="auto"/>
        </w:rPr>
      </w:pPr>
    </w:p>
    <w:p>
      <w:pPr>
        <w:ind w:left="720" w:right="19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or refusal of regulators or IRBs to authorize us to commence or amend a clinical study at a prospective study site or changes in regulatory requirements, policies and guidelines;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and variability in the number and types of patients available for clinical studies;</w:t>
      </w:r>
    </w:p>
    <w:p>
      <w:pPr>
        <w:spacing w:after="0" w:line="225"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studies to ensure adequate statistical power to detect statistically significant treatment effects;</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which may require us to conduct additional preclinical or clinical studies or to abandon projects that we expected to be promising;</w:t>
      </w:r>
    </w:p>
    <w:p>
      <w:pPr>
        <w:spacing w:after="0" w:line="161"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concerns, which could cause us to suspend or terminate a study if we find that the participants are being exposed to unacceptable health risks;</w:t>
      </w:r>
    </w:p>
    <w:p>
      <w:pPr>
        <w:spacing w:after="0" w:line="161"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and volunteers in clinical studies;</w:t>
      </w:r>
    </w:p>
    <w:p>
      <w:pPr>
        <w:spacing w:after="0" w:line="225" w:lineRule="exact"/>
        <w:rPr>
          <w:rFonts w:ascii="Times New Roman" w:cs="Times New Roman" w:eastAsia="Times New Roman" w:hAnsi="Times New Roman"/>
          <w:sz w:val="18"/>
          <w:szCs w:val="18"/>
          <w:color w:val="auto"/>
        </w:rPr>
      </w:pPr>
    </w:p>
    <w:p>
      <w:pPr>
        <w:ind w:left="720" w:right="779" w:hanging="319"/>
        <w:spacing w:after="0" w:line="312" w:lineRule="auto"/>
        <w:tabs>
          <w:tab w:leader="none" w:pos="7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CROs or clinical study sites failing to comply with regulatory requirements or meet their contractual obligations to us in a timely manner, or at all, deviating from the protocol or dropping out of a study;</w:t>
      </w:r>
    </w:p>
    <w:p>
      <w:pPr>
        <w:spacing w:after="0" w:line="13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relating to adding new clinical study sites;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falling below acceptable standards;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or obtain sufficient quantities of the product candidate to complete clinical studies;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Further, with the passage of FDORA, Congress clarified the FDA’s authority to conduct inspections by expressly permitting inspection of facilities involved in the preparation, conduct or analysis of clinical and nonclinical studies submitted to FDA, as well as of other persons holding study records or otherwise involved in the study process, which could delay or add complexity to our clinical trials.</w:t>
      </w:r>
    </w:p>
    <w:p>
      <w:pPr>
        <w:spacing w:after="0" w:line="180"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Any delays in completing our clinical studies will increase our costs, slow our product candidate development and approval process, and jeopardize our ability to commence product sales and generate sales revenues. Any of these occurrences may significantly harm our business, financial condition and prospects. In addition, many of the factors that cause, or lead to, a delay in the commencement or completion of clinical studies may also ultimately lead to the denial of regulatory approval of our product candidates.</w:t>
      </w:r>
    </w:p>
    <w:p>
      <w:pPr>
        <w:spacing w:after="0" w:line="183" w:lineRule="exact"/>
        <w:rPr>
          <w:sz w:val="20"/>
          <w:szCs w:val="20"/>
          <w:color w:val="auto"/>
        </w:rPr>
      </w:pPr>
    </w:p>
    <w:p>
      <w:pPr>
        <w:ind w:left="38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175"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Sales by us of our approved drugs will be subject to U.S. and non-U.S. regulatory requirements governing clinical studies and regulatory approval, and we plan to seek regulatory approval to commercialize our product candidates in the U.S., the European Economic Area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the regulatory authorities in other countries or jurisdictions, and similarly, approval by a non-U.S. regulatory authority, such as the EMA, does not ensure approval by regulatory authorities in other countries, including by the FDA.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U.S., a product candidate must be approved for reimbursement before it can be approved for sale in that country. In some cases, the price that would be charged for a drug is also subject to approval. Regulatory authorities in other countries also have their own requirements for approval of product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197" w:lineRule="exact"/>
        <w:rPr>
          <w:sz w:val="20"/>
          <w:szCs w:val="20"/>
          <w:color w:val="auto"/>
        </w:rPr>
      </w:pPr>
    </w:p>
    <w:p>
      <w:pPr>
        <w:ind w:left="380" w:right="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5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If a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or our collaboration partners’ ability to commercialize such products. These requirements include submissions of safety and other post-marketing information and reports, registration, as well as continued compliance with cGMP and cGCP requirements for any clinical studies that we conduct post-approval. Later discovery of previously unknown problems with a product, including AEs of unanticipated severity or frequency, or with our third-party manufacturers or manufacturing processes, or failure to comply with regulatory requirements, may result in, among other things:</w:t>
      </w:r>
    </w:p>
    <w:p>
      <w:pPr>
        <w:spacing w:after="0" w:line="191" w:lineRule="exact"/>
        <w:rPr>
          <w:sz w:val="20"/>
          <w:szCs w:val="20"/>
          <w:color w:val="auto"/>
        </w:rPr>
      </w:pPr>
    </w:p>
    <w:p>
      <w:pPr>
        <w:ind w:left="720" w:right="4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studies;</w:t>
      </w:r>
    </w:p>
    <w:p>
      <w:pPr>
        <w:spacing w:after="0" w:line="225" w:lineRule="exact"/>
        <w:rPr>
          <w:rFonts w:ascii="Times New Roman" w:cs="Times New Roman" w:eastAsia="Times New Roman" w:hAnsi="Times New Roman"/>
          <w:sz w:val="18"/>
          <w:szCs w:val="18"/>
          <w:color w:val="auto"/>
        </w:rPr>
      </w:pPr>
    </w:p>
    <w:p>
      <w:pPr>
        <w:jc w:val="both"/>
        <w:ind w:left="720" w:right="13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an applicable foreign regulatory authority to approve pending applications or supplements to approved applications filed by us or our collaborations partners, or suspension or revocation of product license approvals;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constraints in promotion and distribution of drug products in various markets;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or those of an applicable foreign regulatory authority’s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3" w:lineRule="exact"/>
        <w:rPr>
          <w:sz w:val="20"/>
          <w:szCs w:val="20"/>
          <w:color w:val="auto"/>
        </w:rPr>
      </w:pPr>
    </w:p>
    <w:p>
      <w:pPr>
        <w:ind w:left="38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clinical studies for our product candidates outside the U.S., and the FDA and applicable foreign regulatory authorities may not accept data from such studies.</w:t>
      </w:r>
    </w:p>
    <w:p>
      <w:pPr>
        <w:spacing w:after="0" w:line="159"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We have conducted and may in the future choose to conduct one or more of our clinical studies outside the U.S., including in Germany, Austria, Denmark, Sweden, Finland, the UK, Poland, Spain and the Netherlands. The acceptance of study data from clinical studies conducted outside the U.S. or another jurisdiction by the FDA or applicable foreign regulatory authority may be subject to certain conditions. In cases where data from foreign clinical studies are intended to serve as the basis for marketing approval in the U.S., the FDA will not approve the application on the basis of foreign data alone unless the following are true: the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in which the studies are conducted. There can be no assurance that the FDA or any applicable foreign regulatory authority will accept data from studies conducted outside of the U.S.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product candidates not receiving approval or clearance for commercialization in the applicable jurisdiction.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5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In the U.S., the EU and some foreign jurisdictions, there have been a number of adopted and proposed legislative and regulatory changes regarding the healthcare system that could prevent or delay regulatory approval of our product candidates, restrict or regulate post-approval activities and affect our ability to profitably sell any of our product candidates for which we obtain regulatory approval.</w:t>
      </w:r>
    </w:p>
    <w:p>
      <w:pPr>
        <w:spacing w:after="0" w:line="180" w:lineRule="exact"/>
        <w:rPr>
          <w:sz w:val="20"/>
          <w:szCs w:val="20"/>
          <w:color w:val="auto"/>
        </w:rPr>
      </w:pPr>
    </w:p>
    <w:p>
      <w:pPr>
        <w:ind w:left="60" w:right="279" w:firstLine="324"/>
        <w:spacing w:after="0" w:line="253" w:lineRule="auto"/>
        <w:rPr>
          <w:sz w:val="20"/>
          <w:szCs w:val="20"/>
          <w:color w:val="auto"/>
        </w:rPr>
      </w:pPr>
      <w:r>
        <w:rPr>
          <w:rFonts w:ascii="Times New Roman" w:cs="Times New Roman" w:eastAsia="Times New Roman" w:hAnsi="Times New Roman"/>
          <w:sz w:val="18"/>
          <w:szCs w:val="18"/>
          <w:color w:val="auto"/>
        </w:rPr>
        <w:t>In the U.S., the Medicare Prescription Drug, Improvement, and Modernization Act of 2003 (“MMA”) changed the way Medicare covers and pays for pharmaceutical products. Cost reduction initiatives and other provisions of this legislation could limit the coverage and reimbursement rate that we receive for any of our approved product candidates.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(collectively, the Health Care Reform Law), was enacted. The Health Care Reform Law was intended to broaden access to health insurance, reduce or constrain the growth of healthcare spending, enhance remedies against healthcare fraud and abuse, add new transparency requirements for healthcare and health insurance industries, impose new taxes and fees on the health industry and impose additional health policy reforms. The Health Care Reform Law increased manufacturers’ rebate liability under the Medicaid Drug Rebate Program by increasing the minimum rebate amount for both branded and generic drugs and revised the definition of “average manufacturer price” (“AMP”), which may also increase the amount of Medicaid drug rebates manufacturers are required to pay to states. The legislation also expanded Medicaid drug rebates and created an alternative rebate formula for certain new formulations of certain existing products that is intended to increase the rebates due on those drugs. The Centers for Medicare &amp; Medicaid Services, which administers the Medicaid Drug Rebate Program, also has proposed to expand Medicaid rebates to the utilization that occurs in the territories of the U.S., such as Puerto Rico and the Virgin Islands. Further, beginning in 2011, the Health Care Reform Law imposed a significant annual fee on companies that manufacture or import branded prescription drug products. Legislative and regulatory proposals have been introduced at both the state and federal level to expand post-approval requirements and restrict sales and promotional activities for pharmaceutical products.</w:t>
      </w:r>
    </w:p>
    <w:p>
      <w:pPr>
        <w:spacing w:after="0" w:line="19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not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approval testing and other requirements.</w:t>
      </w:r>
    </w:p>
    <w:p>
      <w:pPr>
        <w:spacing w:after="0" w:line="187"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both the federal and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One significant example of recent legislative action is the Inflation Reduction Act of 2022 (the “IRA”), which has been considered a scaled-back version of the Build Back Better Act. The IRA was signed into law on August 16, 2022. While the IRA is still subject to rulemaking (with more information to come via guidance documents from the responsible federal agencies), the IRA, as written, will, among other changes, give HHS the ability and authority to directly negotiate with manufacturers the price that Medicare will pay for certain high-priced drugs. The IRA will also require manufacturers of certain Part B and Part D drugs to issue to HHS rebates based on certain calculations and triggers (i.e. when drug prices increase and outpace the rate of inflation). On March 15, 2023 and June 30, 2023, HHS issued guidance regarding implementation of the Medicare drug price negotiation program in initial price applicability year 2026. On January 17, 2025, HHS announced 15 additional drugs selected for Medicare pricing negotiations,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these negotiations with participating drug companies are slated to occur in 2025, with any negotiated prices becoming effective in 2027. Several manufacturers and industry groups have challenged the drug price negotiation program for Medicare Parts B and D in federal court. These lawsuits are ongoing, and additional lawsuits may be filed in the future related to provisions of the IRA. It is unknown whether such litigation or other litigation, if brought, will be successful. For these and other reasons, we cannot predict the implications the IRA provisions will have on our business.</w:t>
      </w:r>
    </w:p>
    <w:p>
      <w:pPr>
        <w:spacing w:after="0" w:line="18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Additionally, in the EU, the new clinical trial regulation came into force on January 31, 2022. This new legislation enforces the centralization of clinical trial applications (CTAs) and approvals, which eliminates redundancy, but in some cases, this may extend timelines for clinical study approvals, due to potentially longer review times. Austerity measures in certain European nations may also affect the prices we are able to seek if our products are approved. Both in the U.S. and in the EU, legislative and regulatory proposals have been made to expand post-approval requirements and restrict sales and promotional activities for pharmaceutical and biopharmaceutical products. We do not know whether additional legislative changes will be enacted, whether the regulations, guidance or interpretations will be changed, or what the impact of such changes on the marketing approvals of our product candidates, if any, may be.</w:t>
      </w:r>
    </w:p>
    <w:p>
      <w:pPr>
        <w:spacing w:after="0" w:line="188" w:lineRule="exact"/>
        <w:rPr>
          <w:sz w:val="20"/>
          <w:szCs w:val="20"/>
          <w:color w:val="auto"/>
        </w:rPr>
      </w:pPr>
    </w:p>
    <w:p>
      <w:pPr>
        <w:ind w:left="380" w:right="2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82"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human substances and wastes. Our operations involve the use of hazardous and flammable materials, including chemicals and biological materials that produce hazardous waste products. We generally contract with third parties for the disposal of these materials and wastes. We cannot eliminate the risk of contamination or injury from these materials or wastes either at our sites or at third-party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human substances or other work-related injuries, this insurance may not provide adequate coverage against potential liabilities.</w:t>
      </w:r>
    </w:p>
    <w:p>
      <w:pPr>
        <w:spacing w:after="0" w:line="188"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183" w:lineRule="exact"/>
        <w:rPr>
          <w:sz w:val="20"/>
          <w:szCs w:val="20"/>
          <w:color w:val="auto"/>
        </w:rPr>
      </w:pPr>
    </w:p>
    <w:p>
      <w:pPr>
        <w:ind w:left="38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clinical centers are, and potentials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8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which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87" w:lineRule="exact"/>
        <w:rPr>
          <w:sz w:val="20"/>
          <w:szCs w:val="20"/>
          <w:color w:val="auto"/>
        </w:rPr>
      </w:pPr>
    </w:p>
    <w:p>
      <w:pPr>
        <w:ind w:left="720" w:right="219" w:hanging="319"/>
        <w:spacing w:after="0" w:line="275" w:lineRule="auto"/>
        <w:tabs>
          <w:tab w:leader="none" w:pos="7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168" w:lineRule="exact"/>
        <w:rPr>
          <w:rFonts w:ascii="Times New Roman" w:cs="Times New Roman" w:eastAsia="Times New Roman" w:hAnsi="Times New Roman"/>
          <w:sz w:val="17"/>
          <w:szCs w:val="17"/>
          <w:color w:val="auto"/>
        </w:rPr>
      </w:pPr>
    </w:p>
    <w:p>
      <w:pPr>
        <w:ind w:left="720" w:right="199" w:hanging="319"/>
        <w:spacing w:after="0" w:line="284"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 False Claims Act imposes criminal and civil penalties, including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knowingly presenting, or causing to be presented, to the U.S.</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spacing w:after="0" w:line="282" w:lineRule="auto"/>
        <w:rPr>
          <w:sz w:val="20"/>
          <w:szCs w:val="20"/>
          <w:color w:val="auto"/>
        </w:rPr>
      </w:pPr>
      <w:r>
        <w:rPr>
          <w:rFonts w:ascii="Times New Roman" w:cs="Times New Roman" w:eastAsia="Times New Roman" w:hAnsi="Times New Roman"/>
          <w:sz w:val="18"/>
          <w:szCs w:val="18"/>
          <w:color w:val="auto"/>
        </w:rPr>
        <w:t>government, claims for payment that are false or fraudulent or making a false statement to avoid, decrease or conceal an obligation to pay money to the federal government;</w:t>
      </w:r>
    </w:p>
    <w:p>
      <w:pPr>
        <w:spacing w:after="0" w:line="162" w:lineRule="exact"/>
        <w:rPr>
          <w:sz w:val="20"/>
          <w:szCs w:val="20"/>
          <w:color w:val="auto"/>
        </w:rPr>
      </w:pPr>
    </w:p>
    <w:p>
      <w:pPr>
        <w:ind w:left="720" w:right="45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HIPAA imposes criminal and civil liability for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17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166" w:lineRule="exact"/>
        <w:rPr>
          <w:rFonts w:ascii="Times New Roman" w:cs="Times New Roman" w:eastAsia="Times New Roman" w:hAnsi="Times New Roman"/>
          <w:sz w:val="18"/>
          <w:szCs w:val="18"/>
          <w:color w:val="auto"/>
        </w:rPr>
      </w:pPr>
    </w:p>
    <w:p>
      <w:pPr>
        <w:ind w:left="720" w:right="79" w:hanging="319"/>
        <w:spacing w:after="0" w:line="255"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laws and regulations, such as state anti-kickback and false claims laws, will apply to sales or marketing arrangements, consultancy and service agreements, and claims involving healthcare items or services reimbursed by nongovernmental third-party payors, including private insurers, and some state laws require pharmaceutical and biopharmaceutical companies to comply with the pharmaceutical and biopharmaceutical industries’ voluntary compliance guidelines and the relevant compliance guidance promulgated by the federal government, in addition to requiring manufacturers to report information related to payments to physicians and other healthcare providers or marketing expenditures.</w:t>
      </w:r>
    </w:p>
    <w:p>
      <w:pPr>
        <w:spacing w:after="0" w:line="175"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healthcare-reform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Jurisdictions outside of the U.S. have enacted laws and regulations defining the framework of business practices of pharmaceutical organizations in their interactions with government offices, medical institutions and healthcare professionals (HCP) in order to safeguard the independence of medical judgement and of prescription and purchasing decisions. These regulations typically prohibit illegitimate payments and other transfers of values to institutional players and HCPs and regulate the bases for their remuneration, such as for consultancy and other service arrangements, as well as the reimbursement of costs; in certain jurisdictions, regulations prescribe the disclosure of the existing relationships and/or the remunerations paid. In addition to government regulations, pharmaceutical industry associations, such as the European Federation of Pharmaceutical Industries and Associations (EFPIA), of which we have been a member since 2021, have enacted industry codes of conduct providing their own rules of compliance for their members’ interactions with government offices, medical institutions and HCPs.</w:t>
      </w:r>
    </w:p>
    <w:p>
      <w:pPr>
        <w:spacing w:after="0" w:line="18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government-funded healthcare programs, such as Medicare and Medicaid, other foreign healthcare reimbursement and procurement programs, and the curtailment or restructuring of our operations. If any of the physicians or other providers or entities with whom we expect to do business with is found to be not in compliance with applicable laws, they may be subject to criminal, civil or administrative sanctions, including exclusions from government-funded healthcare programs.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5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collaborators, or other parties, which would violate the laws or regulations of the jurisdictions in which we operate, including, without limitation, healthcare, employment, foreign corrupt practices, environmental, health and safety competition, and patient privacy and other privacy laws and regulations. Such improper actions could subject us to civil or criminal investigations, and monetary and injunctive penalties, and could adversely impact our operating results, our ability to conduct business and our reputation.</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In June 2023, we amended our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5" w:lineRule="exact"/>
        <w:rPr>
          <w:sz w:val="20"/>
          <w:szCs w:val="20"/>
          <w:color w:val="auto"/>
        </w:rPr>
      </w:pPr>
    </w:p>
    <w:p>
      <w:pPr>
        <w:ind w:left="38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(FCPA), and similar anti-bribery and anti-corruption laws.</w:t>
      </w:r>
    </w:p>
    <w:p>
      <w:pPr>
        <w:spacing w:after="0" w:line="159" w:lineRule="exact"/>
        <w:rPr>
          <w:sz w:val="20"/>
          <w:szCs w:val="20"/>
          <w:color w:val="auto"/>
        </w:rPr>
      </w:pPr>
    </w:p>
    <w:p>
      <w:pPr>
        <w:ind w:left="60" w:right="119" w:firstLine="324"/>
        <w:spacing w:after="0" w:line="249" w:lineRule="auto"/>
        <w:rPr>
          <w:sz w:val="20"/>
          <w:szCs w:val="20"/>
          <w:color w:val="auto"/>
        </w:rPr>
      </w:pPr>
      <w:r>
        <w:rPr>
          <w:rFonts w:ascii="Times New Roman" w:cs="Times New Roman" w:eastAsia="Times New Roman" w:hAnsi="Times New Roman"/>
          <w:sz w:val="18"/>
          <w:szCs w:val="18"/>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or biopharmaceuticals and the investigators who perform our studies are employed by their government, and the purchasers of pharmaceuticals are government entities; therefore, our dealings with these decision makers are subject to regulation under the FCPA. The SEC and the Department of Justice have increased their FCPA enforcement activities with respect to pharmaceutical companies. There is no certainty that all of our employees, agents, contractors, collaborators, or other parties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shares is volatile and may fluctuate due to factors beyond our control.</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share prices of publicly traded pharmaceutical,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83"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of testing and clinical studies by us, strategic partners, or competitors;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1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61" w:lineRule="exact"/>
        <w:rPr>
          <w:rFonts w:ascii="Times New Roman" w:cs="Times New Roman" w:eastAsia="Times New Roman" w:hAnsi="Times New Roman"/>
          <w:sz w:val="18"/>
          <w:szCs w:val="18"/>
          <w:color w:val="auto"/>
        </w:rPr>
      </w:pPr>
    </w:p>
    <w:p>
      <w:pPr>
        <w:ind w:left="720" w:right="459" w:hanging="319"/>
        <w:spacing w:after="0" w:line="26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sentiment of retail investors, including the perception of our clinical trial results by such retail investors, which investors may be subject to the influence of information provided by social media, third party investor websites and independent authors distributing information on the internet;</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our collaboration partners or competitors;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any of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 or key opinion leaders;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pharmaceutical or biopharmaceutical industry or in the economy as a whole;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beyond our control.</w:t>
      </w:r>
    </w:p>
    <w:p>
      <w:pPr>
        <w:spacing w:after="0" w:line="22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 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long-term, decline in the market price of our common shares.</w:t>
      </w:r>
    </w:p>
    <w:p>
      <w:pPr>
        <w:spacing w:after="0" w:line="185" w:lineRule="exact"/>
        <w:rPr>
          <w:sz w:val="20"/>
          <w:szCs w:val="20"/>
          <w:color w:val="auto"/>
        </w:rPr>
      </w:pPr>
    </w:p>
    <w:p>
      <w:pPr>
        <w:ind w:left="38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only a limited free float of our common shares; this may have a negative impact on the liquidity of and the market price for our common shares.</w:t>
      </w:r>
    </w:p>
    <w:p>
      <w:pPr>
        <w:spacing w:after="0" w:line="15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As of the date hereof, certain principal shareholders controlling 5% or more of our common shares as well as our executive officers and directors together beneficially own approximately 60.5% of our common shares. The limited free float may have a negative impact on the liquidity of our common shares and result in a low trading volume of our common shares, which could adversely affect the price of our common shares.</w:t>
      </w:r>
    </w:p>
    <w:p>
      <w:pPr>
        <w:spacing w:after="0" w:line="183" w:lineRule="exact"/>
        <w:rPr>
          <w:sz w:val="20"/>
          <w:szCs w:val="20"/>
          <w:color w:val="auto"/>
        </w:rPr>
      </w:pPr>
    </w:p>
    <w:p>
      <w:pPr>
        <w:ind w:left="38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existing shareholders exercise significant control over us, and your interests may conflict with the interests of such shareholders.</w:t>
      </w:r>
    </w:p>
    <w:p>
      <w:pPr>
        <w:spacing w:after="0" w:line="15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Certain principal shareholders as well as our executive officers and directors together beneficially own approximately 60.5%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common shares could adversely affect the price of our common shares.</w:t>
      </w:r>
    </w:p>
    <w:p>
      <w:pPr>
        <w:spacing w:after="0" w:line="15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In 2019, we adopted a new omnibus equity incentive plan under which we have the discretion to grant a broad range of equity-based awards to eligible participants. These shares were registered pursuant to the registration statement on Form S-8 that we filed with the SEC and, therefore, can be freely sold in the public market upon issuance, subject to volume limitations applicable to affiliates. If a large number of our common shares are sold in the public market after they become eligible for sale, the sales could reduce the trading price of our common shares and impede our ability to raise future capital.</w:t>
      </w:r>
    </w:p>
    <w:p>
      <w:pPr>
        <w:spacing w:after="0" w:line="186"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short-term financial assets (liquidity) and may not use them effectively.</w:t>
      </w:r>
    </w:p>
    <w:p>
      <w:pPr>
        <w:spacing w:after="0" w:line="159" w:lineRule="exact"/>
        <w:rPr>
          <w:sz w:val="20"/>
          <w:szCs w:val="20"/>
          <w:color w:val="auto"/>
        </w:rPr>
      </w:pPr>
    </w:p>
    <w:p>
      <w:pPr>
        <w:ind w:left="60" w:right="279" w:firstLine="324"/>
        <w:spacing w:after="0" w:line="250" w:lineRule="auto"/>
        <w:rPr>
          <w:sz w:val="20"/>
          <w:szCs w:val="20"/>
          <w:color w:val="auto"/>
        </w:rPr>
      </w:pPr>
      <w:r>
        <w:rPr>
          <w:rFonts w:ascii="Times New Roman" w:cs="Times New Roman" w:eastAsia="Times New Roman" w:hAnsi="Times New Roman"/>
          <w:sz w:val="18"/>
          <w:szCs w:val="18"/>
          <w:color w:val="auto"/>
        </w:rPr>
        <w:t>Our management has broad discretion in the application of our cash and cash equivalents and short-term financial assets. Our or our collaboration partners’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pharmaceutical or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229"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Based on Swiss law and our articles of association, the declaration of dividends requires a resolution passed by a simple majority of the votes cast at a shareholders’ meeting regardless of abstentions and empty or invalid votes. The proposal to pay future dividends to shareholders will in addition effectively be at the discretion of our board of directors after considering various factors including our business prospects, liquidity requirements, financial performance and new product development. In addition, payment of future dividends is subject to certain limitations pursuant to Swiss law or by our articles of association compliance with which must be confirmed by our auditors. Accordingly, investors cannot rely on dividend income from our common shares and any returns on an investment in our common shares will likely depend entirely upon any future appreciation in the price of our common shares.</w:t>
      </w:r>
    </w:p>
    <w:p>
      <w:pPr>
        <w:spacing w:after="0" w:line="162" w:lineRule="exact"/>
        <w:rPr>
          <w:sz w:val="20"/>
          <w:szCs w:val="20"/>
          <w:color w:val="auto"/>
        </w:rPr>
      </w:pPr>
    </w:p>
    <w:p>
      <w:pPr>
        <w:ind w:left="38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Swiss corporation. The rights of our shareholders may be different from the rights of shareholders in companies governed by the laws of U.S. jurisdictions.</w:t>
      </w:r>
    </w:p>
    <w:p>
      <w:pPr>
        <w:spacing w:after="0" w:line="171"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first, then of our shareholders, our employees and other stakeholders, in all cases, with due observation of their fiduciary duties of care and loyalty. It is possible that some of these parties will have interests that are different from, or in addition to, your interests as a shareholder. Swiss corporate law limits the ability of our shareholders to challenge resolutions made or other actions taken by our board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directors in court. Our shareholders generally are not permitted to file a suit to reverse a decision or an action taken by our board of directors but are instead only permitted to seek damages for breaches of their fiduciary duties by the directors. As a matter of Swiss law, shareholder claims against a member of our board of directors for breach of fiduciary duty would have to be brought in Lausanne, Switzerland, or the country in which the relevant member of our board of directors is domiciled. In addition, under Swiss law, any claims by our shareholders against us must be in principle brought exclusively in Lausanne, Switzerland (except for certain U.S. securities and other claims that may be brought in U.S. federal court).</w:t>
      </w:r>
    </w:p>
    <w:p>
      <w:pPr>
        <w:spacing w:after="0" w:line="128" w:lineRule="exact"/>
        <w:rPr>
          <w:sz w:val="20"/>
          <w:szCs w:val="20"/>
          <w:color w:val="auto"/>
        </w:rPr>
      </w:pPr>
    </w:p>
    <w:p>
      <w:pPr>
        <w:ind w:left="38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shares are issued under the laws of Switzerland, which may not protect investors in a similar fashion afforded by incorporation in a U.S. state.</w:t>
      </w:r>
    </w:p>
    <w:p>
      <w:pPr>
        <w:spacing w:after="0" w:line="159" w:lineRule="exact"/>
        <w:rPr>
          <w:sz w:val="20"/>
          <w:szCs w:val="20"/>
          <w:color w:val="auto"/>
        </w:rPr>
      </w:pPr>
    </w:p>
    <w:p>
      <w:pPr>
        <w:jc w:val="both"/>
        <w:ind w:left="60" w:right="519" w:firstLine="324"/>
        <w:spacing w:after="0" w:line="258" w:lineRule="auto"/>
        <w:rPr>
          <w:sz w:val="20"/>
          <w:szCs w:val="20"/>
          <w:color w:val="auto"/>
        </w:rPr>
      </w:pPr>
      <w:r>
        <w:rPr>
          <w:rFonts w:ascii="Times New Roman" w:cs="Times New Roman" w:eastAsia="Times New Roman" w:hAnsi="Times New Roman"/>
          <w:sz w:val="18"/>
          <w:szCs w:val="18"/>
          <w:color w:val="auto"/>
        </w:rPr>
        <w:t>We are organized under the laws of Switzerland. There can be no assurance that Swiss law will not change in the future in a way detrimental to shareholders or that it will serve to protect investors in a similar fashion afforded under corporate law principles in the U.S., which could adversely affect the rights of investors.</w:t>
      </w:r>
    </w:p>
    <w:p>
      <w:pPr>
        <w:spacing w:after="0" w:line="179" w:lineRule="exact"/>
        <w:rPr>
          <w:sz w:val="20"/>
          <w:szCs w:val="20"/>
          <w:color w:val="auto"/>
        </w:rPr>
      </w:pPr>
    </w:p>
    <w:p>
      <w:pPr>
        <w:ind w:left="380" w:right="1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3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Under Swiss law, the Company can introduce the capital band pursuant to Article 653s et seq. of the Swiss Code of Obligations which requires an amendment of the Articles of Association by way of a resolution of a duly convened general meeting of shareholders of the Company. Under the capital band mechanism, the general meeting of shareholders can authorize the board of directors at any time within a maximum term of five years to increase or decrease the share capital by a maximum amount of 50% of the current share capital.</w:t>
      </w:r>
    </w:p>
    <w:p>
      <w:pPr>
        <w:spacing w:after="0" w:line="160"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Additionally, as a principle, Swiss law grants pre-emptive subscription rights to existing shareholders to subscribe to any new issuance of shares. Any common share capital increase resolution preserving pre-emptive subscription rights expires after 6 months and requires a simple majority of the votes cast at the shareholder’s meeting regardless of abstentions and empty or invalid votes. Swiss law also does not provide as much flexibility in the various terms that can attach to different classes of shares as do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in which greater flexibility would have provided substantial benefits to our shareholders.</w:t>
      </w:r>
    </w:p>
    <w:p>
      <w:pPr>
        <w:spacing w:after="0" w:line="16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7"/>
          <w:szCs w:val="17"/>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Times New Roman" w:cs="Times New Roman" w:eastAsia="Times New Roman" w:hAnsi="Times New Roman"/>
          <w:sz w:val="17"/>
          <w:szCs w:val="17"/>
          <w:i w:val="1"/>
          <w:iCs w:val="1"/>
          <w:color w:val="auto"/>
        </w:rPr>
        <w:t>apports de capital</w:t>
      </w:r>
      <w:r>
        <w:rPr>
          <w:rFonts w:ascii="Times New Roman" w:cs="Times New Roman" w:eastAsia="Times New Roman" w:hAnsi="Times New Roman"/>
          <w:sz w:val="17"/>
          <w:szCs w:val="17"/>
          <w:color w:val="auto"/>
        </w:rPr>
        <w:t>, contributions received from shareholders) in the “reserve from capital contributions.” Distributions may be made out of issued share capital—the aggregate nominal value of a company’s issued shares—only by way of a capital reduction. To the extent the Company introduces the capital band in 2025, only net proceeds from capital increase using the capital band (less certain expenses and net of repayments from the Company) will be recognized as reserves from capital contributions at the end of validity period of the respective capital band). As of December 31, 2024, the Company has CHF 475.6 million of reserves from capital contributions confirmed by the Swiss Federal Tax Administration and CHF 2,198,645 of issued share capital (consisting of 109,932,248 common shares each with a nominal value of CHF 0.02 and no preferred shares) on its audited statutory balance sheet. Of the total issued shares and issued share capital, the Company holds 10,899,773 fully paid-in treasury shares representing CHF 217,995 of issued share capital.</w:t>
      </w:r>
    </w:p>
    <w:p>
      <w:pPr>
        <w:spacing w:after="0" w:line="181"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We expect the aggregate of the reserves from capital contributions confirmed by the Swiss Federal Tax Administration and share capital, less the total losses brought forward (to the extent set off against reserves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from capital contributions or share capital), less the treasury shares (to the extent booked against reserves from capital contributions), less the lowest legally possible issued share capital and legal reserve to represent the maximum amount potentially available for future dividends or capital reductions on a Swiss withholding tax-free basis.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65"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8"/>
          <w:szCs w:val="18"/>
          <w:color w:val="auto"/>
        </w:rPr>
        <w:t>A U.S. investor who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or other restrictions. If we are unable to make a distribution through a reduction in nominal value or out of confirmed reserves from capital contributions, we will not be able to make distributions without subjecting our shareholders to Swiss withholding taxes.</w:t>
      </w:r>
    </w:p>
    <w:p>
      <w:pPr>
        <w:spacing w:after="0" w:line="149" w:lineRule="exact"/>
        <w:rPr>
          <w:sz w:val="20"/>
          <w:szCs w:val="20"/>
          <w:color w:val="auto"/>
        </w:rPr>
      </w:pPr>
    </w:p>
    <w:p>
      <w:pPr>
        <w:ind w:left="3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59"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We are organized under the laws of Switzerland and our registered office and domicile is located in Ecublens, near Lausanne, Canton of Vaud, Switzerland. Moreover, a number of our directors and executive officers are not residents of the U.S., and all or a substantial portion of the assets of such persons are located outside the U.S. As a result, it may not be possible for investors to effect service of process within the U.S. upon us or upon such persons or to enforce against them judgments obtained in U.S. courts, including judgments in actions predicated upon the civil liability provisions of the federal securities laws of the U.S. We have been advised by our Swiss counsel that there is doubt as to the enforceability in Switzerland of original actions, or of actions for enforcement of judgments of U.S. courts, for civil liabilities to the extent solely predicated upon the federal and state securities laws of the U.S.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Additionally, certain mandatory provisions of Swiss law may be applicable regardless of any other law that would otherwise apply.</w:t>
      </w:r>
    </w:p>
    <w:p>
      <w:pPr>
        <w:spacing w:after="0" w:line="167" w:lineRule="exact"/>
        <w:rPr>
          <w:sz w:val="20"/>
          <w:szCs w:val="20"/>
          <w:color w:val="auto"/>
        </w:rPr>
      </w:pPr>
    </w:p>
    <w:p>
      <w:pPr>
        <w:ind w:left="60" w:right="319" w:firstLine="324"/>
        <w:spacing w:after="0" w:line="255" w:lineRule="auto"/>
        <w:rPr>
          <w:sz w:val="20"/>
          <w:szCs w:val="20"/>
          <w:color w:val="auto"/>
        </w:rPr>
      </w:pPr>
      <w:r>
        <w:rPr>
          <w:rFonts w:ascii="Times New Roman" w:cs="Times New Roman" w:eastAsia="Times New Roman" w:hAnsi="Times New Roman"/>
          <w:sz w:val="18"/>
          <w:szCs w:val="18"/>
          <w:color w:val="auto"/>
        </w:rPr>
        <w:t>Switzerland and the U.S. do not have a treaty providing for reciprocal recognition and enforcement of judgments in civil and commercial matters. The recognition and enforcement of a judgment of the courts of the U.S. in Switzerland is governed by the principles set forth in the Swiss Federal Act on Private International Law. This statute provides in principle that a judgment rendered by a non-Swiss court may be enforced in Switzerland only if:</w:t>
      </w:r>
    </w:p>
    <w:p>
      <w:pPr>
        <w:spacing w:after="0" w:line="187"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Swiss Federal Act on Private International Law;</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does not contravene Swiss public policy;</w:t>
      </w:r>
    </w:p>
    <w:p>
      <w:pPr>
        <w:spacing w:after="0" w:line="225"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procedures and the service of documents leading to the judgment were in accordance with the due process of law;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99" w:hanging="319"/>
        <w:spacing w:after="0" w:line="266"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involving the same parties and the same subject matter was first brought in Switzerland, or adjudicated in Switzerland, or was earlier adjudicated in a third state for which the decision is recognizable in Switzerland.</w:t>
      </w:r>
    </w:p>
    <w:p>
      <w:pPr>
        <w:spacing w:after="0" w:line="172" w:lineRule="exact"/>
        <w:rPr>
          <w:sz w:val="20"/>
          <w:szCs w:val="20"/>
          <w:color w:val="auto"/>
        </w:rPr>
      </w:pPr>
    </w:p>
    <w:p>
      <w:pPr>
        <w:ind w:left="38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5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or authorize our board of directors, to increase our share capital. The Company can only introduce the capital band pursuant to Article 653s et seq. of the Swiss Code of Obligations which requires an amendment of the Articles of Association by way of a resolution of a duly convened general meeting of shareholders of the Company. Such capital band would authorize the board of directors to increase or decrease the share capital without additional shareholder approval. Swiss law limits this authorization to a maximum of 50% of the issued share capital at the time of the authorization. The authorization, furthermore, has a limited duration of up to five years and must be renewed by the shareholders from time to time thereafter. The Company does not yet provide such capital band.</w:t>
      </w:r>
    </w:p>
    <w:p>
      <w:pPr>
        <w:spacing w:after="0" w:line="149"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Swiss law restricts our ability to pay dividends.</w:t>
      </w:r>
    </w:p>
    <w:p>
      <w:pPr>
        <w:spacing w:after="0" w:line="22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See “Item 10. Additional information—E. Taxation—Swiss tax considerations” for a summary of certain Swiss tax consequences regarding dividends distributed to holders of our common shares.</w:t>
      </w:r>
    </w:p>
    <w:p>
      <w:pPr>
        <w:spacing w:after="0" w:line="172" w:lineRule="exact"/>
        <w:rPr>
          <w:sz w:val="20"/>
          <w:szCs w:val="20"/>
          <w:color w:val="auto"/>
        </w:rPr>
      </w:pPr>
    </w:p>
    <w:p>
      <w:pPr>
        <w:ind w:left="38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in countries with a currency other than the Swiss Franc face additional investment risks from currency exchange rate fluctuations in connection with their holding of our common shares.</w:t>
      </w:r>
    </w:p>
    <w:p>
      <w:pPr>
        <w:spacing w:after="0" w:line="15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 against such other currency.</w:t>
      </w:r>
    </w:p>
    <w:p>
      <w:pPr>
        <w:spacing w:after="0" w:line="172" w:lineRule="exact"/>
        <w:rPr>
          <w:sz w:val="20"/>
          <w:szCs w:val="20"/>
          <w:color w:val="auto"/>
        </w:rPr>
      </w:pPr>
    </w:p>
    <w:p>
      <w:pPr>
        <w:ind w:left="380" w:right="1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82" w:lineRule="exact"/>
        <w:rPr>
          <w:sz w:val="20"/>
          <w:szCs w:val="20"/>
          <w:color w:val="auto"/>
        </w:rPr>
      </w:pPr>
    </w:p>
    <w:p>
      <w:pPr>
        <w:ind w:left="60" w:right="179" w:firstLine="324"/>
        <w:spacing w:after="0" w:line="251" w:lineRule="auto"/>
        <w:rPr>
          <w:sz w:val="20"/>
          <w:szCs w:val="20"/>
          <w:color w:val="auto"/>
        </w:rPr>
      </w:pPr>
      <w:r>
        <w:rPr>
          <w:rFonts w:ascii="Times New Roman" w:cs="Times New Roman" w:eastAsia="Times New Roman" w:hAnsi="Times New Roman"/>
          <w:sz w:val="18"/>
          <w:szCs w:val="18"/>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their liability for insiders who profit from trades made in a short period of time; and (iii) the</w:t>
      </w:r>
    </w:p>
    <w:p>
      <w:pPr>
        <w:spacing w:after="0" w:line="2" w:lineRule="exact"/>
        <w:rPr>
          <w:sz w:val="20"/>
          <w:szCs w:val="20"/>
          <w:color w:val="auto"/>
        </w:rPr>
      </w:pPr>
    </w:p>
    <w:p>
      <w:pPr>
        <w:ind w:left="60" w:right="139"/>
        <w:spacing w:after="0" w:line="249" w:lineRule="auto"/>
        <w:rPr>
          <w:sz w:val="20"/>
          <w:szCs w:val="20"/>
          <w:color w:val="auto"/>
        </w:rPr>
      </w:pPr>
      <w:r>
        <w:rPr>
          <w:rFonts w:ascii="Times New Roman" w:cs="Times New Roman" w:eastAsia="Times New Roman" w:hAnsi="Times New Roman"/>
          <w:sz w:val="18"/>
          <w:szCs w:val="18"/>
          <w:color w:val="auto"/>
        </w:rPr>
        <w:t>rules under the Exchange Act requiring the filing with the SEC of quarterly reports on Form 10-Q containing unaudited financial and other specified information, or of current reports on Form 8-K, upon the occurrence of specified significant events. In addition, foreign private issuers are not required to file their annual report on Form 20-F until 4 months after the end of each financial year, whereas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result of the above, you may not have the same protections afforded to shareholders of companies that are not foreign private issuers.</w:t>
      </w:r>
    </w:p>
    <w:p>
      <w:pPr>
        <w:spacing w:after="0" w:line="158" w:lineRule="exact"/>
        <w:rPr>
          <w:sz w:val="20"/>
          <w:szCs w:val="20"/>
          <w:color w:val="auto"/>
        </w:rPr>
      </w:pPr>
    </w:p>
    <w:p>
      <w:pPr>
        <w:ind w:left="38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5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As a result, in accordance with Nasdaq Listing Rule 5615(a)(3), we comply with home country (in this case, Swiss)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4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While Swiss law also requires that our board of directors elects an audit and finance committee from among its members, as a foreign private issuer, the independence of the members of such committee is determined by home country regulations and the conditions of Section 10B of the Securities Exchange Act, excluding any Nasdaq Listing Rules. Section 10B of the Securities Exchange Act also prescribes qualification requirements for the audit and finance committee. Swiss law also requires that we elect a compensation committee, we follow home country requirements with respect to such committee and our compensation, nomination and corporate governance committee is tasked with certain director nomination and governance responsibilities.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5605I.</w:t>
      </w:r>
    </w:p>
    <w:p>
      <w:pPr>
        <w:spacing w:after="0" w:line="149" w:lineRule="exact"/>
        <w:rPr>
          <w:sz w:val="20"/>
          <w:szCs w:val="20"/>
          <w:color w:val="auto"/>
        </w:rPr>
      </w:pPr>
    </w:p>
    <w:p>
      <w:pPr>
        <w:ind w:left="60" w:right="59" w:firstLine="324"/>
        <w:spacing w:after="0" w:line="268" w:lineRule="auto"/>
        <w:rPr>
          <w:sz w:val="20"/>
          <w:szCs w:val="20"/>
          <w:color w:val="auto"/>
        </w:rPr>
      </w:pPr>
      <w:r>
        <w:rPr>
          <w:rFonts w:ascii="Times New Roman" w:cs="Times New Roman" w:eastAsia="Times New Roman" w:hAnsi="Times New Roman"/>
          <w:sz w:val="17"/>
          <w:szCs w:val="17"/>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35" w:lineRule="exact"/>
        <w:rPr>
          <w:sz w:val="20"/>
          <w:szCs w:val="20"/>
          <w:color w:val="auto"/>
        </w:rPr>
      </w:pPr>
    </w:p>
    <w:p>
      <w:pPr>
        <w:ind w:left="60" w:right="299" w:firstLine="324"/>
        <w:spacing w:after="0" w:line="312" w:lineRule="auto"/>
        <w:rPr>
          <w:sz w:val="20"/>
          <w:szCs w:val="20"/>
          <w:color w:val="auto"/>
        </w:rPr>
      </w:pPr>
      <w:r>
        <w:rPr>
          <w:rFonts w:ascii="Times New Roman" w:cs="Times New Roman" w:eastAsia="Times New Roman" w:hAnsi="Times New Roman"/>
          <w:sz w:val="17"/>
          <w:szCs w:val="17"/>
          <w:color w:val="auto"/>
        </w:rPr>
        <w:t>For an overview of our corporate governance principles, see “Item 16G. Corporate governance.” As a result of the above, you may not have the same protections afforded to shareholders of companies that are not foreign private issuers.</w:t>
      </w:r>
    </w:p>
    <w:p>
      <w:pPr>
        <w:spacing w:after="0" w:line="136" w:lineRule="exact"/>
        <w:rPr>
          <w:sz w:val="20"/>
          <w:szCs w:val="20"/>
          <w:color w:val="auto"/>
        </w:rPr>
      </w:pPr>
    </w:p>
    <w:p>
      <w:pPr>
        <w:ind w:left="38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1"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2025 (or the end of our second fiscal quarter in any subsequent fiscal year), which would require us to comply with all of the periodic disclosure and current reporting requirements of the Exchange Act applicable to U.S. domestic issuers as of January 1, 2026 (or the first day of the fiscal year immediately succeeding the end of such second quarter). In order to maintain our current status as a foreign private issuer, either (a) a majority of our common shares must be either directly or indirectly owned of record by non-residents of the U.S. or (b) (i) a majority of our executive officers or directors may not be U.S. citizens or residents, (ii) more than 50 percent of our assets cannot be located in the U.S. and (iii) our business must be administered principally outside the U.S. If we lost this status,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43" w:lineRule="exact"/>
        <w:rPr>
          <w:sz w:val="20"/>
          <w:szCs w:val="20"/>
          <w:color w:val="auto"/>
        </w:rPr>
      </w:pPr>
    </w:p>
    <w:p>
      <w:pPr>
        <w:ind w:left="380" w:right="1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57" w:lineRule="exact"/>
        <w:rPr>
          <w:sz w:val="20"/>
          <w:szCs w:val="20"/>
          <w:color w:val="auto"/>
        </w:rPr>
      </w:pPr>
    </w:p>
    <w:p>
      <w:pPr>
        <w:ind w:left="60" w:right="59" w:firstLine="324"/>
        <w:spacing w:after="0" w:line="26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controls over financial reporting. Effective internal controls over financial reporting are necessary for us to provide reliable financial reports and, together with adequate disclosure controls and procedures, are designed to prevent fraud, among other objectives. Any failure to implement any required new or improved controls, or difficulties encountered in their implementation could cause us to fail to meet our reporting obligations. In addition, any testing by us conducted in connection with Section 404 of the Sarbanes-Oxley Act of 2002, or any testing by our independent registered public accounting firm, may reveal deficiencies in our internal controls over financial reporting, which are deemed to be material weaknesses or that may require prospective or retroactive changes to our consolidated financial statements or identify other areas for further attention or improvement.</w:t>
      </w:r>
    </w:p>
    <w:p>
      <w:pPr>
        <w:spacing w:after="0" w:line="137"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45" w:lineRule="exact"/>
        <w:rPr>
          <w:sz w:val="20"/>
          <w:szCs w:val="20"/>
          <w:color w:val="auto"/>
        </w:rPr>
      </w:pPr>
    </w:p>
    <w:p>
      <w:pPr>
        <w:ind w:left="38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5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were likely a passive foreign investment company (a “PFIC”) for certain of our previous taxable years. Although we believe we were likely not a PFIC for 2024, there can be no assurance that the Internal Revenue Service will agree. We cannot express any expectation regarding our PFIC status for 2025 or future taxable years. If we are a PFIC for any taxable year during which a U.S. investor owns our common shares, the investor generally will be subject to adverse U.S. federal income tax consequences.</w:t>
      </w:r>
    </w:p>
    <w:p>
      <w:pPr>
        <w:spacing w:after="0" w:line="143"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we will be a PFIC for any taxable year in which, after the application of certain look-through rules with respect to subsidiaries, either (i) 75% or more of our gross income consists of passive income (the “income test”) or (ii) 50% or more of the average value of our assets (generally determined on a quarterly basis) consists of assets that produce, or are held for the production of, passive income (the “asset test”). Passive income generally includes dividends, interest, certain non-active rents and royalties, and gains from financial investments. Cash is generally a passive asset. Goodwill and other intangible assets (the value of which may be determined by reference to the excess of the sum of a corporation’s market capitalization and liabilities over the value of its assets) are generally active assets to the extent attributable to business activities that produce active income. For purposes of the above calculations, we will be treated as if we hold our proportionate share of the assets of, and directly receive our proportionate share of the income of, any other corporation in which we directly or indirectly own at least 25% of the shares of such corporation by value.</w:t>
      </w:r>
    </w:p>
    <w:p>
      <w:pPr>
        <w:spacing w:after="0" w:line="147"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Although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and grants (which we believe are 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Internal Revenue Service (“IRS”) will not challenge the classification of any of our income items for PFIC purposes for any taxable year. Accordingly, there is no assurance that we will not be a PFIC for any taxable year under the income test.</w:t>
      </w:r>
    </w:p>
    <w:p>
      <w:pPr>
        <w:spacing w:after="0" w:line="16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In addition, we currently hold, and expect to continue to hold, a substantial amount of passive assets, including cash. Therefore, our PFIC status for any taxable year will depend on the value of our intangible assets. We have not obtained, and do not intend to obtain, valuations of our goodwill and other intangible assets. However, the average value of our assets (including goodwill and other intangible assets) for any taxable year may be determined, in large part, by reference to our market capitalization, which has fluctuated substantially over time and may continue to be volatile. Due to the volatility of our market capitalization, we may be a PFIC under the asset test for any taxable year if our cash and other passive assets constitute 50% or more of the value of our total assets.</w:t>
      </w:r>
    </w:p>
    <w:p>
      <w:pPr>
        <w:spacing w:after="0" w:line="14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Although we have not obtained valuations of our assets (including goodwill or going concern value) for 2024 and thus are not in a position to make a definitive determination regarding whether we were a PFIC for 2024, based on the composition of our income and assets during 2024 and the estimated value of our assets (which is based on our average market capitalization during 2024), we believe that we were likely not a PFIC for 2024. However, for the reasons described above there can be no assurance that the IRS will agree. Because our PFIC status is a factual annual determination that can be determined only after the end of the relevant taxable year, we cannot express a view regarding our PFIC status for 2025 or any future taxable year.</w:t>
      </w:r>
    </w:p>
    <w:p>
      <w:pPr>
        <w:spacing w:after="0" w:line="147"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As discussed in our Annual Reports on Form 20-F for 2019, 2020, and 2022, we were likely a PFIC for these years. If we were a PFIC for 2019, 2020 or 2022, or any other taxable year, we generally will continue to be treated as a PFIC with respect to a U.S. investor who owned our common shares during any portion of such years, even if we are not a PFIC for any subsequent taxable year, unless the U.S. investor makes a “deemed sale” election with respect to our common shares.</w:t>
      </w:r>
    </w:p>
    <w:p>
      <w:pPr>
        <w:spacing w:after="0" w:line="124"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U.S. investors that own our common shares during any taxable year in which we are (or were) a PFIC generally will be subject to adverse U.S. federal income tax consequences, including (i) the treatment of all or a portion of any gain 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disposition of our common shares as ordinary income, (ii) the application of a deferred interest charge on such gain and the receipt of certain dividends and (iii) the requirement to file certain reports to the IRS. We do not intend to provide the information that would enable investors to make a “qualified electing fund” election which, if available, could materially affect the U.S. federal income tax consequences to investors if we are a PFIC for any taxable year.</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further discussion, see “Item 10. Additional information—Section E. Taxation.”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27"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general telephone number is (41) 21 345 91 21 and our internet address is www.acimmune.com. References to our website address do not constitute incorporation by reference of the information contained on the website, and the information contained on the website is not part of this document or any other document that we file with or furnish to the SEC. The SEC maintains an internet site that contains reports, proxy and information statements and other information regarding issuers that file electronically with the SEC, which can be found at http://www.sec.gov. Our agent for service of process in the United States is Cogency Global Inc. located at 122 East 42nd Street, 18th Floor, New York, New York 10168.</w:t>
      </w:r>
    </w:p>
    <w:p>
      <w:pPr>
        <w:spacing w:after="0" w:line="187"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Our principal expenditures since January 1, 2022 have been our research and development expenses, as more fully described elsewhere in this Annual Report.</w:t>
      </w:r>
    </w:p>
    <w:p>
      <w:pPr>
        <w:spacing w:after="0" w:line="15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1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development and progression and the urgent need for more tailored therapeutic regimens.</w:t>
      </w:r>
    </w:p>
    <w:p>
      <w:pPr>
        <w:spacing w:after="0" w:line="180"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therapeutic and diagnostic programs targeting five different types of misfolded pathological proteins related to Alzheimer’s disease (AD), Parkinson’s disease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Medicine and disease prevention.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 AC Immune investment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828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5498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As of December 31, 2024; excluding treasury shares; (2) Morphomer-antibody drug conjugate</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16"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We have assembled an outstanding management team with relevant scientific, clinical and regulatory expertise. Our scientific founders, Jean-Marie Lehn, Ph.D., Claude Nicolau, Ph.D., and Fred van Leuven, Ph.D., are regarded as pioneers in their respective scientific domains, including in the study of AD. Our co-founder and Chief Executive Officer, Andrea Pfeifer, Ph.D., a Pharmacologist with a Ph.D. in cancer research and a former National Institute of Health researcher, has a 30+ years track record in senior R&amp;D and business leadership roles in the life science industry. She was formerly Head of Nestlé Global Research and the co-founder of Nestlé Venture Fund. Anke Post, M.D., Ph.D., our Chief Medical Officer, has extensive experience in neuroscience and drug development gained across the pharmaceutical, biotech and medtech industries since 2005. Julien Rongère, Ph.D., our SVP Regulatory Affairs and Quality Assurance, gained specific expertise in the development of regulatory strategies for taking products from Phase 1 through to commercialization in the field of hematology/oncology and immunology/inflammation, including fast-to-market approaches, orphan drugs and pediatric development. Günther Staffler, Ph.D., is a skilled manager of translational research with extensive knowledge of global product development from early discovery to late stage clinical development in the biotech industry, as well as significant experience in project and program management. Francesca Capotosti, Ph.D., joined AC Immune in 2013 as a research scientist and has since been Team Leader and Associate Vice President and Global Project Leader, playing key roles in development of small molecules targeting Tau and a-syn, as well as AC Immune’s a-syn PET tracer program, which delivered the first tracer capable of detecting a-syn pathology in patients.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Unmet need in neurodegenerative diseases</w:t>
      </w:r>
    </w:p>
    <w:p>
      <w:pPr>
        <w:spacing w:after="0" w:line="22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Neurodegenerative diseases, including dementias and motor disorders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720" w:right="159" w:hanging="319"/>
        <w:spacing w:after="0" w:line="268"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World Health Organization recognizes dementia as a global public health priority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Worldwide, there is a new case of dementia every 3 seconds, with an estimated global patient population of greater than 50 million in 2020. This is predicted to increase to 139 million by 2050 (Alzheimer’s Disease International).</w:t>
      </w:r>
    </w:p>
    <w:p>
      <w:pPr>
        <w:spacing w:after="0" w:line="174" w:lineRule="exact"/>
        <w:rPr>
          <w:rFonts w:ascii="Times New Roman" w:cs="Times New Roman" w:eastAsia="Times New Roman" w:hAnsi="Times New Roman"/>
          <w:sz w:val="18"/>
          <w:szCs w:val="18"/>
          <w:color w:val="auto"/>
        </w:rPr>
      </w:pPr>
    </w:p>
    <w:p>
      <w:pPr>
        <w:ind w:left="720" w:right="179" w:hanging="319"/>
        <w:spacing w:after="0" w:line="265"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total healthcare costs for the treatment of Alzheimer’s disease in the United States in 2022 is USD 321 billion per the Alzheimer’s Association. The worldwide cost for dementia is expected to increase to approximately USD 2.8 trillion annually by 2030 as the population ages (Alzheimer’s Disease International). If the estimated global costs of dementia were a country, it would be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largest economy in the world.</w:t>
      </w:r>
    </w:p>
    <w:p>
      <w:pPr>
        <w:spacing w:after="0" w:line="4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Figure 2: Neurodegenerative diseases represent a large and growing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8632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5498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right="179" w:hanging="10"/>
        <w:spacing w:after="0" w:line="303" w:lineRule="auto"/>
        <w:tabs>
          <w:tab w:leader="none" w:pos="23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Alzheimer’s disease; (2) Gustavsson et al. Alzheimer’s and Dement. 2023 19:658-670. https://doi.org/10.1002/alz.12694; (3) Monoclonal antibody; (4) Neurodegenerative disease; (5) alpha-synuclein; (6) TAR DNA-binding protein 43; (7) Amyotrophic lateral sclerosis; (8) Limbic-predominant age-related TDP-43 encephalopathy</w:t>
      </w:r>
    </w:p>
    <w:p>
      <w:pPr>
        <w:spacing w:after="0" w:line="178" w:lineRule="exact"/>
        <w:rPr>
          <w:sz w:val="20"/>
          <w:szCs w:val="20"/>
          <w:color w:val="auto"/>
        </w:rPr>
      </w:pPr>
    </w:p>
    <w:p>
      <w:pPr>
        <w:ind w:left="60" w:right="279" w:firstLine="324"/>
        <w:spacing w:after="0" w:line="250" w:lineRule="auto"/>
        <w:rPr>
          <w:sz w:val="20"/>
          <w:szCs w:val="20"/>
          <w:color w:val="auto"/>
        </w:rPr>
      </w:pPr>
      <w:r>
        <w:rPr>
          <w:rFonts w:ascii="Times New Roman" w:cs="Times New Roman" w:eastAsia="Times New Roman" w:hAnsi="Times New Roman"/>
          <w:sz w:val="18"/>
          <w:szCs w:val="18"/>
          <w:color w:val="auto"/>
        </w:rPr>
        <w:t>Diagnosis typically takes the form of observation of cognitive, functional and behavioral impairment and other symptoms of the diseases, which are generally only apparent after irreversible neuronal damage has already occurred. In the United States, through Q1 2025, there were only two approved disease-modifying therapies for AD. These provided incomplete clinical efficacy, presented non-negligible safety risks or failed to halt disease progression. A subcutaneously administered formulation of one of the approved products resulted in a higher rate of ARIA-E (amyloid related imaging abnormalities – edema related) and still required frequent dosing making it unsuitable for prevention. Despite these shortcomings, marketed therapies, such as Eisai and Pfizer’s Aricept which only address symptoms, have achieved peak annual global sales of approximately USD 2.4 billion prior to loss of exclusivity. Similarly, in the treatment of PD, the current standard of care is intended only to alleviate clinical symptoms.</w:t>
      </w:r>
    </w:p>
    <w:p>
      <w:pPr>
        <w:spacing w:after="0" w:line="193"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In July 2022, the FDA accepted Eisai Co., Ltd.’s Biologics License Application (BLA) for lecanemab, an investigational anti-Abeta (amyloid beta) protofibril antibody for early AD that is partnered with Biogen Inc. In September 2022, Eisai and Biogen announced that lecanemab’s confirmatory Phase 3 AD study met its primary endpoint. As a result, lecanemab was granted accelerated approval as a treatment for AD in the U.S. by the U.S. FDA on January 6, 2023. On July 6, 2023, FDA converted lecanemab’s accelerated approval to a traditional approval for the treatment of Alzheimer’s disease.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Lecanemab has been approved in the U.S., Japan, China, South Korea, Hong Kong, Macau, Israel, the United Arab Emirates, Great Britain and Mexico for the treatment of Alzheimer’s disease (AD) in patients with Mild Cognitive Impairment (MCI) or mild dementia stage of Alzheimer’s disease. The administration by intravenous infusion every 2 weeks remains a significant inconvenience for vulnerable patients and their care givers as well as a further burden on healthcare infrastructure.</w:t>
      </w:r>
    </w:p>
    <w:p>
      <w:pPr>
        <w:spacing w:after="0" w:line="18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second approved disease-modifying treatment, donanemab, is a monoclonal antibody targeting pyroglutamate (pyroGlu) Abeta. Donanemab was approved in the U.S., Japan, China and Great Britain for the treatment of MCI and mild dementia due to Alzheimer's disease. While donanemab is administered only every 4 weeks, it also presents similar non-negligible safety risks, which, depending on ARIA severity, might require interruption or permanent discontinuation of treatment.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Neurodegenerative disease overview</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Folding and unfolding of proteins are important ways of regulating the biological activity and cellular location of those proteins. Misfolding of proteins occurs due to a breakdown of cellular quality control systems and is a common feature of many neurodegenerative diseases. Misfolded proteins are unable to carry out their normal functions and aggregate to form insoluble deposits in the brain, which eventually lead to neuronal damage and cell death. The progression of neurodegenerative diseases, such as AD and PD, is linked to the spread of misfolded, pathological protein aggregates throughout the brain. Figure 3 shows how misfolded proteins play a key role in the pathology of neurodegenerative diseases.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 Misfolded proteins key impact on the pathology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156845</wp:posOffset>
            </wp:positionV>
            <wp:extent cx="5572125" cy="21856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212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Typically, protein misfolding occurs in response to cellular stress, which can be triggered by many different, largely unknown, causes. A cascade of molecular events begins with the misfolding of single proteins within a cell, which then aggregate and ultimately form larger aggregates including plaques and tangles. These misfolded proteins are then exported or shed from dying neurons where they can spread to healthy cells nearby. Once inside, misfolded proteins can interact with normal proteins and cause them to misfold in a process known as “seeding,” leading to spreading of the disease pathology throughout the brain, increased neuronal death and a progressive decline in cognitive function.</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Figure above also shows how our therapies are designed to intervene and prevent key pathological steps in the progression of neurodegenerative diseases. They are designed to (i) prevent initial misfolding; (ii) promote disaggregation of misfolded proteins; (iii) inhibit spreading of pathological protein to healthy cells; (iv) prevent seeding of new misfolded protein aggregates inside healthy cells; and (v) inhibit downstream neurodegeneration. This robust approach to targeting neurodegenerative diseases is enabled by our two validated technology platforms, SupraAntigen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and Morphomer, which generate highly specific biologics and small molecule inhibitors that can distinguish normal from misfolded proteins and inhibit key disease pathways both inside and outside of cells.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strategic vision</w:t>
      </w:r>
    </w:p>
    <w:p>
      <w:pPr>
        <w:spacing w:after="0" w:line="229" w:lineRule="exact"/>
        <w:rPr>
          <w:sz w:val="20"/>
          <w:szCs w:val="20"/>
          <w:color w:val="auto"/>
        </w:rPr>
      </w:pPr>
    </w:p>
    <w:p>
      <w:pPr>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Our goal is to continue leveraging our proprietary discovery platforms, SupraAntigen and Morphomer, to shift the treatment paradigm for neurodegenerative disease towards Precision Medicine and disease prevention. We are executing a clear business strategy built on three pillars: (i) accelerate development of novel therapeutics in AD with our partners;</w:t>
      </w:r>
    </w:p>
    <w:p>
      <w:pPr>
        <w:spacing w:after="0" w:line="1" w:lineRule="exact"/>
        <w:rPr>
          <w:sz w:val="20"/>
          <w:szCs w:val="20"/>
          <w:color w:val="auto"/>
        </w:rPr>
      </w:pPr>
    </w:p>
    <w:p>
      <w:pPr>
        <w:jc w:val="both"/>
        <w:ind w:left="60" w:right="99" w:hanging="10"/>
        <w:spacing w:after="0" w:line="247" w:lineRule="auto"/>
        <w:tabs>
          <w:tab w:leader="none" w:pos="3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strategic focus in Parkinson’ disease (PD) and non-AD neurodegenerative diseases, including NeuroOrphan indications and limbic-predominant age-related TDP-43 encephalopathy (LATE); and (iii) a continued focus on diagnostics enabling Precision Medicine to be an ultimate differentiator for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4: AC Immune’s three-pillar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2459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5498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Neurodegenerative disease; (2) Alzheimer’s disease; (3) Down syndrome; (4) alpha-synuclein; (5) TAR DNA-binding protein 43</w:t>
      </w:r>
    </w:p>
    <w:p>
      <w:pPr>
        <w:spacing w:after="0" w:line="21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slow or stop the disease course. Ultimately, it is our belief that Precision Medicine will increase the chance of treatment success by enabling clinical trial participants to be better defined by their various proteinopathies, allowing for treatment with the right therapies at the right time.</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AC Immune has established itself as a leader in developing Precision Medicines for neurodegenerative diseases by utilizing our diagnostic capabilities to enable improved diagnosis of co-pathologies, patient selection and assessment of clinical trial outcomes. Our dual technology platforms allow for a multi-modal approach encompassing a portfolio of active immunotherapies, antibodies and small molecules tailored to the underlying pathology driving patients’ disease. In addition to generating targeted monotherapies, this approach creates the potential for combination regimens, which may treat a broader spectrum of disease and offer greater efficacy.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Precision Medicine for neurodegenerative diseases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development of therapeutics for neurodegenerative diseases is moving towards treating early-stage disease to delay or prevent progression by preserving neurological function before it is irretrievably lost. Therefore, early detection of neurodegenerative diseases will be critical to enhancing the effectiveness of both symptomatic and disease-modifying therapies.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This begins with a real challenge. The commonly used approach of taking a biopsy of the affected tissue to detect the corresponding pathology is not possible with diseases of the brain. Given these complexities, it becomes more important that we develop improved methods to fully characterize the underlying pathologies in different patients to ultimately provide better opportunities for therapeutic intervention at all stages of disease. Samples of blood or cerebrospinal fluid can be used to monitor biomarker levels indirectly but neither of these fluids provide exact anatomical information on where protein misfolding and aggregation occur.</w:t>
      </w:r>
    </w:p>
    <w:p>
      <w:pPr>
        <w:spacing w:after="0" w:line="201" w:lineRule="exact"/>
        <w:rPr>
          <w:sz w:val="20"/>
          <w:szCs w:val="20"/>
          <w:color w:val="auto"/>
        </w:rPr>
      </w:pPr>
    </w:p>
    <w:p>
      <w:pPr>
        <w:jc w:val="both"/>
        <w:ind w:left="60" w:right="339" w:firstLine="324"/>
        <w:spacing w:after="0" w:line="255" w:lineRule="auto"/>
        <w:rPr>
          <w:sz w:val="20"/>
          <w:szCs w:val="20"/>
          <w:color w:val="auto"/>
        </w:rPr>
      </w:pPr>
      <w:r>
        <w:rPr>
          <w:rFonts w:ascii="Times New Roman" w:cs="Times New Roman" w:eastAsia="Times New Roman" w:hAnsi="Times New Roman"/>
          <w:sz w:val="18"/>
          <w:szCs w:val="18"/>
          <w:color w:val="auto"/>
        </w:rPr>
        <w:t>At AC Immune, we have a strong track record in discovering highly sensitive and specific imaging agents to detect and quantify pathological proteins and their aggregated forms directly in patients’ brains using PET scans. These agents can provide critical information to confirm or exclude certain diagnoses and thus to determine which might be the most appropriate therapeutic strategy for a patient.</w:t>
      </w:r>
    </w:p>
    <w:p>
      <w:pPr>
        <w:spacing w:after="0" w:line="200"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We are developing an integrated diagnostic and therapeutic strategy to deliver Precision Medicine for patients with neurodegenerative conditions. This will lead to a combination therapy approach to treat each patient's unique disease by addressing the right proteinopathy, in the right patient, at the right time.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Active immunotherapies for Alzheimer’s and Parkinson’s disease</w:t>
      </w:r>
    </w:p>
    <w:p>
      <w:pPr>
        <w:spacing w:after="0" w:line="24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Consistent with this approach, we are progressing our active immunotherapies targeting the hallmark proteins driving neurodegenerative diseases such as Abeta, Tau, and alpha-synuclein (a-syn). Our clinical stage active immunotherapy programs, ACI-24.060 (anti-Abeta active immunotherapy), ACI-35.030 (anti-pTau active immunotherapy), and ACI-7104.056 (anti-a-syn active immunotherapy) have been shown to stimulate a patient’s own immune system to produce antibodies directed specifically against the pathological species of these target proteins.</w:t>
      </w:r>
    </w:p>
    <w:p>
      <w:pPr>
        <w:spacing w:after="0" w:line="201" w:lineRule="exact"/>
        <w:rPr>
          <w:sz w:val="20"/>
          <w:szCs w:val="20"/>
          <w:color w:val="auto"/>
        </w:rPr>
      </w:pPr>
    </w:p>
    <w:p>
      <w:pPr>
        <w:ind w:left="60" w:right="59" w:firstLine="321"/>
        <w:spacing w:after="0" w:line="254" w:lineRule="auto"/>
        <w:rPr>
          <w:sz w:val="20"/>
          <w:szCs w:val="20"/>
          <w:color w:val="auto"/>
        </w:rPr>
      </w:pPr>
      <w:r>
        <w:rPr>
          <w:rFonts w:ascii="Times New Roman" w:cs="Times New Roman" w:eastAsia="Times New Roman" w:hAnsi="Times New Roman"/>
          <w:sz w:val="18"/>
          <w:szCs w:val="18"/>
          <w:color w:val="auto"/>
        </w:rPr>
        <w:t>We believe that these antibodies will modify the course of disease by supporting clearance of toxic protein aggregates (as recent clinical data from certain monoclonal antibodies have shown), or by preventing their spreading and accumulation, thereby preserving neuronal health and function. Importantly, the use of active immunotherapies over the longer-term and in people identified as “at risk” before symptomatic disease development will provide the rational, targeted approach consistent with our Precision Medicine strategy.</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elements of our approach include:</w:t>
      </w:r>
    </w:p>
    <w:p>
      <w:pPr>
        <w:spacing w:after="0" w:line="225" w:lineRule="exact"/>
        <w:rPr>
          <w:sz w:val="20"/>
          <w:szCs w:val="20"/>
          <w:color w:val="auto"/>
        </w:rPr>
      </w:pPr>
    </w:p>
    <w:p>
      <w:pPr>
        <w:ind w:left="380" w:right="739" w:hanging="6"/>
        <w:spacing w:after="0" w:line="286" w:lineRule="auto"/>
        <w:tabs>
          <w:tab w:leader="none" w:pos="704"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Execution on advancing our product candidates, in partnership or alone, from clinical development to regulatory approval and potential commercialization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5: Our broad and robust pipeline of therapeutic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156845</wp:posOffset>
            </wp:positionV>
            <wp:extent cx="5537835" cy="2811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3783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right="159" w:hanging="10"/>
        <w:spacing w:after="0" w:line="283" w:lineRule="auto"/>
        <w:tabs>
          <w:tab w:leader="none" w:pos="238"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Alpha-synuclein; (2) (NOD)-like receptor protein 3; (3) Apoptosis-associated speck-like protein containing a CARD, also PYCARD; (4) Amyotrophic lateral sclerosis; (5) TAR DNA-binding protein 43; (6) Neurodegenerative diseases; (7) Alzheimer’s disease; (8) Down syndrome</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clinical stage product candidates include:</w:t>
      </w:r>
    </w:p>
    <w:p>
      <w:pPr>
        <w:spacing w:after="0" w:line="221" w:lineRule="exact"/>
        <w:rPr>
          <w:sz w:val="20"/>
          <w:szCs w:val="20"/>
          <w:color w:val="auto"/>
        </w:rPr>
      </w:pPr>
    </w:p>
    <w:p>
      <w:pPr>
        <w:ind w:left="720" w:right="259" w:hanging="319"/>
        <w:spacing w:after="0" w:line="268"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ACI-24.060 for AD and for AD in DS. </w:t>
      </w:r>
      <w:r>
        <w:rPr>
          <w:rFonts w:ascii="Times New Roman" w:cs="Times New Roman" w:eastAsia="Times New Roman" w:hAnsi="Times New Roman"/>
          <w:sz w:val="18"/>
          <w:szCs w:val="18"/>
          <w:color w:val="auto"/>
        </w:rPr>
        <w:t>ACI-24.060 is AC Immune’s anti-Abeta active immunotherapy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evaluated in patients with AD and in subjects with DS. ACI-24.060 contains Abeta unrelated T-helper cell epitopes to increase the magnitude and the boostability of the antibody response against pathological Abeta and has no clinically relevant safety concerns, tolerability and immunogenicity in mouse and NHP studies. ACI-</w:t>
      </w:r>
    </w:p>
    <w:p>
      <w:pPr>
        <w:spacing w:after="0" w:line="2" w:lineRule="exact"/>
        <w:rPr>
          <w:rFonts w:ascii="Times New Roman" w:cs="Times New Roman" w:eastAsia="Times New Roman" w:hAnsi="Times New Roman"/>
          <w:sz w:val="18"/>
          <w:szCs w:val="18"/>
          <w:color w:val="auto"/>
        </w:rPr>
      </w:pPr>
    </w:p>
    <w:p>
      <w:pPr>
        <w:ind w:left="720" w:right="239"/>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24.060 is currently being tested at 3 different incremental doses in the ABATE Phase 1b/2 trial (NCT05462106) and amyloid plaque reduction is being assessed using Abeta-PET imaging.</w:t>
      </w:r>
    </w:p>
    <w:p>
      <w:pPr>
        <w:spacing w:after="0" w:line="112" w:lineRule="exact"/>
        <w:rPr>
          <w:sz w:val="20"/>
          <w:szCs w:val="20"/>
          <w:color w:val="auto"/>
        </w:rPr>
      </w:pPr>
    </w:p>
    <w:p>
      <w:pPr>
        <w:ind w:left="700" w:right="79"/>
        <w:spacing w:after="0" w:line="268" w:lineRule="auto"/>
        <w:rPr>
          <w:sz w:val="20"/>
          <w:szCs w:val="20"/>
          <w:color w:val="auto"/>
        </w:rPr>
      </w:pPr>
      <w:r>
        <w:rPr>
          <w:rFonts w:ascii="Times New Roman" w:cs="Times New Roman" w:eastAsia="Times New Roman" w:hAnsi="Times New Roman"/>
          <w:sz w:val="18"/>
          <w:szCs w:val="18"/>
          <w:color w:val="auto"/>
        </w:rPr>
        <w:t>ABATE is a multicenter, adaptive, double-blind, randomized, placebo-controlled study designed to assess the safety, tolerability, immunogenicity, and pharmacodynamic effects of ACl-24.060 in subjects with prodromal AD and in adults with Down Syndrome (DS) with evidence of brain amyloid plaques at PET scan. The Clinical Trial Application (CTA) was approved by the UK Medicines and Healthcare Products Regulatory Agency (MHRA) and Spanish Agency for Medicines and Health Products (AEMPS) with the first AD patient dosed in June 2022. In June 2023, AC Immune received Fast Track designation from the FDA for ACI-24.060, for the treatment of AD. This followed FDA clearance of the Investigational New Drug (IND) application in May 2023 enabling the ABATE study to include clinical trial sites to enroll participants with DS in the U.S. Based on the safety profile and induction of an anti-Abeta antibody response post-dosing of ACI-24.060 in patients with AD, dosing of the first individual with DS occurred in June 2023. Based on data available as of December 2024, ACI-24.060 has been shown to be generally safe and well tolerated in individuals with AD and with Down syndrome, noting in particular that no case of Amyloid-Related Imaging Abnormalities-vasogenic edema (ARIA-E) has been reported at brain MRI in these two study populations.</w:t>
      </w:r>
    </w:p>
    <w:p>
      <w:pPr>
        <w:spacing w:after="0" w:line="127" w:lineRule="exact"/>
        <w:rPr>
          <w:sz w:val="20"/>
          <w:szCs w:val="20"/>
          <w:color w:val="auto"/>
        </w:rPr>
      </w:pPr>
    </w:p>
    <w:p>
      <w:pPr>
        <w:ind w:left="700" w:right="199"/>
        <w:spacing w:after="0" w:line="276" w:lineRule="auto"/>
        <w:rPr>
          <w:sz w:val="20"/>
          <w:szCs w:val="20"/>
          <w:color w:val="auto"/>
        </w:rPr>
      </w:pPr>
      <w:r>
        <w:rPr>
          <w:rFonts w:ascii="Times New Roman" w:cs="Times New Roman" w:eastAsia="Times New Roman" w:hAnsi="Times New Roman"/>
          <w:sz w:val="18"/>
          <w:szCs w:val="18"/>
          <w:color w:val="auto"/>
        </w:rPr>
        <w:t>As announced on May 13, 2024, this program is the subject of an exclusive option and license agreement with Takeda Pharmaceuticals USA, Inc. (Takeda). Under the terms of the agreement, AC Immune received an upfront payment of USD 100.0 (CHF 92.3) million from Takeda and is eligible to receive payments of up to approximately USD 2.1 (CHF 1.9) billion including an option exercise fee in the low-to-mid nine-figure USD</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00" w:right="159"/>
        <w:spacing w:after="0" w:line="281" w:lineRule="auto"/>
        <w:rPr>
          <w:sz w:val="20"/>
          <w:szCs w:val="20"/>
          <w:color w:val="auto"/>
        </w:rPr>
      </w:pPr>
      <w:r>
        <w:rPr>
          <w:rFonts w:ascii="Times New Roman" w:cs="Times New Roman" w:eastAsia="Times New Roman" w:hAnsi="Times New Roman"/>
          <w:sz w:val="18"/>
          <w:szCs w:val="18"/>
          <w:color w:val="auto"/>
        </w:rPr>
        <w:t>range and potential development, commercial and sales-based milestone payments. Upon commercialization, AC Immune will be entitled to receive tiered mid-to-high teens percentages royalties on worldwide net sales. Further details related to the agreement are available on the Current Report on Form 6-K furnished by the Company on May 13, 2024 with the SEC.</w:t>
      </w:r>
    </w:p>
    <w:p>
      <w:pPr>
        <w:spacing w:after="0" w:line="93" w:lineRule="exact"/>
        <w:rPr>
          <w:sz w:val="20"/>
          <w:szCs w:val="20"/>
          <w:color w:val="auto"/>
        </w:rPr>
      </w:pPr>
    </w:p>
    <w:p>
      <w:pPr>
        <w:ind w:left="720" w:right="79" w:hanging="319"/>
        <w:spacing w:after="0" w:line="27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ACI-7104.056. </w:t>
      </w:r>
      <w:r>
        <w:rPr>
          <w:rFonts w:ascii="Times New Roman" w:cs="Times New Roman" w:eastAsia="Times New Roman" w:hAnsi="Times New Roman"/>
          <w:sz w:val="18"/>
          <w:szCs w:val="18"/>
          <w:color w:val="auto"/>
        </w:rPr>
        <w:t>ACI-7104.056, our active immunotherapy targeting pathological a-syn, is currently being tested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placebo-controlled, double-blind, adaptive, biomarker-based Phase 2 study (VacSYn; NCT06015841) in the EU and in the UK. This trial is evaluating the safety and immunogenicity of ACI-7104.056 against a-syn and pathological a-syn species in early PD. Additionally, disease-specific imaging and fluid biomarkers and progression of motor and non-motor symptoms of PD will be monitored. The VacSYn trial commenced in July 2023 with the dosing of the first patient and is progressing well with over 30 patients randomized in Part 1 of the study. In first interim analyses ACI-7104.056 has been shown to induce high anti-a-synuclein antibody levels. No safety concerns have been reported to date. Further interim results are to be reported in H1 2025 including pharmacodynamic data. AC Immune may decide to initiate Part 2 of VacSYn with up to 150 patients.</w:t>
      </w:r>
    </w:p>
    <w:p>
      <w:pPr>
        <w:spacing w:after="0" w:line="102" w:lineRule="exact"/>
        <w:rPr>
          <w:rFonts w:ascii="Times New Roman" w:cs="Times New Roman" w:eastAsia="Times New Roman" w:hAnsi="Times New Roman"/>
          <w:sz w:val="18"/>
          <w:szCs w:val="18"/>
          <w:color w:val="auto"/>
        </w:rPr>
      </w:pPr>
    </w:p>
    <w:p>
      <w:pPr>
        <w:ind w:left="720" w:right="99" w:hanging="319"/>
        <w:spacing w:after="0" w:line="270"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ACI-35.030 (JNJ-64042056 also now referred to as JNJ-2056). </w:t>
      </w:r>
      <w:r>
        <w:rPr>
          <w:rFonts w:ascii="Times New Roman" w:cs="Times New Roman" w:eastAsia="Times New Roman" w:hAnsi="Times New Roman"/>
          <w:sz w:val="18"/>
          <w:szCs w:val="18"/>
          <w:color w:val="auto"/>
        </w:rPr>
        <w:t>AC Immune and Janssen Pharmaceuticals,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(Janssen), part of Johnson &amp; Johnson, evaluated the anti-phosphorylated-Tau (anti-pTau) active immunotherapy ACI-35.030 in a Phase 1b/2a study in subjects with early AD (NCT04445831). Results showed that ACI-35.030 immunization generated a rapid antibody response (anti-pTau, anti-ePHF and anti-Tau IgG) after the first injection (at week 2) at the 3 tested doses. An apparent dose-effect was observed between low- and mid-doses but not between the mid- and high-doses. A boosting effect was observed after each injection especially against pathological Tau species (pTau and ePHF). The antibody response was strongly directed against these pathological Tau species but not against non-phosphorylated Tau. Long-term maintenance of the anti-ePHF IgG titers against endogenous pathological Tau was observed at the mid- and high doses.</w:t>
      </w:r>
    </w:p>
    <w:p>
      <w:pPr>
        <w:spacing w:after="0" w:line="122" w:lineRule="exact"/>
        <w:rPr>
          <w:sz w:val="20"/>
          <w:szCs w:val="20"/>
          <w:color w:val="auto"/>
        </w:rPr>
      </w:pPr>
    </w:p>
    <w:p>
      <w:pPr>
        <w:ind w:left="700" w:right="99"/>
        <w:spacing w:after="0" w:line="274" w:lineRule="auto"/>
        <w:rPr>
          <w:sz w:val="20"/>
          <w:szCs w:val="20"/>
          <w:color w:val="auto"/>
        </w:rPr>
      </w:pPr>
      <w:r>
        <w:rPr>
          <w:rFonts w:ascii="Times New Roman" w:cs="Times New Roman" w:eastAsia="Times New Roman" w:hAnsi="Times New Roman"/>
          <w:sz w:val="18"/>
          <w:szCs w:val="18"/>
          <w:color w:val="auto"/>
        </w:rPr>
        <w:t>In the Phase 1b/2a clinical trial, ACI-35.030 showed a good safety and tolerability profile. The majority of adverse events (AEs) were of mild or moderate intensity. No death was reported. No AE led to study discontinuation or to study treatment discontinuation. Injection site reactions were the most frequently reported AEs in actively treated subjects. The frequency of serious adverse events (SAEs) observed in subjects treated with ACI-35.030 did not appear to have any particular relationship to the dose.</w:t>
      </w:r>
    </w:p>
    <w:p>
      <w:pPr>
        <w:spacing w:after="0" w:line="114" w:lineRule="exact"/>
        <w:rPr>
          <w:sz w:val="20"/>
          <w:szCs w:val="20"/>
          <w:color w:val="auto"/>
        </w:rPr>
      </w:pPr>
    </w:p>
    <w:p>
      <w:pPr>
        <w:ind w:left="700" w:right="59"/>
        <w:spacing w:after="0" w:line="271" w:lineRule="auto"/>
        <w:rPr>
          <w:sz w:val="20"/>
          <w:szCs w:val="20"/>
          <w:color w:val="auto"/>
        </w:rPr>
      </w:pPr>
      <w:r>
        <w:rPr>
          <w:rFonts w:ascii="Times New Roman" w:cs="Times New Roman" w:eastAsia="Times New Roman" w:hAnsi="Times New Roman"/>
          <w:sz w:val="18"/>
          <w:szCs w:val="18"/>
          <w:color w:val="auto"/>
        </w:rPr>
        <w:t>Consequently, ACI-35.030/JNJ-2056 is now being assessed in subjects with preclinical (i.e., pre-symptomatic) AD in the Phase 2b study ReTain (NCT06544616). The ongoing trial will randomize approximately 500 participants with confirmed early-stage Tau pathology, who will be treated over a four-year period. The trial will include interim biomarker analyses potentially allowing for acceleration towards a regulatory filing. JNJ-2056 was granted Fast Track designation by the FDA, for the treatment of AD in July 2024. In September 2024, AC Immune received a milestone payment triggered by the rapid rate of prescreening in the potentially registrational Phase 2b ReTain trial and the first patient was dosed in H2 2024.</w:t>
      </w:r>
    </w:p>
    <w:p>
      <w:pPr>
        <w:spacing w:after="0" w:line="101" w:lineRule="exact"/>
        <w:rPr>
          <w:sz w:val="20"/>
          <w:szCs w:val="20"/>
          <w:color w:val="auto"/>
        </w:rPr>
      </w:pPr>
    </w:p>
    <w:p>
      <w:pPr>
        <w:ind w:left="720" w:right="99" w:hanging="319"/>
        <w:spacing w:after="0" w:line="261"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PI-2620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PI-2620 is the Tau-PET imaging agent discovered during the collaboration of AC Immune and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Molecular Imaging (LMI). We are working with our partner, LMI,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longitudinal use of PI-2620 in 52 participants (7 with normal cognition, 28 with mild cognitive impairment (MCI), and 17 with AD) from an investigator sponsored Phase 2 trial at the Asan Medical Center (NCT03903211) were presented at the 2022 AAIC and published in 2024 in the peer-reviewed Journal of Nuclear Medicine. Following these results, LMI moved PI-2620 into late-stage clinical development in AD and made a milestone payment to AC Immune. The first Alzheimer’s patient in ADvance, the pivotal Phase 3 histopathology study in AD (NCT05641688), was imaged in January 2023. In August 2024, partner LMI has received Fast Track Designation for the diagnostic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F-PI-2620, from the U.S. FDA in three neurodegenerative conditions: AD, PSP, and CBD.</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20" w:right="119" w:hanging="319"/>
        <w:spacing w:after="0" w:line="27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ACI-12589. </w:t>
      </w:r>
      <w:r>
        <w:rPr>
          <w:rFonts w:ascii="Times New Roman" w:cs="Times New Roman" w:eastAsia="Times New Roman" w:hAnsi="Times New Roman"/>
          <w:sz w:val="18"/>
          <w:szCs w:val="18"/>
          <w:color w:val="auto"/>
        </w:rPr>
        <w:t>Our Morphomer platform has delivered the first clinically validated a-syn-PET tracer which now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the differential diagnosis of multiple system atrophy (MSA) from other neurodegenerative diseases and allow precision medicine approaches and biomarker-based clinical development in this indication. ACI-12589 preclinical and clinical data were published in October 2023 in Nature Communications. In addition, medicinal chemistry optimization strategies have allowed the identification of our next-generation clinical candidate, ACI-15916. Compared to ACI-12589, ACI-15916 shows significantly higher target occupancy in brain slices from idiopathic forms of PD and has therefore the potential to enable imaging of a-syn pathology in patients with PD. IND/CTA-enabling studies for ACI-15196 were completed in H2 2024. The Phase 1 trial in PD will be initiated in Q1 2025, and the readout from this study is expected in H2 2025.</w:t>
      </w:r>
    </w:p>
    <w:p>
      <w:pPr>
        <w:spacing w:after="0" w:line="102" w:lineRule="exact"/>
        <w:rPr>
          <w:rFonts w:ascii="Times New Roman" w:cs="Times New Roman" w:eastAsia="Times New Roman" w:hAnsi="Times New Roman"/>
          <w:sz w:val="18"/>
          <w:szCs w:val="18"/>
          <w:color w:val="auto"/>
        </w:rPr>
      </w:pPr>
    </w:p>
    <w:p>
      <w:pPr>
        <w:ind w:left="720" w:right="199" w:hanging="319"/>
        <w:spacing w:after="0" w:line="25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ACI-19626, TDP-43 imaging diagnostic. </w:t>
      </w:r>
      <w:r>
        <w:rPr>
          <w:rFonts w:ascii="Times New Roman" w:cs="Times New Roman" w:eastAsia="Times New Roman" w:hAnsi="Times New Roman"/>
          <w:sz w:val="18"/>
          <w:szCs w:val="18"/>
          <w:color w:val="auto"/>
        </w:rPr>
        <w:t>Our Morphomer platform has delivered the first-in-class TDP-43 PET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tracer,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F-ACI-19626 entering the FiH evaluation in healthy volunteers and in patients with TDP-43 proteinopathies. ACI-19626 shows optimal binding potential in frontotemporal lobar degeneration (FTLD)-TDP brain tissue with no binding to physiological TDP-43, excellent selectivity over other aggregated proteins commonly present in neurodegenerative diseases and aging brain, excellent pharmacokinetic properties suitable for human brain imaging. This PET tracer is envisioned to enable early and differential diagnosis, improve the design and interpretation of clinical trials allowing for patient stratification, selection of optimal timing for therapeutic intervention and pharmacodynamic effect evaluation. This first-in-class molecule could have a high impact, opening new opportunities for therapeutic interventions in diseases with high unmet medical needs and</w:t>
      </w:r>
    </w:p>
    <w:p>
      <w:pPr>
        <w:spacing w:after="0" w:line="11" w:lineRule="exact"/>
        <w:rPr>
          <w:rFonts w:ascii="Times New Roman" w:cs="Times New Roman" w:eastAsia="Times New Roman" w:hAnsi="Times New Roman"/>
          <w:sz w:val="18"/>
          <w:szCs w:val="18"/>
          <w:color w:val="auto"/>
        </w:rPr>
      </w:pPr>
    </w:p>
    <w:p>
      <w:pPr>
        <w:jc w:val="both"/>
        <w:ind w:left="720" w:right="19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huge societal burdens, such as ALS, FTD and AD. CTA enabling studies for ACI-19626 were completed in July 2024. The Phase 1 trial was initiated in January 2025 and the interim readout from this study is expected in Dec 2025.</w:t>
      </w:r>
    </w:p>
    <w:p>
      <w:pPr>
        <w:spacing w:after="0" w:line="105" w:lineRule="exact"/>
        <w:rPr>
          <w:rFonts w:ascii="Times New Roman" w:cs="Times New Roman" w:eastAsia="Times New Roman" w:hAnsi="Times New Roman"/>
          <w:sz w:val="18"/>
          <w:szCs w:val="18"/>
          <w:color w:val="auto"/>
        </w:rPr>
      </w:pPr>
    </w:p>
    <w:p>
      <w:pPr>
        <w:ind w:left="720" w:right="99" w:hanging="319"/>
        <w:spacing w:after="0" w:line="278"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Morphomer Tau aggregation inhibitors. </w:t>
      </w:r>
      <w:r>
        <w:rPr>
          <w:rFonts w:ascii="Times New Roman" w:cs="Times New Roman" w:eastAsia="Times New Roman" w:hAnsi="Times New Roman"/>
          <w:sz w:val="18"/>
          <w:szCs w:val="18"/>
          <w:color w:val="auto"/>
        </w:rPr>
        <w:t>We are researching and developing small molecule Tau aggregation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inhibitors with plans to evaluate candidates in AD. Continued candidate characterization across the research program has also identified new and highly differentiated candidates with excellent brain exposure and selectivity for pathological aggregated Tau.</w:t>
      </w:r>
    </w:p>
    <w:p>
      <w:pPr>
        <w:spacing w:after="0" w:line="93" w:lineRule="exact"/>
        <w:rPr>
          <w:rFonts w:ascii="Times New Roman" w:cs="Times New Roman" w:eastAsia="Times New Roman" w:hAnsi="Times New Roman"/>
          <w:sz w:val="18"/>
          <w:szCs w:val="18"/>
          <w:color w:val="auto"/>
        </w:rPr>
      </w:pPr>
    </w:p>
    <w:p>
      <w:pPr>
        <w:ind w:left="720" w:right="119" w:hanging="319"/>
        <w:spacing w:after="0" w:line="270"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Semorinemab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Semorinemab is an investigational monoclonal anti-Tau antibody that targets the N-terminal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the Tau protein and is designed to bind to Tau and slow its spread between neurons for the treatment of AD. AC Immune regained the global rights to semorinemab in February 2025, following termination of the collaboration agreement with Genentech, a member of the Roche Group, which termination became effective in April 2024. Semorinemab has been studied in two Phase 2 studies: Tauriel in early (prodromal-to-mild) AD, where the primary efficacy endpoint was not met; and Lauriet in mild-to-moderate AD. In Lauriet, a strongly positive and highly statistically significant effect was seen on ADAS-Cog11 (one of two co-primary endpoints) plus statistically significant effects on several key biomarkers, including total Tau and pTau217 in CSF and plasma. The second co-primary endpoint, ADCS-ADL and the secondary efficacy endpoints did not reach significance. Final open label extension results from the Lauriet trial will be reviewed when they become available and are received in full by AC Immune. The Company will carefully review and evaluate available data sets, before decisions are made on potential further development and other opportunities.</w:t>
      </w:r>
    </w:p>
    <w:p>
      <w:pPr>
        <w:spacing w:after="0" w:line="121" w:lineRule="exact"/>
        <w:rPr>
          <w:rFonts w:ascii="Times New Roman" w:cs="Times New Roman" w:eastAsia="Times New Roman" w:hAnsi="Times New Roman"/>
          <w:sz w:val="18"/>
          <w:szCs w:val="18"/>
          <w:color w:val="auto"/>
        </w:rPr>
      </w:pPr>
    </w:p>
    <w:p>
      <w:pPr>
        <w:ind w:left="720" w:right="119" w:hanging="319"/>
        <w:spacing w:after="0" w:line="271"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Crenezumab. </w:t>
      </w:r>
      <w:r>
        <w:rPr>
          <w:rFonts w:ascii="Times New Roman" w:cs="Times New Roman" w:eastAsia="Times New Roman" w:hAnsi="Times New Roman"/>
          <w:sz w:val="18"/>
          <w:szCs w:val="18"/>
          <w:color w:val="auto"/>
        </w:rPr>
        <w:t>Crenezumab is a humanized monoclonal antibody, an investigational treatment designed to slow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 progression by neutralizing neurotoxic Abeta oligomers. It was designed by AC Immune to be a conformation-specific monoclonal antibody targeting multiple forms of misfolded Abeta. AC Immune regained the global rights to crenezumab in February 2025, following termination of the collaboration agreement with Genentech, a member of the Roche Group, which termination became effective in April 2024. Crenezumab has an antibody backbone (IgG4) designed to minimize the inflammatory response in the brain, which may result in a lower incidence of side effects known as ARIA (Amyloid-Related Imaging Abnormalities). The investigational medicine has demonstrated excellent safety (e.g. less than 1% of ARIA-E cases in the Phase 3 studies; Ostrowitzki et al., JAMA Neurology, 2022) and encouraging efficacy signals while undergoing extensive Phase 2 clinical testing. While the Colombian autosomal-dominant AD prevention trial was not</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99"/>
        <w:spacing w:after="0" w:line="277" w:lineRule="auto"/>
        <w:rPr>
          <w:sz w:val="20"/>
          <w:szCs w:val="20"/>
          <w:color w:val="auto"/>
        </w:rPr>
      </w:pPr>
      <w:r>
        <w:rPr>
          <w:rFonts w:ascii="Times New Roman" w:cs="Times New Roman" w:eastAsia="Times New Roman" w:hAnsi="Times New Roman"/>
          <w:sz w:val="18"/>
          <w:szCs w:val="18"/>
          <w:color w:val="auto"/>
        </w:rPr>
        <w:t>sufficiently powered to show significant cognitive benefits, crenezumab was proven to be safe with numeric trends on the primary and vast majority of secondary and exploratory endpoints in its favor. The lessons from this study provided useful insights regarding the desired anti-amyloid immunotherapy profile and designs for prevention trials. AC Immune will carefully review and evaluate available data sets, before decisions are made on potential further development and other opportunities.</w:t>
      </w:r>
    </w:p>
    <w:p>
      <w:pPr>
        <w:spacing w:after="0" w:line="84" w:lineRule="exact"/>
        <w:rPr>
          <w:sz w:val="20"/>
          <w:szCs w:val="20"/>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Expand product development into NeuroOrphan and additional neurodegenerative diseases</w:t>
      </w:r>
    </w:p>
    <w:p>
      <w:pPr>
        <w:spacing w:after="0" w:line="229" w:lineRule="exact"/>
        <w:rPr>
          <w:sz w:val="20"/>
          <w:szCs w:val="20"/>
          <w:color w:val="auto"/>
        </w:rPr>
      </w:pPr>
    </w:p>
    <w:p>
      <w:pPr>
        <w:ind w:left="60" w:right="579" w:firstLine="324"/>
        <w:spacing w:after="0" w:line="258" w:lineRule="auto"/>
        <w:rPr>
          <w:sz w:val="20"/>
          <w:szCs w:val="20"/>
          <w:color w:val="auto"/>
        </w:rPr>
      </w:pPr>
      <w:r>
        <w:rPr>
          <w:rFonts w:ascii="Times New Roman" w:cs="Times New Roman" w:eastAsia="Times New Roman" w:hAnsi="Times New Roman"/>
          <w:sz w:val="18"/>
          <w:szCs w:val="18"/>
          <w:color w:val="auto"/>
        </w:rPr>
        <w:t>Beyond AD, we are pursuing additional neurodegenerative diseases such as Parkinson’s disease (PD) and NeuroOrphan indications, specifically Tau-, a-syn- and TDP-43-driven diseases, such as FTLD-Tau (e.g. PSP, CBD, FTLD-MAPT), MSA, and ALS and FTLD-TDP, respectively (Figure 6). As part of this strategic move, AC Immune acquired certain a-syn assets from Affiris in 2021, gaining an advanced, clinical stage and validated a-syn active immunotherapy candidate for development against PD in the process.</w:t>
      </w:r>
    </w:p>
    <w:p>
      <w:pPr>
        <w:spacing w:after="0" w:line="170"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Pursuing NeuroOrphan indications may enable us to obtain a streamlined regulatory approval pathway and favorable reimbursement for any approved products. In addition, we are accelerating our novel therapeutic and diagnostic candidates targeting a-syn as a primary pathology in Parkinson’s disease and other a-synucleinopathies.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6: Market opportunities targeting key primary and co-pathologies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18770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5498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hanging="170"/>
        <w:spacing w:after="0"/>
        <w:tabs>
          <w:tab w:leader="none" w:pos="22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Alzheimer’s Association; (2) (NOD)-like receptor protein; (3) Apoptosis-associated speck-like protein containing a CARD, also PYCARD; (4) GBD 2016 Parkinson’s</w:t>
      </w:r>
    </w:p>
    <w:p>
      <w:pPr>
        <w:spacing w:after="0" w:line="13" w:lineRule="exact"/>
        <w:rPr>
          <w:rFonts w:ascii="Times New Roman" w:cs="Times New Roman" w:eastAsia="Times New Roman" w:hAnsi="Times New Roman"/>
          <w:sz w:val="13"/>
          <w:szCs w:val="13"/>
          <w:color w:val="auto"/>
        </w:rPr>
      </w:pPr>
    </w:p>
    <w:p>
      <w:pPr>
        <w:ind w:left="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 xml:space="preserve">Disease Collaborators </w:t>
      </w:r>
      <w:r>
        <w:rPr>
          <w:rFonts w:ascii="Times New Roman" w:cs="Times New Roman" w:eastAsia="Times New Roman" w:hAnsi="Times New Roman"/>
          <w:sz w:val="12"/>
          <w:szCs w:val="12"/>
          <w:i w:val="1"/>
          <w:iCs w:val="1"/>
          <w:color w:val="auto"/>
        </w:rPr>
        <w:t>Lancet Neurology</w:t>
      </w:r>
      <w:r>
        <w:rPr>
          <w:rFonts w:ascii="Times New Roman" w:cs="Times New Roman" w:eastAsia="Times New Roman" w:hAnsi="Times New Roman"/>
          <w:sz w:val="12"/>
          <w:szCs w:val="12"/>
          <w:color w:val="auto"/>
        </w:rPr>
        <w:t xml:space="preserve"> 2018; (5) Limbic-predominant age-related TDP-43 encephalopathy; (6) Nelson et. al. </w:t>
      </w:r>
      <w:r>
        <w:rPr>
          <w:rFonts w:ascii="Times New Roman" w:cs="Times New Roman" w:eastAsia="Times New Roman" w:hAnsi="Times New Roman"/>
          <w:sz w:val="12"/>
          <w:szCs w:val="12"/>
          <w:i w:val="1"/>
          <w:iCs w:val="1"/>
          <w:color w:val="auto"/>
        </w:rPr>
        <w:t>Brain</w:t>
      </w:r>
      <w:r>
        <w:rPr>
          <w:rFonts w:ascii="Times New Roman" w:cs="Times New Roman" w:eastAsia="Times New Roman" w:hAnsi="Times New Roman"/>
          <w:sz w:val="12"/>
          <w:szCs w:val="12"/>
          <w:color w:val="auto"/>
        </w:rPr>
        <w:t xml:space="preserve"> 2019; (7) TAR DNA-binding protein 43;</w:t>
      </w:r>
    </w:p>
    <w:p>
      <w:pPr>
        <w:spacing w:after="0" w:line="10" w:lineRule="exact"/>
        <w:rPr>
          <w:rFonts w:ascii="Times New Roman" w:cs="Times New Roman" w:eastAsia="Times New Roman" w:hAnsi="Times New Roman"/>
          <w:sz w:val="13"/>
          <w:szCs w:val="13"/>
          <w:color w:val="auto"/>
        </w:rPr>
      </w:pPr>
    </w:p>
    <w:p>
      <w:pPr>
        <w:ind w:left="60" w:right="259" w:hanging="10"/>
        <w:spacing w:after="0" w:line="239" w:lineRule="auto"/>
        <w:tabs>
          <w:tab w:leader="none" w:pos="238"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National Institute of Neurological Disorders and Stroke (NINDS) Progressive Supranuclear Palsy Fact Sheet; (9) NINDS Multiple System Atrophy Fact Sheer; (10) ALS Association </w:t>
      </w:r>
      <w:r>
        <w:rPr>
          <w:rFonts w:ascii="Times New Roman" w:cs="Times New Roman" w:eastAsia="Times New Roman" w:hAnsi="Times New Roman"/>
          <w:sz w:val="13"/>
          <w:szCs w:val="13"/>
          <w:i w:val="1"/>
          <w:iCs w:val="1"/>
          <w:color w:val="auto"/>
        </w:rPr>
        <w:t>Rare Disease</w:t>
      </w:r>
      <w:r>
        <w:rPr>
          <w:rFonts w:ascii="Times New Roman" w:cs="Times New Roman" w:eastAsia="Times New Roman" w:hAnsi="Times New Roman"/>
          <w:sz w:val="13"/>
          <w:szCs w:val="13"/>
          <w:color w:val="auto"/>
        </w:rPr>
        <w:t xml:space="preserve"> 2013; (199) NINDS Amyotrophic Lateral Sclerosis Fact Sheer; (12) Knopman and Roberts </w:t>
      </w:r>
      <w:r>
        <w:rPr>
          <w:rFonts w:ascii="Times New Roman" w:cs="Times New Roman" w:eastAsia="Times New Roman" w:hAnsi="Times New Roman"/>
          <w:sz w:val="13"/>
          <w:szCs w:val="13"/>
          <w:i w:val="1"/>
          <w:iCs w:val="1"/>
          <w:color w:val="auto"/>
        </w:rPr>
        <w:t>J. Mol. Neurosci.</w:t>
      </w:r>
      <w:r>
        <w:rPr>
          <w:rFonts w:ascii="Times New Roman" w:cs="Times New Roman" w:eastAsia="Times New Roman" w:hAnsi="Times New Roman"/>
          <w:sz w:val="13"/>
          <w:szCs w:val="13"/>
          <w:color w:val="auto"/>
        </w:rPr>
        <w:t xml:space="preserve"> 2011</w:t>
      </w:r>
    </w:p>
    <w:p>
      <w:pPr>
        <w:spacing w:after="0" w:line="197" w:lineRule="exact"/>
        <w:rPr>
          <w:rFonts w:ascii="Times New Roman" w:cs="Times New Roman" w:eastAsia="Times New Roman" w:hAnsi="Times New Roman"/>
          <w:sz w:val="13"/>
          <w:szCs w:val="13"/>
          <w:color w:val="auto"/>
        </w:rPr>
      </w:pPr>
    </w:p>
    <w:p>
      <w:pPr>
        <w:ind w:left="720" w:hanging="319"/>
        <w:spacing w:after="0"/>
        <w:tabs>
          <w:tab w:leader="none" w:pos="720" w:val="left"/>
        </w:tabs>
        <w:numPr>
          <w:ilvl w:val="1"/>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Accelerating the advancement of our diagnostic portfolio</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Early detection of neurodegenerative diseases may be critical to enhancing the effectiveness of both symptomatic and disease-modifying therapies. As a result, therapeutic development for AD increasingly focuses on treating early-stage disease to delay or prevent progression and to preserve the maximum amount of cognitive function before it is irreversibly lost. Most clinical studies now target mild or even preclinical stages of the disease increasing the need for accurate diagnosis that is independent of potentially subjective cognitive metrics. At least one study estimates that as many as one 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managing patients who are receiving treatment, and ultimately diagnosing disease at its earliest stage for immediate treatment.</w:t>
      </w:r>
    </w:p>
    <w:p>
      <w:pPr>
        <w:spacing w:after="0" w:line="158" w:lineRule="exact"/>
        <w:rPr>
          <w:sz w:val="20"/>
          <w:szCs w:val="20"/>
          <w:color w:val="auto"/>
        </w:rPr>
      </w:pPr>
    </w:p>
    <w:p>
      <w:pPr>
        <w:jc w:val="center"/>
        <w:ind w:left="1560" w:right="520"/>
        <w:spacing w:after="0" w:line="286" w:lineRule="auto"/>
        <w:rPr>
          <w:sz w:val="20"/>
          <w:szCs w:val="20"/>
          <w:color w:val="auto"/>
        </w:rPr>
      </w:pPr>
      <w:r>
        <w:rPr>
          <w:rFonts w:ascii="Times New Roman" w:cs="Times New Roman" w:eastAsia="Times New Roman" w:hAnsi="Times New Roman"/>
          <w:sz w:val="18"/>
          <w:szCs w:val="18"/>
          <w:b w:val="1"/>
          <w:bCs w:val="1"/>
          <w:color w:val="auto"/>
        </w:rPr>
        <w:t>Figure 7: The need for Precision Medicine in AD: improved clinical trials, diagnosis and treatment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112395</wp:posOffset>
            </wp:positionV>
            <wp:extent cx="5434965" cy="2305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3496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alpha-synuclein; (2) TAR DNA-binding protein 43; (3) Amyotrophic lateral sclerosis; (4) Limbic-predominant age-related TDP-43 encephalopathy</w:t>
      </w: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Refs: Attems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Newcastle University, AAIC 2017; Nelson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Brain, 2019</w:t>
      </w:r>
    </w:p>
    <w:p>
      <w:pPr>
        <w:spacing w:after="0" w:line="22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are developing a suite of diagnostics designed to be first-in-class or best-in-class, which will enable improved diagnosis of pathologies, patient selection and assessment of clinical trial outcomes. We currently have four diagnostic programs in our pipeline, developed using our proprietary technology platforms and targeting: Tau, a-syn and TDP-43. See Figure 8 for a summary of our diagnostics enabling Precision Medicine.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8: Our pipeline of Precision Medicine-enabling diagnostic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156845</wp:posOffset>
            </wp:positionV>
            <wp:extent cx="5486400" cy="2160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8640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right="339" w:hanging="10"/>
        <w:spacing w:after="0" w:line="262" w:lineRule="auto"/>
        <w:tabs>
          <w:tab w:leader="none" w:pos="23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Alpha-synuclein; (2) TAR DNA-binding protein 43; (3) Positron emission tomography; (4) Multiple system atrophy; (5) Amyotrophic lateral sclerosis; (6) Alzheimer’s disease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Leveraging our Morphomer platform, we are developing proprietary PET imaging diagnostics for diseases resulting from the misfolding of a-syn and TDP-43 proteins. No such diagnostics are currently available for these important pathologies and AC Immune has identified promising compounds with high affinity and target specificity, as well as favorable central nervous system (CNS) pharmacokinetic properties.</w:t>
      </w:r>
    </w:p>
    <w:p>
      <w:pPr>
        <w:spacing w:after="0" w:line="180"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various PET tracers have been validated through prestigious and competitive grants from the MJFF, EU Joint Programme – Neurodegenerative Disease Research’ (JPND) and Target ALS Foundation. If validated clinically, our tracers could become the first in the world to effectively diagnose these respective proteinopathies, which are highly relevant for multiple neurodegenerative diseases.</w:t>
      </w:r>
    </w:p>
    <w:p>
      <w:pPr>
        <w:spacing w:after="0" w:line="183" w:lineRule="exact"/>
        <w:rPr>
          <w:sz w:val="20"/>
          <w:szCs w:val="20"/>
          <w:color w:val="auto"/>
        </w:rPr>
      </w:pPr>
    </w:p>
    <w:p>
      <w:pPr>
        <w:ind w:left="380" w:right="919" w:hanging="6"/>
        <w:spacing w:after="0" w:line="286" w:lineRule="auto"/>
        <w:tabs>
          <w:tab w:leader="none" w:pos="704"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Continuing to optimize our long-term growth by selectively partnering product candidates for global development and commercialization</w:t>
      </w:r>
    </w:p>
    <w:p>
      <w:pPr>
        <w:spacing w:after="0" w:line="15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We have a strong track record of establishing value-driving collaboration agreements with leading pharmaceutical companies, such as Janssen, Takeda, Lilly and LMI. This strategy allows us to leverage our partners’ scientific, development, manufacturing and commercialization expertise and other resources while partially monetizing our investments, de-risking and accelerating the development of our product candidates. This strategy also enables us to use non-dilutive partnership revenue to bolster our investment into our early-stage proprietary programs and fuel our continued growth. Our collaboration agreements are summarized in the table below:</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9: External validation and cash generation through external collaborations</w:t>
      </w:r>
      <w:r>
        <w:rPr>
          <w:rFonts w:ascii="Times New Roman" w:cs="Times New Roman" w:eastAsia="Times New Roman" w:hAnsi="Times New Roman"/>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103505</wp:posOffset>
            </wp:positionV>
            <wp:extent cx="5554980" cy="23317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5498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hanging="170"/>
        <w:spacing w:after="0"/>
        <w:tabs>
          <w:tab w:leader="none" w:pos="2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Disclosure limited due to confidentiality agreements with collaboration partners; (2) In millions; (3) Total payments received from partner until termination of agreement;</w:t>
      </w:r>
    </w:p>
    <w:p>
      <w:pPr>
        <w:spacing w:after="0" w:line="24" w:lineRule="exact"/>
        <w:rPr>
          <w:rFonts w:ascii="Times New Roman" w:cs="Times New Roman" w:eastAsia="Times New Roman" w:hAnsi="Times New Roman"/>
          <w:sz w:val="12"/>
          <w:szCs w:val="12"/>
          <w:color w:val="auto"/>
        </w:rPr>
      </w:pPr>
    </w:p>
    <w:p>
      <w:pPr>
        <w:ind w:left="60" w:right="119" w:hanging="10"/>
        <w:spacing w:after="0" w:line="239" w:lineRule="auto"/>
        <w:tabs>
          <w:tab w:leader="none" w:pos="238"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Positron emission tomography; (5) In Alzheimer’s disease; (6) Phase 1 completed; (7) Equity investment; (8) Converted to CHF on date of receipt; (9) Excludes convertible note agreement of USD 50 million ; * previously licensed to Genentech (a member of the Roche Group)</w:t>
      </w:r>
    </w:p>
    <w:p>
      <w:pPr>
        <w:spacing w:after="0" w:line="201"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For any additional product candidates targeting large markets, we may, if appropriate, selectively partner with leading companies that we believe can contribute development, manufacturing and marketing expertise, geographic reach and/or other resources that can enhance the value of our wholly-owned products. We will continue to seek to retain certain indications (e.g. NeuroOrphan) and/or geographies, such that we could begin to grow our own marketing capabilities and develop AC Immune into a fully integrated pharmaceutical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benefits of our clinically-validated, proprietary technology platforms</w:t>
      </w:r>
    </w:p>
    <w:p>
      <w:pPr>
        <w:spacing w:after="0" w:line="216"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The engines that drive our growth are our two unique proprietary and versatile technology platforms: our SupraAntigen platform, which is our biological and immunological platform, and our Morphomer platform, which is our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chemical platform. These platforms generate biologics (active immunotherapies and antibodies) and small molecules, respectively, which are designed to selectively interact with the misfolded proteins that are common in a broad range of neurodegenerative diseases. These clinically-validated platforms form the basis of our ongoing pipeline development and the value-driving strategic partnerships we have established to date.</w:t>
      </w:r>
    </w:p>
    <w:p>
      <w:pPr>
        <w:spacing w:after="0" w:line="18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key aspect of both our SupraAntigen and Morphomer technology platforms is conformational specificity, which we believe is central to the development of effective and safe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prevents the formation of new misfolded proteins in healthy neighboring cells through a seeding mechanism. Small molecules derived from our Morphomer platform, which we refer to as Morphomers, not only inhibit aggregation of pathological proteins, but also promote disaggregation of already formed aggregates, thereby potentially enhancing their therapeutic potential even in established disease states.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10: SupraAntigen and Morphomer platforms: an integrated approach to CNS-specific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148590</wp:posOffset>
            </wp:positionV>
            <wp:extent cx="5554980" cy="22459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5498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Nanomolar; (2) Picomolar; (3) Central nervous system; (4) Blood-brain barrier; (5) alpha-synuclein; (6) TAR DNA-binding protein 43</w:t>
      </w:r>
    </w:p>
    <w:p>
      <w:pPr>
        <w:spacing w:after="0" w:line="21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SupraAntigen platform was first developed by AC Immune’s scientific co-founders to overcome a challenge common to neurodegenerative diseases: the lack of immunogenicity of disease-causing self-proteins. The SupraAntigen platform uses liposomes (small spherical vesicles formed by a lipid bilayer) to present specific antigens designed to evoke an immune response. SupraAntigen is used to generate conformation-specific antibodies for immunotherapy in neurodegenerative diseases. The overarching idea behind the platform is that antibodies, which are large in size, are well-suited to target extracellular proteins, interrupt spreading of pathological proteins, and break up and clear aggregates of misfolded proteins through phagocytosis.</w:t>
      </w:r>
    </w:p>
    <w:p>
      <w:pPr>
        <w:spacing w:after="0" w:line="187"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AC Immune has acquired advanced mastery of the design and manipulation of liposomes to develop either passive or active immunization techniques to generate antibodies targeting neurodegenerative diseases. When pursuing active immunization approaches, we use liposomes carrying a specific antigen as an active immunotherapy. After treatment with an active immunotherapy, antibodies that specifically target the pathological forms of the target proteins are produced naturally by the host with very high affinity without further optimization. This immune response can be long-lasting and may be ideal to prevent the onset of a disease, as the immune system is now primed to rapidly identify disease-causing misfolded proteins.</w:t>
      </w:r>
    </w:p>
    <w:p>
      <w:pPr>
        <w:spacing w:after="0" w:line="187"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Product candidates generated utilizing the SupraAntigen platform include active immunotherapies (i) ACI-35.030, which has been advanced into a large Phase 2b clinical trial in preclinical AD, and (ii) ACI-24.060 in the ABATE Phase</w:t>
      </w:r>
    </w:p>
    <w:p>
      <w:pPr>
        <w:sectPr>
          <w:pgSz w:w="11900" w:h="16838" w:orient="portrait"/>
          <w:cols w:equalWidth="0" w:num="1">
            <w:col w:w="9019"/>
          </w:cols>
          <w:pgMar w:left="1440" w:top="513" w:right="1440"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1b/2 study in subjects with prodromal AD and in adults with DS. Antibodies include: the preclinical candidates targeting a-syn, TDP-43 and ASC (apoptosis-associated speck-like protein containing a C-terminal caspase recruitment domain) for PD and NeuroOrphan indications.</w:t>
      </w:r>
    </w:p>
    <w:p>
      <w:pPr>
        <w:spacing w:after="0" w:line="17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Morphomer platform is designed to enable the development of small molecules (Morphomers) able to bind/interact with beta-sheets containing fibrillary aggregates from candidate selection through preclinical proof-of-concept. Morphomers can target pathological protein aggregates in any brain compartment and are equally well suited for therapeutic and diagnostic applications.</w:t>
      </w:r>
    </w:p>
    <w:p>
      <w:pPr>
        <w:spacing w:after="0" w:line="16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first key component of the Morphomer platform is its library of rationally designed, CNS-optimized non-dye compounds. AC Immune’s extensive know-how has enabled the identification of CNS compounds that penetrate the brain and demonstrate high selectivity for the target. This knowledge has been used to focus the Morphomer library to approximately 17,200 compounds that display these favorable characteristics, making this library an ideal starting point when developing molecules to target human proteinopathies of the CNS. Thus, rather than using the non-directed trial and error strategy of the typical drug development process, the Morphomer platform utilizes its bias for successful CNS candidates to improve efficiency and accelerate the early stages of the drug development process. Extensive expertise in medicinal chemistry and a suite of proprietary assays developed to screen and validate candidate compounds enables AC Immune to rapidly optimize multiple, highly diversified lead compounds for further preclinical and clinical development.</w:t>
      </w:r>
    </w:p>
    <w:p>
      <w:pPr>
        <w:spacing w:after="0" w:line="191"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Therapeutic product candidates generated by the Morphomer platform include our Morphomer Tau and Morphomer a-syn programs. Diagnostic programs generated by the Morphomer platform include PI-2620 in Phase 3 in Alzheimer’s disease, ACI-12589 in a Phase 1 clinical trial in MSA and our TDP-43-PET imaging agent in a Phase 1 study in genetic FTD. ACI-15916, our next-generation a-syn-PET tracer for PD is advancing towards clinical development with initiation of a Phase 1 study expected in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Shifting the treatment paradigm for neurodegenerative disease towards precision medicine and disease prevention</w:t>
      </w:r>
    </w:p>
    <w:p>
      <w:pPr>
        <w:spacing w:after="0" w:line="21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Modifying the progression of the disease requires targeting the specific underlying biological processes that drive disease progression. These processes evolve over the course of many years prior to manifestation of symptoms and a high percentage of neurons may be lost prior to clinical manifestation. Earlier intervention or prevention of the disease could have a major impact, but it requires accurate disease detection prior to developing symptoms. Due to recent advancement in biomarker research, people at risk of developing AD can be diagnosed 10-20 years before symptoms occur. This is opening a completely new market segment for the prevention of NDD in which active immunization will play a key role. This early, and potentially preventative, Precision Medicine approach may ultimately lead to better disease management for patients with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11: Active immunotherapies as a new class of treatment for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41319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5498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Amyloid-related imaging abnormalities-edema</w:t>
      </w:r>
    </w:p>
    <w:p>
      <w:pPr>
        <w:spacing w:after="0" w:line="228"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Given the inherent advantages of active immunotherapies compared to monoclonal antibodies, we believe that our programs could have a profound global social and economic impact as a new class of therapy for neurogenerative diseases in various settings.</w:t>
      </w:r>
    </w:p>
    <w:p>
      <w:pPr>
        <w:spacing w:after="0" w:line="183"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With regard to treatment, active immunotherapies have potentially improved safety and efficacy profiles. By stimulating the patient’s own immune system to produce antibodies, we believe safety and tolerability would be enhanced by avoiding the need to introduce repeated large doses of externally manufactured antibodies. Additionally, due to their ability to target multiple epitopes with a long-lasting and consistent immune response, the polyclonal antibody response generated by an active immunotherapy could potentially address multiple pathological species of the targeted protein.</w:t>
      </w:r>
    </w:p>
    <w:p>
      <w:pPr>
        <w:spacing w:after="0" w:line="154"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Active immunotherapies are also much simpler to administer. They are amenable to convenient annual or biannual dosing whereas monoclonal antibodies require frequent intravenous infusions (up to twice per month). These dosing regimens position active immunotherapies as an obvious solution for maintenance therapy for patients who have previously achieved plaque clearance with antibodies. This approach will reduce the burden for infusion centers and enhance access to a broader patient population.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these advantages, active immunotherapies allow for more simplified distribution logistics and cost-effectiveness. These factors are crucial to enable their global application as preventative therapies. Given the irreversible nature of neuronal damage, earlier intervention, even before symptoms become visible, promises to be the best strategy to preserve patient function and quality of life.</w:t>
      </w:r>
    </w:p>
    <w:p>
      <w:pPr>
        <w:spacing w:after="0" w:line="180"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Due to the high level of co-pathologies involved in neurodegenerative diseases, future treatment paradigms may involve different combinations of disease modifiers at various stages of a disease. Therefore, combination therapies may include combinations of immunotherapies or combinations of small and large molecules targeting proteinopathies and neuroinflammation. Our therapeutic product candidates seek to modify the course of AD by intervening at an earlier stage of the disease progression, prior to irreversible neuronal damage. Beyond AD, we believe that we can leverage our proprietary platforms to generate and employ molecules that address the pathologies of other neurodegenerative diseases.</w:t>
      </w:r>
    </w:p>
    <w:p>
      <w:pPr>
        <w:spacing w:after="0" w:line="18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support of shifting the current treatment paradigm from treatment to prevention, we are discovering new PET imaging agents to improve the timing and accuracy of diagnoses in neurodegenerative diseases. In our pipeline, we have three families of diagnostic candidates that were developed through our Morphomer platform, which target Tau, a-syn and TDP-43. We believe our Tau-PET imaging program has received external validation through our partnership with LMI, a leader in imaging agents, as well as from several investigator-sponsored trials. We are also developing a-syn and TDP-43 PET imaging agents for PD and other neurodegenerative diseases.</w:t>
      </w:r>
    </w:p>
    <w:p>
      <w:pPr>
        <w:spacing w:after="0" w:line="189"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With our unique integrated approach focused on Precision Medicine, we believe that our diagnostic product candidate pipeline will complement our disease-modifying treatment product candidate pipeline and potentially reshape the clinical course and treatment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123190</wp:posOffset>
            </wp:positionV>
            <wp:extent cx="5546090" cy="23660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4609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clinical programs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ACI-24.060</w:t>
      </w:r>
    </w:p>
    <w:p>
      <w:pPr>
        <w:spacing w:after="0" w:line="216"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ACI-24.060 is AC Immune’s anti-Abeta active immunotherapy being evaluated in clinical development in patients with AD and in subjects with DS. ACI-24.060 contains Abeta unrelated T-helper cell epitopes and has demonstrated no clinically relevant safety, tolerability and immunogenicity in mouse and NHP studies.</w:t>
      </w:r>
    </w:p>
    <w:p>
      <w:pPr>
        <w:spacing w:after="0" w:line="176"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aim of this active immunotherapy is to stimulate the patient’s immune system to produce and maintain antibodies that bind and remove pathological Abeta with the goal to prevent plaque accumulation and enhance clearance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of toxic Abeta species. The Company is pursuing clinical development of ACI-24.060 in AD as well as in people living with DS exhibiting the presence of brain amyloid pathology.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ACI-24.060 is the subject of an exclusive option and license agreement with Takeda.</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79" w:hanging="319"/>
        <w:spacing w:after="0" w:line="25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ACI-24.060 consists of an immunogenic peptide (Pal1-15) containing the amino acid sequence 1-15 of the human Abeta1-42 protein, an antigenic peptide with Abeta unrelated T-helper cell epitopes and an adjuvant, formulated together as a liposomal suspension. In this formulation, the immunogenic peptide, Pal1-15, is presented to B cells of the immune cells on the surface of the liposomes in a conformational format mimicking the two most toxic forms of the protein. This presentation shows antigen-specific antibody responses that bind to the pathological forms of Abeta, i.e. oligomeric and pyroglutamate (pyroGlu) Abeta. The incorporation of the Abeta-unrelated T-helper cell epitopes aims to prime, boost and maintain a strong anti-Abeta IgG response while preserving safety and tolerability;</w:t>
      </w:r>
    </w:p>
    <w:p>
      <w:pPr>
        <w:spacing w:after="0" w:line="19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preclinical safety studies, treatment of NHPs with ACI-24.060 induced strong boostable anti-Abeta IgG titers and a favorable safety profile;</w:t>
      </w:r>
    </w:p>
    <w:p>
      <w:pPr>
        <w:spacing w:after="0" w:line="161" w:lineRule="exact"/>
        <w:rPr>
          <w:rFonts w:ascii="Times New Roman" w:cs="Times New Roman" w:eastAsia="Times New Roman" w:hAnsi="Times New Roman"/>
          <w:sz w:val="18"/>
          <w:szCs w:val="18"/>
          <w:color w:val="auto"/>
        </w:rPr>
      </w:pPr>
    </w:p>
    <w:p>
      <w:pPr>
        <w:ind w:left="720" w:right="139" w:hanging="319"/>
        <w:spacing w:after="0" w:line="253"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the kinetics and binding profile of the antibodies elicited by immunization of NHPs with ACI-24.060 demonstrated strong antigen-specific antibody titers with immunization as well as target binding to Abeta oligomers and pyroGlu Abeta (Figure 12), in quantities similar to pharmacokinetic profiles achieved with clinically validated lecanemab and donanemab (Figure 13, bottom). Of note, antibodies raised in NHPs have &gt;1000-fold preference for oligomers over monomers, similar to lecanemab (antibody titers against oligomeric Abeta shown in Figure 13; top);</w:t>
      </w:r>
    </w:p>
    <w:p>
      <w:pPr>
        <w:spacing w:after="0" w:line="187" w:lineRule="exact"/>
        <w:rPr>
          <w:rFonts w:ascii="Times New Roman" w:cs="Times New Roman" w:eastAsia="Times New Roman" w:hAnsi="Times New Roman"/>
          <w:sz w:val="18"/>
          <w:szCs w:val="18"/>
          <w:color w:val="auto"/>
        </w:rPr>
      </w:pPr>
    </w:p>
    <w:p>
      <w:pPr>
        <w:ind w:left="720" w:right="359" w:hanging="319"/>
        <w:spacing w:after="0" w:line="284"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Target engagement was confirmed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using brain sections from AD patients in which sera from the NHPs immunized with ACI-24.060 bound to the Abeta plaques while showing no reactivity to other tissues;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12: Abeta1-42 and pyroGlu Abeta IgG titers in NHP immunized with ACI-24.060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156845</wp:posOffset>
            </wp:positionV>
            <wp:extent cx="5537835" cy="26657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3783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 Fiorini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CTAD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80" w:right="40"/>
        <w:spacing w:after="0" w:line="286" w:lineRule="auto"/>
        <w:rPr>
          <w:sz w:val="20"/>
          <w:szCs w:val="20"/>
          <w:color w:val="auto"/>
        </w:rPr>
      </w:pPr>
      <w:r>
        <w:rPr>
          <w:rFonts w:ascii="Times New Roman" w:cs="Times New Roman" w:eastAsia="Times New Roman" w:hAnsi="Times New Roman"/>
          <w:sz w:val="18"/>
          <w:szCs w:val="18"/>
          <w:b w:val="1"/>
          <w:bCs w:val="1"/>
          <w:color w:val="auto"/>
        </w:rPr>
        <w:t>Figure 13: Oligomeric Abeta IgG titers in NHP immunized with ACI-24.060 and preferential binding over Abeta monomers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112395</wp:posOffset>
            </wp:positionV>
            <wp:extent cx="5520690" cy="48088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20690" cy="480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 Fiorini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CTAD 2023</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Development of anti-Abeta active immunotherapy for AD in DS</w:t>
      </w:r>
    </w:p>
    <w:p>
      <w:pPr>
        <w:spacing w:after="0" w:line="229" w:lineRule="exact"/>
        <w:rPr>
          <w:sz w:val="20"/>
          <w:szCs w:val="20"/>
          <w:color w:val="auto"/>
        </w:rPr>
      </w:pPr>
    </w:p>
    <w:p>
      <w:pPr>
        <w:jc w:val="both"/>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AD pathology that commonly develops in people with DS bears remarkable similarities to familial and sporadic forms of AD and is characterized by a progressive accumulation in the brain of Abeta into amyloid plaques leading to the appearance of AD-related cognitive decline and a modification of other relevant biomarkers. The Company is pioneering the development of its anti-Abeta active immunotherapy in AD patients and subjects with DS.</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Individuals with DS have an extra copy of chromosome 21, which is where the gene for amyloid precursor protein (APP) resides. These individuals develop AD at a rate that is three to five times that of the general population and develop the disease at a much younger age. At autopsy, AD pathology has been reported in 80% of people with DS over the age of 40 and 100% over the age of 60 years. The prevalence of AD in people with DS is more than 50% over the</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age of 50 and 75–100% over the age of 60 years (Strydom, 2018). It is estimated that there are six million people with DS worldwide, with 250,000 in the U.S..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ABATE Phase 1b/2</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ABATE Phase 1b/2 study design</w:t>
      </w:r>
    </w:p>
    <w:p>
      <w:pPr>
        <w:spacing w:after="0" w:line="227"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ABATE clinical study (NCT05462106) is a multicenter, adaptive, placebo-controlled, dose-escalation, double-blind, randomized study containing two parts.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Study part 1:</w:t>
      </w:r>
    </w:p>
    <w:p>
      <w:pPr>
        <w:spacing w:after="0" w:line="241"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Study part 1 is currently conducted in subjects with prodromal AD to assess the effect of study drug (ACI-24.060 at three different incremental doses or placebo) administered over 48 weeks.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study drug is being administered via intramuscular injections.</w:t>
      </w:r>
    </w:p>
    <w:p>
      <w:pPr>
        <w:spacing w:after="0" w:line="225"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Randomized AD subjects receive five study drug injections (ACI-24.060 or placebo) at weeks 0, 4, 12, 24, and 48. For each study subject, the treatment period is followed by a 26-week follow-up period.</w:t>
      </w:r>
    </w:p>
    <w:p>
      <w:pPr>
        <w:spacing w:after="0" w:line="16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Up to four cohorts may be included in study part 1. Each cohort may differ from the others in terms of the dose per injection and/or the administration regimen with the possibility to expand any cohort at any time point to better understand antibody response and/or safety and tolerability. The initiation of randomization in the subsequent cohort(s) is based on interim safety and tolerability data review from the previous cohort(s) and Data and Safety Monitoring Board (DSMB) approval.</w:t>
      </w:r>
    </w:p>
    <w:p>
      <w:pPr>
        <w:spacing w:after="0" w:line="187"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Interim analyses on safety/tolerability and immunogenicity are being conducted in each cohort at different predefined study time points.</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No clinically relevant safety concerns related to study drug have been observed to date in prodromal AD subjects as per the periodic review by the DSMB, especially no case of ARIA-E (Amyloid-Related Imaging Abnormalities-vasogenic edema) has been reported to date at brain MRI.</w:t>
      </w:r>
    </w:p>
    <w:p>
      <w:pPr>
        <w:spacing w:after="0" w:line="162"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data from the blinded interim analyses on immunogenicity of ACI-24.060 have shown evidence of anti-Abeta antibody responses against toxic Abeta species.</w:t>
      </w:r>
    </w:p>
    <w:p>
      <w:pPr>
        <w:spacing w:after="0" w:line="162"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Company’s CTA received approval from the UK MHRA in Q2 2022 and from the AEMPS in Q3 2022 to initiate development of ACI-24.060 in patients with prodromal AD and in adult subjects with DS with presence of brain amyloid pathology.</w:t>
      </w:r>
    </w:p>
    <w:p>
      <w:pPr>
        <w:spacing w:after="0" w:line="176"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Study part 1 is being conducted in several centers located in the UK and Spain. Dosing in prodromal AD subjects was initiated in June 2022 and the study is being pursued in the 3 dose-level cohorts.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Study part 2:</w:t>
      </w:r>
    </w:p>
    <w:p>
      <w:pPr>
        <w:spacing w:after="0" w:line="22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Study part 2 is planned to be conducted in up to 88 non-demented adults living with DS and with confirmed presence of amyloid pathology by PET scan. The goal is to assess the effect of study treatment (ACI-24.060 or placebo) administered over 74 weeks.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Randomized subjects with DS receive their first five injections (ACI-24.060 or placebo) according to the same schedule administered in study part 1, at weeks 0, 4, 12, 24, 48, and 74. For each study subject, the treatment period is followed by a 26-week follow-up period.</w:t>
      </w:r>
    </w:p>
    <w:p>
      <w:pPr>
        <w:spacing w:after="0" w:line="176" w:lineRule="exact"/>
        <w:rPr>
          <w:sz w:val="20"/>
          <w:szCs w:val="20"/>
          <w:color w:val="auto"/>
        </w:rPr>
      </w:pPr>
    </w:p>
    <w:p>
      <w:pPr>
        <w:ind w:left="60" w:right="359" w:firstLine="324"/>
        <w:spacing w:after="0" w:line="289" w:lineRule="auto"/>
        <w:rPr>
          <w:sz w:val="20"/>
          <w:szCs w:val="20"/>
          <w:color w:val="auto"/>
        </w:rPr>
      </w:pPr>
      <w:r>
        <w:rPr>
          <w:rFonts w:ascii="Times New Roman" w:cs="Times New Roman" w:eastAsia="Times New Roman" w:hAnsi="Times New Roman"/>
          <w:sz w:val="17"/>
          <w:szCs w:val="17"/>
          <w:color w:val="auto"/>
        </w:rPr>
        <w:t>Dosing in DS subjects in study part 2 was initiated in June 2023 at the first dose-level of ACI-24.060 used in prodromal AD subjects that was previously shown to be immunogenic, safe and well tolerated. The second dose-level cohort (mid dose of ACI-24.060) in DS is currently ongoing with the plan to initiate the high-dose cohort in early 2025.</w:t>
      </w:r>
    </w:p>
    <w:p>
      <w:pPr>
        <w:spacing w:after="0" w:line="158" w:lineRule="exact"/>
        <w:rPr>
          <w:sz w:val="20"/>
          <w:szCs w:val="20"/>
          <w:color w:val="auto"/>
        </w:rPr>
      </w:pPr>
    </w:p>
    <w:p>
      <w:pPr>
        <w:ind w:left="60" w:right="99" w:firstLine="324"/>
        <w:spacing w:after="0" w:line="275" w:lineRule="auto"/>
        <w:rPr>
          <w:sz w:val="20"/>
          <w:szCs w:val="20"/>
          <w:color w:val="auto"/>
        </w:rPr>
      </w:pPr>
      <w:r>
        <w:rPr>
          <w:rFonts w:ascii="Times New Roman" w:cs="Times New Roman" w:eastAsia="Times New Roman" w:hAnsi="Times New Roman"/>
          <w:sz w:val="17"/>
          <w:szCs w:val="17"/>
          <w:color w:val="auto"/>
        </w:rPr>
        <w:t>Interim analyses may be conducted at different predefined study time points, during the treatment period and during the follow-up period. As of December 2024, interim safety and tolerability data from the first two cohorts of individuals with DS receiving low and mid-dose of ACI-24.060 have been shown to be good. No serious adverse event related to ACI-24.060 and no case of amyloid-related imaging abnormalities (ARIA) have been observed in this study population to date.</w:t>
      </w:r>
    </w:p>
    <w:p>
      <w:pPr>
        <w:spacing w:after="0" w:line="171"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June 2023, AC Immune received Fast Track designation from the FDA for ACI-24.060, for the treatment of AD. This followed FDA clearance of the Investigational New Drug (IND) application enabling expansion of the ABATE study to include clinical trial sites and participants in the USA.</w:t>
      </w:r>
    </w:p>
    <w:p>
      <w:pPr>
        <w:spacing w:after="0" w:line="17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Dosing of DS subjects from study part 2 is ongoing in Spain, in the UK and in the USA where the IND was approved in May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ACI-7104.056 – anti-a-syn active immunotherapy</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ACI-7104.056 is an optimized peptide-conjugate active immunotherapy formulation designed to induce a-syn-specific antibodies recognizing aggregated a-syn species that have been demonstrated to be toxic to neurons. In contrast, ACI-7104.056-induced antibodies do not bind to the monomeric, physiological form of a-syn and do not cross-react with other members of the synuclein family such as beta- and gamma-synuclein.</w:t>
      </w:r>
    </w:p>
    <w:p>
      <w:pPr>
        <w:spacing w:after="0" w:line="180"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A substantial package of preclinical and clinical data has been generated with the predecessor of ACI-7104.056. Furthermore, ACI-7104.056 has been shown to be highly immunogenic in non-human primates, with induced antibodies binding selectively to pathological forms of a-syn.</w:t>
      </w:r>
    </w:p>
    <w:p>
      <w:pPr>
        <w:spacing w:after="0" w:line="183"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ACI-7104.056’s predecessor was the first active immunotherapy candidate against pathological a-syn to be tested in a clinical study involving patients with early PD. A series of Phase 1 studies were completed in June 2018. The first dosing in the Phase 2 VacSYn trial to evaluate ACI-7104.056 was performed in July 2023. VacSYn is an adaptive, placebo-controlled, and biomarker-based Phase 2 study in patients with early PD, consisting of two parts with a seamless transition.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259" w:hanging="319"/>
        <w:spacing w:after="0" w:line="258"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ACI-7104.056 comprises a short engineered antigenic a-syn peptide. This peptide coupled to a carrier protein facilitates the induction of an a-syn-specific antibody response that binds to toxic aggregated a-syn species with high selectivity (Mandler 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Acta Neuropathol, 2014).</w:t>
      </w:r>
    </w:p>
    <w:p>
      <w:pPr>
        <w:spacing w:after="0" w:line="196" w:lineRule="exact"/>
        <w:rPr>
          <w:rFonts w:ascii="Times New Roman" w:cs="Times New Roman" w:eastAsia="Times New Roman" w:hAnsi="Times New Roman"/>
          <w:sz w:val="18"/>
          <w:szCs w:val="18"/>
          <w:color w:val="auto"/>
        </w:rPr>
      </w:pPr>
    </w:p>
    <w:p>
      <w:pPr>
        <w:jc w:val="both"/>
        <w:ind w:left="720" w:right="99" w:hanging="319"/>
        <w:spacing w:after="0" w:line="258"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Immunization of wild-type and transgenic mice, resulted in high antibody titres in plasma, which crossed into the cerebrospinal fluid (CSF) and recognized a-syn aggregates. Immunization resulted in a decreased aggregation and accumulation of a-syn oligomers in brains of transgenic animals (Mandler 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Acta Neuropathol, 2014).</w:t>
      </w:r>
    </w:p>
    <w:p>
      <w:pPr>
        <w:spacing w:after="0" w:line="194" w:lineRule="exact"/>
        <w:rPr>
          <w:rFonts w:ascii="Times New Roman" w:cs="Times New Roman" w:eastAsia="Times New Roman" w:hAnsi="Times New Roman"/>
          <w:sz w:val="18"/>
          <w:szCs w:val="18"/>
          <w:color w:val="auto"/>
        </w:rPr>
      </w:pPr>
    </w:p>
    <w:p>
      <w:pPr>
        <w:jc w:val="both"/>
        <w:ind w:left="720" w:right="159" w:hanging="319"/>
        <w:spacing w:after="0" w:line="275"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Clearance of a-syn was accompanied by reduced neurodegeneration in both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and by improvements in motor and memory deficits the mThy1 and the PDGF-human a-syn transgenic mice, respectively (Mandler 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Acta Neuropathol, 2014).</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1 study design</w:t>
      </w:r>
    </w:p>
    <w:p>
      <w:pPr>
        <w:spacing w:after="0" w:line="22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safety, tolerability and immunogenicity of the ACI-7104.056 anti-a-syn active immunotherapy predecessor were studied over a three-and-a-half-year period in 24 early PD subjects and have been previously published (Volc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The Lancet Neurology, 2020). There were four consecutive studies in this group of patients, with patients randomized to receive a lower or higher dose of the alpha-synuclein active immunotherapy. After four priming doses, subjects were re-randomized to receive a booster injection at one of the two doses, followed by a second booster injection at the high dose.</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Phase 1 study series demonstrated a favorable long-term safety profile for ACI-7104.056’s predecessor.</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Antibody response</w:t>
      </w:r>
    </w:p>
    <w:p>
      <w:pPr>
        <w:spacing w:after="0" w:line="22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Anti-a-syn active immunotherapy induced a long lasting and boostable antibody response (Figure 14, left). Such induced antibodies have been shown to bind preferentially the aggregated species of a-syn. The induced antibodies were also demonstrated to bind to a-syn aggregates in human PD and DLB brain tissue.</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Pharmacological and clinical effect</w:t>
      </w:r>
    </w:p>
    <w:p>
      <w:pPr>
        <w:spacing w:after="0" w:line="21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Evidence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 engagement has been observed in these Phase 1 studies in PD, as immunization was associated with a decrease in oligomeric a-syn in CSF of treated patients (Volc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The Lancet Neurology, 2020). Post hoc analyses of this study series delivered highly encouraging data with respect to identification of a potential biomarker for PD, including:</w:t>
      </w:r>
    </w:p>
    <w:p>
      <w:pPr>
        <w:spacing w:after="0" w:line="180" w:lineRule="exact"/>
        <w:rPr>
          <w:sz w:val="20"/>
          <w:szCs w:val="20"/>
          <w:color w:val="auto"/>
        </w:rPr>
      </w:pPr>
    </w:p>
    <w:p>
      <w:pPr>
        <w:ind w:left="720" w:right="399" w:hanging="319"/>
        <w:spacing w:after="0" w:line="284"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target engagement of induced antibodies was demonstrated by lowering of oligomeric a-syn in CSF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immunized subjects (Figure 14, middle).</w:t>
      </w:r>
    </w:p>
    <w:p>
      <w:pPr>
        <w:spacing w:after="0" w:line="160"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oligomeric a-syn in CSF correlated significantly with clinical improvement, the changes in MDS-UPDRS III score over time (Figure 14, right).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80"/>
        <w:spacing w:after="0" w:line="286" w:lineRule="auto"/>
        <w:rPr>
          <w:sz w:val="20"/>
          <w:szCs w:val="20"/>
          <w:color w:val="auto"/>
        </w:rPr>
      </w:pPr>
      <w:r>
        <w:rPr>
          <w:rFonts w:ascii="Times New Roman" w:cs="Times New Roman" w:eastAsia="Times New Roman" w:hAnsi="Times New Roman"/>
          <w:sz w:val="18"/>
          <w:szCs w:val="18"/>
          <w:b w:val="1"/>
          <w:bCs w:val="1"/>
          <w:color w:val="auto"/>
        </w:rPr>
        <w:t>Figure 14: Pharmacokinetic and pharmacodynamic effect of ACI-7104.056 predecessor immunization in early PD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112395</wp:posOffset>
            </wp:positionV>
            <wp:extent cx="5434965" cy="21170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3496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39" w:hanging="10"/>
        <w:spacing w:after="0" w:line="262" w:lineRule="auto"/>
        <w:tabs>
          <w:tab w:leader="none" w:pos="23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from 75 ug dose group; (4) Cerebrospinal fluid; (5) Change in oligomeric a-syn calculated at week 26, change in UPDRS III calculated at week 100; (6) Unified Parkinson’s Disease Rating Scale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Volc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Lancet Neurology, 2020</w:t>
      </w:r>
    </w:p>
    <w:p>
      <w:pPr>
        <w:spacing w:after="0" w:line="227"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These combined data support the role of a-syn in disease progression and demonstrate that a-syn directed immunization has the potential to positively impact clinical outcome. Recent clinical data from an anti-a-syn monoclonal antibody (mAb) evaluated in PD further suggested possible benefits of targeting a-syn in early PD. The optimized formulation, ACI-7104.056, is now being tested in early PD subjects in EU and in the UK in a Phase 2, multicenter, placebo-controlled, double-blind, randomized study (VacSYn study; NCT06015841). The study profile includes a screening period of up to 8 weeks, a 74-week double-blind treatment period, and a 26-week post-treatment follow-up period. The first dosing was performed in July 2023. Enrollment of Part 1 was completed by the end of 2024 with over 30 patients randomized to receive ACI-7104.56 or placebo at a ratio of 3:1. Safety and immunogenicity interim analyses from the trial were reported in H2 2024, and showed antibody responses directed against a-syn after two immunizations. Patients treated with ACI-7104.056 showed antibody titers on average 16-fold higher than placebo, after three immunizations.</w:t>
      </w:r>
    </w:p>
    <w:p>
      <w:pPr>
        <w:spacing w:after="0" w:line="166"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Further interim results, including pharmacodynamic data, are expected in H1 2025. AC Immune may decide to initiate Part 2 of VacSYn with up to 150 patients. Patients from Part 2 will also be evaluated for progression of motor and non-motor symptoms of the disease, as well as digital, imaging, and fluid biomarkers. The aim is to establish early proof-of-concept and identification of disease-specific biomarkers for rapid transition into a pivotal study.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ACI-35.030 – anti-pTau active immunotherapy</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ACI-35.030, AC Immune’s active immunotherapy developed in collaboration with Janssen, is selective for pathological phosphorylated Tau (pTau) and was advanced into the ReTain Phase 2b study (NCT06544616) that was initiated with the first patient being dosed in H2 2024. ACI-35.030 (now called JNJ-2056) is being assessed in subjects with preclinical (i.e., pre-symptomatic) AD. The trial will randomize approximately 500 participants with confirmed early-stage Tau pathology who will be treated over a four-year period. The trial will include analysis of Tau-PET as a potential surrogate biomarker, which might be used to initiate Phase 3 development to allow for overall program acceleration. Developed using our SupraAntigen technology, ACI-35.030/JNJ-2056 is designed to stimulate a patient’s immune system to produce antibodies against pathological phosphorylated Tau, which aggregates to create the neurofibrillary tangles that characterize AD.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Potential advantages of anti-pTau active immunotherapy over other therapeutic approaches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ACI-35.030 induces a specific, early, long-lasting and boostable polyclonal antibody response against pathological Tau species. Compared to anti-Tau monoclonal antibodies, which typically show much shorter half-lives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require more frequent administration of higher drug volumes (delivered iv or sc), ACI-35.030 may thus offer a more cost effective and less burdensome approach for the treatment of Tau pathology. This may be particularly relevant for addressing chronic neurodegenerative tauopathies such as AD.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ACI-35.030</w:t>
      </w:r>
    </w:p>
    <w:p>
      <w:pPr>
        <w:spacing w:after="0" w:line="21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ACI-35.030 is a liposomal anti-pTau active immunotherapy formulation designed to elicit antibodies against extracellular pTau protein in order to prevent and reduce the spread and development of Tau pathology within the brain. In non-clinical studies, ACI-35.030 demonstrated an excellent non-clinical safety profile and highly specific antibody response against pTau. ACI-35.030/JNJ-2056 has entered a Phase 2b clinical study with potential pathways for acceleration with Janssen, in accordance with our collaboration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599" w:hanging="319"/>
        <w:spacing w:after="0" w:line="266"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ACI-35.030 comprises a pTau peptide and a non-Tau T-cell peptide capable of binding to human leukocyte antigen-major histocompatibility complex, class II (HLA-DR) molecules.</w:t>
      </w:r>
    </w:p>
    <w:p>
      <w:pPr>
        <w:spacing w:after="0" w:line="189" w:lineRule="exact"/>
        <w:rPr>
          <w:rFonts w:ascii="Times New Roman" w:cs="Times New Roman" w:eastAsia="Times New Roman" w:hAnsi="Times New Roman"/>
          <w:sz w:val="18"/>
          <w:szCs w:val="18"/>
          <w:color w:val="auto"/>
        </w:rPr>
      </w:pPr>
    </w:p>
    <w:p>
      <w:pPr>
        <w:ind w:left="720" w:right="119" w:hanging="319"/>
        <w:spacing w:after="0" w:line="255"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rhesus monkeys, ACI-35.030 induced IgG antibodies with a strong specificity towards the pTau peptide, with very low binding to the non-phosphorylated Tau peptide (Figure 15). This is meaningful as Tau hyper-phosphorylation is considered an early event in the development of Tau pathology, occurring even decades before the onset of cognitive impairment.</w:t>
      </w:r>
    </w:p>
    <w:p>
      <w:pPr>
        <w:spacing w:after="0" w:line="18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Figure 15: pTau-specific IgG titers in Non-Human Primates (NHP) induced by ACI-35.030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105410</wp:posOffset>
            </wp:positionV>
            <wp:extent cx="2966085" cy="1602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6608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Vukicevic, ADPD 2024</w:t>
      </w:r>
    </w:p>
    <w:p>
      <w:pPr>
        <w:spacing w:after="0" w:line="212" w:lineRule="exact"/>
        <w:rPr>
          <w:sz w:val="20"/>
          <w:szCs w:val="20"/>
          <w:color w:val="auto"/>
        </w:rPr>
      </w:pPr>
    </w:p>
    <w:p>
      <w:pPr>
        <w:jc w:val="both"/>
        <w:ind w:left="720" w:right="279" w:hanging="319"/>
        <w:spacing w:after="0" w:line="266" w:lineRule="auto"/>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Sera from rhesus monkeys immunized with ACI-35.030 binds specifically to pathological Tau in brain sections with AD as compared to healthy human brain tissue (Kosco-Vilbois, KOL event ‘Untangling’ Tau Pathology to Treat Alzheimer’s and Neurodegenerative Diseases NYC, Nov 2019).</w:t>
      </w:r>
    </w:p>
    <w:p>
      <w:pPr>
        <w:spacing w:after="0" w:line="17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Immunization of rhesus monkeys with ACI-35.030 generated a strong and sustained anti-PHF IgG antibody response that matured over time towards the pathological target (Vukicevic, APDP 2024).</w:t>
      </w:r>
    </w:p>
    <w:p>
      <w:pPr>
        <w:spacing w:after="0" w:line="161"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Epitope mapping analyses revealed that immunization of NHPs with ACI-35.030 induces a wide range of antibodies covering the pTau antigenic sequence (Kosco-Vilbois, CTAD 2022).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19" w:hanging="319"/>
        <w:spacing w:after="0" w:line="282"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Sera from NHPs immunized with ACI-35.030 showed the ability to specifically reduce ePHF-seeded Tau aggregation in a functional cellular assay (Vukicevic, APDP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1b/2a study</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Phase 1b/2a study (NCT04445831) was a randomized, multicenter, double-blind, placebo-controlled clinical study with a primary objective to assess the safety, tolerability and immunogenicity of different dosages of ACI-35.030 and JACI-35.054 (an alternative candidate for anti-pTau active immunotherapy) in participants with early AD. Secondary objectives assessed additional immunogenicity parameters, while exploratory endpoints included notable biomarkers of progression of AD as well as clinical assessments. This Phase 1b/2a study conducted in Europe was aimed at evaluating ACI-35.030 and JACI-35.054. The clinical trial was completed in September 2023. The clinical study report was finalized in H1 2024.</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 (data are consolidated in the final clinical study report)</w:t>
      </w:r>
    </w:p>
    <w:p>
      <w:pPr>
        <w:spacing w:after="0" w:line="22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A total of 57 subjects were randomized, of which 41 subjects were randomized into the Cohort 1 (low-, mid-, or high-dose levels of ACI-35.030 or placebo), and 16 subjects were randomized into the Cohort 2 (low- or mid-dose levels of JACI-35.054 or placebo). The active/placebo ratio was 3:1 in each Cohort.</w:t>
      </w:r>
    </w:p>
    <w:p>
      <w:pPr>
        <w:spacing w:after="0" w:line="176" w:lineRule="exact"/>
        <w:rPr>
          <w:sz w:val="20"/>
          <w:szCs w:val="20"/>
          <w:color w:val="auto"/>
        </w:rPr>
      </w:pPr>
    </w:p>
    <w:p>
      <w:pPr>
        <w:ind w:left="60" w:right="239" w:firstLine="324"/>
        <w:spacing w:after="0" w:line="250" w:lineRule="auto"/>
        <w:rPr>
          <w:sz w:val="20"/>
          <w:szCs w:val="20"/>
          <w:color w:val="auto"/>
        </w:rPr>
      </w:pPr>
      <w:r>
        <w:rPr>
          <w:rFonts w:ascii="Times New Roman" w:cs="Times New Roman" w:eastAsia="Times New Roman" w:hAnsi="Times New Roman"/>
          <w:sz w:val="18"/>
          <w:szCs w:val="18"/>
          <w:color w:val="auto"/>
        </w:rPr>
        <w:t>ACI-35.030 and JACI-35.054 showed a good safety and tolerability profile. Most adverse events (AEs) were of mild or moderate intensity. No death was reported. No AE led to study discontinuation or to study treatment discontinuation. Injection site reactions were one of the most frequently reported AEs in actively treated subjects. The serious adverse events (SAEs) were mainly observed in subjects treated with ACI-35.030 with no particular relationship to dose. All of them were unlikely related to the study treatment, except the injection site rash and dizziness observed in one subject treated with the mid-dose of ACI-35.030 that were considered respectively probably and possibly related to the study treatment. All SAEs resolved and none of them led to dose changes of study treatment or study discontinuation. No clinically relevant findings were reported at brain MRI. There was no difference in the incidence of cardiovascular disorders between the active and placebo arms. One case of sinus node dysfunction, that was rated as SAE, was observed in one subject treated with the low dose of ACI-35.030.</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Antibody response</w:t>
      </w:r>
    </w:p>
    <w:p>
      <w:pPr>
        <w:spacing w:after="0" w:line="227"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ACI-35.030 generated a rapid antibody response (anti-pTau, anti-ePHF and anti-Tau IgG) after the first injection (at week 2) at all three tested doses. An increase in IgG titers (pTau, Tau, and ePHF) was observed between the low and mid-dose levels while no apparent dose effect was observed between the mid and high doses. The increase of antibody titers was observed after each injection (compared to pre-injection level), especially against pathological Tau species (pTau and ePHF), with robust and consistent antibody responses that were maintained over time. Long-term persistence of the anti-ePHF IgG titers against endogenous pathological Tau was observed in all ACI-35.030 active treatment groups. Kinetics and duration of the IgG profiles demonstrated the ability of ACI-35.030 to drive a selective response against pathological Tau species while avoiding the generation of antibodies that bind to non-phosphorylated Tau.</w:t>
      </w:r>
    </w:p>
    <w:p>
      <w:pPr>
        <w:spacing w:after="0" w:line="192"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After the first injection of JACI-35.054, antibody IgG response rates against pTau, anti-ePHF, and anti-Tau were less elevated as compared to ACI-35.030. No apparent dose response between both tested doses of JACI-35.054 and no preferential development of antibody responses against the pathological target for JACI-35.054 were observed.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16: ACI-35.030 generates antibody response with preference for enriched paired helical filaments (ePHF)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phosphorylated Tau (pTau), over non-phosphorylated Tau (Tau)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168275</wp:posOffset>
            </wp:positionV>
            <wp:extent cx="5332095" cy="2348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3209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ACI-35.030 original sub-cohort 1.2 data; (2) Enriched paired helical filaments; (3) Phosphorylated Tau; (4) Alzheimer’s disease; (5) Antibody</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Streffer,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2022 CTAD</w:t>
      </w:r>
    </w:p>
    <w:p>
      <w:pPr>
        <w:spacing w:after="0" w:line="22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High responder rates were generally observed for ACI-35.030 after the first and all following immunizations, across all dose levels. A 100% IgG response rate against pTau was observed in almost all timepoints at the mid and high doses until study end (i.e. higher than a pretreatment value multiplied by a threshold factor of greater than 2x). A higher IgG responder rate against ePHF (70.6-94.4%) was observed for the mid-dose compared to the high dose (33.3-83.3%) at all time points measured. The IgG responder rate against non-phosphorylated Tau decreased in a regular manner over time and was ≤20% at study end for the 2 highest doses.</w:t>
      </w:r>
    </w:p>
    <w:p>
      <w:pPr>
        <w:spacing w:after="0" w:line="174" w:lineRule="exact"/>
        <w:rPr>
          <w:sz w:val="20"/>
          <w:szCs w:val="20"/>
          <w:color w:val="auto"/>
        </w:rPr>
      </w:pPr>
    </w:p>
    <w:p>
      <w:pPr>
        <w:ind w:left="60" w:right="999" w:firstLine="324"/>
        <w:spacing w:after="0" w:line="282" w:lineRule="auto"/>
        <w:rPr>
          <w:sz w:val="20"/>
          <w:szCs w:val="20"/>
          <w:color w:val="auto"/>
        </w:rPr>
      </w:pPr>
      <w:r>
        <w:rPr>
          <w:rFonts w:ascii="Times New Roman" w:cs="Times New Roman" w:eastAsia="Times New Roman" w:hAnsi="Times New Roman"/>
          <w:sz w:val="18"/>
          <w:szCs w:val="18"/>
          <w:color w:val="auto"/>
        </w:rPr>
        <w:t>JACI-35.054 generated a potent antibody IgG response without preference for pathological Tau (ePHF) or phosphorylated Tau (pTau), over non-phosphorylated Tau.</w:t>
      </w:r>
    </w:p>
    <w:p>
      <w:pPr>
        <w:spacing w:after="0" w:line="162"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polyclonal sera at week 26 from 7/8 subjects immunized with either ACI-35.030 or placebo, and from 8/8 subjects immunized with JACI-35.054 or placebo, were analyzed for their binding profiles to the pTau or Tau peptide, either without or including 1 additional amino acid (1aa) onto the C-terminal end of the peptide.</w:t>
      </w:r>
    </w:p>
    <w:p>
      <w:pPr>
        <w:spacing w:after="0" w:line="176"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Binding analyses show that the polyclonal antibodies induced by ACI-35.030 bind preferentially to pTau peptide without binding to the truncated C-terminal end of the peptide (Streffer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CTAD 2022). In contrast, JACI-35.054 induces antibodies mostly binding to the C-terminus of the peptide in a non-phospho specific manner. Together, these data indicate that the presentation of the B-cell peptide upon the surface of the liposomes in ACI-35.030 drives the antibody response towards pathological Tau species.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2b study ReTain</w:t>
      </w:r>
    </w:p>
    <w:p>
      <w:pPr>
        <w:spacing w:after="0" w:line="227"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ACI-35.030/JNJ-2056 is now being assessed in subjects with preclinical (i.e., pre-symptomatic) AD in the Phase 2b study ReTain (NCT06544616).</w:t>
      </w:r>
    </w:p>
    <w:p>
      <w:pPr>
        <w:spacing w:after="0" w:line="16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ReTain is a multicenter, randomized, placebo-controlled, double-blind, parallel-group study to assess efficacy, safety and immunogenicity of ACI-35.030/JNJ-2056 in participants with preclinical AD. The purpose of this study is to assess the effect of this anti-pTau active immunotherapy on cognitive decline, as measured by Preclinical Alzheimer's disease Cognitive Composite 5 (PACC-5) compared with placebo. The ongoing trial will randomize approximately 500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participants with confirmed early-stage brain Tau pathology, who will be treated over a four-year period. The trial will also include interim biomarker analyses, notably on brain Tau-PET scan, potentially allowing for acceleration towards a regulatory filing. The first patient was dosed in H2 2024.</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17: Trial design of Phase 2b ReTain study of ACI-35.030/JNJ-2056 in preclinical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165735</wp:posOffset>
            </wp:positionV>
            <wp:extent cx="5554980" cy="2134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5498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60" w:right="79" w:hanging="10"/>
        <w:spacing w:after="0" w:line="250" w:lineRule="auto"/>
        <w:tabs>
          <w:tab w:leader="none" w:pos="238"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Alzheimer’s disease; (2) Abeta positivity (A+) is based on the fact that participants with a positive pT217 plasma test result who also meet pathologic tau criteria on tau PET are highly likely to be amyloid positive (A+). Amyloid PET scan is not performed in the study to avoid unnecessary radiation exposure; (3) Tau-PET measured in the Tau-naïve composite region; (4) PACC-5</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Tau diagnostics</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The severity of cognitive impairment in patients with AD is correlated with the presence of Tau protein tangles, leading us to believe that an imaging agent for Tau is equally, if not more important than Abeta-PET to assess spreading of pathology in the brain. In May 2020, Eli Lilly received FDA approval for the first Tau-PET tracer TAUVID (flortaucipir F18 injection). Approval by the European Committee for Medicinal Products for Human Use (CHMP) and Medicines and Healthcare products Regulatory Agency (MHRA) in the UK followed in June and November 2024, respectively. However, TAUVID received approval only for a pathology indication (i.e. correlation with histopathology findings in Braak 5 and 6 patients), but has not received a prognostic label (i.e. prediction of cognitive deterioration based on a positive Tau-PET scan.)</w:t>
      </w:r>
    </w:p>
    <w:p>
      <w:pPr>
        <w:spacing w:after="0" w:line="192" w:lineRule="exact"/>
        <w:rPr>
          <w:sz w:val="20"/>
          <w:szCs w:val="20"/>
          <w:color w:val="auto"/>
        </w:rPr>
      </w:pPr>
    </w:p>
    <w:p>
      <w:pPr>
        <w:ind w:left="60" w:right="79" w:firstLine="324"/>
        <w:spacing w:after="0" w:line="239" w:lineRule="auto"/>
        <w:rPr>
          <w:sz w:val="20"/>
          <w:szCs w:val="20"/>
          <w:color w:val="auto"/>
        </w:rPr>
      </w:pPr>
      <w:r>
        <w:rPr>
          <w:rFonts w:ascii="Times New Roman" w:cs="Times New Roman" w:eastAsia="Times New Roman" w:hAnsi="Times New Roman"/>
          <w:sz w:val="18"/>
          <w:szCs w:val="18"/>
          <w:color w:val="auto"/>
        </w:rPr>
        <w:t xml:space="preserve">Our Tau-PET tracers are designed to bind specifically to the pathological forms of human Tau in AD and other tauopathies even in the early-stage disease. Indeed,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F-PI-2620 is a potentially best-in-class Tau-PET tracer with high binding affinity and selectivity for aggregated Tau. PI-2620 is selective for Tau over Abeta and other “off-target” binding compared with current published Tau-PET agents in development, as no binding to Abeta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no “off-target” retention in basal ganglia or choroid plexus was observed. In addition, PI-2620 was shown to be suitable for measuring Tau accumulation over time. A major differentiator for PI-2620 is its ability to bind 4-repeat (4R) Tau isoforms, which are present in varying amounts in different neurodegenerative diseases, such as PSP and CBD. Most Tau-PET tracers approved (TAUVID) or in development (e.g. MK-6240) are not able to bind 4R Tau and are therefore of limited use for the diseases driven by these Tau species.</w:t>
      </w:r>
    </w:p>
    <w:p>
      <w:pPr>
        <w:spacing w:after="0" w:line="18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May 2014, we established a license and collaboration agreement for our Tau-PET imaging program with LMI. The Phase 1 clinical study of our clinical candidate PI-2620 in AD was completed in Q1 2018. The Phase 2 longitudinal investigator sponsored study in AD in South Korea (Asan Medical Center, NCT03903211) was completed in Q4 2021 and results presented at AAIC 2022 as well as published in the Journal of Nuclear Medicine in 2024.</w:t>
      </w:r>
    </w:p>
    <w:p>
      <w:pPr>
        <w:spacing w:after="0" w:line="180" w:lineRule="exact"/>
        <w:rPr>
          <w:sz w:val="20"/>
          <w:szCs w:val="20"/>
          <w:color w:val="auto"/>
        </w:rPr>
      </w:pPr>
    </w:p>
    <w:p>
      <w:pPr>
        <w:jc w:val="both"/>
        <w:ind w:left="60" w:right="399" w:firstLine="324"/>
        <w:spacing w:after="0" w:line="289" w:lineRule="auto"/>
        <w:rPr>
          <w:sz w:val="20"/>
          <w:szCs w:val="20"/>
          <w:color w:val="auto"/>
        </w:rPr>
      </w:pPr>
      <w:r>
        <w:rPr>
          <w:rFonts w:ascii="Times New Roman" w:cs="Times New Roman" w:eastAsia="Times New Roman" w:hAnsi="Times New Roman"/>
          <w:sz w:val="17"/>
          <w:szCs w:val="17"/>
          <w:color w:val="auto"/>
        </w:rPr>
        <w:t xml:space="preserve">The goal of this study was to assess longitudinal changes in cortical Tau accumulation and their association with cognitive decline in patients in the AD continuum (Figure 18; Oh M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J. Nucl. Med. 2024). The global Tau signal (SUVR) increased over one year by 3.90% and 8.41% in the late-onset (LO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;≥65-year-old) and early-onset (EO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;≤65-</w:t>
      </w:r>
    </w:p>
    <w:p>
      <w:pPr>
        <w:sectPr>
          <w:pgSz w:w="11900" w:h="16838" w:orient="portrait"/>
          <w:cols w:equalWidth="0" w:num="1">
            <w:col w:w="9019"/>
          </w:cols>
          <w:pgMar w:left="1440" w:top="513" w:right="1440" w:bottom="1440"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199"/>
        <w:spacing w:after="0" w:line="201" w:lineRule="auto"/>
        <w:rPr>
          <w:sz w:val="20"/>
          <w:szCs w:val="20"/>
          <w:color w:val="auto"/>
        </w:rPr>
      </w:pPr>
      <w:r>
        <w:rPr>
          <w:rFonts w:ascii="Times New Roman" w:cs="Times New Roman" w:eastAsia="Times New Roman" w:hAnsi="Times New Roman"/>
          <w:sz w:val="18"/>
          <w:szCs w:val="18"/>
          <w:color w:val="auto"/>
        </w:rPr>
        <w:t>year-old) groups, respectively, whereas in the cognitive normal and MCI (Aβ</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groups, it remained unchanged. In contrast to other Tau-PET tracers approved or in development,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F-PI-2620 showed longitudinal Tau accumulation without significant off-target binding in the basal ganglia, cerebellum, choroid plexus, or meninges.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Figure 18: Representative </w:t>
      </w:r>
      <w:r>
        <w:rPr>
          <w:rFonts w:ascii="Times New Roman" w:cs="Times New Roman" w:eastAsia="Times New Roman" w:hAnsi="Times New Roman"/>
          <w:sz w:val="26"/>
          <w:szCs w:val="26"/>
          <w:b w:val="1"/>
          <w:bCs w:val="1"/>
          <w:color w:val="auto"/>
          <w:vertAlign w:val="superscript"/>
        </w:rPr>
        <w:t>18</w:t>
      </w:r>
      <w:r>
        <w:rPr>
          <w:rFonts w:ascii="Times New Roman" w:cs="Times New Roman" w:eastAsia="Times New Roman" w:hAnsi="Times New Roman"/>
          <w:sz w:val="18"/>
          <w:szCs w:val="18"/>
          <w:b w:val="1"/>
          <w:bCs w:val="1"/>
          <w:color w:val="auto"/>
        </w:rPr>
        <w:t>F-PI-2620 images of Aβ</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LO</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and EO</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at baseline (BL) and at 1-year follow-up (FU)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103505</wp:posOffset>
            </wp:positionV>
            <wp:extent cx="5006340" cy="38576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0634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Oh 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Journal of Nuclear Medicine, 2024</w:t>
      </w:r>
    </w:p>
    <w:p>
      <w:pPr>
        <w:spacing w:after="0" w:line="214" w:lineRule="exact"/>
        <w:rPr>
          <w:sz w:val="20"/>
          <w:szCs w:val="20"/>
          <w:color w:val="auto"/>
        </w:rPr>
      </w:pPr>
    </w:p>
    <w:p>
      <w:pPr>
        <w:ind w:left="60" w:right="79" w:firstLine="324"/>
        <w:spacing w:after="0" w:line="224" w:lineRule="auto"/>
        <w:rPr>
          <w:sz w:val="20"/>
          <w:szCs w:val="20"/>
          <w:color w:val="auto"/>
        </w:rPr>
      </w:pPr>
      <w:r>
        <w:rPr>
          <w:rFonts w:ascii="Times New Roman" w:cs="Times New Roman" w:eastAsia="Times New Roman" w:hAnsi="Times New Roman"/>
          <w:sz w:val="18"/>
          <w:szCs w:val="18"/>
          <w:color w:val="auto"/>
        </w:rPr>
        <w:t xml:space="preserve">Following this Phase 2 study, the pivotal ADvance Phase 3 histopathology study in AD (NCT05641688) was initiated in December 2022 and the first Alzheimer’s patient imaged with PI-2620 in January 2023. The ADvance study is currently ongoing exclusively in the US and will enroll approximately 200 end-of-life subjects. The primary objective is to determine the sensitivity and specificity of the visual assessment of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F-PI-2620 PET imaging compared to postmortem histopathological verification of Tau neurofibrillary pathology associated with AD as the standard of truth. In August 2024, partner LMI has received Fast Track Designation for the diagnostic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F-PI-2620, from the U.S. FDA in three neurodegenerative conditions: AD, PSP and CBD.</w:t>
      </w:r>
    </w:p>
    <w:p>
      <w:pPr>
        <w:spacing w:after="0" w:line="188"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Data acquired in post-mortem samples (Franzmeier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Nat. Communications, 2022) and in patients with PSP and CBD (Mena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Mov. Disord. Clin. Pract., 2023) have demonstrated the diagnostic value of PI-2620 in 4R tauopathies. Siemann L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(Acta Neuropathologica, 2024) showed that the regional PI-2620 Tau PET signals correlated with the abundance of fibrillary Tau and with autoradiography signal intensity as well as with 4R Tau deposits in post-mortem brains of PSP patients. This PET signal arises from aggregates in neurons and oligodendrocytes.</w:t>
      </w:r>
    </w:p>
    <w:p>
      <w:pPr>
        <w:spacing w:after="0" w:line="183" w:lineRule="exact"/>
        <w:rPr>
          <w:sz w:val="20"/>
          <w:szCs w:val="20"/>
          <w:color w:val="auto"/>
        </w:rPr>
      </w:pPr>
    </w:p>
    <w:p>
      <w:pPr>
        <w:ind w:left="60" w:right="159" w:firstLine="324"/>
        <w:spacing w:after="0" w:line="287" w:lineRule="auto"/>
        <w:rPr>
          <w:sz w:val="20"/>
          <w:szCs w:val="20"/>
          <w:color w:val="auto"/>
        </w:rPr>
      </w:pPr>
      <w:r>
        <w:rPr>
          <w:rFonts w:ascii="Times New Roman" w:cs="Times New Roman" w:eastAsia="Times New Roman" w:hAnsi="Times New Roman"/>
          <w:sz w:val="18"/>
          <w:szCs w:val="18"/>
          <w:color w:val="auto"/>
        </w:rPr>
        <w:t xml:space="preserve">Lastly, the diagnostic value of PI-2620 in capturing early disease stage was shown by Tonietto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(Alzheimers Res. Ther., 2024). The results from this head-to-head Tau-PET comparison study indicate that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F-PI-2620 can detect</w:t>
      </w:r>
    </w:p>
    <w:p>
      <w:pPr>
        <w:sectPr>
          <w:pgSz w:w="11900" w:h="16838" w:orient="portrait"/>
          <w:cols w:equalWidth="0" w:num="1">
            <w:col w:w="9019"/>
          </w:cols>
          <w:pgMar w:left="1440" w:top="513" w:right="1440" w:bottom="1440"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Tau binding in very early stages of the AD continuum. Taken together these results strongly support the utility of PI-2620 as diagnostic and prognostic biomarker of Tau pathology and therefore its use in biomarker-based clinical trials of Tau- but also Abeta-targeting therapeutic agents.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A-syn diagnostics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also developing PET imaging agents to detect a-syn aggregates, which progressively accumulate in the brains of PD patients and are believed to be central to the neurodegenerative process of PD, as well as several other disorders, including Lewy body dementia and MSA, making it a priority target for development of therapeutics and diagnostics. We have identified molecules leveraging our Morphomer technology that selectively bind to a-syn pathological structures from human PD brain with high affinity and selectivity versus common co-pathologies.</w:t>
      </w:r>
    </w:p>
    <w:p>
      <w:pPr>
        <w:spacing w:after="0" w:line="18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advancing the clinical development of ACI-12589, the first molecule capable to detect pathological a-syn in the brain of patients with MSA and to differentiate them from controls (Figure 19), other synucleinopathies and more generally other neurodegenerative diseases. The preclinical and clinical data were published in October 2023 in Nature Communications. Currently, ACI-12589 has completed the biodistribution study in healthy volunteers and all the manufacturing activities required to advance into later stage of clinical development, including PET studies to monitor the longitudinal progression of the a-syn pathology in MSA.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19: ACI-12589 PET signal in patients with MSA compared to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156845</wp:posOffset>
            </wp:positionV>
            <wp:extent cx="3720465" cy="3231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72046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Smith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Nature Communications, 2023</w:t>
      </w:r>
    </w:p>
    <w:p>
      <w:pPr>
        <w:spacing w:after="0" w:line="227" w:lineRule="exact"/>
        <w:rPr>
          <w:sz w:val="20"/>
          <w:szCs w:val="20"/>
          <w:color w:val="auto"/>
        </w:rPr>
      </w:pPr>
    </w:p>
    <w:p>
      <w:pPr>
        <w:ind w:left="60" w:right="299" w:firstLine="321"/>
        <w:spacing w:after="0" w:line="275" w:lineRule="auto"/>
        <w:rPr>
          <w:sz w:val="20"/>
          <w:szCs w:val="20"/>
          <w:color w:val="auto"/>
        </w:rPr>
      </w:pPr>
      <w:r>
        <w:rPr>
          <w:rFonts w:ascii="Times New Roman" w:cs="Times New Roman" w:eastAsia="Times New Roman" w:hAnsi="Times New Roman"/>
          <w:sz w:val="17"/>
          <w:szCs w:val="17"/>
          <w:color w:val="auto"/>
        </w:rPr>
        <w:t>Moreover, in 2023 we identified our next-generation clinical candidate, ACI-15916. ACI-15916 shows significantly higher binding and target occupancy in human brain tissues from cases with different synucleinopathies, including idiopathic PD, which is the most common form (Figure 20). ACI-15916 also retains the excellent selectivity and pharmacokinetic profile of ACI-12589 and has no major off-target binding. CTA-enabling studies for ACI-15916 and</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consequent regulatory submission were completed in H2 2024. The FiH in PD and controls will be initiated in Q1 2025, and the readout from this study is expected in H2 2025.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20: Improved binding of ACI-15916 over ACI-12589 on different synucleinopathy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156845</wp:posOffset>
            </wp:positionV>
            <wp:extent cx="5417820" cy="5872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17820" cy="587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Capotosti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ADPD, 2024; NSB: non-specific binding</w:t>
      </w:r>
    </w:p>
    <w:p>
      <w:pPr>
        <w:spacing w:after="0" w:line="214"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Currently there are no commercialized imaging products that target a-syn. This provides us with the opportunity to become the market leader in a-syn-PET imaging. We believe the ability to image a-syn deposits in the brain will enable a fundamental change in the approach toward diagnosing and treating a-syn-associated diseases.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TDP-43 imaging diagnostics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Using our Morphomer platform a set of small molecular weight compounds from several chemically distinct series were identified to bind to patient-derived pathological TDP-43. Several of these compounds demonstrated favorable pharmacokinetic profile in rodents suggesting suitable properties for further development as PET ligands. Medicinal chemistry optimization led to the identification of two first-in-class TDP-43 ligands, ACI-19278 and ACI-19626, that show specific binding to aggregated TDP-43 with low nM affinity (Kd) on FTLD-TDP brain tissue and potential to detect TDP-43 pathology in various indications, including FTLD with TDP-43 pathology, ALS, AD and LATE (Figure 21).</w:t>
      </w:r>
    </w:p>
    <w:p>
      <w:pPr>
        <w:spacing w:after="0" w:line="170" w:lineRule="exact"/>
        <w:rPr>
          <w:sz w:val="20"/>
          <w:szCs w:val="20"/>
          <w:color w:val="auto"/>
        </w:rPr>
      </w:pPr>
    </w:p>
    <w:p>
      <w:pPr>
        <w:jc w:val="cente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Figure 21: ACI-19626 binding specificity by high resolution autoradiography on FTLD-TDP and LATE brain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112395</wp:posOffset>
            </wp:positionV>
            <wp:extent cx="3754755" cy="49637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54755" cy="4963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Seredenina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ADPD 2024 and AAIC 2024</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1"/>
        <w:spacing w:after="0" w:line="233" w:lineRule="auto"/>
        <w:rPr>
          <w:sz w:val="20"/>
          <w:szCs w:val="20"/>
          <w:color w:val="auto"/>
        </w:rPr>
      </w:pPr>
      <w:r>
        <w:rPr>
          <w:rFonts w:ascii="Times New Roman" w:cs="Times New Roman" w:eastAsia="Times New Roman" w:hAnsi="Times New Roman"/>
          <w:sz w:val="18"/>
          <w:szCs w:val="18"/>
          <w:color w:val="auto"/>
        </w:rPr>
        <w:t xml:space="preserve">Selectivity over common co-pathologies including Abeta, Tau and a-syn, clean off-target profile, including MAO-A, MAO-B, and rapid brain uptake and fast washout in non-human primates (Figure 22) were also shown. Therefore,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F-ACI-19626 was selected as the clinical candidate for the Phase 1 study in genetic FTD followed by the extension in sporadic FTD, ALS and LATE. The clinical trial approval was received in H2 2024. The preclinical, FiH-enabling activities around ACI-19626 have been completed. The Phase 1 study was initiated in January 2025.</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22: ACI-19626 pharmacokinetic profile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148590</wp:posOffset>
            </wp:positionV>
            <wp:extent cx="5554980" cy="2168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5498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Seredenina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ADPD 2024 and AAIC 2024</w:t>
      </w:r>
    </w:p>
    <w:p>
      <w:pPr>
        <w:spacing w:after="0" w:line="22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There are currently no imaging products targeting aggregated TDP-43 in the market. We believe the ability to image TDP-43 deposits in the brain will enable fundamental change in the approach toward treating primary and secondary TDP-43 proteinopathies including improved design for AD clinical trials to provide better outcomes for patients.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Morphomer Tau</w:t>
      </w:r>
    </w:p>
    <w:p>
      <w:pPr>
        <w:spacing w:after="0" w:line="216"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Approximately 2,880 compounds have been screened thus far for the Morphomer Tau program. This has allowed for the identification of several chemical series to deliver orally bioavailable small molecule Tau aggregation inhibitors, with suitable CNS drug-like properties.</w:t>
      </w:r>
    </w:p>
    <w:p>
      <w:pPr>
        <w:spacing w:after="0" w:line="174" w:lineRule="exact"/>
        <w:rPr>
          <w:sz w:val="20"/>
          <w:szCs w:val="20"/>
          <w:color w:val="auto"/>
        </w:rPr>
      </w:pPr>
    </w:p>
    <w:p>
      <w:pPr>
        <w:jc w:val="both"/>
        <w:ind w:left="60" w:right="239" w:firstLine="324"/>
        <w:spacing w:after="0" w:line="284" w:lineRule="auto"/>
        <w:rPr>
          <w:sz w:val="20"/>
          <w:szCs w:val="20"/>
          <w:color w:val="auto"/>
        </w:rPr>
      </w:pPr>
      <w:r>
        <w:rPr>
          <w:rFonts w:ascii="Times New Roman" w:cs="Times New Roman" w:eastAsia="Times New Roman" w:hAnsi="Times New Roman"/>
          <w:sz w:val="18"/>
          <w:szCs w:val="18"/>
          <w:color w:val="auto"/>
        </w:rPr>
        <w:t xml:space="preserve">Biological activity for these compounds is assessed using multiple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assays as well as using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mouse models of disease.</w:t>
      </w:r>
    </w:p>
    <w:p>
      <w:pPr>
        <w:spacing w:after="0" w:line="160"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Hit compounds demonstrate the unique property to inhibit aggregation of Tau, and to disrupt pre-formed Tau aggregates. Using rat cortical neurons, compounds potently prevent intracellular seeding induced with both soluble and insoluble Tau aggregates and reduce Tau-induced neurotoxicity.</w:t>
      </w:r>
    </w:p>
    <w:p>
      <w:pPr>
        <w:spacing w:after="0" w:line="183"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Moreover, Hit compounds display high affinity and specificity for binding to pathological Tau aggregates derived from AD brain over control brain. Furthermore, these compounds do not interact with the physiological (monomeric) form of Tau and do not show any off-target interactions.</w:t>
      </w:r>
    </w:p>
    <w:p>
      <w:pPr>
        <w:spacing w:after="0" w:line="176" w:lineRule="exact"/>
        <w:rPr>
          <w:sz w:val="20"/>
          <w:szCs w:val="20"/>
          <w:color w:val="auto"/>
        </w:rPr>
      </w:pPr>
    </w:p>
    <w:p>
      <w:pPr>
        <w:jc w:val="both"/>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Several compounds with an overall profile suitable for their development as oral CNS-drugs have been identified. These compounds are currently being further profiled for preclinical efficacy and safety with a view to selecting a lead compound by Q4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Semorinemab</w:t>
      </w:r>
    </w:p>
    <w:p>
      <w:pPr>
        <w:spacing w:after="0" w:line="229" w:lineRule="exact"/>
        <w:rPr>
          <w:sz w:val="20"/>
          <w:szCs w:val="20"/>
          <w:color w:val="auto"/>
        </w:rPr>
      </w:pPr>
    </w:p>
    <w:p>
      <w:pPr>
        <w:jc w:val="both"/>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Semorinemab is a humanized IgG4 monoclonal antibody targeting the N-terminal domain of Tau and binding with high affinity to all isoforms of Tau (including hyperphosphorylated and oligomerized Tau). Semorinemab was tested in two Phase 2 clinical studies: TAURIEL in subjects with early AD (MMSE 20-30, CDR-GS 0.5 or 1) and LAURIET, in mild to moderate AD (MMSE 16-21, CDR-GS 1 or 2).</w:t>
      </w:r>
    </w:p>
    <w:p>
      <w:pPr>
        <w:spacing w:after="0" w:line="180"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In both studies, semorinemab demonstrated a favorable tolerability and safety. Apart from minor infusion related reactions, no consistent adverse reactions were observed.</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the LAURIET study, statistically significant reductions in relevant CSF Tau species (total Tau, pTau-217 and pTau-</w:t>
      </w:r>
    </w:p>
    <w:p>
      <w:pPr>
        <w:spacing w:after="0" w:line="27" w:lineRule="exact"/>
        <w:rPr>
          <w:sz w:val="20"/>
          <w:szCs w:val="20"/>
          <w:color w:val="auto"/>
        </w:rPr>
      </w:pPr>
    </w:p>
    <w:p>
      <w:pPr>
        <w:ind w:left="60" w:right="379" w:hanging="10"/>
        <w:spacing w:after="0" w:line="253" w:lineRule="auto"/>
        <w:tabs>
          <w:tab w:leader="none" w:pos="4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observed in the LAURIET study, indicating target engagement. Treatment with semorinemab was associated with a significant slowing of cognitive decline of 42.2% assessed by the change in ADAS-Cog 11 over 12 months compared to placebo (Figure 23). No statistically significant changes were seen on functional measures CDR-SB and ADCS-ADL.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23: MMRM-adjusted change from baseline for placebo and semorinemab for the co-primary endpoints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148590</wp:posOffset>
            </wp:positionV>
            <wp:extent cx="4354830" cy="23571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5483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Monteiro 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Neurology, 2023</w:t>
      </w:r>
    </w:p>
    <w:p>
      <w:pPr>
        <w:spacing w:after="0" w:line="227"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While similar reductions in CSF Tau were also observed in the TAURIEL study, cognitive and clinical measures did not exhibit any changes in the TAURIEL study (Teng E. et al., JAMA Neurology,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Crenezumab</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Crenezumab is a humanized, conformation-specific monoclonal antibody using an IgG4 backbone that targets misfolded Abeta and has a broad binding profile, with high affinity binding to oligomeric Abeta. Crenezumab was tested in two Phase 2 studies (ABBY and BLAZE) in mild to moderate AD, two Phase 3 studies (CREAD and CREAD 2) in early AD and in the Alzheimer's Prevention Initiative Autosomal Dominant Alzheimer's Disease (API ADAD) study in asymptomatic carriers of the presenilin 1 (PSENS1) mutation in Colombia.</w:t>
      </w:r>
    </w:p>
    <w:p>
      <w:pPr>
        <w:spacing w:after="0" w:line="170"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Crenezumab demonstrated a favorable tolerability and safety profile with a very low risk of ARIA compared to IgG1-based monoclonal antibodies. Patients dosed with crenezumab had ARIA-E rates of 0.3% in both Phase 3 trials and ARIA-H rates of 9.8%/5.0% on crenezumab versus 7.8%/5.9% on placebo, in CREAD and CREAD 2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(Ostrowitzki et al., JAMA Neurology, 2022). This contrasts strongly with the higher ARIA rates observed with approved monoclonal antibodies with ARIA-E occurring in approximately 12–24% of treated patients versus approximately 2% in placebo, and ARIA-H in 15–20% versus 8–12%.</w:t>
      </w:r>
    </w:p>
    <w:p>
      <w:pPr>
        <w:spacing w:after="0" w:line="1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the Phase 2 ABBY and BLAZE studies, CSF analyses indicated a reduction in toxic oligomeric species compared to placebo, potentially explaining the observed trends in clinical effects despite lack of Abeta plaque clearance. Although the primary endpoints of change over 18 months on the ADAS-Cog and CDR-SB were not met, dose dependent slowing of decline on ADAS-Cog-12 and CDR-SB were observed in milder populations in both studies (Figure 24), consistent with current evidence that intervening at earlier stages of the disease improves clinical outcomes.</w:t>
      </w:r>
    </w:p>
    <w:p>
      <w:pPr>
        <w:spacing w:after="0" w:line="183" w:lineRule="exact"/>
        <w:rPr>
          <w:sz w:val="20"/>
          <w:szCs w:val="20"/>
          <w:color w:val="auto"/>
        </w:rPr>
      </w:pPr>
    </w:p>
    <w:p>
      <w:pPr>
        <w:jc w:val="center"/>
        <w:ind w:left="60" w:right="79"/>
        <w:spacing w:after="0" w:line="234" w:lineRule="exact"/>
        <w:rPr>
          <w:sz w:val="20"/>
          <w:szCs w:val="20"/>
          <w:color w:val="auto"/>
        </w:rPr>
      </w:pPr>
      <w:r>
        <w:rPr>
          <w:rFonts w:ascii="Times New Roman" w:cs="Times New Roman" w:eastAsia="Times New Roman" w:hAnsi="Times New Roman"/>
          <w:sz w:val="18"/>
          <w:szCs w:val="18"/>
          <w:b w:val="1"/>
          <w:bCs w:val="1"/>
          <w:color w:val="auto"/>
        </w:rPr>
        <w:t>Figure 24: ABBY ADAS-Cog-12 and CDR-SB at week 73: MMRM analysis results by increasing MMSE score in the higher</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dose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4629150" cy="33686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2915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Mackey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AAIC 2018</w:t>
      </w:r>
    </w:p>
    <w:p>
      <w:pPr>
        <w:spacing w:after="0" w:line="214"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In an interim futility analysis of the CREAD study, efficacy on clinical endpoints was not observed which led to the termination of both Phase 3 trials. Enrolment of subjects who were in a later stage of the disease and enrichment for fast progressors might have led to a higher Tau burden in dosed subjects. Recent results from anti-Abeta monoclonal antibodies have shown that increased Tau pathology leads to reduced clinical responses.</w:t>
      </w:r>
    </w:p>
    <w:p>
      <w:pPr>
        <w:spacing w:after="0" w:line="180"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 the API ADAD prevention study the primary endpoints were not met. The study was underpowered and hence did not show statistically significant changes on clinical endpoints. However, consistent trends across clinical and biomarker endpoints favouring crenezumab were observed. (Figure 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25: Dual primary and key secondary outcomes from API ADAD Colombia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2682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Tariot P., AAIC 2022</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preclinical programs</w:t>
      </w:r>
    </w:p>
    <w:p>
      <w:pPr>
        <w:spacing w:after="0" w:line="229" w:lineRule="exact"/>
        <w:rPr>
          <w:sz w:val="20"/>
          <w:szCs w:val="20"/>
          <w:color w:val="auto"/>
        </w:rPr>
      </w:pPr>
    </w:p>
    <w:p>
      <w:pPr>
        <w:ind w:left="60" w:right="179" w:firstLine="324"/>
        <w:spacing w:after="0" w:line="281" w:lineRule="auto"/>
        <w:rPr>
          <w:sz w:val="20"/>
          <w:szCs w:val="20"/>
          <w:color w:val="auto"/>
        </w:rPr>
      </w:pPr>
      <w:r>
        <w:rPr>
          <w:rFonts w:ascii="Times New Roman" w:cs="Times New Roman" w:eastAsia="Times New Roman" w:hAnsi="Times New Roman"/>
          <w:sz w:val="17"/>
          <w:szCs w:val="17"/>
          <w:color w:val="auto"/>
        </w:rPr>
        <w:t>Using our SupraAntigen and Morphomer platforms, we have generated additional discovery and preclinical stage molecules targeting key pathologies that drive a range of neurodegenerative diseases, including TDP-43, a-syn, and NLRP3-ASC. We are accelerating the development of several therapeutic product candidates currently in preclinical development, including several programs focused on indications outside of AD as a critical part of our expansion strategy.</w:t>
      </w:r>
    </w:p>
    <w:p>
      <w:pPr>
        <w:spacing w:after="0" w:line="151"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Based on the data to date, our technology platforms can be applied to misfolded proteins across a broad range of indications as shown in our therapeutic pipeline in Figure 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Neuroinflammation and the NLRP3-ASC inflammasome pathway</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Microglial cells are the main resident immune cells in the brain, which maintain a healthy environment by removing damaged cells and misfolded protein aggregates. When overstimulated, microglia can drive neuroinflammation, leading to increased neuronal death and disease progression. A key molecular pathway that is activated by misfolded proteins related to neurodegenerative and other diseases is the NLRP3 inflammasome, a multi-protein complex that forms within microglia leading to production of pro-inflammatory factors that exacerbate neuronal atrophy. A critical component of the NLRP3 pathway is ASC (apoptosis-associated speck-like protein containing a C-terminal caspase recruitment domain), which is formed and released by activated microglia within the CNS of patients with NDDs (Venegas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Nature 2017).</w:t>
      </w:r>
    </w:p>
    <w:p>
      <w:pPr>
        <w:spacing w:after="0" w:line="187"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NLRP3 inflammasome activation is also involved in the inflammatory processes occurring in many peripheral diseases including cardiovascular, metabolic, skin and respiratory disorders (Yao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Signal Transduction and Targeted Therapy,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 for targeting the NLRP3-ASC inflammasome</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As illustrated in Figure 26, pathological species of Abeta, Tau, a-syn and TDP-43 induce NLRP3 inflammasome activation and ASC speck formation. AC Immune is developing multiple small molecules and antibody-based candidates with the potential to inhibit the NLRP3 pathway and reduce the unwanted progression of inflammation. Our aim is to develop therapeutics that decrease production of pro-inflammatory factors yet maintain normal phagocytosis of debris and misfolded proteins as well as allow the function of other pathogen-sensing pathways.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26: NLRP3</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inflammasome is a promising therapeutic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95250</wp:posOffset>
            </wp:positionV>
            <wp:extent cx="5537835" cy="2040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3783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right="239" w:hanging="10"/>
        <w:spacing w:after="0" w:line="250" w:lineRule="auto"/>
        <w:tabs>
          <w:tab w:leader="none" w:pos="238"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Nod-Like Receptor protein containing Pyrin 3; (2) Apoptosis-associated speck-like protein containing a CARD, also called PYCARD; (3) monoclonal antibody; (4) TAR DNA binding protein-43; (5) Venegas et al., 2017; (6) phosphorylated Tau; (7) alpha-synuclein; (8) Interleukin-1 beta; (9) Interleukin-18; (10) Central nervous system; (11) neurodegenerative diseases; (12) Inflammatory bowel disease</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Adapted from Stancu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2019; Dempsey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2018; Gordon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2018</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Small molecule inhibitors of NLRP3</w:t>
      </w:r>
    </w:p>
    <w:p>
      <w:pPr>
        <w:spacing w:after="0" w:line="227" w:lineRule="exact"/>
        <w:rPr>
          <w:sz w:val="20"/>
          <w:szCs w:val="20"/>
          <w:color w:val="auto"/>
        </w:rPr>
      </w:pPr>
    </w:p>
    <w:p>
      <w:pPr>
        <w:ind w:left="60" w:right="99" w:firstLine="324"/>
        <w:spacing w:after="0" w:line="270" w:lineRule="auto"/>
        <w:rPr>
          <w:sz w:val="20"/>
          <w:szCs w:val="20"/>
          <w:color w:val="auto"/>
        </w:rPr>
      </w:pPr>
      <w:r>
        <w:rPr>
          <w:rFonts w:ascii="Times New Roman" w:cs="Times New Roman" w:eastAsia="Times New Roman" w:hAnsi="Times New Roman"/>
          <w:sz w:val="17"/>
          <w:szCs w:val="17"/>
          <w:color w:val="auto"/>
        </w:rPr>
        <w:t xml:space="preserve">Leveraging our proprietary Morphomer platform, several structurally different chemical series of potent NLRP3 inhibitors with favorable pharmacokinetic properties have been identified. The lead compound, ACI-19764 (Figure 27A), is a highly brain penetrant molecule showing a brain/plasma ratio (Kp.uu) of 0.7 after a single oral dose in rats (5 mg/kg). ACI-19764 exhibits excellent efficacy in low nM range in translationally relevant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assays such the NLRP3 activation in human whole blood assay and is at least a log more efficacious than the reference standard compound, MCC950 (Figure 27B). Furthermore, when tested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in the EAE mouse model of MS, ACI-19764 potently inhibited the effector of NLRP3 pathway, caspase-1 in spinal cord lysates by reverting the values to the baseline group (Figure 27C).</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Figure 27: ACI-19764 is a highly brain-penetrant compound showing excellent efficacy </w:t>
      </w:r>
      <w:r>
        <w:rPr>
          <w:rFonts w:ascii="Times New Roman" w:cs="Times New Roman" w:eastAsia="Times New Roman" w:hAnsi="Times New Roman"/>
          <w:sz w:val="18"/>
          <w:szCs w:val="18"/>
          <w:b w:val="1"/>
          <w:bCs w:val="1"/>
          <w:i w:val="1"/>
          <w:iCs w:val="1"/>
          <w:color w:val="auto"/>
        </w:rPr>
        <w:t>in vitro</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16973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5498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ATP: Adenosine triphosphate; (2) Experimental Autoimmune Encephalomyelitis</w:t>
      </w: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Seredenina, ADPD 2024</w:t>
      </w:r>
    </w:p>
    <w:p>
      <w:pPr>
        <w:spacing w:after="0" w:line="223"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ACI-19764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was further evaluated in a mouse model of LPS-induced neuroinflammation. The goal was to assess their efficacy in inhibiting key pro-inflammatory cytokines in the brain. ACI-19764 significantly reduced IL-1β and TNF levels in brain lysates compared to vehicle-treated mice, highlighting the ability of ACI-19764 to potently penetrate the CNS. Under chronic LPS treatment, achieved through repeated intraperitoneal injections over 5 days, assessment of microgliosis was conducted using immunofluorescence in brain sections, with the microglia marker IBA1. LPS treatment significantly increased the microglia-related signal throughout the brain. In the hippocampus, ACI-19764 markedly reduced the number of IBA1-positive cells compared to the vehicle-treated group. These findings further demonstrate the excellent brain penetration and efficacy of ACI-19764 in mitigating microgliosis.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28: ACI-19764 shows excellent brain penetration, efficacy, safety, and developability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1945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5498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60" w:right="79" w:hanging="10"/>
        <w:spacing w:after="0" w:line="282" w:lineRule="auto"/>
        <w:tabs>
          <w:tab w:leader="none" w:pos="23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Optimal brain to plasma ration (Kp,uu) = 1.0; (2) cerebrospinal fluid; (3) Biopharmaceutics Classification System; class 1 defines high soluble and high permeable drugs (4) interleukin-1 beta; (5) whole blood; (6) Experimental autoimmune encephalomyelitis; (7) Glial fibrillary acidic protein; (8) cluster of differentiation 4, marker of T helper cells;</w:t>
      </w:r>
    </w:p>
    <w:p>
      <w:pPr>
        <w:ind w:left="220" w:hanging="170"/>
        <w:spacing w:after="0"/>
        <w:tabs>
          <w:tab w:leader="none" w:pos="2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AIM2, NLRP1, NLRC4.</w:t>
      </w:r>
    </w:p>
    <w:p>
      <w:pPr>
        <w:spacing w:after="0" w:line="199" w:lineRule="exact"/>
        <w:rPr>
          <w:sz w:val="20"/>
          <w:szCs w:val="20"/>
          <w:color w:val="auto"/>
        </w:rPr>
      </w:pPr>
    </w:p>
    <w:p>
      <w:pPr>
        <w:ind w:left="60" w:right="259" w:firstLine="324"/>
        <w:spacing w:after="0" w:line="259" w:lineRule="auto"/>
        <w:rPr>
          <w:sz w:val="20"/>
          <w:szCs w:val="20"/>
          <w:color w:val="auto"/>
        </w:rPr>
      </w:pPr>
      <w:r>
        <w:rPr>
          <w:rFonts w:ascii="Times New Roman" w:cs="Times New Roman" w:eastAsia="Times New Roman" w:hAnsi="Times New Roman"/>
          <w:sz w:val="18"/>
          <w:szCs w:val="18"/>
          <w:color w:val="auto"/>
        </w:rPr>
        <w:t xml:space="preserve">Based on this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brain penetration, a favorable tolerability and developability profile, ACI-19764 was selected as lead candidate for preclinical development. The IND/CTA enabling activities are ongoing, and IND/CTA filing is expected in Q4 2025.</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Therapeutic monoclonal antibodies for neuroinflammation (mAb-ASC)</w:t>
      </w:r>
    </w:p>
    <w:p>
      <w:pPr>
        <w:spacing w:after="0" w:line="227" w:lineRule="exact"/>
        <w:rPr>
          <w:sz w:val="20"/>
          <w:szCs w:val="20"/>
          <w:color w:val="auto"/>
        </w:rPr>
      </w:pPr>
    </w:p>
    <w:p>
      <w:pPr>
        <w:ind w:left="60" w:right="139" w:firstLine="319"/>
        <w:spacing w:after="0" w:line="256" w:lineRule="auto"/>
        <w:rPr>
          <w:sz w:val="20"/>
          <w:szCs w:val="20"/>
          <w:color w:val="auto"/>
        </w:rPr>
      </w:pPr>
      <w:r>
        <w:rPr>
          <w:rFonts w:ascii="Times New Roman" w:cs="Times New Roman" w:eastAsia="Times New Roman" w:hAnsi="Times New Roman"/>
          <w:sz w:val="18"/>
          <w:szCs w:val="18"/>
          <w:color w:val="auto"/>
        </w:rPr>
        <w:t>Using our proprietary SupraAntigen platform, a panel of monoclonal antibodies (mAbs) was generated to bind with picomolar affinities to different regions of ASC including the CARD and PYD domains. Importantly, binding was confirmed to native ASC or aggregates, called ASC specks, obtained from activated human and mouse macrophages. Using a panel of in-house developed assays, selected mAbs were extensively characterized for their ability to a) potently inhibit ASC aggregation, b) inhibit IL-1β production in human phagocytic cells stimulated by pathological ASC polymers, and c) promote accelerated uptake and removal of such ASC aggregates.</w:t>
      </w:r>
    </w:p>
    <w:p>
      <w:pPr>
        <w:spacing w:after="0" w:line="174" w:lineRule="exact"/>
        <w:rPr>
          <w:sz w:val="20"/>
          <w:szCs w:val="20"/>
          <w:color w:val="auto"/>
        </w:rPr>
      </w:pPr>
    </w:p>
    <w:p>
      <w:pPr>
        <w:ind w:left="60" w:right="99" w:firstLine="317"/>
        <w:spacing w:after="0" w:line="261" w:lineRule="auto"/>
        <w:rPr>
          <w:sz w:val="20"/>
          <w:szCs w:val="20"/>
          <w:color w:val="auto"/>
        </w:rPr>
      </w:pPr>
      <w:r>
        <w:rPr>
          <w:rFonts w:ascii="Times New Roman" w:cs="Times New Roman" w:eastAsia="Times New Roman" w:hAnsi="Times New Roman"/>
          <w:sz w:val="18"/>
          <w:szCs w:val="18"/>
          <w:color w:val="auto"/>
        </w:rPr>
        <w:t>In the orbitofrontal cortex (OFC), mAb treatment resulted in on-target reduction of ASC accompanied by a significant decrease of microgliosis and astrocytosis in the area surrounding Abeta plaques (Figure 29). Taken together, treatment with ACI-6635 targeting ASC resulted in a healthier glial state suggesting a more efficacious environment to allow amyloid clearance promoted by antibody-mediated ASC neutralization.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29: ACI-6635 significantly reduces ASC and mitigates gliosis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148590</wp:posOffset>
            </wp:positionV>
            <wp:extent cx="5040630" cy="41319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4063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Basco, ADPD 2024</w:t>
      </w:r>
    </w:p>
    <w:p>
      <w:pPr>
        <w:spacing w:after="0" w:line="225"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Proprietary ASC mAbs were also used to set up a highly sensitive immunoassay able to detect ASC proteins in human biofluids. This assay has the potential to support future clinical trials and inform about target engagement of inflammasome-targeting therapeutics.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TDP-43 antibody</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TDP-43 is a recently identified target of growing interest for NeuroOrphan indications such as frontotemporal dementia (FTD) and ALS. The protein also plays an important role in other significant neurodegenerative indications such as AD or LATE.</w:t>
      </w:r>
    </w:p>
    <w:p>
      <w:pPr>
        <w:spacing w:after="0" w:line="176" w:lineRule="exact"/>
        <w:rPr>
          <w:sz w:val="20"/>
          <w:szCs w:val="20"/>
          <w:color w:val="auto"/>
        </w:rPr>
      </w:pPr>
    </w:p>
    <w:p>
      <w:pPr>
        <w:ind w:left="60" w:right="339" w:firstLine="324"/>
        <w:spacing w:after="0" w:line="289" w:lineRule="auto"/>
        <w:rPr>
          <w:sz w:val="20"/>
          <w:szCs w:val="20"/>
          <w:color w:val="auto"/>
        </w:rPr>
      </w:pPr>
      <w:r>
        <w:rPr>
          <w:rFonts w:ascii="Times New Roman" w:cs="Times New Roman" w:eastAsia="Times New Roman" w:hAnsi="Times New Roman"/>
          <w:sz w:val="17"/>
          <w:szCs w:val="17"/>
          <w:color w:val="auto"/>
        </w:rPr>
        <w:t xml:space="preserve">Anti-TDP-43 antibodies binding to various regions of TDP-43 were generated by our SupraAntigen platform and characterized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Two pan-TDP-43 antibodies were selected to evaluate their efficacy in mitigating TDP-43 aggregation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ACI-5891 showed a high binding affinity for TDP-43 and was successfully humanized.</w:t>
      </w:r>
    </w:p>
    <w:p>
      <w:pPr>
        <w:spacing w:after="0" w:line="14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Using FTLD-TDP patient-derived brain extracts to induce templated TDP-43 aggregation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ACI-5891, which binds to the C-terminal domain of TDP-43, was able to substantially interfere with seeding. Moreover, ACI-5891 demonstrated functional efficacy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by reducing pathological TDP-43 in two different mouse models of ALS and FTD. Importantly, these beneficial effects are achieved while preserving physiological TDP-43 activity. Our findings demonstrate, for the first time, that a mAb targeting the C-terminal region of TDP-43 limits pathology and neurotoxicity by enabling clearance of misfolded TDP-43 through microglia engagement and support the clinical strategy to target TDP-43 by passive immunotherapy (Afroz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Neurobiology of Disease,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Figure 30: Reduction of pathological TDP-43 and neuroprotection </w:t>
      </w:r>
      <w:r>
        <w:rPr>
          <w:rFonts w:ascii="Times New Roman" w:cs="Times New Roman" w:eastAsia="Times New Roman" w:hAnsi="Times New Roman"/>
          <w:sz w:val="18"/>
          <w:szCs w:val="18"/>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4942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5498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Afroz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AAIC 2023; T. Afroz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Neurobiology of disease, 2023</w:t>
      </w:r>
    </w:p>
    <w:p>
      <w:pPr>
        <w:spacing w:after="0" w:line="227" w:lineRule="exact"/>
        <w:rPr>
          <w:sz w:val="20"/>
          <w:szCs w:val="20"/>
          <w:color w:val="auto"/>
        </w:rPr>
      </w:pPr>
    </w:p>
    <w:p>
      <w:pPr>
        <w:ind w:left="60" w:right="99" w:firstLine="324"/>
        <w:spacing w:after="0" w:line="271" w:lineRule="auto"/>
        <w:rPr>
          <w:sz w:val="20"/>
          <w:szCs w:val="20"/>
          <w:color w:val="auto"/>
        </w:rPr>
      </w:pPr>
      <w:r>
        <w:rPr>
          <w:rFonts w:ascii="Times New Roman" w:cs="Times New Roman" w:eastAsia="Times New Roman" w:hAnsi="Times New Roman"/>
          <w:sz w:val="17"/>
          <w:szCs w:val="17"/>
          <w:color w:val="auto"/>
        </w:rPr>
        <w:t xml:space="preserve">The selected clinical lead (ACI-5891.9) demonstrated excellent pharmacokinetics in NHPs. Developability was further confirmed in manufacturability assessment studies (Ollier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mAbs, 2023). The dose-range finding study to evaluate safety of clinical lead in non-human primates demonstrated a dose-proportional increase in mAb exposure in serum, the absence of immunogenicity and no adverse effects on all other parameters evaluated. Regulatory toxicology studies were completed in H1 2024 confirming a favorable safety profile. TDP-43 biomarker assay package enabling evaluation of target engagement and pharmacodynamic effect will be completed in 2025 to support clinical evaluation of ACI-5891.9.</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TDP-43 antibody-based biofluid assay</w:t>
      </w:r>
    </w:p>
    <w:p>
      <w:pPr>
        <w:spacing w:after="0" w:line="229" w:lineRule="exact"/>
        <w:rPr>
          <w:sz w:val="20"/>
          <w:szCs w:val="20"/>
          <w:color w:val="auto"/>
        </w:rPr>
      </w:pPr>
    </w:p>
    <w:p>
      <w:pPr>
        <w:jc w:val="center"/>
        <w:ind w:left="60" w:right="359"/>
        <w:spacing w:after="0" w:line="312" w:lineRule="auto"/>
        <w:rPr>
          <w:sz w:val="20"/>
          <w:szCs w:val="20"/>
          <w:color w:val="auto"/>
        </w:rPr>
      </w:pPr>
      <w:r>
        <w:rPr>
          <w:rFonts w:ascii="Times New Roman" w:cs="Times New Roman" w:eastAsia="Times New Roman" w:hAnsi="Times New Roman"/>
          <w:sz w:val="17"/>
          <w:szCs w:val="17"/>
          <w:color w:val="auto"/>
        </w:rPr>
        <w:t>Since the levels of TDP-43 are low in biofluids, a real-time quaking-induced conversion (RT-QuIC) assay was developed for the detection of pathological TDP-43 seeds. Using this assay, the presence of seeding-competent TDP-43</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Times New Roman" w:cs="Times New Roman" w:eastAsia="Times New Roman" w:hAnsi="Times New Roman"/>
          <w:sz w:val="17"/>
          <w:szCs w:val="17"/>
          <w:color w:val="auto"/>
        </w:rPr>
        <w:t xml:space="preserve">species was confirmed in CSF of sporadic ALS donors compared to healthy controls (Figure 31A-C). The ability to neutralize seeding-competent species was demonstrated for ACI-5891.9 using this assay Figure 31D-E). In addition, to evaluate target engagement of the clinical lead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novel assays to measure free TDP-43 in biofluids were established using SIMOA technology. The assay allows the measurement of free TDP-43 in serum and CSF from animals dosed with the clinical lead (Figure 31F) and will be adapted for the future use for the analysis of clinical samples.</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Figure 31: Biomarker assays to assess the presence of seeding-competent TDP-43 in CSF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802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5498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Audrain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Brain Communications, 2023</w:t>
      </w: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A-syn antibody</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a-syn antibodies generated using our SupraAntigen platform have unique binding properties allowing them to bind preferentially to the pathological forms of a-syn. Leveraging the wide collection of anti-a-syn antibodies generated with diverse binding epitopes and sub-nM binding affinities to aggregated a-syn, new immunoassays are being developed for the detection of pathological a-syn in biofluids. A-syn aggregation and spreading are established targets for PD, MSA and other synucleinopathies. Antibodies that interfere with the aggregation and spreading mechanisms of a-syn provide a therapeutic option for the treatment of PD. The a-syn antibodies were able to significantly delay the seeded aggregation of pathological a-syn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aggregation assays and were able to significantly decrease pathological a-syn spreading in an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animal model of PD. Characterization using multiple orthogonal</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tests addressing 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specificity, functionality and pharmacological properties has led to the identification of the lead candidate ACI-5755.</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Lead characterization</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ACI-5755 selectively binds to pathological forms of a-syn with low-nanomolar affinity and shows a significant preference for aggregated over monomeric a-syn. Additionally, ACI-5755 shows strong recognition for pathological a-syn in patient-derived tissues in both PD and MSA. ACI-5755 showed a potent and dose-dependent reduction in the seeding capacity of pathological a-syn in a proprietary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aggregation assay. Moreover, ACI-5755 substantially reduced the propagation of a-syn aggregates in a cell-based model.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of ACI-5755 was evaluated 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color w:val="auto"/>
        </w:rPr>
        <w:t xml:space="preserve">the M83 propagation mouse model (Luk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2012). Treatment of mice with ACI-5755 significantly decreased pathological a-syn spreading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Furthermore, a significant reduction in the rate of body weight loss compared with the vehicle-treated control group was observed for mice treated with ACI-5755.</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Morphomer a-syn</w:t>
      </w:r>
    </w:p>
    <w:p>
      <w:pPr>
        <w:spacing w:after="0" w:line="229" w:lineRule="exact"/>
        <w:rPr>
          <w:sz w:val="20"/>
          <w:szCs w:val="20"/>
          <w:color w:val="auto"/>
        </w:rPr>
      </w:pPr>
    </w:p>
    <w:p>
      <w:pPr>
        <w:ind w:left="60" w:right="3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Leveraging our Morphomer platform, we discovered and characterized the first biologically active small molecule inhibitors targeting intracellular a-syn aggregates. Identified compounds, from several distinct chemical series, that significantly decrease intracellular a-syn aggregate accumulation in neurons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by interfering with the seeding and fibrillation processes. Iterative medicinal chemistry optimization led to the identification of orally available compounds with favorable CNS-penetrant pharmacokinetic properties, which progressed into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proof-of-concept study in an animal model of alpha-synucleinopathies. Treatment with a first hit compound resulted in significant, dose-dependent decrease of pathological a-syn aggregates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(Figure 32).</w:t>
      </w:r>
    </w:p>
    <w:p>
      <w:pPr>
        <w:spacing w:after="0" w:line="183" w:lineRule="exact"/>
        <w:rPr>
          <w:sz w:val="20"/>
          <w:szCs w:val="20"/>
          <w:color w:val="auto"/>
        </w:rPr>
      </w:pPr>
    </w:p>
    <w:p>
      <w:pPr>
        <w:jc w:val="center"/>
        <w:ind w:left="1840" w:right="120"/>
        <w:spacing w:after="0" w:line="286" w:lineRule="auto"/>
        <w:rPr>
          <w:sz w:val="20"/>
          <w:szCs w:val="20"/>
          <w:color w:val="auto"/>
        </w:rPr>
      </w:pPr>
      <w:r>
        <w:rPr>
          <w:rFonts w:ascii="Times New Roman" w:cs="Times New Roman" w:eastAsia="Times New Roman" w:hAnsi="Times New Roman"/>
          <w:sz w:val="18"/>
          <w:szCs w:val="18"/>
          <w:b w:val="1"/>
          <w:bCs w:val="1"/>
          <w:color w:val="auto"/>
        </w:rPr>
        <w:t>Figure 32: Morphomer a-syn inhibits the accumulation of pathological a-syn aggregates in a mouse model of Parkinson’s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112395</wp:posOffset>
            </wp:positionV>
            <wp:extent cx="4766310" cy="24174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631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Tsika, AD/PD 2023</w:t>
      </w:r>
    </w:p>
    <w:p>
      <w:pPr>
        <w:spacing w:after="0" w:line="156" w:lineRule="exact"/>
        <w:rPr>
          <w:sz w:val="20"/>
          <w:szCs w:val="20"/>
          <w:color w:val="auto"/>
        </w:rPr>
      </w:pPr>
    </w:p>
    <w:p>
      <w:pPr>
        <w:ind w:left="60" w:right="159" w:firstLine="324"/>
        <w:spacing w:after="0" w:line="268" w:lineRule="auto"/>
        <w:rPr>
          <w:sz w:val="20"/>
          <w:szCs w:val="20"/>
          <w:color w:val="auto"/>
        </w:rPr>
      </w:pPr>
      <w:r>
        <w:rPr>
          <w:rFonts w:ascii="Times New Roman" w:cs="Times New Roman" w:eastAsia="Times New Roman" w:hAnsi="Times New Roman"/>
          <w:sz w:val="17"/>
          <w:szCs w:val="17"/>
          <w:color w:val="auto"/>
        </w:rPr>
        <w:t xml:space="preserve">Successful medicinal chemistry optimization yielded a new candidate, ACI-21018, which had improved potency </w:t>
      </w:r>
      <w:r>
        <w:rPr>
          <w:rFonts w:ascii="Times New Roman" w:cs="Times New Roman" w:eastAsia="Times New Roman" w:hAnsi="Times New Roman"/>
          <w:sz w:val="17"/>
          <w:szCs w:val="17"/>
          <w:i w:val="1"/>
          <w:iCs w:val="1"/>
          <w:color w:val="auto"/>
        </w:rPr>
        <w:t>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vitro</w:t>
      </w:r>
      <w:r>
        <w:rPr>
          <w:rFonts w:ascii="Times New Roman" w:cs="Times New Roman" w:eastAsia="Times New Roman" w:hAnsi="Times New Roman"/>
          <w:sz w:val="17"/>
          <w:szCs w:val="17"/>
          <w:color w:val="auto"/>
        </w:rPr>
        <w:t>. The compound was evaluated in an assay whereby rat primary neurons accumulate a-syn phosphoserine 129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(pS129)-positive inclusions when exposed to pathological aggregates extracted from Multiple System Atrophy (MSA) brains. ACI-21018 treatment reduces burden of intracellular a-syn aggregates in neurons with nanomolar IC</w:t>
      </w:r>
      <w:r>
        <w:rPr>
          <w:rFonts w:ascii="Times New Roman" w:cs="Times New Roman" w:eastAsia="Times New Roman" w:hAnsi="Times New Roman"/>
          <w:sz w:val="25"/>
          <w:szCs w:val="25"/>
          <w:color w:val="auto"/>
          <w:vertAlign w:val="subscript"/>
        </w:rPr>
        <w:t>50</w:t>
      </w:r>
      <w:r>
        <w:rPr>
          <w:rFonts w:ascii="Times New Roman" w:cs="Times New Roman" w:eastAsia="Times New Roman" w:hAnsi="Times New Roman"/>
          <w:sz w:val="17"/>
          <w:szCs w:val="17"/>
          <w:color w:val="auto"/>
        </w:rPr>
        <w:t xml:space="preserve"> (Figure 33). Furthermore, ACI-21018 demonstrated suitable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safety and pharmacokinetic profiles to advance its development.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Importantly, ACI-21018 demonstrates binding to a-syn aggregates derived from PD as well as MSA patient brain tissues.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33: Optimized Morphomer, ACI-21018, is a potent inhibitor of a-syn accumulation in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114300</wp:posOffset>
            </wp:positionV>
            <wp:extent cx="5297805" cy="31546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9780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Tsika, AD/PD 2024</w:t>
      </w:r>
    </w:p>
    <w:p>
      <w:pPr>
        <w:spacing w:after="0" w:line="237"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8"/>
          <w:szCs w:val="18"/>
          <w:color w:val="auto"/>
        </w:rPr>
        <w:t xml:space="preserve">ACI-21018 progressed into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evaluation in an animal model of PD where it led to a reduction of seeding-competent a-syn aggregates, together with significant neuroprotective effects. Medicinal chemistry efforts will continue improving properties of lead chemical series, in parallel to identifying structurally diverse compounds fulfilling the target product profile.</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Single-targeting morADC (a-syn/a-syn)</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Several morADCs were generated by conjugating our a-syn mAb with the brain-penetrant Morphomer compound. A range of linker chemistries and drug-to-antibody ratios were systematically evaluated and the most promising morADCs were characterized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for their ability to inhibit a-syn aggregation and prevent pathology propagation in neurons. The selected morADC showed a synergistic effect in inhibiting a-syn aggregation with a potency improvement of 21-fold compared to the equimolar mixture of unconjugated mAb and small molecule (Figure 34). Additionally, this morADC inhibits the internalization of the a-syn seeds in neurons with a 13-fold potency improvement compared to the parental mAb. Lastly, this morADC displayed a 5-fold higher blood-brain barrier permeability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significantly higher brain exposure in mouse, compared to the parental antibody.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34: Inhibition of a-syn aggregation with single-targeting morADC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3077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5498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Derouazi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AAIC 2024</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Dual-targeting morADC (Abeta/Tau)</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synergistic effects demonstrated with the single-targeting morADC, this approach also facilitates the development of new therapeutic modalities allowing, for example, combination therapies in a single drug. Initial experiments were conducted using a dual-targeting morADC obtained via the bio-conjugation of an anti-Abeta mAb with anti-Tau aggregation small molecule. The dual-targeting morADC exhibited significantly enhanced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potency at inhibiting both Abeta and Tau aggregation, compared to the parental compound alone and the corresponding equimolar mixture of the mAb and Morphomer (Figure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Figure 35: Inhibition of Abeta and Tau aggregation with dual-targeting morADC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156845</wp:posOffset>
            </wp:positionV>
            <wp:extent cx="4937760" cy="59150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3776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Derouazi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AAIC 2024</w:t>
      </w:r>
    </w:p>
    <w:p>
      <w:pPr>
        <w:spacing w:after="0" w:line="22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conclusion, morADCs represent a pioneering therapeutic approach to target NDDs through single- or dual-targeting mechanisms, with anticipated synergistic efficacy, compared to the unconjugated drugs, and improved brain penetration, compared to mAbs. Current efforts are focused on in-depth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characterizations and proof-of-concept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in relevant pathological models to further validate their efficacy and translational potential. The</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innovative morADCs strategy mirrors breakthroughs achieved in oncology and potentially holds the promise for treatment of complex NDDs.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License agreements and collaborations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SupraAntigen and Morphomer platforms have generated large numbers of clinical assets that address multiple diseases related to protein misfolding. Selected key assets in the product pipeline have been licensed for upfront payments, milestones and royalties to help offset the cost of our research and internal product development. We have signed a number of licensing agreements with leading pharmaceutical companies to assist and accelerate the development of our product pipeline, including:</w:t>
      </w:r>
    </w:p>
    <w:p>
      <w:pPr>
        <w:spacing w:after="0" w:line="187" w:lineRule="exact"/>
        <w:rPr>
          <w:sz w:val="20"/>
          <w:szCs w:val="20"/>
          <w:color w:val="auto"/>
        </w:rPr>
      </w:pPr>
    </w:p>
    <w:p>
      <w:pPr>
        <w:ind w:left="720" w:right="299" w:hanging="319"/>
        <w:spacing w:after="0" w:line="266"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agreement with Genentech signed in November 2006 (and amended in March 2009, January 2013, May 2014 and May 2015) for anti-Abeta antibodies for AD. As announced on January 22, 2024, this agreement was terminated. The termination became effective in April 2024;</w:t>
      </w:r>
    </w:p>
    <w:p>
      <w:pPr>
        <w:spacing w:after="0" w:line="175"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agreement with Genentech signed in June 2012 (and amended in December 2015) for anti-Tau antibodies to treat AD. As announced on January 22, 2024, this agreement was terminated. The termination became effective in April 2024;</w:t>
      </w:r>
    </w:p>
    <w:p>
      <w:pPr>
        <w:spacing w:after="0" w:line="175"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agreement with Janssen signed in December 2014 (and amended in April 2016, July 2017, January 2019, November 2019, December 2022, November 2023, September 2024 and December 2024) for therapeutic anti-Tau active immunotherapies for AD, and potentially other tauopathies, under which we may become eligible to receive payments totaling up to CHF 500 million, excluding royalties;</w:t>
      </w:r>
    </w:p>
    <w:p>
      <w:pPr>
        <w:spacing w:after="0" w:line="166" w:lineRule="exact"/>
        <w:rPr>
          <w:rFonts w:ascii="Times New Roman" w:cs="Times New Roman" w:eastAsia="Times New Roman" w:hAnsi="Times New Roman"/>
          <w:sz w:val="18"/>
          <w:szCs w:val="18"/>
          <w:color w:val="auto"/>
        </w:rPr>
      </w:pPr>
    </w:p>
    <w:p>
      <w:pPr>
        <w:jc w:val="both"/>
        <w:ind w:left="720" w:right="319" w:hanging="319"/>
        <w:spacing w:after="0" w:line="266"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and collaboration agreement (LCA) with LMI (formerly Piramal Imaging SA) signed in May 2014 (and amended in June 2022) for small-molecule Tau ligands for use as PET tracers under which we may become eligible to receive payments totaling up to EUR 160 (CHF 152) million, excluding royalties;</w:t>
      </w:r>
    </w:p>
    <w:p>
      <w:pPr>
        <w:spacing w:after="0" w:line="175" w:lineRule="exact"/>
        <w:rPr>
          <w:rFonts w:ascii="Times New Roman" w:cs="Times New Roman" w:eastAsia="Times New Roman" w:hAnsi="Times New Roman"/>
          <w:sz w:val="18"/>
          <w:szCs w:val="18"/>
          <w:color w:val="auto"/>
        </w:rPr>
      </w:pPr>
    </w:p>
    <w:p>
      <w:pPr>
        <w:ind w:left="720" w:right="199" w:hanging="319"/>
        <w:spacing w:after="0" w:line="258"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license agreement with Lilly to research and develop Morphomer Tau small molecules for the treatment of AD and other neurodegenerative diseases, which was entered into in December 2018 (and amended in September 2019 and March 2020). The agreement was deemed effective on January 23, 2019. Under this agreement, we may become eligible to receive payments up to approximately CHF 1.9 billion, excluding royalties; and</w:t>
      </w:r>
    </w:p>
    <w:p>
      <w:pPr>
        <w:spacing w:after="0" w:line="169"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option and license agreement with Takeda signed in May 2024 for our active immunotherapies targeting Abeta, including ACI-24.060. Under this agreement, we may be eligible to receive an option exercise fee in the low-to-mid nine-figure USD range and additional potential development, commercial and sales-based milestones of up to approximately USD 2.1 (CHF 1.9) billion, excluding royalties.</w:t>
      </w:r>
    </w:p>
    <w:p>
      <w:pPr>
        <w:spacing w:after="0" w:line="166"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Further information concerning details of our agreements and collaborations can be found under “Item 5: Operating and financial review and prospects.”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pharmaceutical and biopharmaceutical industries are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Currently, there are two FDA-approved disease-modifying products for AD, Leqembi (Biogen / Eisai) and Kisunla (Eli Lilly). Other approved therapies seek to treat the symptoms of AD, but do not slow or stop the progression of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disease. In addition, commonly, there is off-label prescription of antidepressant and antipsychotic agents for more patients with advanced AD who may have agitation, aggressive behaviors, psychosis and depression.</w:t>
      </w:r>
    </w:p>
    <w:p>
      <w:pPr>
        <w:spacing w:after="0" w:line="162" w:lineRule="exact"/>
        <w:rPr>
          <w:sz w:val="20"/>
          <w:szCs w:val="20"/>
          <w:color w:val="auto"/>
        </w:rPr>
      </w:pPr>
    </w:p>
    <w:p>
      <w:pPr>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Several new classes of disease-modifying agents could enter the AD market. Beyond monoclonal antibodies, our pipeline includes active immunotherapies: ACI-35.030 (targeting aggregated, phosphorylated Tau) and ACI-24.060 (targeting oligomeric and pyroGlu Abeta), and our small molecule Morphomer Tau program (inhibiting Tau aggregation).</w:t>
      </w:r>
    </w:p>
    <w:p>
      <w:pPr>
        <w:spacing w:after="0" w:line="15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availability of novel diagnostic agents to visualize disease development in patients with AD is critical for successful clinical development and commercialization of disease-modifying products in AD. At the forefront of this new diagnostic effort are PET agents for imaging of disease pathology, and in particular, Tau-PET agents, which we believe will allow precise assessment of disease in patients with AD.</w:t>
      </w:r>
    </w:p>
    <w:p>
      <w:pPr>
        <w:spacing w:after="0" w:line="183" w:lineRule="exact"/>
        <w:rPr>
          <w:sz w:val="20"/>
          <w:szCs w:val="20"/>
          <w:color w:val="auto"/>
        </w:rPr>
      </w:pPr>
    </w:p>
    <w:p>
      <w:pPr>
        <w:ind w:left="60" w:right="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ACI-35.030. </w:t>
      </w:r>
      <w:r>
        <w:rPr>
          <w:rFonts w:ascii="Times New Roman" w:cs="Times New Roman" w:eastAsia="Times New Roman" w:hAnsi="Times New Roman"/>
          <w:sz w:val="18"/>
          <w:szCs w:val="18"/>
          <w:color w:val="auto"/>
        </w:rPr>
        <w:t>ACI-35.030, if approved, would potentially compete with other Tau-targeting active immunotherapies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being developed. This could include, for example, the AADvac1 active immunotherapy being developed by Axon Neuroscience, which completed a Phase 2 study in 2019, AV-1980R (Nuravax) which is expected to enter Phase 1 clinical development in the near future, PRX 123 (Prothena), which is expected to begin a Phase 1 clinical trial in 2025, and TV-301 (TheraVac), for which plans to move into clinical trials have been announced.</w:t>
      </w:r>
    </w:p>
    <w:p>
      <w:pPr>
        <w:spacing w:after="0" w:line="166" w:lineRule="exact"/>
        <w:rPr>
          <w:sz w:val="20"/>
          <w:szCs w:val="20"/>
          <w:color w:val="auto"/>
        </w:rPr>
      </w:pPr>
    </w:p>
    <w:p>
      <w:pPr>
        <w:ind w:left="60" w:right="15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ACI-24.060 for AD. </w:t>
      </w:r>
      <w:r>
        <w:rPr>
          <w:rFonts w:ascii="Times New Roman" w:cs="Times New Roman" w:eastAsia="Times New Roman" w:hAnsi="Times New Roman"/>
          <w:sz w:val="18"/>
          <w:szCs w:val="18"/>
          <w:color w:val="auto"/>
        </w:rPr>
        <w:t>ACI-24.060, if approved, would potentially compete with other anti-Abeta-targeting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immunotherapies currently being developed. This includes the ABvac 40 (Araclon Biotech), which has completed a Phase 2 study and UB-311(Vaxxinity), which has completed a Phase 2a study. In addition, Alzinova has completed a Phase 1b evaluation of ALZ-101 (Alzinova) and AV-1959D (Nuravax) is being evaluated in Phase 1 study.</w:t>
      </w:r>
    </w:p>
    <w:p>
      <w:pPr>
        <w:spacing w:after="0" w:line="176" w:lineRule="exact"/>
        <w:rPr>
          <w:sz w:val="20"/>
          <w:szCs w:val="20"/>
          <w:color w:val="auto"/>
        </w:rPr>
      </w:pPr>
    </w:p>
    <w:p>
      <w:pPr>
        <w:ind w:left="60" w:right="11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ACI-24.060 for DS. </w:t>
      </w:r>
      <w:r>
        <w:rPr>
          <w:rFonts w:ascii="Times New Roman" w:cs="Times New Roman" w:eastAsia="Times New Roman" w:hAnsi="Times New Roman"/>
          <w:sz w:val="18"/>
          <w:szCs w:val="18"/>
          <w:color w:val="auto"/>
        </w:rPr>
        <w:t>ACI-24.060 is the first disease-modifying active immunotherapy candidate addressing DS-related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 with a potential preventive and therapeutic application. Although there are symptomatic treatments of DS in clinical development, to our knowledge there are currently no other disease-modifying treatments in clinical development for AD in DS.</w:t>
      </w:r>
    </w:p>
    <w:p>
      <w:pPr>
        <w:spacing w:after="0" w:line="163" w:lineRule="exact"/>
        <w:rPr>
          <w:sz w:val="20"/>
          <w:szCs w:val="20"/>
          <w:color w:val="auto"/>
        </w:rPr>
      </w:pPr>
    </w:p>
    <w:p>
      <w:pPr>
        <w:ind w:left="60" w:right="3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ACI-7104.056. </w:t>
      </w:r>
      <w:r>
        <w:rPr>
          <w:rFonts w:ascii="Times New Roman" w:cs="Times New Roman" w:eastAsia="Times New Roman" w:hAnsi="Times New Roman"/>
          <w:sz w:val="18"/>
          <w:szCs w:val="18"/>
          <w:color w:val="auto"/>
        </w:rPr>
        <w:t>ACI-7104.056, if approved, would potentially compete with other a-syn-targeting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immunotherapies. This includes the UB-312 active immunotherapy developed by Vaxxinity, for which a Phase 1b study was completed in June 2023.</w:t>
      </w:r>
    </w:p>
    <w:p>
      <w:pPr>
        <w:spacing w:after="0" w:line="171"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Tau-PET tracer. </w:t>
      </w:r>
      <w:r>
        <w:rPr>
          <w:rFonts w:ascii="Times New Roman" w:cs="Times New Roman" w:eastAsia="Times New Roman" w:hAnsi="Times New Roman"/>
          <w:sz w:val="17"/>
          <w:szCs w:val="17"/>
          <w:color w:val="auto"/>
        </w:rPr>
        <w:t>TAUVID (previously known as Flortaucipir) was developed by Eli Lilly and approved by FDA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May 2020. However, should the Company’s PI-2620 be approved, it would also compete with (i) 18F-florzolotau (previously known as APN-1607), a product candidate advanced by Aprinoia currently in Phase 2 (USA, Taiwan, Japan) and Phase 3 (China) trials; (ii) 18F-MK-6240, developed by Lantheus, currently in Phase 2 and 3 clinical trials; (iii) 18F-GTP1, which is being developed by Genentech and has completed a Phase 2 study in subjects at risk of developing ADAD,</w:t>
      </w:r>
    </w:p>
    <w:p>
      <w:pPr>
        <w:spacing w:after="0" w:line="1" w:lineRule="exact"/>
        <w:rPr>
          <w:sz w:val="20"/>
          <w:szCs w:val="20"/>
          <w:color w:val="auto"/>
        </w:rPr>
      </w:pPr>
    </w:p>
    <w:p>
      <w:pPr>
        <w:ind w:left="60" w:right="119" w:hanging="10"/>
        <w:spacing w:after="0" w:line="260" w:lineRule="auto"/>
        <w:tabs>
          <w:tab w:leader="none" w:pos="3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18F-RO6958948, for which Roche has completed a Phase 1 study in patients with AD and (v) 18F-JNJ-067, for which Janssen has completed a Phase 1 study in patients with AD.</w:t>
      </w:r>
    </w:p>
    <w:p>
      <w:pPr>
        <w:spacing w:after="0" w:line="177" w:lineRule="exact"/>
        <w:rPr>
          <w:sz w:val="20"/>
          <w:szCs w:val="20"/>
          <w:color w:val="auto"/>
        </w:rPr>
      </w:pPr>
    </w:p>
    <w:p>
      <w:pPr>
        <w:jc w:val="both"/>
        <w:ind w:left="60" w:right="27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ACI-12589 and ACI-15916. </w:t>
      </w:r>
      <w:r>
        <w:rPr>
          <w:rFonts w:ascii="Times New Roman" w:cs="Times New Roman" w:eastAsia="Times New Roman" w:hAnsi="Times New Roman"/>
          <w:sz w:val="18"/>
          <w:szCs w:val="18"/>
          <w:color w:val="auto"/>
        </w:rPr>
        <w:t>ACI-12589 and ACI-15916, if approved, would potentially compete with other a-syn-targeting PET tracers. This includes the 18F-UCB-2897 tracer developed by UCB, which is being evaluated in a Phase 1 study.</w:t>
      </w:r>
    </w:p>
    <w:p>
      <w:pPr>
        <w:spacing w:after="0" w:line="171"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ACI-19764. </w:t>
      </w:r>
      <w:r>
        <w:rPr>
          <w:rFonts w:ascii="Times New Roman" w:cs="Times New Roman" w:eastAsia="Times New Roman" w:hAnsi="Times New Roman"/>
          <w:sz w:val="18"/>
          <w:szCs w:val="18"/>
          <w:color w:val="auto"/>
        </w:rPr>
        <w:t>ACI-19764, if approved, would potentially compete with other CNS-penetrant NLRP3 inhibitors: (i) NT-0796 (NodThera) completed a Phase 1b/2a trial in early PD and a Phase 1b/2a trial in obesity with elevated cardiovascular risk; (ii) selnoflast (Roche) has completed a Phase 1b trial in early PD; (iii) VENT-02 (Ventus) is expected to initiate a Phase 1b in PD in the near future; (iv) VTX3232 (Ventyx) is being evaluated in a Phase 2a trial in early PD and expected to initiate a Phase 2 trial in obesity with elevated cardiovascular risk; (v) ZYIL1 (Zydus) has completed a Phase 1a trial in ALS and is expected to undergo a trial in PD. Multiple other NLRP3 inhibitors are being or have been evaluated for non-neurodegenerative indications, such as dapansutrile (Olatec), DFV890 (Novartis), and RRx-01 (EpicentRx).</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Morphomer Tau.</w:t>
      </w:r>
      <w:r>
        <w:rPr>
          <w:rFonts w:ascii="Times New Roman" w:cs="Times New Roman" w:eastAsia="Times New Roman" w:hAnsi="Times New Roman"/>
          <w:sz w:val="18"/>
          <w:szCs w:val="18"/>
          <w:color w:val="auto"/>
        </w:rPr>
        <w:t>We are researching and developing small molecule Tau aggregation inhibitors with plans to evaluate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in AD and NeuroOrphan tauopathies. Continued candidate characterization across the research program also identified new and highly differentiated candidates with excellent cerebrospinal fluid exposure and selectivity for pathological aggregated Tau. There are only a few small molecule inhibitors of Tau aggregation in clinical development. TauRx has completed several Phase 3 trials of HMTM (TRx0037) for patients with AD or FTD. OLX07010 (Oligomerix) is undergoing a Phase 1 study.</w:t>
      </w:r>
    </w:p>
    <w:p>
      <w:pPr>
        <w:spacing w:after="0" w:line="182" w:lineRule="exact"/>
        <w:rPr>
          <w:sz w:val="20"/>
          <w:szCs w:val="20"/>
          <w:color w:val="auto"/>
        </w:rPr>
      </w:pPr>
    </w:p>
    <w:p>
      <w:pPr>
        <w:jc w:val="both"/>
        <w:ind w:left="60" w:right="139"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Morphomer a-syn. </w:t>
      </w:r>
      <w:r>
        <w:rPr>
          <w:rFonts w:ascii="Times New Roman" w:cs="Times New Roman" w:eastAsia="Times New Roman" w:hAnsi="Times New Roman"/>
          <w:sz w:val="18"/>
          <w:szCs w:val="18"/>
          <w:color w:val="auto"/>
        </w:rPr>
        <w:t>The program, if further developed, would potentially compete with small molecule inhibitors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syn aggregation. TEV-56286 (Teva) has been evaluated in a Phase 1 study in PD, and it is currently undergoing a Phase 2 study in MSA.</w:t>
      </w:r>
    </w:p>
    <w:p>
      <w:pPr>
        <w:spacing w:after="0" w:line="178" w:lineRule="exact"/>
        <w:rPr>
          <w:sz w:val="20"/>
          <w:szCs w:val="20"/>
          <w:color w:val="auto"/>
        </w:rPr>
      </w:pPr>
    </w:p>
    <w:p>
      <w:pPr>
        <w:ind w:left="60" w:right="1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Semorinemab. </w:t>
      </w:r>
      <w:r>
        <w:rPr>
          <w:rFonts w:ascii="Times New Roman" w:cs="Times New Roman" w:eastAsia="Times New Roman" w:hAnsi="Times New Roman"/>
          <w:sz w:val="18"/>
          <w:szCs w:val="18"/>
          <w:color w:val="auto"/>
        </w:rPr>
        <w:t>Semorinemab, if further developed, would potentially compete with other Tau-targeting monoclonal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antibodies in development. BMS-986446 (BMS/Prothena) and JNJ-63733657 (Janssen) are being evaluated in Phase 2 studies. E-2814 (Eisai) is being evaluated in a Phase 2/3 prevention study. Bepranemab (UCB) completed a Phase 2 study. Lu AF87908 (Lundbeck), APNmAb005 (Aprinoia Therapeutics), VY7523 (Voyager Therapeutics), and MK-2214 (Merck/Teijin Pharma) are being evaluated in Phase 1 studies.</w:t>
      </w:r>
    </w:p>
    <w:p>
      <w:pPr>
        <w:spacing w:after="0" w:line="16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Crenezumab. </w:t>
      </w:r>
      <w:r>
        <w:rPr>
          <w:rFonts w:ascii="Times New Roman" w:cs="Times New Roman" w:eastAsia="Times New Roman" w:hAnsi="Times New Roman"/>
          <w:sz w:val="18"/>
          <w:szCs w:val="18"/>
          <w:color w:val="auto"/>
        </w:rPr>
        <w:t>Crenezumab, if further developed, would potentially compete with other monoclonal antibodies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targeting Abeta. Leqembi (lecanemab, BioArctic/Eisai/Biogen) and Kisunla (donanemab, Eli Lilly) have been approved by the FDA for the treatment of patients with mild cognitive impairment or mild dementia. One or both therapies have also been approved by the regulators in the EU (Leqembi), the UAE (Leqembi), the UK (Leqembi, Kisunla), China (Leqembi, Kisunla), Israel (Leqembi), Japan (Leqembi, Kisunla), Macau (Leqembi) and South Korea (Leqembi). Eli Lilly is additionally evaluating donanemab in studies of presymptomatic AD, and remternetug in early AD. Eisai/Biogen are also conducting trials of Leqembi in preclinical AD, and of a subcutaneous formulation in early AD. Roche is conducting a Phase 1/2 study of RO7126209 (trontinemab) in patients with mild to moderate AD. Acumen Pharmaceuticals completed a Phase 1 trial evaluating ACU193 in June 2023. Prothena’s PRX012 and ProMIS’ PMN310 are being assessed in ongoing Phase 1 trials.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TDP-43 antibody, ACI-5891.9. </w:t>
      </w:r>
      <w:r>
        <w:rPr>
          <w:rFonts w:ascii="Times New Roman" w:cs="Times New Roman" w:eastAsia="Times New Roman" w:hAnsi="Times New Roman"/>
          <w:sz w:val="18"/>
          <w:szCs w:val="18"/>
          <w:color w:val="auto"/>
        </w:rPr>
        <w:t>To our knowledge, there are no TDP-43 antibodies in the clinic.</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TDP-43 PET tracer, ACI-19626. </w:t>
      </w:r>
      <w:r>
        <w:rPr>
          <w:rFonts w:ascii="Times New Roman" w:cs="Times New Roman" w:eastAsia="Times New Roman" w:hAnsi="Times New Roman"/>
          <w:sz w:val="18"/>
          <w:szCs w:val="18"/>
          <w:color w:val="auto"/>
        </w:rPr>
        <w:t>To our knowledge, there are no TDP-43-PET tracers in the clinic.</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and human resources than we have. Mergers and acquisitions in the pharmaceutical and biotechnology industries may result in even more resources being concentrated among a smaller number of our competitors. Our commercial opportunities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Commercialization strategy</w:t>
      </w:r>
    </w:p>
    <w:p>
      <w:pPr>
        <w:spacing w:after="0" w:line="22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Our strategy to date has been to focus on identifying partnerships for our early-stage product candidates as both a way to secure non-dilutive capital to fund our other research and development programs and as a way to accelerate the development of these partnered products by leveraging our partners’ extensive knowledge in clinical studies, drug development, manufacturing and commercialization.</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With greater financial resources at our disposal and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w:t>
      </w:r>
    </w:p>
    <w:p>
      <w:pPr>
        <w:spacing w:after="0" w:line="180" w:lineRule="exact"/>
        <w:rPr>
          <w:sz w:val="20"/>
          <w:szCs w:val="20"/>
          <w:color w:val="auto"/>
        </w:rPr>
      </w:pPr>
    </w:p>
    <w:p>
      <w:pPr>
        <w:ind w:left="60" w:right="659" w:firstLine="324"/>
        <w:spacing w:after="0" w:line="296" w:lineRule="auto"/>
        <w:rPr>
          <w:sz w:val="20"/>
          <w:szCs w:val="20"/>
          <w:color w:val="auto"/>
        </w:rPr>
      </w:pPr>
      <w:r>
        <w:rPr>
          <w:rFonts w:ascii="Times New Roman" w:cs="Times New Roman" w:eastAsia="Times New Roman" w:hAnsi="Times New Roman"/>
          <w:sz w:val="17"/>
          <w:szCs w:val="17"/>
          <w:color w:val="auto"/>
        </w:rPr>
        <w:t>In the field of diagnostics, the parallel development of therapeutic compounds and companion diagnostics is of growing importance to the pharmaceutical and biopharmaceutical industries. The development timeframe of a PET</w:t>
      </w:r>
    </w:p>
    <w:p>
      <w:pPr>
        <w:sectPr>
          <w:pgSz w:w="11900" w:h="16838" w:orient="portrait"/>
          <w:cols w:equalWidth="0" w:num="1">
            <w:col w:w="9019"/>
          </w:cols>
          <w:pgMar w:left="1440" w:top="513" w:right="1440"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61" w:lineRule="auto"/>
        <w:rPr>
          <w:sz w:val="20"/>
          <w:szCs w:val="20"/>
          <w:color w:val="auto"/>
        </w:rPr>
      </w:pPr>
      <w:r>
        <w:rPr>
          <w:rFonts w:ascii="Times New Roman" w:cs="Times New Roman" w:eastAsia="Times New Roman" w:hAnsi="Times New Roman"/>
          <w:sz w:val="18"/>
          <w:szCs w:val="18"/>
          <w:color w:val="auto"/>
        </w:rPr>
        <w:t>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diagnostics for NDDs which provides additional partnering opportunities.</w:t>
      </w:r>
    </w:p>
    <w:p>
      <w:pPr>
        <w:spacing w:after="0" w:line="18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Given our current stage of product development, we currently do not have a commercialization infrastructure. If any of our product candidates is granted marketing approval, we intend to focus our initial commercial efforts in the U.S. and select European markets, which we believe represent the largest market opportunities for us. In those markets, we expect our commercial operations to potentially include our own specialty sales force that will target Neurologists and Gerontologists, both in hospitals and in private practice. In other markets, we expect to seek partnerships that would maximize our products’ commercial potential.</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and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8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success will significantly depend on our and our collaboration and licensing partners’ ability to obtain and maintain patent and other proprietary protection for commercially important technology, inventions and know-how related to our business, to defend and enforce patents, to preserve the confidentiality of our trade secrets and to operate our business without infringing any patents and other intellectual property or proprietary rights of third parties. See the section titled “Risk factors— Risks related to intellectual property” for additional information.</w:t>
      </w:r>
    </w:p>
    <w:p>
      <w:pPr>
        <w:spacing w:after="0" w:line="183"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we owned or co-owned with our collaboration and licensing partners, approximately 50 issued U.S. patents and 434 issued patents in other jurisdictions, as well as 49 pending U.S. patent applications and 613 pending foreign patent applications. As of December 31, 2024, we licensed approximately 30 issued U.S. patents and 283 issued patents in other jurisdictions, as well as 13 pending U.S. patent applications and 215 pending foreign patent applications.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patent portfolios for our most advanced product candidates as of December 31, 2024 are summarized below:</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Anti-Tau active immunotherapies</w:t>
      </w:r>
    </w:p>
    <w:p>
      <w:pPr>
        <w:spacing w:after="0" w:line="229" w:lineRule="exact"/>
        <w:rPr>
          <w:sz w:val="20"/>
          <w:szCs w:val="20"/>
          <w:color w:val="auto"/>
        </w:rPr>
      </w:pPr>
    </w:p>
    <w:p>
      <w:pPr>
        <w:ind w:left="60" w:right="99" w:firstLine="324"/>
        <w:spacing w:after="0" w:line="271" w:lineRule="auto"/>
        <w:rPr>
          <w:sz w:val="20"/>
          <w:szCs w:val="20"/>
          <w:color w:val="auto"/>
        </w:rPr>
      </w:pPr>
      <w:r>
        <w:rPr>
          <w:rFonts w:ascii="Times New Roman" w:cs="Times New Roman" w:eastAsia="Times New Roman" w:hAnsi="Times New Roman"/>
          <w:sz w:val="17"/>
          <w:szCs w:val="17"/>
          <w:color w:val="auto"/>
        </w:rPr>
        <w:t>Our patent portfolio for anti-Tau active immunotherapies includes a patent family with composition-of-matter claims (including claims directed to the ACI-35 antigenic peptide and a pharmaceutical composition comprising such an antigenic peptide), claims directed to treating certain indications using ACI-35 including AD, and claims directed to using ACI-35 to induce an immune response. This patent family currently contains approximately 30 issued patents in 27 countries. The issued patents in this patent family, if the appropriate maintenance, renewal, annuity or other governmental fees are paid, are expected to expire in 2030, excluding any additional term for patent term adjustments or patent term extensions.</w:t>
      </w:r>
    </w:p>
    <w:p>
      <w:pPr>
        <w:spacing w:after="0" w:line="174"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patent portfolio for anti-Tau active immunotherapies also includes a patent family relating to therapeutic Tau active immunotherapies, including claims directed to a pharmaceutical composition comprising an antigenic Tau peptide, claims directed to using such active immunotherapies to induce an immune response in a subject, and claims directed to methods for preventing or treating a neurodegenerative disease or disorder, including AD, among others. This patent family currently contains 15 issued patents and approximately 46 pending patent applications in 40 countries. The issued patents and any patents issuing in this patent family, if the appropriate maintenance, renewal, annuity or other governmental fees are paid, are expected to expire in 2038, excluding any additional term for patent term adjustments or patent term extensions.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ACI-24</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for ACI-24 includes a patent family with composition-of-matter claims (including claims directed to the ACI-24 antigenic construct), claims directed to treating certain indications using ACI-24 including AD, and claims directed to using ACI-24 to induce an immune response. As of December 31, 2024, in this patent family, we owned approximately 29 issued patents and 4 pending patent applications in 30 countries. With respect to the U.S., we owned two issued U.S. patents. The issued patents in this patent family, if the appropriate maintenance, renewal, annuity or other governmental fees are paid, are expected to expire in 2026, excluding any additional term for patent term adjustments or patent term extensions.</w:t>
      </w:r>
    </w:p>
    <w:p>
      <w:pPr>
        <w:spacing w:after="0" w:line="18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Our patent portfolio for ACI-24 also includes a patent family directed to the use of the ACI-24 active immunotherapy in the treatment and/or prevention of memory and/or cognitive impairments or abnormalities in the DS population, among others. As of December 31, 2024, in this patent family, we owned approximately 14 issued patents and 4 pending patent applications in 18 countries. Issued patents in this patent family, if the appropriate maintenance, renewal, annuity or other governmental fees are paid, are expected to expire in 2032, excluding any additional term for patent term adjustments or patent term extensions.</w:t>
      </w:r>
    </w:p>
    <w:p>
      <w:pPr>
        <w:spacing w:after="0" w:line="17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patent portfolio for ACI-24 also includes a patent family relating to therapeutic anti-Abeta treatment claims (including claims directed to a pharmaceutical composition comprising an antigenic peptide), and claims directed to using such active immunotherapies in treating, preventing, inducing a protective immune response against or alleviating the symptoms associated with an Abeta-associated disease in a subject, among others. As of December 31, 2024, in this patent family, we owned 5 issued patents, including two issued U.S. patents, and approximately 33 pending patent applications in 32 countries. Any issued patents in this patent family, if the appropriate maintenance, renewal, annuity or other governmental fees are paid, are expected to expire in 2039, excluding any additional term for patent term adjustments or patent term extensions.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ACI-7104</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patent portfolio relating to ACI-7104 includes patents and patent applications with composition-of-matter claims (including claims directed to the peptide, as well as pharmaceutical formulations comprising the peptide), and claims directed to the use of compounds comprising the peptide in treating or preventing synucleinopathies including PD and MSA.</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patent portfolio relating to ACI-7104 includes patents and patent applications that we own in three different patent families. As of December 31, 2024, in these patent families, we owned approximately 18 issued patents and 15 pending patent applications, in 11 countries. With respect to the U.S., we owned three issued U.S. patents. Issued patents in the basic patent family, if the appropriate maintenance, renewal, annuity or other governmental fees are paid, are expected to expire in 2029, excluding any additional term for patent term adjustments or patent term extensions.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PI-2620</w:t>
      </w:r>
    </w:p>
    <w:p>
      <w:pPr>
        <w:spacing w:after="0" w:line="229"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Our patent portfolio relating to PI-2620 includes patent applications with claims directed to composition of matter (including claims directed to the molecule, its precursor and a diagnostic composition comprising such molecule), claims directed to diagnosis of certain indications using PI-2620 including AD and PSP, and claims directed to a method of manufacturing PI-2620, among others.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PI-2620 includes patent applications that we own or co-own in three different patent families. As of December 31, 2024, we owned or co-owned 13 patents and approximately 5 patent applications in 16 countries in our main patent family directed to the PI-2620 molecule, its precursor and methods of using the PI-2620 to diagnose certain indications, including AD and PSP. This main patent family includes one issued U.S. patent. If the appropriate maintenance, renewal, annuity, or other governmental fees are paid, national-stage applications claiming priority from this PCT patent application, if issued, are expected to expire in 2037, excluding any additional term for patent term adjustments or patent term extensions, as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ACI-12589</w:t>
      </w:r>
    </w:p>
    <w:p>
      <w:pPr>
        <w:spacing w:after="0" w:line="229"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Our patent portfolio relating to a-syn diagnostics includes composition of matter claims (including claims directed to the ACI-12589 molecule, its precursor, and diagnostic compositions comprising the molecule), and claims directed to use of the molecule in imaging and in diagnostics of a-synucleinopathies including PD and MSA.</w:t>
      </w:r>
    </w:p>
    <w:p>
      <w:pPr>
        <w:spacing w:after="0" w:line="17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a-syn diagnostics includes patents and patent applications that we own in ten different patent families. As of December 31, 2024, we owned or co-owned approximately 17 patent applications in 17 countries in our main patent family directed to the ACI-12589 molecule, its precursor, diagnostic compositions, and methods of using ACI-12589 for imaging and diagnostics of a-synucleinopathies including PD and MSA. If the appropriate maintenance, renewal, annuity or other governmental fees are paid, any issued patents are expected to provide protection up to 2041, excluding any additional term for patent term adjustments or patent term extensions, as applicable.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Morphomer Tau</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patent portfolio relating to Morphomer Tau therapeutics includes patent applications with claims directed to composition of matter (including claims directed to the molecule, a pharmaceutical composition comprising such molecule and a mixture comprising such molecule), and claims directed to prevention and treatment of certain indications using such molecules including AD and PSP, among others.</w:t>
      </w:r>
    </w:p>
    <w:p>
      <w:pPr>
        <w:spacing w:after="0" w:line="18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Our patent portfolio relating to the Morphomer Tau therapeutic program includes patent applications that we own or co-own in five different patent families. As of December 31, 2024, we owned approximately 7 pending patent applications and 9 issued patents, including one U.S. issued patent in our patent family directed to the ACI-3024 small molecule Tau aggregation inhibitor. If the appropriate maintenance, renewal, annuity, or other governmental fees are paid, national-stage applications claiming priority from this PCT patent application, if issued, are expected to expire in 2039, excluding any additional term for patent term adjustments or patent term extensions, as applicable.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Semorinemab</w:t>
      </w:r>
    </w:p>
    <w:p>
      <w:pPr>
        <w:spacing w:after="0" w:line="216"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Our global patent portfolio relating to semorinemab includes patents and patent applications with claims directed to compositions of matter, methods of treatment for certain indications including AD, and methods of use, among others.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Crenezumab</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 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patent portfolio relating to crenezumab includes patents and patent applications that we own or co-own in four different patent families. As of December 31, 2024, we owned or co-owned approximately 56 patents (not including the patents in the individual countries where the issued European patent was validated) and 6 patent applications in 34 countries in our main patent family directed to the crenezumab antibody and methods of using the crenezumab antibody to treat certain indications, including AD. This patent portfolio includes three issued U.S. patents and one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that was filed on July 13, 2007. If the appropriate maintenance, renewal, annuity, or other governmental fees are paid, national-stage applications claiming priority from this PCT patent application, if issued, are expected to expire in 2027, excluding any additional term for patent term adjustments or patent term extensions, as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do not own or operate facilities for the manufacture, testing, packaging, labeling, storage or distribution of preclinical or clinical supplies of any of our product candidates. We instead contract with and rely on third-party CMOs to manufacture, package, label, store, test and distribute all preclinical and clinical supplies of our product candidates, and we plan to continue to do so for the foreseeable future.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governing rules and quality requirements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facilities used by our collaboration partners and CMOs to manufacture our product candidates are systematically audited by local authorities and occasionally inspected by competent authorities where the clinical studies are ongoing. The facilities where the commercial productions are performed will have to be approved by the FDA or other relevant regulatory authorities, pursuant to inspections that are conducted after we submit our NDA or comparable marketing applications. We perform periodic quality audits of the manufacturing facilities and CMOs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QCs and QA systems including personnel qualification.</w:t>
      </w:r>
    </w:p>
    <w:p>
      <w:pPr>
        <w:spacing w:after="0" w:line="17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After manufacturing, our products are submitted to extensive characterization and QC testing plans performed by using either generic or properly developed analytical methods that are qualified or validated; this ensures the accuracy of the results generated and provides evidence of the quality of our products. In addition, our products are submitted to periodic, standardized and controlled stability programs aimed at demonstrating product stability during the storage period and thus assign an expiry date after which the products cannot longer be used; this, in addition to guaranteeing the safety of the products, supports the definition of a suitable supply chain that may encompass the distribution of the products in different continents.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Contractual framework</w:t>
      </w:r>
    </w:p>
    <w:p>
      <w:pPr>
        <w:spacing w:after="0" w:line="216"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We have established, with CMOs supplying and testing active pharmaceutical ingredients, drug substances or drug products under cGMP, quality agreements and master service agreements. Quality agreements define the quality standards required to develop, produce and supply the product, and also define the responsibilities related to the collaboration with regards to the quality related aspects. Manufacturing service agreements define the commercial and financial framework under which product manufacturing and testing under cGMP is performed. Any failure to achieve and maintain compliance with the laws, regulations and standards, suspension of the manufacturing of our product candidates or withdrawals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that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which may offer the chance to rapidly identify alternative contract manufacturers to whom the manufacturing process could be transferred providing continuity for the clinical study. Finally, our contracts may also offer us limited remedies.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Interaction with CMOs</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Finally, our partnerships with CMOs are managed through an efficient project management platform in which teams are formed with subject matter experts representing key functions from both parties. Meetings occur either through virtual on-line conferences aimed at updating short-term actions or face-to-face conferences when mid- to long-term development plans are discussed.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 regulation and our regulatory department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regulatory department has a strong culture of regulatory compliance, operating under three guiding principles, to:</w:t>
      </w:r>
    </w:p>
    <w:p>
      <w:pPr>
        <w:spacing w:after="0" w:line="225" w:lineRule="exact"/>
        <w:rPr>
          <w:sz w:val="20"/>
          <w:szCs w:val="20"/>
          <w:color w:val="auto"/>
        </w:rPr>
      </w:pPr>
    </w:p>
    <w:p>
      <w:pPr>
        <w:ind w:left="720" w:hanging="319"/>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constructive regulatory strategy for development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smooth regulatory approvals by anticipating hurdles;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confidence with regulators by continuous communication.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QA group is included within the regulatory department with the mission to:</w:t>
      </w:r>
    </w:p>
    <w:p>
      <w:pPr>
        <w:spacing w:after="0" w:line="225" w:lineRule="exact"/>
        <w:rPr>
          <w:sz w:val="20"/>
          <w:szCs w:val="20"/>
          <w:color w:val="auto"/>
        </w:rPr>
      </w:pPr>
    </w:p>
    <w:p>
      <w:pPr>
        <w:ind w:left="720" w:hanging="319"/>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maintain a corporate quality management system;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cGCP, cGMP, cGLP and current Good Distribution Practice (cGDP) compliance.</w:t>
      </w:r>
    </w:p>
    <w:p>
      <w:pPr>
        <w:spacing w:after="0" w:line="225"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 science-driven approach is the cornerstone of our interactions and this has helped us to build and maintain a high level of trust with regulators. Besides informal conversations with the authorities, our regulatory department has conducted several pre-Investigational New Drug (pre-IND), Type B and Type C meetings with the FDA (ACI-24.060 for AD and DS, ACI-7104.056 and PI-2620) and Scientific Advice meetings, which are the European equivalent of pre-IND meetings (with the German Paul-Ehrlich-Institut, Swedish Medical Products Agency; UK Medicine &amp; Healthcare Products Regulatory Agency, Finnish Medicines Agency, the Spanish Agency of Medicines and Medical Devices and the EMA). Since 2008, our regulatory department has filed a total of 24 clinical trial applications in the EU (one each in Austria, Denmark and Poland, two in Spain and the Netherlands, three in Germany, four in Finland and Sweden and eight in the UK) and 5 INDs in the U.S. Furthermore, our regulatory department successfully applied for and obtained FDA Fast Track designation for ACI-24.060 in AD. Given the seriousness of AD and public pressure for new therapeutics, we consider regulatory agencies to be important stakeholders in our product development strategies. We are committed to working closely with global regulatory authorities to adhere to and achieve the highest levels of safety and quality of our product candidates in the most timely and efficient manner. The transparency we have achieved and our goal of a close working relationship with the regulatory agencies, in particular the FDA and the EMA, are intended to facilitate expeditious execution through the regulatory approval process.</w:t>
      </w:r>
    </w:p>
    <w:p>
      <w:pPr>
        <w:spacing w:after="0" w:line="19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regulatory department contains a QA group. As every quality issue ultimately requires regulatory involvement and input, this approach is intended to lead to rapid resolution of issues and ensure full compliance to satisfy both the reviewers and the inspectors at the government health authorities. Our regulatory department is charged with keeping our entire organization, directly or indirectly involved in the clinical study application process, in a state of “inspection readiness.” To that end, we ensure that the Trial Master Files are complete and regularly updated. Our QA group is also tasked with generating our annual quality plan. The personnel tasked with QA have issued a set of approximately 136 standard operating procedures and working instructions and continuously train the relevant staff. Our QA personnel conduct regular audits, including in-person audits of the contract manufacturers, contract research organizations and laboratories conducting primary endpoint analysis. In addition, we have a full-time QA documentation assistant to ensure good documentation practice and archiving.</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 process</w:t>
      </w:r>
    </w:p>
    <w:p>
      <w:pPr>
        <w:spacing w:after="0" w:line="216"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The clinical studies, manufacturing, labeling, storage, distribution, record-keeping, advertising, promotion, import, export and marketing, among other things, of our product candidates are subject to extensive regulation by governmental authorities in the U.S. and other countries. The U.S. FDA, under the Federal Food, Drug, and Cosmetic Act (FDCA), regulates pharmaceutical products in the U.S. The steps required before a drug may be approved for marketing in the U.S. generally include:</w:t>
      </w:r>
    </w:p>
    <w:p>
      <w:pPr>
        <w:spacing w:after="0" w:line="183" w:lineRule="exact"/>
        <w:rPr>
          <w:sz w:val="20"/>
          <w:szCs w:val="20"/>
          <w:color w:val="auto"/>
        </w:rPr>
      </w:pPr>
    </w:p>
    <w:p>
      <w:pPr>
        <w:ind w:left="720" w:hanging="319"/>
        <w:spacing w:after="0"/>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preclinical laboratory tests and animal tests conducted under cGLP regulations;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82"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IND application for human clinical testing, which must become effective before human clinical studies commence;</w:t>
      </w:r>
    </w:p>
    <w:p>
      <w:pPr>
        <w:spacing w:after="0" w:line="161"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positive opinion from the ethics committee (Europe)/institutional review board (U.S.) to commence study on human subjects;</w:t>
      </w:r>
    </w:p>
    <w:p>
      <w:pPr>
        <w:spacing w:after="0" w:line="16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adequate and well-controlled human clinical studies to establish the safety and efficacy of the product candidate for each proposed indication and conducted in accordance with cGCP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pre-NDA submission meeting with FDA (highly recommended);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NDA;</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acceptance of the NDA;</w:t>
      </w:r>
    </w:p>
    <w:p>
      <w:pPr>
        <w:spacing w:after="0" w:line="225"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(PAI) of the manufacturing facilities at which the product is made to assess compliance with cGMP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and approval of an NDA prior to any commercial marketing or sale of the drug in the U.S.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58"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 a similar process exists as in the US, with the additional involvement of payors early on in the development process. Notably, the possibility of having parallel scientific advice from the EMA or Health Technology Assessment body whereby the payors are involved at the outset (Phase 2), which is intended to facilitate the design of clinical studies to target primarily populations with a high chance of obtaining reimbursement and accelerate the process of time to reimbursement.</w:t>
      </w:r>
    </w:p>
    <w:p>
      <w:pPr>
        <w:spacing w:after="0" w:line="17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FDA has various programs, including Fast Track, Priority review, Accelerated Approval and Breakthrough Therapy designation, which are intended to increase agency interactions, expedite or facilitate the process for reviewing product candidates, and/or provide for initial approval based on surrogate endpoints. We believe that one or more of our product candidates may qualify for some of these expedited development and review programs, as exemplified by the Fast Track designations granted for ACI-24.060, ACI-35.030 or PI-2620. However, even if a product candidate qualifies for one or more of these programs, the FDA may later decide that the product candidate no longer meets the conditions for qualification.</w:t>
      </w:r>
    </w:p>
    <w:p>
      <w:pPr>
        <w:spacing w:after="0" w:line="175"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8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it provides a significant improvement in the treatment, diagnosis or prevention of a disease compared with marketed products. The FDA will attempt to direct additional resources to the evaluation of an application for a new drug designated for Priority Review to facilitate the review. Additionally, a product may be eligible for the Accelerated Approval program. Product candidates that are studied for their safety and effectiveness in treating serious or life-threatening illnesses and that provide meaningful therapeutic benefit over existing treatments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as a condition for Accelerated Approval the FDA currently requires pre-approval of promotional materials, which could adversely impact the timing of the commercial launch of the product. The Fast Track, Priority Review and Accelerated Approval programs do not change the standards for approval but may expedite the development or approval process.</w:t>
      </w:r>
    </w:p>
    <w:p>
      <w:pPr>
        <w:spacing w:after="0" w:line="189"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The Food and Drug Administration Safety and Innovation Act of 2012 also amended the FDCA to require the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in one or more clinically significant endpoints. A sponsor may request that a drug be designated as a breakthrough therapy at any time during the clinical development of the product. If so designated, the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7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receipt and timing of any approval is uncertain. Given this paradigm, AD has been given Life-Threatening Disease status by the FDA and therefore AD therapies are eligible for the expanded access program for investigational drugs and other pathways such as Breakthrough Therapy, Accelerated Approval and Priority Review. Additionally, a single well-designed, well-conducted, pivotal clinical study could be sufficient to trigger market approval pending a successful PAI.</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automatically become effective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89"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Board/Committee. This group provides authorization for whether or not a study may move forward at designated checkpoints based on access to certain data from the study. We may also suspend or terminate a clinical study based on evolving business objectives and/or competitive climate.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Clinical studies are typically conducted in three sequential phases prior to approval, but the phases may overlap. These phases generally include the following:</w:t>
      </w:r>
    </w:p>
    <w:p>
      <w:pPr>
        <w:spacing w:after="0" w:line="162"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Phase 1. 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76"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Phase 2. Phase 2 clinical studies usually involve studies in a limited patient population to (i) evaluate the efficacy of the product candidate for specific indications, (ii) determine dosage tolerance and optimal dosage, and (iii) identify possible adverse effects and safety risks.</w:t>
      </w:r>
    </w:p>
    <w:p>
      <w:pPr>
        <w:spacing w:after="0" w:line="183"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Phase 3. 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7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Phase 4. 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post-marketing requirements or commitments. Failure to conduct any required Phase 4 clinical studies promptly could result in withdrawal of approval.</w:t>
      </w:r>
    </w:p>
    <w:p>
      <w:pPr>
        <w:spacing w:after="0" w:line="187"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user-fee payment. The FDA has substantial discretion in the approval process and may refuse to accept any application or decide that the data is insufficient for approval and require additional preclinical, clinical or other studies.</w:t>
      </w:r>
    </w:p>
    <w:p>
      <w:pPr>
        <w:spacing w:after="0" w:line="183" w:lineRule="exact"/>
        <w:rPr>
          <w:sz w:val="20"/>
          <w:szCs w:val="20"/>
          <w:color w:val="auto"/>
        </w:rPr>
      </w:pPr>
    </w:p>
    <w:p>
      <w:pPr>
        <w:jc w:val="both"/>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We estimate that it generally takes 10 to 15 years, or possibly longer, to discover, develop and bring to market a new pharmaceutical or biopharmaceutical product in the U.S. Several years may be needed to complete each phase, including discovery, preclinical, Phase 1, 2 or 3, or marketing authorization.</w:t>
      </w:r>
    </w:p>
    <w:p>
      <w:pPr>
        <w:spacing w:after="0" w:line="183"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In addition, under the Pediatric Research Equity Act,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(FDASIA), which was signed into law on July 9, 2012, amended the FDCA. The FDASIA requires that a sponsor who is planning to submit a marketing application for a drug or biological product that includes a new active ingredient, new indication, new dosage form, new dosing regimen or new route of administration submit an initial Pediatric Study Plan within 60 days of an end-of-Phase-2 meeting or as may be agreed between the sponsor and the FDA. The initial Pediatric Study Plan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Pediatric Study Plan. A sponsor can submit amendments to an agreed-upon initial Pediatric Study Plan at any time if changes to the pediatric plan need to be considered based on data collected from nonclinical studies, early-phase clinical trials, and/or other clinical development programs.</w:t>
      </w:r>
    </w:p>
    <w:p>
      <w:pPr>
        <w:spacing w:after="0" w:line="19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cost of preparing and submitting an NDA is substantial. Under federal law, NDAs are subject to substantial application user fees and the sponsor of an approved NDA is also subject to annual product and establishment user fees. Under the Prescription Drug User Fee Act (PDUFA), as amended, each NDA must be accompanied by a user fee. The FDA adjusts the PDUFA user fees on an annual basis. PDUFA VI eliminates fees for supplements as well as for establishments, although applicants will be assessed for annual prescription drug program fees for prescription drug products, rather than the prescription drug product fee assessed under the previous iteration of PDUFA. According to the FDA’s fee schedule for the 2025 FY, the user fee for each NDA application requiring clinical data is USD 4,310,002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 annual program fee is USD 403,889.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76"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Once the NDA submission has been submitted, the FDA has 60 days after submission of the NDA to conduct an initial review to determine whether it is sufficient to accept for filing. Under the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 regulations and may also inspect clinical study sites for integrity of the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64"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After the FDA evaluates the NDA and conducts inspections of the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 or studies,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post-marketing studies or clinical studies. Such post-marketing testing may include Phase 4 clinical studies and surveillance to further assess and monitor the product’s safety and effectiveness after commercialization.</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Special protocol assessment</w:t>
      </w:r>
    </w:p>
    <w:p>
      <w:pPr>
        <w:spacing w:after="0" w:line="216"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The FDA and an IND sponsor may agree in writing on the design and size of clinical studies intended to form the primary basis of a claim of effectiveness in an NDA. This process is known as a special protocol assessment (SPA). Upon a specific request for a SPA by an IND sponsor, the FDA will evaluate the protocol. If an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agreed-upon protocol, or the relevant data, assumptions, or information provided by the IND sponsor when requesting a SPA agreement change, are found to be false statements or misstatements, or are found to omit relevant facts. An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Orphan-drug designation</w:t>
      </w:r>
    </w:p>
    <w:p>
      <w:pPr>
        <w:spacing w:after="0" w:line="22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a disease or condition that either affects fewer than 200,000 individuals in the U.S., or affects more than 200,000 individuals in the U.S. but there is no reasonable expectation that the cost of developing and making a drug product available in the U.S. for this type of disease or condition will be recovered from sales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product in the U.S. Orphan-product designation must be requested before submitting an NDA. After the FDA grants orphan-product designation, the identity of the therapeutic agent and its potential orphan use are disclosed publicly by the FDA. Orphan-product designation does not convey any advantage in or shorten the duration of the regulatory review and approval process.</w:t>
      </w:r>
    </w:p>
    <w:p>
      <w:pPr>
        <w:spacing w:after="0" w:line="180" w:lineRule="exact"/>
        <w:rPr>
          <w:sz w:val="20"/>
          <w:szCs w:val="20"/>
          <w:color w:val="auto"/>
        </w:rPr>
      </w:pPr>
    </w:p>
    <w:p>
      <w:pPr>
        <w:ind w:left="60" w:right="79" w:firstLine="324"/>
        <w:spacing w:after="0" w:line="265" w:lineRule="auto"/>
        <w:rPr>
          <w:sz w:val="20"/>
          <w:szCs w:val="20"/>
          <w:color w:val="auto"/>
        </w:rPr>
      </w:pPr>
      <w:r>
        <w:rPr>
          <w:rFonts w:ascii="Times New Roman" w:cs="Times New Roman" w:eastAsia="Times New Roman" w:hAnsi="Times New Roman"/>
          <w:sz w:val="17"/>
          <w:szCs w:val="17"/>
          <w:color w:val="auto"/>
        </w:rPr>
        <w:t>If a product that has orphan designation subsequently receives the first FDA approval for the disease or condition for which it has such designation, the product is entitled to orphan-product exclusivity, which means that the FDA cannot approve any other applications to market the same drug or biological product for the same indication for 7 years, except in limited circumstances, such as a showing of clinical superiority to the product with orphan exclusivity. The designation of such drug also entitles a party to financial incentives such as opportunities for grant funding toward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Orphan-product exclusivity also could block the approval of one of our products for</w:t>
      </w:r>
    </w:p>
    <w:p>
      <w:pPr>
        <w:spacing w:after="0" w:line="6" w:lineRule="exact"/>
        <w:rPr>
          <w:sz w:val="20"/>
          <w:szCs w:val="20"/>
          <w:color w:val="auto"/>
        </w:rPr>
      </w:pPr>
    </w:p>
    <w:p>
      <w:pPr>
        <w:ind w:left="60" w:right="219"/>
        <w:spacing w:after="0" w:line="249" w:lineRule="auto"/>
        <w:rPr>
          <w:sz w:val="20"/>
          <w:szCs w:val="20"/>
          <w:color w:val="auto"/>
        </w:rPr>
      </w:pPr>
      <w:r>
        <w:rPr>
          <w:rFonts w:ascii="Times New Roman" w:cs="Times New Roman" w:eastAsia="Times New Roman" w:hAnsi="Times New Roman"/>
          <w:sz w:val="18"/>
          <w:szCs w:val="18"/>
          <w:color w:val="auto"/>
        </w:rPr>
        <w:t>7 years if a competitor obtains approval of the same drug or biological product as defined by the FDA or if our product candidate is determined to be contained within the competitor’s product for the same indication or disease. If a drug product designated as an orphan product receives marketing approval for an indication broader than what is designated, it may not be entitled to orphan-product exclusivity. Orphan-drug status in the EU has similar but not identical benefits in that jurisdiction.</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be required to be disclosed in the future.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16" w:lineRule="exact"/>
        <w:rPr>
          <w:sz w:val="20"/>
          <w:szCs w:val="20"/>
          <w:color w:val="auto"/>
        </w:rPr>
      </w:pPr>
    </w:p>
    <w:p>
      <w:pPr>
        <w:ind w:left="60" w:right="199" w:firstLine="324"/>
        <w:spacing w:after="0" w:line="274" w:lineRule="auto"/>
        <w:rPr>
          <w:sz w:val="20"/>
          <w:szCs w:val="20"/>
          <w:color w:val="auto"/>
        </w:rPr>
      </w:pPr>
      <w:r>
        <w:rPr>
          <w:rFonts w:ascii="Times New Roman" w:cs="Times New Roman" w:eastAsia="Times New Roman" w:hAnsi="Times New Roman"/>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areas of production and QC to maintain cGMP compliance.</w:t>
      </w:r>
    </w:p>
    <w:p>
      <w:pPr>
        <w:spacing w:after="0" w:line="187" w:lineRule="exact"/>
        <w:rPr>
          <w:sz w:val="20"/>
          <w:szCs w:val="20"/>
          <w:color w:val="auto"/>
        </w:rPr>
      </w:pPr>
    </w:p>
    <w:p>
      <w:pPr>
        <w:ind w:left="60" w:right="419" w:firstLine="324"/>
        <w:spacing w:after="0" w:line="296" w:lineRule="auto"/>
        <w:rPr>
          <w:sz w:val="20"/>
          <w:szCs w:val="20"/>
          <w:color w:val="auto"/>
        </w:rPr>
      </w:pPr>
      <w:r>
        <w:rPr>
          <w:rFonts w:ascii="Times New Roman" w:cs="Times New Roman" w:eastAsia="Times New Roman" w:hAnsi="Times New Roman"/>
          <w:sz w:val="17"/>
          <w:szCs w:val="17"/>
          <w:color w:val="auto"/>
        </w:rPr>
        <w:t>Once an approval is granted, the FDA may withdraw the approval if compliance with regulatory requirements and standards is not maintained or if problems occur after the product reaches the market. Later discovery of previously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unknown problems with a product, including AEs of unanticipated severity or frequency, or with manufacturing processes, or failure to comply with regulatory requirements, may result in revisions to the approved labeling to add new safety information, imposition of post-marketing studies or clinical studies to assess new safety risks, or imposition of distribution or other restrictions under a REMS program. Other potential consequences include, among other things:</w:t>
      </w:r>
    </w:p>
    <w:p>
      <w:pPr>
        <w:spacing w:after="0" w:line="180" w:lineRule="exact"/>
        <w:rPr>
          <w:sz w:val="20"/>
          <w:szCs w:val="20"/>
          <w:color w:val="auto"/>
        </w:rPr>
      </w:pPr>
    </w:p>
    <w:p>
      <w:pPr>
        <w:ind w:left="720" w:right="559" w:hanging="319"/>
        <w:spacing w:after="0" w:line="282"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229"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the use of our product candidates, some of our U.S. patents may be eligible for limited patent term extension under the Drug Price Competition and Patent Term Restoration Act of 1984, referred to as the Hatch-Waxman Act. The Hatch-Waxman Act permits a patent term to be extended up to 5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of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60-day period from the date the product is first approved for commercial marketing. The USPTO,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 containing it.</w:t>
      </w:r>
    </w:p>
    <w:p>
      <w:pPr>
        <w:spacing w:after="0" w:line="194"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76"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provides up to 12 years of non-patent data exclusivity within the U.S. to the first applicant to gain approval of a Biologics License Application for a new biologic product that has not previously been approved by the FDA, which we refer to as a reference product. This 12-year data exclusivity does prohibit the FDA from approving a biosimilar or interchangeable product of such reference product until 12 years after the licensure of such reference product. In addition, the FDA will not accept a biosimilar or interchangeable product application for review until 4 years after the date of first licensure of such reference product. Under 21CFR314.108,</w:t>
      </w:r>
    </w:p>
    <w:p>
      <w:pPr>
        <w:spacing w:after="0" w:line="2" w:lineRule="exact"/>
        <w:rPr>
          <w:sz w:val="20"/>
          <w:szCs w:val="20"/>
          <w:color w:val="auto"/>
        </w:rPr>
      </w:pPr>
    </w:p>
    <w:p>
      <w:pPr>
        <w:ind w:left="60" w:right="359"/>
        <w:spacing w:after="0" w:line="250" w:lineRule="auto"/>
        <w:rPr>
          <w:sz w:val="20"/>
          <w:szCs w:val="20"/>
          <w:color w:val="auto"/>
        </w:rPr>
      </w:pPr>
      <w:r>
        <w:rPr>
          <w:rFonts w:ascii="Times New Roman" w:cs="Times New Roman" w:eastAsia="Times New Roman" w:hAnsi="Times New Roman"/>
          <w:sz w:val="18"/>
          <w:szCs w:val="18"/>
          <w:color w:val="auto"/>
        </w:rPr>
        <w:t>5 years’ exclusivity is also granted to new chemical entities that contain no active moiety that has been approved by the FDA under section 505(b). This market exclusivity bars the FDA from accepting for review any ANDA or 505(b)</w:t>
      </w:r>
    </w:p>
    <w:p>
      <w:pPr>
        <w:spacing w:after="0" w:line="1" w:lineRule="exact"/>
        <w:rPr>
          <w:sz w:val="20"/>
          <w:szCs w:val="20"/>
          <w:color w:val="auto"/>
        </w:rPr>
      </w:pPr>
    </w:p>
    <w:p>
      <w:pPr>
        <w:ind w:left="60" w:right="279" w:hanging="10"/>
        <w:spacing w:after="0" w:line="247" w:lineRule="auto"/>
        <w:tabs>
          <w:tab w:leader="none" w:pos="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for a drug containing the same active moiety for (i) 5 years if an ANDA or 505(b)(2) application does not contain a paragraph IV certification to a listed patent, or (ii) 4 years if an ANDA or 505(b)(2) is submitted containing a paragraph IV certification to a listed patent. Moreover, pediatric exclusivity, if granted, may add 6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of exclusivity if the reference product has been studied with respect to a pediatric indication in accordance with certain regulatory requirements. A reference product may also be granted 7 years of orphan-drug exclusivity for the treatment of a rare disease or condition under section 527(a) of FDCA, which would run in parallel with the 12 years of data exclusivity of the reference product, if applicable.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Non-U.S. regulation</w:t>
      </w:r>
    </w:p>
    <w:p>
      <w:pPr>
        <w:spacing w:after="0" w:line="229"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In order to market any product outside of the U.S.,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U.S. apply similarly in the context of the EU,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EU drug review approval</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the EEA, which is comprised of the 27 Member States of the EU plus Norway, Iceland and Liechtenstein medicinal products can only be commercialized after obtaining a marketing authorization. There are two types of marketing authorization: the Community Marketing Authorization, which is issued by the EC through the Centralized Procedure based on the opinion of the Committee for Medicinal Products for Human Use (CHMP), a body of the EMA, and which is valid throughout the entire territory of the EEA; and the National Marketing Authorization, which is issued by the competent authorities of the Member States of the EEA and authorizes marketing only in that Member State’s national territory and not the EEA as a whole.</w:t>
      </w:r>
    </w:p>
    <w:p>
      <w:pPr>
        <w:spacing w:after="0" w:line="18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7"/>
          <w:szCs w:val="17"/>
          <w:color w:val="auto"/>
        </w:rPr>
        <w:t>The Centralized Procedure is compulsory for human medicines for the treatment of human immunodeficiency virus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 The National Marketing Authorization is for products not falling within the mandatory scope of the Centralized Procedure. Where a product has already been authorized for marketing in a Member State of the EEA, this National Marketing Authorization can be recognized in another Member State through the Mutual Recognition Procedure. If the product has not received a National Marketing Authorization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marketing authorization is sought, one of which is selected by the applicant as the Reference Member State (RMS). If the RMS proposes to authorize the product, and the other Member States do not raise objections, the product is granted a National Marketing Authorization in all the Member States in which the authorization was sought. Before granting the marketing authorization, the EMA or the competent authorities of the Member States of the EEA assesses the risk–benefit balance of the product on the basis of scientific criteria concerning its quality, safety and efficacy.</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Regulation in the EU</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Product development, the regulatory approval process, and safety monitoring of medicinal products and their manufacturers in the EU proceed in much the same manner as they do in the U.S. Therefore, many of the issues discussed above apply similarly in the context of the EU. In addition, drugs are subject to the extensive price and reimbursement regulations of the various EU Member States.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w:t>
      </w:r>
    </w:p>
    <w:p>
      <w:pPr>
        <w:spacing w:after="0" w:line="229" w:lineRule="exact"/>
        <w:rPr>
          <w:sz w:val="20"/>
          <w:szCs w:val="20"/>
          <w:color w:val="auto"/>
        </w:rPr>
      </w:pPr>
    </w:p>
    <w:p>
      <w:pPr>
        <w:ind w:left="60" w:right="99" w:firstLine="324"/>
        <w:spacing w:after="0" w:line="249" w:lineRule="auto"/>
        <w:rPr>
          <w:sz w:val="20"/>
          <w:szCs w:val="20"/>
          <w:color w:val="auto"/>
        </w:rPr>
      </w:pPr>
      <w:r>
        <w:rPr>
          <w:rFonts w:ascii="Times New Roman" w:cs="Times New Roman" w:eastAsia="Times New Roman" w:hAnsi="Times New Roman"/>
          <w:sz w:val="18"/>
          <w:szCs w:val="18"/>
          <w:color w:val="auto"/>
        </w:rPr>
        <w:t>As is the case in the U.S., the various phases of preclinical and clinical research in the EU are subject to significant regulatory controls. The new Clinical Trials Regulation (Regulation (EU) No 536/2014) came into force on 31 January 2022. The new Regulation repealed the Clinical Trials Directive (EC) No. 2001/20/EC and national implementing legislation in the EU Member States, which regulated clinical trials in the EU until the Regulation's entry into application. A transition period applies to new clinical trial submissions under the Regulation. New clinical trial applications could be submitted under the Clinical Trials Directive until 30 January 2023, after which all new clinical trial applications were required to be submitted under the Regulation. Ongoing clinical trials under the Clinical Trials Directive have until 30 January 2025 to transition to the Regulation. The Regulation, provides a system for the approval of clinical studies in the European Union via a single online platform known as the Clinical Trials Information System (CTIS) for approval to run a clinical trial in several European countries, making it more efficient to carry out such multinational trials. Under this system, a single application dossier is submitted through CTIS to all Concerned Member States (CMS) where it is intended to conduct the trial. Using a harmonized format, the dossier consists of two parts, Part I contains the more scientific documents, whereas Part II contains the national documents. The review and evaluation is coordinated by one of the Member States, referred to as the Reference Member State (RMS). The Reference Member State is responsible for the evaluation of Part I whereas Part II assessment will be conducted separately by each individual CMS for its own country, including the review by the Ethics Committee. A clinical trial may only be started after the positive assessment by the RMS, and the approval by each CMS.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EEA. European regulators and ethics committees also require the submission of AE reports during a study and a copy of the final study report.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Marketing approval</w:t>
      </w:r>
    </w:p>
    <w:p>
      <w:pPr>
        <w:spacing w:after="0" w:line="229"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Marketing approvals under the EU regulatory system may be obtained through a centralized or decentralized procedure. The centralized procedure results in the grant of a single marketing authorization, which is valid for all (currently 27) EU Member States and the three European Free Trade Association (EFTA) members (Norway, Iceland and Liechtenstein).</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Pursuant to Regulation (EC) No. 726/2004, as amended, the centralized procedure is mandatory for drugs developed by means of specified biotechnological processes, advanced-therapy medicinal products, drugs for human use containing a new active substance for which the therapeutic indication is the treatment of specified diseases, including but not limited to AIDS,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8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the marketing authorization application, the applicant must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70"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preclinical studies required in specific cases, the manufacturing and control information that should be submitted in a marketing authorization application, and the post-approval measures required to monitor patients and evaluate the long-term efficacy and potential adverse reactions. Although these guidelines are not legally binding, we believe that our compliance with them is likely to be necessary to gain approval for any of our product candidates.</w:t>
      </w:r>
    </w:p>
    <w:p>
      <w:pPr>
        <w:spacing w:after="0" w:line="180"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The maximum timeframe for the evaluation of a marketing authorization application by the CHMP under the centralized procedure is 210 days after receipt of a valid application. This period will be suspended until such time as the supplementary information requested by the CHMP has been provided by the applicant. Likewise, this time limit will be suspended for the time allowed for the applicant to prepare oral or written explanations. When an application is submitted for a marketing authorization in respect of a drug that is of major interest from the viewpoint of public health and in particular therapeutic innovation, the applicant may request an accelerated assessment procedure. If the CHMP accepts such a request, the time limit of 210 days will be reduced to 150 days, but it is possible that the CHMP can revert to the standard time limit for the centralized procedure if it considers that it is no longer appropriate to conduct an accelerated assessment.</w:t>
      </w:r>
    </w:p>
    <w:p>
      <w:pPr>
        <w:spacing w:after="0" w:line="191"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If the CHMP concludes that the quality, safety and efficacy of the product are sufficiently proven, it adopts a positive opinion. This is sent to the EC, which drafts a decision within approximately 67 days following the CHMP opinion. After consulting with the Member States, the EC adopts a decision and grants a marketing authorization, which is valid for the whole of the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EMA has various programs, including accelerated assessment, conditional approval and PRIority MEdicines (PRIME), which are intended to increase agency interactions, expedite or facilitate the process for reviewing product candidates, and/or provide for initial approval on the basis of surrogate endpoints. One or more of our product candidates may qualify for some of these expedited development and review programs. However, even if a product candidate qualifies for one or more of these programs, the EMA may later decide that the product candidate no longer meets the conditions for qualification. Eligibility to the PRIME scheme is limited to products considered to offer a major therapeutic advantage in populations with high unmet need. PRIME is a voluntary scheme aimed at enhancing interaction and early dialogue with developers of promising medicines through achieving the early appointment of the Rapporteur for the product, optimizing development plans and speeding up evaluation so these medicines can reach patients earlier. Products benefiting from PRIME can expect to be eligible for accelerated assessment at the time of application for a marketing authorization application.</w:t>
      </w:r>
    </w:p>
    <w:p>
      <w:pPr>
        <w:spacing w:after="0" w:line="174"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EU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a complete independent data package benefit from 8 years of data exclusivity and an additional 2 years of market exclusivity. Data exclusivity prevents regulatory authorities in the EU from referencing the innovator’s data to assess a generic (abbreviated) application. During the additional 2-year period of market exclusivity, a generic marketing authorization can be submitted, and the innovator’s data may be referenced, but no generic medicinal product can be marketed until the expiration of the market exclusivity. The overall 10-year period will be extended to a maximum of 11 years if, during the first 8 years of those 10 years, the marketing authorization holder (MAH) obtains an authorization for one or more new therapeutic indications that, during the scientific evaluation prior to their authorization, are held to bring a significant clinical benefit in comparison with existing therapies. Even if a compound is considered to be a new chemical entity and the innovator can gain the period of data exclusivity, another company nevertheless could also market another version of the drug if such company obtained marketing authorization based on a marketing authorization application with a completely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an SPC of up to 5 years’, pursuant to Regulation (EC) No. 469/2009. Such SPCs extend the rights under the basic patent for the drug.</w:t>
      </w:r>
    </w:p>
    <w:p>
      <w:pPr>
        <w:spacing w:after="0" w:line="196" w:lineRule="exact"/>
        <w:rPr>
          <w:sz w:val="20"/>
          <w:szCs w:val="20"/>
          <w:color w:val="auto"/>
        </w:rPr>
      </w:pPr>
    </w:p>
    <w:p>
      <w:pPr>
        <w:ind w:left="60" w:right="719" w:firstLine="324"/>
        <w:spacing w:after="0" w:line="312" w:lineRule="auto"/>
        <w:rPr>
          <w:sz w:val="20"/>
          <w:szCs w:val="20"/>
          <w:color w:val="auto"/>
        </w:rPr>
      </w:pPr>
      <w:r>
        <w:rPr>
          <w:rFonts w:ascii="Times New Roman" w:cs="Times New Roman" w:eastAsia="Times New Roman" w:hAnsi="Times New Roman"/>
          <w:sz w:val="17"/>
          <w:szCs w:val="17"/>
          <w:color w:val="auto"/>
        </w:rPr>
        <w:t>In the EU, the pediatric regulation [Regulation (EC) No 1901/2006 as amended] requires sponsors to submit a pediatric investigation plan at the end of Phase 1. This plan will provide the details of the quality, non-clinical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clinical studies required to support the authorization of a pediatric indication. 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an orphan medicinal product pursuant to Regulation (EC) No. 141/2000, as amended. Instead, a medicinal product designated as an orphan medicinal product may enjoy an extension of the 10-year market exclusivity period granted under Regulation (EC) No. 141/2000 to 12 years subject to the conditions applicable to orphan drugs.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Orphan drug regulation</w:t>
      </w:r>
    </w:p>
    <w:p>
      <w:pPr>
        <w:spacing w:after="0" w:line="22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In the EU, Regulation (EC) No. 141/2000, as amended, states that a drug will be designated as an orphan drug if its sponsor can establish:</w:t>
      </w:r>
    </w:p>
    <w:p>
      <w:pPr>
        <w:spacing w:after="0" w:line="162" w:lineRule="exact"/>
        <w:rPr>
          <w:sz w:val="20"/>
          <w:szCs w:val="20"/>
          <w:color w:val="auto"/>
        </w:rPr>
      </w:pPr>
    </w:p>
    <w:p>
      <w:pPr>
        <w:ind w:left="720" w:right="439" w:hanging="319"/>
        <w:spacing w:after="0" w:line="254"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intended for the diagnosis, prevention or treatment of a life-threatening or chronically debilitating condition affecting not more than 5 in 10,000 persons in the EU when the application is made, or that it is intended for the diagnosis, prevention or treatment of a life-threatening, seriously debilitating or serious and chronic condition in the EU and that without incentives it is unlikely that the marketing of the drug in the EU would generate sufficient return to justify the necessary investment; and</w:t>
      </w:r>
    </w:p>
    <w:p>
      <w:pPr>
        <w:spacing w:after="0" w:line="187"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exists no satisfactory method of diagnosis, prevention or treatment of the condition in question that has been authorized in the EU or, if such method exists, that the drug will be of significant benefit to those affected by that condition.</w:t>
      </w:r>
    </w:p>
    <w:p>
      <w:pPr>
        <w:spacing w:after="0" w:line="1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76"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If an EU-wide community marketing authorization in respect of an orphan drug is granted or if all the EU Member States have granted marketing authorizations in accordance with the procedures for mutual recognition, the EU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6 years if, at the end of the fifth year, it is established, with respect to the drug concerned, that the criteria for orphan-drug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177" w:lineRule="exact"/>
        <w:rPr>
          <w:sz w:val="20"/>
          <w:szCs w:val="20"/>
          <w:color w:val="auto"/>
        </w:rPr>
      </w:pPr>
    </w:p>
    <w:p>
      <w:pPr>
        <w:ind w:left="720" w:right="759" w:hanging="319"/>
        <w:spacing w:after="0" w:line="282"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drug has given its consent to the second applicant;</w:t>
      </w:r>
    </w:p>
    <w:p>
      <w:pPr>
        <w:spacing w:after="0" w:line="161"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drug is unable to supply sufficient quantities of the drug; or</w:t>
      </w:r>
    </w:p>
    <w:p>
      <w:pPr>
        <w:spacing w:after="0" w:line="161"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the application that the second drug, although similar to the orphan drug already authorized, is safer, more effective or otherwise clinically superior.</w:t>
      </w:r>
    </w:p>
    <w:p>
      <w:pPr>
        <w:spacing w:after="0" w:line="162"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Other incentives available to orphan drugs in the EU include financial incentives such as a reduction of fees or fee waivers and protocol assistance. Orphan-drug designation does not shorten the duration of the regulatory review and approval process.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manufacturers’ license</w:t>
      </w:r>
    </w:p>
    <w:p>
      <w:pPr>
        <w:spacing w:after="0" w:line="22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Wholesale distribution and license</w:t>
      </w:r>
    </w:p>
    <w:p>
      <w:pPr>
        <w:spacing w:after="0" w:line="22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cGDP.</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ind w:left="60" w:right="319" w:firstLine="324"/>
        <w:spacing w:after="0" w:line="271" w:lineRule="auto"/>
        <w:rPr>
          <w:sz w:val="20"/>
          <w:szCs w:val="20"/>
          <w:color w:val="auto"/>
        </w:rPr>
      </w:pPr>
      <w:r>
        <w:rPr>
          <w:rFonts w:ascii="Times New Roman" w:cs="Times New Roman" w:eastAsia="Times New Roman" w:hAnsi="Times New Roman"/>
          <w:sz w:val="17"/>
          <w:szCs w:val="17"/>
          <w:color w:val="auto"/>
        </w:rPr>
        <w:t xml:space="preserve">In the EU, the promotion of prescription medicines is subject to intense regulation and control, including EU and national legislation as well as self-regulatory codes (industry codes). Advertising legislation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xml:space="preserve"> includes a prohibition on direct-to-consumer advertising. All advertising of prescription medicines must be consistent with the product’s approved Summary of Product Characteristics, and must be factual, accurate, balanced and not misleading. Advertising of prescription medicines pre-approval or off-label is not allowed. Some jurisdictions require that all promotional materials for prescription medicines be subjected to prior review and approval, either internal or regulatory.</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An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The obligations of an MAH include the following:</w:t>
      </w:r>
    </w:p>
    <w:p>
      <w:pPr>
        <w:spacing w:after="0" w:line="212" w:lineRule="exact"/>
        <w:rPr>
          <w:sz w:val="20"/>
          <w:szCs w:val="20"/>
          <w:color w:val="auto"/>
        </w:rPr>
      </w:pPr>
    </w:p>
    <w:p>
      <w:pPr>
        <w:ind w:left="720" w:right="179" w:hanging="319"/>
        <w:spacing w:after="0" w:line="290" w:lineRule="auto"/>
        <w:tabs>
          <w:tab w:leader="none" w:pos="7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Manufacturing and batch release</w:t>
      </w:r>
      <w:r>
        <w:rPr>
          <w:rFonts w:ascii="Times New Roman" w:cs="Times New Roman" w:eastAsia="Times New Roman" w:hAnsi="Times New Roman"/>
          <w:sz w:val="17"/>
          <w:szCs w:val="17"/>
          <w:color w:val="auto"/>
        </w:rPr>
        <w:t>—MAHs should guarantee that all manufacturing operations comply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relevant laws and regulations, applicable GMPs, and the product specifications and manufacturing conditions set out in the marketing authorization, and that each batch of product is subject to appropriate release formalities.</w:t>
      </w:r>
    </w:p>
    <w:p>
      <w:pPr>
        <w:spacing w:after="0" w:line="155" w:lineRule="exact"/>
        <w:rPr>
          <w:rFonts w:ascii="Times New Roman" w:cs="Times New Roman" w:eastAsia="Times New Roman" w:hAnsi="Times New Roman"/>
          <w:sz w:val="17"/>
          <w:szCs w:val="17"/>
          <w:color w:val="auto"/>
        </w:rPr>
      </w:pPr>
    </w:p>
    <w:p>
      <w:pPr>
        <w:ind w:left="720" w:right="79" w:hanging="319"/>
        <w:spacing w:after="0" w:line="258"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and continuous supply</w:t>
      </w:r>
      <w:r>
        <w:rPr>
          <w:rFonts w:ascii="Times New Roman" w:cs="Times New Roman" w:eastAsia="Times New Roman" w:hAnsi="Times New Roman"/>
          <w:sz w:val="18"/>
          <w:szCs w:val="18"/>
          <w:color w:val="auto"/>
        </w:rPr>
        <w:t>—Pursuant to Directive 2001/83/EC, as transposed into the national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States, the MAH for a medicinal product and the distributors of the said medicinal product actually placed on the market in a Member State shall, within the limits of their responsibilities, ensure appropriate and continued supplies of that medical product to pharmacies and persons authorized to supply medicinal products so that the needs of patients in the Member State in question are covered.</w:t>
      </w:r>
    </w:p>
    <w:p>
      <w:pPr>
        <w:spacing w:after="0" w:line="169" w:lineRule="exact"/>
        <w:rPr>
          <w:rFonts w:ascii="Times New Roman" w:cs="Times New Roman" w:eastAsia="Times New Roman" w:hAnsi="Times New Roman"/>
          <w:sz w:val="18"/>
          <w:szCs w:val="18"/>
          <w:color w:val="auto"/>
        </w:rPr>
      </w:pPr>
    </w:p>
    <w:p>
      <w:pPr>
        <w:ind w:left="720" w:right="179" w:hanging="319"/>
        <w:spacing w:after="0" w:line="267"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Pharmacovigilance</w:t>
      </w:r>
      <w:r>
        <w:rPr>
          <w:rFonts w:ascii="Times New Roman" w:cs="Times New Roman" w:eastAsia="Times New Roman" w:hAnsi="Times New Roman"/>
          <w:sz w:val="18"/>
          <w:szCs w:val="18"/>
          <w:color w:val="auto"/>
        </w:rPr>
        <w:t>—MAHs are obliged to establish and maintain a pharmacovigilance system, including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person responsible for oversight, to submit safety reports to the regulators and to comply with the good pharmacovigilance practice guidelines adopted by the EMA.</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right="199" w:hanging="319"/>
        <w:spacing w:after="0" w:line="258"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Advertising and promotion</w:t>
      </w:r>
      <w:r>
        <w:rPr>
          <w:rFonts w:ascii="Times New Roman" w:cs="Times New Roman" w:eastAsia="Times New Roman" w:hAnsi="Times New Roman"/>
          <w:sz w:val="18"/>
          <w:szCs w:val="18"/>
          <w:color w:val="auto"/>
        </w:rPr>
        <w:t>—MAHs remain responsible for all advertising and promotion of their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promotional activities by 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169" w:lineRule="exact"/>
        <w:rPr>
          <w:rFonts w:ascii="Times New Roman" w:cs="Times New Roman" w:eastAsia="Times New Roman" w:hAnsi="Times New Roman"/>
          <w:sz w:val="18"/>
          <w:szCs w:val="18"/>
          <w:color w:val="auto"/>
        </w:rPr>
      </w:pPr>
    </w:p>
    <w:p>
      <w:pPr>
        <w:ind w:left="720" w:right="159" w:hanging="319"/>
        <w:spacing w:after="0" w:line="284"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Medical affairs/scientific service</w:t>
      </w:r>
      <w:r>
        <w:rPr>
          <w:rFonts w:ascii="Times New Roman" w:cs="Times New Roman" w:eastAsia="Times New Roman" w:hAnsi="Times New Roman"/>
          <w:sz w:val="18"/>
          <w:szCs w:val="18"/>
          <w:color w:val="auto"/>
        </w:rPr>
        <w:t>—MAHs are required to disseminate scientific and medical information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medicinal products to healthcare professionals, regulators and patients.</w:t>
      </w:r>
    </w:p>
    <w:p>
      <w:pPr>
        <w:spacing w:after="0" w:line="158" w:lineRule="exact"/>
        <w:rPr>
          <w:rFonts w:ascii="Times New Roman" w:cs="Times New Roman" w:eastAsia="Times New Roman" w:hAnsi="Times New Roman"/>
          <w:sz w:val="18"/>
          <w:szCs w:val="18"/>
          <w:color w:val="auto"/>
        </w:rPr>
      </w:pPr>
    </w:p>
    <w:p>
      <w:pPr>
        <w:ind w:left="720" w:right="339" w:hanging="319"/>
        <w:spacing w:after="0" w:line="284"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representation and distributor issues</w:t>
      </w:r>
      <w:r>
        <w:rPr>
          <w:rFonts w:ascii="Times New Roman" w:cs="Times New Roman" w:eastAsia="Times New Roman" w:hAnsi="Times New Roman"/>
          <w:sz w:val="18"/>
          <w:szCs w:val="18"/>
          <w:color w:val="auto"/>
        </w:rPr>
        <w:t>—MAHs are responsible for regulatory actions or inactions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agents.</w:t>
      </w:r>
    </w:p>
    <w:p>
      <w:pPr>
        <w:spacing w:after="0" w:line="158" w:lineRule="exact"/>
        <w:rPr>
          <w:rFonts w:ascii="Times New Roman" w:cs="Times New Roman" w:eastAsia="Times New Roman" w:hAnsi="Times New Roman"/>
          <w:sz w:val="18"/>
          <w:szCs w:val="18"/>
          <w:color w:val="auto"/>
        </w:rPr>
      </w:pPr>
    </w:p>
    <w:p>
      <w:pPr>
        <w:ind w:left="720" w:right="99" w:hanging="319"/>
        <w:spacing w:after="0" w:line="256"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Preparation, filing and maintenance of the application and subsequent marketing authorization</w:t>
      </w:r>
      <w:r>
        <w:rPr>
          <w:rFonts w:ascii="Times New Roman" w:cs="Times New Roman" w:eastAsia="Times New Roman" w:hAnsi="Times New Roman"/>
          <w:sz w:val="18"/>
          <w:szCs w:val="18"/>
          <w:color w:val="auto"/>
        </w:rPr>
        <w:t>— MAHs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appropriate records, 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Pricing and reimbursement</w:t>
      </w:r>
    </w:p>
    <w:p>
      <w:pPr>
        <w:spacing w:after="0" w:line="227" w:lineRule="exact"/>
        <w:rPr>
          <w:sz w:val="20"/>
          <w:szCs w:val="20"/>
          <w:color w:val="auto"/>
        </w:rPr>
      </w:pPr>
    </w:p>
    <w:p>
      <w:pPr>
        <w:ind w:left="60" w:right="99" w:firstLine="324"/>
        <w:spacing w:after="0" w:line="251" w:lineRule="auto"/>
        <w:rPr>
          <w:sz w:val="20"/>
          <w:szCs w:val="20"/>
          <w:color w:val="auto"/>
        </w:rPr>
      </w:pPr>
      <w:r>
        <w:rPr>
          <w:rFonts w:ascii="Times New Roman" w:cs="Times New Roman" w:eastAsia="Times New Roman" w:hAnsi="Times New Roman"/>
          <w:sz w:val="18"/>
          <w:szCs w:val="18"/>
          <w:color w:val="auto"/>
        </w:rPr>
        <w:t>In the EU,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to the entry of new products are being erected and some EU countries require the completion of studies that compare the cost-effectiveness of a particular product candidate with that of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229"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or biopharmaceutical products, federal and state healthcare laws restrict certain business practices in the pharmaceutical and biopharmaceutical industries. These laws include, but are not limited to, anti-kickback, false claims, data privacy and security, and transparency statutes and regulations.</w:t>
      </w:r>
    </w:p>
    <w:p>
      <w:pPr>
        <w:spacing w:after="0" w:line="180"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and biopharmaceutical manufacturers on the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the criteria for a statutory exception or safe harbor protection. Practices involving remuneration that may be alleged to be intended to induce prescribing, purchases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0" w:lineRule="auto"/>
        <w:rPr>
          <w:sz w:val="20"/>
          <w:szCs w:val="20"/>
          <w:color w:val="auto"/>
        </w:rPr>
      </w:pPr>
      <w:r>
        <w:rPr>
          <w:rFonts w:ascii="Times New Roman" w:cs="Times New Roman" w:eastAsia="Times New Roman" w:hAnsi="Times New Roman"/>
          <w:sz w:val="18"/>
          <w:szCs w:val="18"/>
          <w:color w:val="auto"/>
        </w:rPr>
        <w:t xml:space="preserve">or recommendations may be subject to scrutiny if they do not qualify for an exception or safe harbor. Failure to meet all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healthcare-covered business, the statute has been violated. The Patient Protection and Affordable Care Act as amended by the Health Care and Education Reconciliation Act (collectively, the Health Care Reform Law),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the Health Care Reform Law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Law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95"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7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Additionally, the Health Care Reform Law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9"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Additionally, many states have similar healthcare statutes or regulations that apply to items and services reimbursed under Medicaid and other state programs, or, in several states, apply regardless of the payor. Certain states require the posting of information relating to clinical studies, and require pharmaceutical companies to implement a comprehensive compliance program that includes a limit on expenditures for, or payments to, individual medical or health professionals and to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9" w:lineRule="exact"/>
        <w:rPr>
          <w:sz w:val="20"/>
          <w:szCs w:val="20"/>
          <w:color w:val="auto"/>
        </w:rPr>
      </w:pPr>
    </w:p>
    <w:p>
      <w:pPr>
        <w:ind w:left="60" w:right="79" w:firstLine="324"/>
        <w:spacing w:after="0" w:line="265" w:lineRule="auto"/>
        <w:rPr>
          <w:sz w:val="20"/>
          <w:szCs w:val="20"/>
          <w:color w:val="auto"/>
        </w:rPr>
      </w:pPr>
      <w:r>
        <w:rPr>
          <w:rFonts w:ascii="Times New Roman" w:cs="Times New Roman" w:eastAsia="Times New Roman" w:hAnsi="Times New Roman"/>
          <w:sz w:val="17"/>
          <w:szCs w:val="17"/>
          <w:color w:val="auto"/>
        </w:rPr>
        <w:t xml:space="preserve">In addition, we may be subject to international, federal and state data privacy and security laws, regulations, rules and standards. Internationally, laws, regulations and standards in many jurisdictions, such as the GDPR, the Swiss FADP and the UK GDPR, apply broadly to the collection, use, retention, security, disclosure, transfer and other processing of personal information. At the federal level,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to seek attorneys’ fees and costs associated with pursuing federal civil actions. In addition, state laws, (such as the CCPA) govern the privacy and security of health and other personal information in certain circumstances, many of which differ from each other in significant ways and may not have the same effect, thus complicating compliance efforts. Non-compliance with these laws, regulations, rules and standards could result in significant penalties or legal liability. Although we take steps to comply with applicable laws, rules and regulations, we cannot ensure that we will not be subject to regulatory or private actions, investigations, disputes and litigation, which may include substantial fines or other legal liability for noncompliance of data privacy and security laws, rules and regulations, including in the event of a cybersecurity breach or other security incident. We could be adversely affected if legislation or regulations are expanded to require changes in our or our third-party service providers’ business practices or if governing jurisdictions interpret or implement their legislation or regulations in ways that negatively affect our business, results of operations or financial condition. See “Risk Factors— </w:t>
      </w:r>
      <w:r>
        <w:rPr>
          <w:rFonts w:ascii="Times New Roman" w:cs="Times New Roman" w:eastAsia="Times New Roman" w:hAnsi="Times New Roman"/>
          <w:sz w:val="17"/>
          <w:szCs w:val="17"/>
          <w:i w:val="1"/>
          <w:iCs w:val="1"/>
          <w:color w:val="auto"/>
        </w:rPr>
        <w:t>Changes in laws, rules,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regulations or standards relating to data privacy and security, or any actual or perceived failure by us to comply with such laws, rules, regulations and standards, or contractual or other obligations relating to data privacy and security, could have a material adverse effect on our reputation, results of operations, financial condition and cash flows.</w:t>
      </w:r>
      <w:r>
        <w:rPr>
          <w:rFonts w:ascii="Times New Roman" w:cs="Times New Roman" w:eastAsia="Times New Roman" w:hAnsi="Times New Roman"/>
          <w:sz w:val="17"/>
          <w:szCs w:val="17"/>
          <w:color w:val="auto"/>
        </w:rPr>
        <w:t>”</w:t>
      </w:r>
    </w:p>
    <w:p>
      <w:pPr>
        <w:spacing w:after="0" w:line="3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In both domestic and foreign markets, our or our collaboration partners’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91"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or biopharmaceutical companies. Additionally, third-party payors may refuse to include a particular branded drug in their formularies or otherwise restrict patient access to a branded drug when a less costly generic equivalent or another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Times New Roman" w:cs="Times New Roman" w:eastAsia="Times New Roman" w:hAnsi="Times New Roman"/>
          <w:sz w:val="17"/>
          <w:szCs w:val="17"/>
          <w:color w:val="auto"/>
        </w:rPr>
        <w:t>reimbursement from one payor does not guarantee we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68"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Furthermore, in many foreign countries, particularly the countries of the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or biopharmaceutical products. In addition, there may be importation of foreign products that compete with our own products, which could negatively impact our profitability.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the U.S., EU and other jurisdictions, there have been, and we expect there will continue to be, a number of legislative and regulatory changes to the healthcare system that could affect our future results of operations as we begin to commercialize our products directly.</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8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not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approval testing and other requirements.</w:t>
      </w:r>
    </w:p>
    <w:p>
      <w:pPr>
        <w:spacing w:after="0" w:line="187"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both the federal and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One significant example of recent legislative action is the IRA, which has been considered a scaled-back version of the Build Back Better Act. The IRA was signed into law on August 16, 2022. While the IRA is still subject to rulemaking (with more information to come via guidance documents from the responsible federal agencies), the IRA, as written, will, among other changes, give HHS the ability and authority to directly negotiate with manufacturers the price that Medicare will pay for certain high-priced drugs. The IRA will also require manufacturers of certain Part B and Part D drugs to issue to HHS rebates based on certain calculations and triggers (i.e. when drug prices increase and outpace the rate of inflation). At this time, we cannot predict the implications the IRA provisions will have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the future, there may continue to be additional proposals relating to the reform of the U.S.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cost-containment and healthcare-reform measures. Such policy actions could have a material adverse impact on our profitability.</w:t>
      </w:r>
    </w:p>
    <w:p>
      <w:pPr>
        <w:spacing w:after="0" w:line="18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Moreover, the federal Drug Supply Chain Security Act imposes new obligations on manufacturers of pharmaceutical or biopharmaceutical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that are otherwise unfit for distribution such that they would be reasonably likely to result in serious health consequences or death.</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Physician Payment Sunshine Act and transparency</w:t>
      </w:r>
    </w:p>
    <w:p>
      <w:pPr>
        <w:spacing w:after="0" w:line="229"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The Physician Payment Sunshine Act requires most pharmaceutical and biopharmaceutical manufacturers to report annually to the Secretary of Health and Human Services any and all financial arrangements, payments, or other transfers of value made by that entity to physicians and teaching hospitals. The payment information is made publicly available in a searchable format on a content management system website. Once we have an approved product,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 In addition, the Code of Ethics from the EFPIA requires certain disclosures of interactions with institutions and healthcare professionals, depending on the jurisdictions in which we operate.</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Environmental, health and safety laws and regulations</w:t>
      </w:r>
    </w:p>
    <w:p>
      <w:pPr>
        <w:spacing w:after="0" w:line="21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that legal or regulatory changes may occur in the future, they could result in, among other things, increased costs to us or the impairment of our research, development or production efforts.</w:t>
      </w:r>
    </w:p>
    <w:p>
      <w:pPr>
        <w:spacing w:after="0" w:line="186"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7" w:lineRule="exact"/>
        <w:rPr>
          <w:sz w:val="20"/>
          <w:szCs w:val="20"/>
          <w:color w:val="auto"/>
        </w:rPr>
      </w:pPr>
    </w:p>
    <w:p>
      <w:pPr>
        <w:ind w:left="60" w:right="259" w:firstLine="324"/>
        <w:spacing w:after="0" w:line="273" w:lineRule="auto"/>
        <w:rPr>
          <w:sz w:val="20"/>
          <w:szCs w:val="20"/>
          <w:color w:val="auto"/>
        </w:rPr>
      </w:pPr>
      <w:r>
        <w:rPr>
          <w:rFonts w:ascii="Times New Roman" w:cs="Times New Roman" w:eastAsia="Times New Roman" w:hAnsi="Times New Roman"/>
          <w:sz w:val="17"/>
          <w:szCs w:val="17"/>
          <w:color w:val="auto"/>
        </w:rPr>
        <w:t>We are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organized under the laws of Switzerland. We were formed as a Swiss limited liability company (</w:t>
      </w:r>
      <w:r>
        <w:rPr>
          <w:rFonts w:ascii="Times New Roman" w:cs="Times New Roman" w:eastAsia="Times New Roman" w:hAnsi="Times New Roman"/>
          <w:sz w:val="17"/>
          <w:szCs w:val="17"/>
          <w:i w:val="1"/>
          <w:iCs w:val="1"/>
          <w:color w:val="auto"/>
        </w:rPr>
        <w:t>société à responsabilité limitée</w:t>
      </w:r>
      <w:r>
        <w:rPr>
          <w:rFonts w:ascii="Times New Roman" w:cs="Times New Roman" w:eastAsia="Times New Roman" w:hAnsi="Times New Roman"/>
          <w:sz w:val="17"/>
          <w:szCs w:val="17"/>
          <w:color w:val="auto"/>
        </w:rPr>
        <w:t>) on February 13, 2003 with our registered office and domicile in Basel, Switzerland. We converted to a Swiss stock corporation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under the laws of Switzerland on August 25, 2003. Our Swiss enterprise identification number is CHE-109.878.825. Our domicile and registered office is in Ecublens, at the École Polytechnique Fédérale Lausanne (EPFL) Innovation Park Building B, 1015</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Lausanne, Vaud, Switzerland. Our common shares were admitted to trading on Nasdaq Global Market on September 23, 2016, and trade under the symbol ACIU.</w:t>
      </w:r>
    </w:p>
    <w:p>
      <w:pPr>
        <w:spacing w:after="0" w:line="16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general telephone number is (41) 21 345 91 21 and our internet address is www.acimmune.com. References to our website address do not constitute incorporation by reference of the information contained on the website, and the information contained on the website is not part of this document or any other document that we file with or furnish to the SEC. The SEC maintains an internet site that contains reports, proxy and information statements and other information regarding issuers that file electronically with the SEC, which can be found at http://www.sec.gov. Our agent for service of process in the United States is Cogency Global Inc. located at 122 East 42nd Street, 18th Floor, New York, New York 10168.</w:t>
      </w:r>
    </w:p>
    <w:p>
      <w:pPr>
        <w:spacing w:after="0" w:line="187"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Company controls a fully-owned subsidiary, AC Immune USA, Inc. (“AC Immune USA” or “Subsidiary”), which was registered and organized under the laws of Delaware, USA on May 6, 2021. The Company and its Subsidiary form the Group.</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 Company’s capital expenditures were CHF 0.8 million in 2024 with CHF 0.5 million for laboratory equipment and leasehold improvements. These investments were made to enhance our research facilities.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We do not own any real property. The table below details the sizes and uses of our leased facilities as of December 31, 2024:</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Primary Function</w:t>
            </w: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Approximate Size</w:t>
            </w:r>
          </w:p>
        </w:tc>
      </w:tr>
      <w:tr>
        <w:trPr>
          <w:trHeight w:val="198"/>
        </w:trPr>
        <w:tc>
          <w:tcPr>
            <w:tcW w:w="29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École Polytechnique Fédérale Lausanne</w:t>
            </w:r>
          </w:p>
        </w:tc>
        <w:tc>
          <w:tcPr>
            <w:tcW w:w="3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Headquarters</w:t>
            </w:r>
          </w:p>
        </w:tc>
        <w:tc>
          <w:tcPr>
            <w:tcW w:w="2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36,700 square feet</w:t>
            </w:r>
          </w:p>
        </w:tc>
      </w:tr>
      <w:tr>
        <w:trPr>
          <w:trHeight w:val="216"/>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(EPFL)</w:t>
            </w: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Innovation Park Building B,</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discovery, preclinical and</w:t>
            </w:r>
          </w:p>
        </w:tc>
        <w:tc>
          <w:tcPr>
            <w:tcW w:w="2560" w:type="dxa"/>
            <w:vAlign w:val="bottom"/>
            <w:shd w:val="clear" w:color="auto" w:fill="CCEEFF"/>
          </w:tcPr>
          <w:p>
            <w:pPr>
              <w:spacing w:after="0"/>
              <w:rPr>
                <w:sz w:val="18"/>
                <w:szCs w:val="18"/>
                <w:color w:val="auto"/>
              </w:rPr>
            </w:pPr>
          </w:p>
        </w:tc>
      </w:tr>
      <w:tr>
        <w:trPr>
          <w:trHeight w:val="248"/>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1015 Lausanne, Vaud, Switzerland</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development</w:t>
            </w:r>
          </w:p>
        </w:tc>
        <w:tc>
          <w:tcPr>
            <w:tcW w:w="2560" w:type="dxa"/>
            <w:vAlign w:val="bottom"/>
            <w:shd w:val="clear" w:color="auto" w:fill="CCEEFF"/>
          </w:tcPr>
          <w:p>
            <w:pPr>
              <w:spacing w:after="0"/>
              <w:rPr>
                <w:sz w:val="21"/>
                <w:szCs w:val="21"/>
                <w:color w:val="auto"/>
              </w:rPr>
            </w:pPr>
          </w:p>
        </w:tc>
      </w:tr>
      <w:tr>
        <w:trPr>
          <w:trHeight w:val="445"/>
        </w:trPr>
        <w:tc>
          <w:tcPr>
            <w:tcW w:w="2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Chemistry manufacturing and control</w:t>
            </w:r>
          </w:p>
        </w:tc>
        <w:tc>
          <w:tcPr>
            <w:tcW w:w="2560" w:type="dxa"/>
            <w:vAlign w:val="bottom"/>
            <w:shd w:val="clear" w:color="auto" w:fill="CCEEFF"/>
          </w:tcPr>
          <w:p>
            <w:pPr>
              <w:spacing w:after="0"/>
              <w:rPr>
                <w:sz w:val="24"/>
                <w:szCs w:val="24"/>
                <w:color w:val="auto"/>
              </w:rPr>
            </w:pPr>
          </w:p>
        </w:tc>
      </w:tr>
    </w:tbl>
    <w:p>
      <w:pPr>
        <w:spacing w:after="0" w:line="306" w:lineRule="exact"/>
        <w:rPr>
          <w:sz w:val="20"/>
          <w:szCs w:val="20"/>
          <w:color w:val="auto"/>
        </w:rPr>
      </w:pPr>
    </w:p>
    <w:p>
      <w:pPr>
        <w:ind w:left="60" w:right="379" w:firstLine="324"/>
        <w:spacing w:after="0" w:line="254" w:lineRule="auto"/>
        <w:rPr>
          <w:sz w:val="20"/>
          <w:szCs w:val="20"/>
          <w:color w:val="auto"/>
        </w:rPr>
      </w:pPr>
      <w:r>
        <w:rPr>
          <w:rFonts w:ascii="Times New Roman" w:cs="Times New Roman" w:eastAsia="Times New Roman" w:hAnsi="Times New Roman"/>
          <w:sz w:val="18"/>
          <w:szCs w:val="18"/>
          <w:color w:val="auto"/>
        </w:rPr>
        <w:t>The Innovation Park of the EPFL serves as our corporate headquarters, our research facility and laboratories. We believe that using the EPFL facilities instead of building our own infrastructure helps us to maximize the value of our research and development capital and make efficient use of our funds as we continue to build and develop our pipeline. While our presence in the United States is currently through a virtual office, we may seek office space in the future. We believe that the space of our existing facilities is sufficient to meet our current needs.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audited consolidated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including but not limited to those described under “Item 3. Key information—D. Risk factors” and elsewhere in this Annual Report.</w:t>
      </w:r>
    </w:p>
    <w:p>
      <w:pPr>
        <w:spacing w:after="0" w:line="158" w:lineRule="exact"/>
        <w:rPr>
          <w:sz w:val="20"/>
          <w:szCs w:val="20"/>
          <w:color w:val="auto"/>
        </w:rPr>
      </w:pPr>
    </w:p>
    <w:p>
      <w:pPr>
        <w:ind w:left="60" w:right="7299" w:hanging="10"/>
        <w:spacing w:after="0" w:line="503" w:lineRule="auto"/>
        <w:tabs>
          <w:tab w:leader="none" w:pos="384"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Overview</w:t>
      </w: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proceeds from our public offerings, share issuances, contract revenues from option, license and collaboration agreements and grants. We have no products approved for commercialization and have never generated any revenues from product sales. Pharmaceutical and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we have received upfront and milestone payments from our collaboration partners and certain other revenue. However, we have also incurred significant operating losses. We incurred net losses of CHF 50.9 million for the fiscal year ended December 31, 2024 and have an accumulated losses balance of CHF 368.2 million as of December 31,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collaborations and licensing agreements</w:t>
      </w:r>
    </w:p>
    <w:p>
      <w:pPr>
        <w:spacing w:after="0" w:line="216"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Since our inception, we have entered into strategic collaboration agreements with a range of partners covering a number of our product candidates. We entered into a strategic collaboration with Genentech in November 2006 (as amended in March 2009, January 2013, May 2014 and May 2015) regarding the development, manufacture and commercialization of anti-Abeta antibodies including crenezumab, and we refer to this agreement as the 2006 Agreement. On January 22, 2024, the Company announced that the development of crenezumab in the collaboration agreements with Genentech, a member of the Roche Group, was terminated. This termination became effective in April 2024. The Company regained the global rights to crenezumab in February 2025.</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June 2012, we entered into an additional strategic collaboration agreement with Genentech regarding the development, manufacture and commercialization of anti-Tau antibodies, which covers semorinemab, and we refer to this agreement as the 2012 Agreement. On January 22, 2024, the Company announced that the development of semorinemab in the collaboration agreements with Genentech was terminated. This termination became effective in April 2024. The Company regained the global rights to semorinemab in February 2025.</w:t>
      </w:r>
    </w:p>
    <w:p>
      <w:pPr>
        <w:spacing w:after="0" w:line="187"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In May 2014 (as amended in June 2022), we entered into a license and collaboration agreement with LMI (formerly Piramal Imaging SA) covering our Tau-PET Imaging tracers.</w:t>
      </w:r>
    </w:p>
    <w:p>
      <w:pPr>
        <w:spacing w:after="0" w:line="16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December 2014 (as amended in April 2016, July 2017, January 2019, November 2019, December 2022, November 2023, September 2024 and December 2024), we entered into a strategic collaboration agreement with Janssen regarding the development, manufacture and commercialization of anti-Tau active immunotherapies, which covers ACI 35.030. We expect to capitalize on Johnson &amp; Johnson’s extensive regulatory expertise and experience in developing, manufacturing and, if approved, commercializing active immunotherapies to bring ACI 35.030 to market.</w:t>
      </w:r>
    </w:p>
    <w:p>
      <w:pPr>
        <w:spacing w:after="0" w:line="18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entered into a license agreement with Lilly in December 2018 (as amended in September 2019 and March 2020) to research and develop Morphomer Tau small molecules for the treatment of AD and other neurodegenerative diseases. Under the terms of this agreement, we have completed a Phase 1 clinical study with ACI-3024. Lilly is responsible for leading and funding further clinical development for small molecule Tau aggregation inhibitors with plans to evaluate candidates in AD and NeuroOrphan tauopathies. Lilly will also retain global commercialization rights for all indications.</w:t>
      </w:r>
    </w:p>
    <w:p>
      <w:pPr>
        <w:spacing w:after="0" w:line="18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 May 2024, we entered into an exclusive option and license agreement with Takeda for our active immunotherapies targeting Abeta, including ACI-24.060. AC Immune will be responsible for completing the ABATE trial. Following option exercise and the satisfaction of customary closing conditions, Takeda would conduct and fund all further clinical development and be responsible for all global regulatory activities as well as worldwide commercialization.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Genentech, a member of the Roche Group</w:t>
      </w:r>
    </w:p>
    <w:p>
      <w:pPr>
        <w:spacing w:after="0" w:line="229"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As mentioned above, the Company announced that the development of crenezumab and semorinemab in the collaboration agreements with Genentech was terminated. These terminations became effective in April 2024 and the Company regained the global rights to crenezumab and semorinemab in February 2025.</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Anti-Abeta antibody in AD – 2006 agreement</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November 2006, we signed an exclusive, worldwide licensing agreement for crenezumab, our humanized monoclonal therapeutic antibody targeting misfolded Abeta. The agreement was amended March 2009, January 2013, May 2014 and May 2015. The collaboration agreement was terminated effective April 2024 and the Company regained the global rights to crenezumab in February 2025.</w:t>
      </w:r>
    </w:p>
    <w:p>
      <w:pPr>
        <w:spacing w:after="0" w:line="187"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have received total milestone payments of USD 65 (CHF 70.1) million comprised of an upfront payment of USD 25 (CHF 31.6) million and of USD 40 (CHF 38.2) million for clinical development milestones achieved, all prior to January 1, 2017.</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Anti-Tau antibody in AD – 2012 agreement</w:t>
      </w:r>
    </w:p>
    <w:p>
      <w:pPr>
        <w:spacing w:after="0" w:line="22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June 2012, we entered into a second agreement with Genentech to research, develop and commercialize our anti-Tau antibodies for use as immunotherapeutics and diagnostics. The agreement was amended in December 2015. This collaboration agreement was terminated effective April 2024 and the Company regained the global rights to semorinemab in February 2025.</w:t>
      </w:r>
    </w:p>
    <w:p>
      <w:pPr>
        <w:spacing w:after="0" w:line="18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have received payments totaling CHF 59 million, including a milestone payment of CHF 14 million received and recognized in Q4 2017 associated with the first patient dosing in a Phase 2 clinical trial for AD with an anti-Tau monoclonal 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Janssen Pharmaceuticals, Inc. (Janssen), a Johnson &amp; Johnson company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 Active Immunotherapy in AD – 2014 agreement</w:t>
      </w:r>
    </w:p>
    <w:p>
      <w:pPr>
        <w:spacing w:after="0" w:line="227"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In December 2014, we entered into an agreement with Janssen Pharmaceuticals, Inc. (Janssen), part of a Johnson &amp; Johnson company, to develop and commercialize therapeutic anti-Tau active immunotherapies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low-double digits to the mid-teens for the ACI-35.030 active immunotherapy program. In April 2016, July 2017, January 2019, November 2019, December 2022, November 2023, September 2024 and December 2024, the companies entered into the first, second, third, fourth, fifth, sixth, seventh and eighth amendments, respectively. These amendments allow for the alignment of certain payment and activity provisions with the Development Plan and Research Plan activities. We and Janssen have completed the co-development of the second-generation lead active immunotherapies, ACI-35.030 and JACI-35.054, through Phase 1b/2a. In November 2022, it was announced that ACI-35.030 was selected to advance into further development based on interim data from the ongoing Phase 1b/2a trial. In December 2023, it was announced that Janssen has programmed the launch of the Phase 2b clinical study to evaluate ACI-35.030/JNJ-2056 in patients with preclinical AD, those individuals not yet showing symptoms.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ACI-35.030. In July 2024, JNJ-2056 was granted Fast Track designation from the FDA, for the treatment of AD.</w:t>
      </w:r>
    </w:p>
    <w:p>
      <w:pPr>
        <w:spacing w:after="0" w:line="196"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received an upfront, non-refundable license fee of CHF 25.9 million, which we recognized as revenue in 2014. In May 2016, we received a payment of CHF 4.9 million for reaching a clinical milestone in the Phase</w:t>
      </w:r>
    </w:p>
    <w:p>
      <w:pPr>
        <w:sectPr>
          <w:pgSz w:w="11900" w:h="16838" w:orient="portrait"/>
          <w:cols w:equalWidth="0" w:num="1">
            <w:col w:w="9019"/>
          </w:cols>
          <w:pgMar w:left="1440" w:top="513" w:right="1440"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1b study. In February 2024, we received a milestone payment of CHF 14.8 million for the commencement of the first Phase 2b clinical study. In October 2024, the Company received the second ReTain-related milestone payment of CHF 24.6 million under its agreement with Janssen. This milestone payment was triggered by the rapid rate of prescreening in the potentially registrational Phase 2b ReTain trial investigating active-immunotherapy candidate ACI-35.030/JNJ-2056 to treat preclinical (pre-symptomatic) AD. The Company recognized this milestone payment as revenue because we deemed it highly probable that this milestone would be obtained and would not be subject to reversal in the future.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structure of the collaboration agreement is as follows:</w:t>
      </w:r>
    </w:p>
    <w:p>
      <w:pPr>
        <w:spacing w:after="0" w:line="212" w:lineRule="exact"/>
        <w:rPr>
          <w:sz w:val="20"/>
          <w:szCs w:val="20"/>
          <w:color w:val="auto"/>
        </w:rPr>
      </w:pPr>
    </w:p>
    <w:p>
      <w:pPr>
        <w:ind w:left="720" w:hanging="319"/>
        <w:spacing w:after="0"/>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right-of-use license.</w:t>
      </w:r>
    </w:p>
    <w:p>
      <w:pPr>
        <w:spacing w:after="0" w:line="223" w:lineRule="exact"/>
        <w:rPr>
          <w:rFonts w:ascii="Times New Roman" w:cs="Times New Roman" w:eastAsia="Times New Roman" w:hAnsi="Times New Roman"/>
          <w:sz w:val="18"/>
          <w:szCs w:val="18"/>
          <w:color w:val="auto"/>
        </w:rPr>
      </w:pPr>
    </w:p>
    <w:p>
      <w:pPr>
        <w:ind w:left="720" w:right="79" w:hanging="319"/>
        <w:spacing w:after="0" w:line="257"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milestone payments</w:t>
      </w:r>
      <w:r>
        <w:rPr>
          <w:rFonts w:ascii="Times New Roman" w:cs="Times New Roman" w:eastAsia="Times New Roman" w:hAnsi="Times New Roman"/>
          <w:sz w:val="18"/>
          <w:szCs w:val="18"/>
          <w:color w:val="auto"/>
        </w:rPr>
        <w:t>: payable upon reaching certain milestones in the Phase 1b study, commencement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Phase 2b development, upon reaching enrollment thresholds in the first Phase 2b, commencement of the first Phase 3 trial or regulatory filing of a product for AD indication based on Phase 2b data without a Phase 3 trial. In addition, for a second indication, clinical milestone payments would be payable upon commencement of a Phase 3 clinical study, which would be payable concurrently with the first regulatory milestone, if Janssen were to file for regulatory approval based on Phase 2 clinical data.</w:t>
      </w:r>
    </w:p>
    <w:p>
      <w:pPr>
        <w:spacing w:after="0" w:line="168" w:lineRule="exact"/>
        <w:rPr>
          <w:rFonts w:ascii="Times New Roman" w:cs="Times New Roman" w:eastAsia="Times New Roman" w:hAnsi="Times New Roman"/>
          <w:sz w:val="18"/>
          <w:szCs w:val="18"/>
          <w:color w:val="auto"/>
        </w:rPr>
      </w:pPr>
    </w:p>
    <w:p>
      <w:pPr>
        <w:ind w:left="720" w:right="319" w:hanging="319"/>
        <w:spacing w:after="0" w:line="261"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milestone payments</w:t>
      </w:r>
      <w:r>
        <w:rPr>
          <w:rFonts w:ascii="Times New Roman" w:cs="Times New Roman" w:eastAsia="Times New Roman" w:hAnsi="Times New Roman"/>
          <w:sz w:val="18"/>
          <w:szCs w:val="18"/>
          <w:color w:val="auto"/>
        </w:rPr>
        <w:t>: payable upon making regulatory filings in the U.S., Europe, and Japan,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In addition, for a second indication, similar regulatory milestones would be payable. For a second indication, additional regulatory milestone payments are payable by Janssen to us upon receipt of each of the regulatory approvals in the U.S., Europe and Japan.</w:t>
      </w:r>
    </w:p>
    <w:p>
      <w:pPr>
        <w:spacing w:after="0" w:line="166" w:lineRule="exact"/>
        <w:rPr>
          <w:rFonts w:ascii="Times New Roman" w:cs="Times New Roman" w:eastAsia="Times New Roman" w:hAnsi="Times New Roman"/>
          <w:sz w:val="18"/>
          <w:szCs w:val="18"/>
          <w:color w:val="auto"/>
        </w:rPr>
      </w:pPr>
    </w:p>
    <w:p>
      <w:pPr>
        <w:ind w:left="720" w:right="499" w:hanging="319"/>
        <w:spacing w:after="0" w:line="284"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Commercialization milestones</w:t>
      </w:r>
      <w:r>
        <w:rPr>
          <w:rFonts w:ascii="Times New Roman" w:cs="Times New Roman" w:eastAsia="Times New Roman" w:hAnsi="Times New Roman"/>
          <w:sz w:val="18"/>
          <w:szCs w:val="18"/>
          <w:color w:val="auto"/>
        </w:rPr>
        <w:t>: payable upon making a first commercial sale in each of the U.S., Europe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Japan, and upon achieving certain commercial milestones.</w:t>
      </w:r>
    </w:p>
    <w:p>
      <w:pPr>
        <w:spacing w:after="0" w:line="158" w:lineRule="exact"/>
        <w:rPr>
          <w:rFonts w:ascii="Times New Roman" w:cs="Times New Roman" w:eastAsia="Times New Roman" w:hAnsi="Times New Roman"/>
          <w:sz w:val="18"/>
          <w:szCs w:val="18"/>
          <w:color w:val="auto"/>
        </w:rPr>
      </w:pPr>
    </w:p>
    <w:p>
      <w:pPr>
        <w:ind w:left="720" w:right="419" w:hanging="319"/>
        <w:spacing w:after="0" w:line="267"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payable on sales, with royalty rates differing based on the level of annual sales. We may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royalties on sales at a percentage rate ranging from the low-double digits to the mid-teens for the ACI-35.030 active immunotherapy program.</w:t>
      </w:r>
    </w:p>
    <w:p>
      <w:pPr>
        <w:spacing w:after="0" w:line="175"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Janssen may terminate the agreement at any time after completion of the first Phase 1b clinical study (which was completed in 2016) by providing 90 days’ notice to us. If not otherwise terminated, the agreement shall continue until the expiration of all royalty obligations as outlined in the contract.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LMI (formerly Piramal Imaging SA)</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Tau-PET imaging agent – 2014 agreement</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May 2014 (as amended in June 2022),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152) million, plus royalties on sales at a percentage rate ranging from mid-single digits to low-teens. LMI may terminate the LCA at any time by providing 3 months’ notice to us.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structure of the collaboration agreement is as follows:</w:t>
      </w:r>
    </w:p>
    <w:p>
      <w:pPr>
        <w:spacing w:after="0" w:line="225" w:lineRule="exact"/>
        <w:rPr>
          <w:sz w:val="20"/>
          <w:szCs w:val="20"/>
          <w:color w:val="auto"/>
        </w:rPr>
      </w:pPr>
    </w:p>
    <w:p>
      <w:pPr>
        <w:ind w:left="720" w:hanging="319"/>
        <w:spacing w:after="0"/>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right-of-use license.</w:t>
      </w:r>
    </w:p>
    <w:p>
      <w:pPr>
        <w:spacing w:after="0" w:line="223" w:lineRule="exact"/>
        <w:rPr>
          <w:rFonts w:ascii="Times New Roman" w:cs="Times New Roman" w:eastAsia="Times New Roman" w:hAnsi="Times New Roman"/>
          <w:sz w:val="18"/>
          <w:szCs w:val="18"/>
          <w:color w:val="auto"/>
        </w:rPr>
      </w:pPr>
    </w:p>
    <w:p>
      <w:pPr>
        <w:jc w:val="both"/>
        <w:ind w:left="720" w:right="259" w:hanging="319"/>
        <w:spacing w:after="0" w:line="267"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milestone payments</w:t>
      </w:r>
      <w:r>
        <w:rPr>
          <w:rFonts w:ascii="Times New Roman" w:cs="Times New Roman" w:eastAsia="Times New Roman" w:hAnsi="Times New Roman"/>
          <w:sz w:val="18"/>
          <w:szCs w:val="18"/>
          <w:color w:val="auto"/>
        </w:rPr>
        <w:t>: payable upon the commencement of the Phase 1, 2 and 3 studies for generation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intended to support a regulatory submission in the U.S. or the EU. We would be entitled to further clinical milestone payments for the commencement of a Phase 2 and 3 study for a second indication.</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right="299" w:hanging="319"/>
        <w:spacing w:after="0" w:line="284"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milestone payments</w:t>
      </w:r>
      <w:r>
        <w:rPr>
          <w:rFonts w:ascii="Times New Roman" w:cs="Times New Roman" w:eastAsia="Times New Roman" w:hAnsi="Times New Roman"/>
          <w:sz w:val="18"/>
          <w:szCs w:val="18"/>
          <w:color w:val="auto"/>
        </w:rPr>
        <w:t>: payable upon acceptance of Regulatory filing (NDA) and Regulatory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Commercialization in the U.S. or the EU.</w:t>
      </w:r>
    </w:p>
    <w:p>
      <w:pPr>
        <w:spacing w:after="0" w:line="15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Commercialization milestones</w:t>
      </w:r>
      <w:r>
        <w:rPr>
          <w:rFonts w:ascii="Times New Roman" w:cs="Times New Roman" w:eastAsia="Times New Roman" w:hAnsi="Times New Roman"/>
          <w:sz w:val="18"/>
          <w:szCs w:val="18"/>
          <w:color w:val="auto"/>
        </w:rPr>
        <w:t>: tied to specific annual net sales amounts.</w:t>
      </w:r>
    </w:p>
    <w:p>
      <w:pPr>
        <w:spacing w:after="0" w:line="225" w:lineRule="exact"/>
        <w:rPr>
          <w:rFonts w:ascii="Times New Roman" w:cs="Times New Roman" w:eastAsia="Times New Roman" w:hAnsi="Times New Roman"/>
          <w:sz w:val="18"/>
          <w:szCs w:val="18"/>
          <w:color w:val="auto"/>
        </w:rPr>
      </w:pPr>
    </w:p>
    <w:p>
      <w:pPr>
        <w:ind w:left="720" w:right="619" w:hanging="319"/>
        <w:spacing w:after="0" w:line="284"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payable on sales, with royalty rates differing based on the level of annual sales. We may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royalties on sales at a percentage rate ranging from the mid-single digits to the low-teens.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Morphomer Tau small molecule – 2018 license agreement</w:t>
      </w:r>
    </w:p>
    <w:p>
      <w:pPr>
        <w:spacing w:after="0" w:line="227"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In December 2018, we entered into an exclusive, worldwide licensing agreement with Eli Lilly and Company (Lilly) to research and develop Morphomer Tau small molecules for the treatment of AD and other neurodegenerative diseases. Per the terms of the agreement, the Company received an initial upfront payment of CHF 80 million in Q1 2019 for the rights granted by the Company to Lilly. To date, the Company has completed a Phase 1 clinical study with ACI-3024.</w:t>
      </w:r>
    </w:p>
    <w:p>
      <w:pPr>
        <w:spacing w:after="0" w:line="16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187" w:lineRule="exact"/>
        <w:rPr>
          <w:sz w:val="20"/>
          <w:szCs w:val="20"/>
          <w:color w:val="auto"/>
        </w:rPr>
      </w:pPr>
    </w:p>
    <w:p>
      <w:pPr>
        <w:ind w:left="60" w:right="259" w:firstLine="324"/>
        <w:spacing w:after="0" w:line="276" w:lineRule="auto"/>
        <w:rPr>
          <w:sz w:val="20"/>
          <w:szCs w:val="20"/>
          <w:color w:val="auto"/>
        </w:rPr>
      </w:pPr>
      <w:r>
        <w:rPr>
          <w:rFonts w:ascii="Times New Roman" w:cs="Times New Roman" w:eastAsia="Times New Roman" w:hAnsi="Times New Roman"/>
          <w:sz w:val="17"/>
          <w:szCs w:val="17"/>
          <w:color w:val="auto"/>
        </w:rPr>
        <w:t>Per the terms of the agreement, the Company may become eligible to receive additional milestone payments totaling up to approximately CHF 1.9 billion. In addition to milestones, we will be eligible to receive royalties on sales at</w:t>
      </w:r>
    </w:p>
    <w:p>
      <w:pPr>
        <w:spacing w:after="0" w:line="1" w:lineRule="exact"/>
        <w:rPr>
          <w:sz w:val="20"/>
          <w:szCs w:val="20"/>
          <w:color w:val="auto"/>
        </w:rPr>
      </w:pPr>
    </w:p>
    <w:p>
      <w:pPr>
        <w:ind w:left="60" w:right="79"/>
        <w:spacing w:after="0" w:line="249" w:lineRule="auto"/>
        <w:rPr>
          <w:sz w:val="20"/>
          <w:szCs w:val="20"/>
          <w:color w:val="auto"/>
        </w:rPr>
      </w:pPr>
      <w:r>
        <w:rPr>
          <w:rFonts w:ascii="Times New Roman" w:cs="Times New Roman" w:eastAsia="Times New Roman" w:hAnsi="Times New Roman"/>
          <w:sz w:val="18"/>
          <w:szCs w:val="18"/>
          <w:color w:val="auto"/>
        </w:rPr>
        <w:t>a percentage rate ranging from the low double-digits to the mid-teens. The agreement became effective in January 2019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the EU.</w:t>
      </w:r>
    </w:p>
    <w:p>
      <w:pPr>
        <w:spacing w:after="0" w:line="19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received an initial upfront payment of CHF 80 million in February 2019. We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structure of the collaboration agreement is as follows:</w:t>
      </w:r>
    </w:p>
    <w:p>
      <w:pPr>
        <w:spacing w:after="0" w:line="223" w:lineRule="exact"/>
        <w:rPr>
          <w:sz w:val="20"/>
          <w:szCs w:val="20"/>
          <w:color w:val="auto"/>
        </w:rPr>
      </w:pPr>
    </w:p>
    <w:p>
      <w:pPr>
        <w:ind w:left="720" w:right="139" w:hanging="319"/>
        <w:spacing w:after="0" w:line="259"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i w:val="1"/>
          <w:iCs w:val="1"/>
          <w:color w:val="auto"/>
        </w:rPr>
        <w:t xml:space="preserve"> exclusive license: </w:t>
      </w:r>
      <w:r>
        <w:rPr>
          <w:rFonts w:ascii="Times New Roman" w:cs="Times New Roman" w:eastAsia="Times New Roman" w:hAnsi="Times New Roman"/>
          <w:sz w:val="18"/>
          <w:szCs w:val="18"/>
          <w:color w:val="auto"/>
        </w:rPr>
        <w:t>granted by us to Lilly under certain of our intellectual property to develop, manufacture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products containing Morphomer Tau small molecules for the treatment of AD and other neurodegenerative diseases throughout the world in any indication.</w:t>
      </w:r>
    </w:p>
    <w:p>
      <w:pPr>
        <w:spacing w:after="0" w:line="193" w:lineRule="exact"/>
        <w:rPr>
          <w:rFonts w:ascii="Times New Roman" w:cs="Times New Roman" w:eastAsia="Times New Roman" w:hAnsi="Times New Roman"/>
          <w:sz w:val="18"/>
          <w:szCs w:val="18"/>
          <w:color w:val="auto"/>
        </w:rPr>
      </w:pPr>
    </w:p>
    <w:p>
      <w:pPr>
        <w:ind w:left="720" w:right="159" w:hanging="319"/>
        <w:spacing w:after="0" w:line="268"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milestone payment</w:t>
      </w:r>
      <w:r>
        <w:rPr>
          <w:rFonts w:ascii="Times New Roman" w:cs="Times New Roman" w:eastAsia="Times New Roman" w:hAnsi="Times New Roman"/>
          <w:sz w:val="18"/>
          <w:szCs w:val="18"/>
          <w:color w:val="auto"/>
        </w:rPr>
        <w:t>s: payable upon completion of the Lilly preclinical activities period and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patient dosed in a Phase 2 and Phase 3 clinical study of a licensed product in the U.S. or the EU.</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right="299" w:hanging="319"/>
        <w:spacing w:after="0" w:line="267" w:lineRule="auto"/>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milestone payments</w:t>
      </w:r>
      <w:r>
        <w:rPr>
          <w:rFonts w:ascii="Times New Roman" w:cs="Times New Roman" w:eastAsia="Times New Roman" w:hAnsi="Times New Roman"/>
          <w:sz w:val="18"/>
          <w:szCs w:val="18"/>
          <w:color w:val="auto"/>
        </w:rPr>
        <w:t>: payable within 60 days after obtaining regulatory approval for any licensed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in the first indication and any licensed product in certain additional indications in the U.S., Europe and Japan, respectively.</w:t>
      </w:r>
    </w:p>
    <w:p>
      <w:pPr>
        <w:spacing w:after="0" w:line="17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Commercialization milestones</w:t>
      </w:r>
      <w:r>
        <w:rPr>
          <w:rFonts w:ascii="Times New Roman" w:cs="Times New Roman" w:eastAsia="Times New Roman" w:hAnsi="Times New Roman"/>
          <w:sz w:val="18"/>
          <w:szCs w:val="18"/>
          <w:color w:val="auto"/>
        </w:rPr>
        <w:t>: payable upon achieving certain commercial sales milestones.</w:t>
      </w:r>
    </w:p>
    <w:p>
      <w:pPr>
        <w:spacing w:after="0" w:line="225" w:lineRule="exact"/>
        <w:rPr>
          <w:rFonts w:ascii="Times New Roman" w:cs="Times New Roman" w:eastAsia="Times New Roman" w:hAnsi="Times New Roman"/>
          <w:sz w:val="18"/>
          <w:szCs w:val="18"/>
          <w:color w:val="auto"/>
        </w:rPr>
      </w:pPr>
    </w:p>
    <w:p>
      <w:pPr>
        <w:ind w:left="720" w:right="99" w:hanging="319"/>
        <w:spacing w:after="0" w:line="284" w:lineRule="auto"/>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payable on sales with royalty rates differing based on the level of annual sales of licensed products.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receive royalties on sales at a percentage rate ranging from the low double-digits to the mid-teens.</w:t>
      </w:r>
    </w:p>
    <w:p>
      <w:pPr>
        <w:spacing w:after="0" w:line="16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agreement will terminate by the date of expiration of the last royalty term for the last licensed product. However, under the terms of the agreement, Lilly may terminate the agreement at any time after March 31, 2020 by providing 3 months’ notice to us.</w:t>
      </w:r>
    </w:p>
    <w:p>
      <w:pPr>
        <w:spacing w:after="0" w:line="176"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We and Lilly also entered into a convertible note agreement that became effective in January 2019 for USD 50 (CHF 50.3) million from Lilly. In Q2 2019, the Convertible Note Agreement with Lilly automatically converted in line with the terms of the agreement. As a result of this conversion, 3,615,328 of our common shares were issued to Lilly. This note is now fully settled and there is no further equity or cash consideration due to Lilly thereunder.</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Takeda Pharmaceuticals, USA, Inc.</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Anti-Abeta Active Immunotherapy in AD – 2024 option and license agreement</w:t>
      </w:r>
    </w:p>
    <w:p>
      <w:pPr>
        <w:spacing w:after="0" w:line="22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In May 2024, we entered into a worldwide option and license agreement with Takeda Pharmaceuticals, USA, Inc. (Takeda) for our active immunotherapies targeting Abeta, including ACI-24.060.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 (CHF 92.3) million in May 2024 and is eligible to receive an option exercise fee and additional potential development, commercial and sales-based milestones of up to approximately USD 2.1 (CHF 1.9) billion if all related milestones are achieved over the course of the agreement. Upon commercialization, AC Immune will be entitled to receive tiered mid-to-high teens percentages royalties on worldwide net sales.</w:t>
      </w:r>
    </w:p>
    <w:p>
      <w:pPr>
        <w:spacing w:after="0" w:line="190"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Company identified the following performance obligations under the contract, in accordance with IFRS 15: (i) a license option and (ii) development, chemistry, manufacturing, and controls (“CMC”) and regulatory activities as outlined in the development and CMC plans, which are necessary to deliver the data package to Takeda. AC Immune concluded that the license option is considered a material right, as the value of the license exceeds the option exercise fee, thereby considering it a distinct performance obligation. The development, CMC, and regulatory activities are treated as one distinct performance obligation because the underlying activities are not distinguishable in the context of the contract and are inputs to an integrated development program that will generate valuable data and information for Takeda in determining whether to exercise the option.</w:t>
      </w:r>
    </w:p>
    <w:p>
      <w:pPr>
        <w:spacing w:after="0" w:line="192"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 valuation of each performance obligation involves estimates and assumptions, with the timing of revenue recognition determined by either delivery or the provision of services. In line with the allocation objective under IFRS 15, the Company allocated the USD 100.0 (CHF 92.3) million upfront payment within the transaction price to the license option and development, CMC, and regulatory activities, using the relative stand-alone selling price method. For the standalone selling price of the license option, the Company utilized an income-based approach, which included key assumptions such as the post-option development timeline and costs, revenue forecasts, discount rates, and probabilities of development and regulatory success. The standalone selling price for the development, CMC and regulatory activities was calculated using a cost-plus margin approach based on the estimated development timeline. The Company allocated the transaction price based on the relative standalone selling prices, assigning USD 87.4 (CHF 80.7) million to the license option and USD 12.6 (CHF 11.6) million to development, CMC, and regulatory activities.</w:t>
      </w:r>
    </w:p>
    <w:p>
      <w:pPr>
        <w:spacing w:after="0" w:line="176"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The Company has deferred revenue recognition for the license option and will recognize the entirety of the revenue either when the option is exercised and Takeda obtains the exclusive license, or when the option expires. The Company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will recognize revenue related to the development, CMC and regulatory performance obligation over the estimated period of completion of these obligations, using an input method reflecting the costs incurred relative to the total costs expected to be incurred.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structure of the collaboration agreement is as follows:</w:t>
      </w:r>
    </w:p>
    <w:p>
      <w:pPr>
        <w:spacing w:after="0" w:line="223" w:lineRule="exact"/>
        <w:rPr>
          <w:sz w:val="20"/>
          <w:szCs w:val="20"/>
          <w:color w:val="auto"/>
        </w:rPr>
      </w:pPr>
    </w:p>
    <w:p>
      <w:pPr>
        <w:ind w:left="720" w:hanging="319"/>
        <w:spacing w:after="0"/>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 upfront payment</w:t>
      </w:r>
      <w:r>
        <w:rPr>
          <w:rFonts w:ascii="Times New Roman" w:cs="Times New Roman" w:eastAsia="Times New Roman" w:hAnsi="Times New Roman"/>
          <w:sz w:val="18"/>
          <w:szCs w:val="18"/>
          <w:color w:val="auto"/>
        </w:rPr>
        <w:t>: for the rights granted under the agreement</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color w:val="auto"/>
        </w:rPr>
      </w:pPr>
    </w:p>
    <w:p>
      <w:pPr>
        <w:ind w:left="720" w:right="99" w:hanging="319"/>
        <w:spacing w:after="0" w:line="284"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 option exercise fee</w:t>
      </w:r>
      <w:r>
        <w:rPr>
          <w:rFonts w:ascii="Times New Roman" w:cs="Times New Roman" w:eastAsia="Times New Roman" w:hAnsi="Times New Roman"/>
          <w:sz w:val="18"/>
          <w:szCs w:val="18"/>
          <w:color w:val="auto"/>
        </w:rPr>
        <w:t>: payable if Takeda exercises the option, customary closing conditions are satisfied, and 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Immune grants Takeda an exclusive license.</w:t>
      </w:r>
    </w:p>
    <w:p>
      <w:pPr>
        <w:spacing w:after="0" w:line="158" w:lineRule="exact"/>
        <w:rPr>
          <w:rFonts w:ascii="Times New Roman" w:cs="Times New Roman" w:eastAsia="Times New Roman" w:hAnsi="Times New Roman"/>
          <w:sz w:val="18"/>
          <w:szCs w:val="18"/>
          <w:color w:val="auto"/>
        </w:rPr>
      </w:pPr>
    </w:p>
    <w:p>
      <w:pPr>
        <w:ind w:left="720" w:right="339" w:hanging="319"/>
        <w:spacing w:after="0" w:line="284"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 and commercial milestone payments</w:t>
      </w:r>
      <w:r>
        <w:rPr>
          <w:rFonts w:ascii="Times New Roman" w:cs="Times New Roman" w:eastAsia="Times New Roman" w:hAnsi="Times New Roman"/>
          <w:sz w:val="18"/>
          <w:szCs w:val="18"/>
          <w:color w:val="auto"/>
        </w:rPr>
        <w:t>: payable upon reaching certain development milestones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making a first commercial sale of a licensed product in certain territories.</w:t>
      </w:r>
    </w:p>
    <w:p>
      <w:pPr>
        <w:spacing w:after="0" w:line="158" w:lineRule="exact"/>
        <w:rPr>
          <w:rFonts w:ascii="Times New Roman" w:cs="Times New Roman" w:eastAsia="Times New Roman" w:hAnsi="Times New Roman"/>
          <w:sz w:val="18"/>
          <w:szCs w:val="18"/>
          <w:color w:val="auto"/>
        </w:rPr>
      </w:pPr>
    </w:p>
    <w:p>
      <w:pPr>
        <w:ind w:left="720" w:right="659" w:hanging="319"/>
        <w:spacing w:after="0" w:line="284"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Sales-based milestones</w:t>
      </w:r>
      <w:r>
        <w:rPr>
          <w:rFonts w:ascii="Times New Roman" w:cs="Times New Roman" w:eastAsia="Times New Roman" w:hAnsi="Times New Roman"/>
          <w:sz w:val="18"/>
          <w:szCs w:val="18"/>
          <w:color w:val="auto"/>
        </w:rPr>
        <w:t>: payable upon achieving certain annual thresholds of commercial sales of licensed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w:t>
      </w:r>
    </w:p>
    <w:p>
      <w:pPr>
        <w:spacing w:after="0" w:line="158" w:lineRule="exact"/>
        <w:rPr>
          <w:rFonts w:ascii="Times New Roman" w:cs="Times New Roman" w:eastAsia="Times New Roman" w:hAnsi="Times New Roman"/>
          <w:sz w:val="18"/>
          <w:szCs w:val="18"/>
          <w:color w:val="auto"/>
        </w:rPr>
      </w:pPr>
    </w:p>
    <w:p>
      <w:pPr>
        <w:ind w:left="720" w:right="99" w:hanging="319"/>
        <w:spacing w:after="0" w:line="284"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payable on sales with royalty rates differing based on the level of annual sales of licensed products.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receive tiered royalties on sales at a percentage rate ranging from the mid- to high-teens.</w:t>
      </w:r>
    </w:p>
    <w:p>
      <w:pPr>
        <w:spacing w:after="0" w:line="160"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Takeda may terminate the agreement at any time by providing 90 days’ notice to us. If not otherwise terminated, the agreement shall continue until Takeda decides not to exercise its license option or until the expiration of all royalty obligations as outlined in the contract.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Grants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Michael J. Fox Foundation for Parkinson’s Research</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May 2020, the Company, as part of a joint arrangement with Skåne University Hospital (Skåne) in Sweden, was awarded a USD 3.2 (CHF 3.0) million grant from the MJFF’s Ken Griffin Alpha-synuclein Imaging Competition. As part of this grant, AC Immune was eligible to receive USD 2.5 (CHF 2.3) million directly from the MJFF. Skåne was to receive USD 0.7 (CHF 0.7) million of the total grant directly from the MJFF over two years to conduct and support the clinical arm of the project. In August 2022, the Company received follow-on grant funding as part of its joint arrangement with Skåne totaling USD 0.5 (CHF 0.5) million for the continued development of its alpha-synuclein PET imaging diagnostic agent. As part of this grant, the Company received USD 0.4 (CHF 0.4) million directly from the MJFF. Skåne received USD 0.1 (CHF 0.1) million of the total grant directly from the MJFF over the duration of the grant period.</w:t>
      </w:r>
    </w:p>
    <w:p>
      <w:pPr>
        <w:spacing w:after="0" w:line="19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In December 2021, the Company announced that it had been awarded two grants totaling USD 1.5 (CHF 1.4) million to advance small molecule PD programs. One award supported an existing early-stage program to develop small molecules that can prevent intracellular aggregation and spreading of a-syn. The other award funded research on the therapeutic potential of chemically and mechanistically novel, brain penetrant small molecule inhibitors of NLRP3 inflammasome activation for the treatment of PD.</w:t>
      </w:r>
    </w:p>
    <w:p>
      <w:pPr>
        <w:spacing w:after="0" w:line="170"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announced that it had been awarded a new grant totaling USD 0.5 (CHF 0.4) million from the MJFF to support the development of its TDP-43 PET tracer program.</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Grant from the Target ALS Foundation</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Q1 2021, AC Immune was awarded a USD 0.3 (CHF 0.2) million grant from Target ALS. This grant funded a collaboration between the Company and the Investigators at the Healey Center for ALS at Massachusetts General Hospital (MGH) to accelerate the development of the Company’s proprietary immunoassays to detect disease-associated forms of TDP-43 in CSF and blood samples. The Company was awarded an additional one-year grant in December 2022</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spacing w:after="0" w:line="312" w:lineRule="auto"/>
        <w:rPr>
          <w:sz w:val="20"/>
          <w:szCs w:val="20"/>
          <w:color w:val="auto"/>
        </w:rPr>
      </w:pPr>
      <w:r>
        <w:rPr>
          <w:rFonts w:ascii="Times New Roman" w:cs="Times New Roman" w:eastAsia="Times New Roman" w:hAnsi="Times New Roman"/>
          <w:sz w:val="17"/>
          <w:szCs w:val="17"/>
          <w:color w:val="auto"/>
        </w:rPr>
        <w:t>for USD 0.1 (CHF 0.1) million to continue the project, which was completed in 2023. Subsequently, in December 2023, AC Immune was awarded another one-year grant for the same amount, USD 0.1 (CHF 0.1) million, to continue its work.</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 xml:space="preserve">IFRS 15 standard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applies to all contracts with customers, except for contracts that are within the scope of other standards, such as leases, insurance, certain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4"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Contract revenue</w:t>
      </w:r>
      <w:r>
        <w:rPr>
          <w:rFonts w:ascii="Times New Roman" w:cs="Times New Roman" w:eastAsia="Times New Roman" w:hAnsi="Times New Roman"/>
          <w:sz w:val="18"/>
          <w:szCs w:val="18"/>
          <w:color w:val="auto"/>
        </w:rPr>
        <w:t>. The Company enters into option, license and collaboration agreements (OLCAs), which are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scope of IFRS 15, under which it licenses certain proprietary rights to its 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commercialized products depending on the Company’s intellectual property. Each of these payments results in license, collaboration and other revenues, which are classified as contract revenue on the consolidated statements of income/(loss).</w:t>
      </w:r>
    </w:p>
    <w:p>
      <w:pPr>
        <w:spacing w:after="0" w:line="185"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Licenses of intellectual property</w:t>
      </w:r>
      <w:r>
        <w:rPr>
          <w:rFonts w:ascii="Times New Roman" w:cs="Times New Roman" w:eastAsia="Times New Roman" w:hAnsi="Times New Roman"/>
          <w:sz w:val="18"/>
          <w:szCs w:val="18"/>
          <w:color w:val="auto"/>
        </w:rPr>
        <w:t>. If the license to the Company’s intellectual property is determined to be distinct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90"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development, regulatory and/or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 payments, the Company evaluates whether the milestones are considered highly probable of being reached and estimates the amount to be included in the transaction price using the most likely amount method. If it is highly probable that a significant cumulative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71"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services</w:t>
      </w:r>
      <w:r>
        <w:rPr>
          <w:rFonts w:ascii="Times New Roman" w:cs="Times New Roman" w:eastAsia="Times New Roman" w:hAnsi="Times New Roman"/>
          <w:sz w:val="18"/>
          <w:szCs w:val="18"/>
          <w:color w:val="auto"/>
        </w:rPr>
        <w:t>. The Company has certain arrangements with our collaboration partners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contracting our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Sublicense revenues</w:t>
      </w:r>
      <w:r>
        <w:rPr>
          <w:rFonts w:ascii="Times New Roman" w:cs="Times New Roman" w:eastAsia="Times New Roman" w:hAnsi="Times New Roman"/>
          <w:sz w:val="18"/>
          <w:szCs w:val="18"/>
          <w:color w:val="auto"/>
        </w:rPr>
        <w:t>. The Company has certain arrangements with our collaboration partners that include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sublicensing. The Company recognizes any sublicense revenues at the point in time it is highly probable to obtain and not subject to reversal in the future.</w:t>
      </w:r>
    </w:p>
    <w:p>
      <w:pPr>
        <w:spacing w:after="0" w:line="173"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The Company receives payments and determines credit terms from its customers for its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based on billing schedules established in each contract. The timing of revenue recognition, billings and cash collections results in billed other current receivables, accrued income (contract assets), and deferred income (contract liabilities) on the consolidated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record accrued expenses for estimated costs of our research and development activities conducted by third-party service providers, which include among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expenses on the consolidated balance sheets and within research and development expenses in the consolidated statements of income/(loss). These costs are a significant component of our research and development expenses.</w:t>
      </w:r>
    </w:p>
    <w:p>
      <w:pPr>
        <w:spacing w:after="0" w:line="18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We record accrued expenses for these costs based on the estimated amount of work completed in accordance with agreements established with these third parties, which involves the following process:</w:t>
      </w:r>
    </w:p>
    <w:p>
      <w:pPr>
        <w:spacing w:after="0" w:line="162" w:lineRule="exact"/>
        <w:rPr>
          <w:sz w:val="20"/>
          <w:szCs w:val="20"/>
          <w:color w:val="auto"/>
        </w:rPr>
      </w:pPr>
    </w:p>
    <w:p>
      <w:pPr>
        <w:ind w:left="720" w:right="319" w:hanging="319"/>
        <w:spacing w:after="0" w:line="266"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costs;</w:t>
      </w:r>
    </w:p>
    <w:p>
      <w:pPr>
        <w:spacing w:after="0" w:line="17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and accruing expenses in our consolidated financial statements as of each balance sheet date based on facts and circumstances known to us at the time; and</w:t>
      </w:r>
    </w:p>
    <w:p>
      <w:pPr>
        <w:spacing w:after="0" w:line="161" w:lineRule="exact"/>
        <w:rPr>
          <w:rFonts w:ascii="Times New Roman" w:cs="Times New Roman" w:eastAsia="Times New Roman" w:hAnsi="Times New Roman"/>
          <w:sz w:val="18"/>
          <w:szCs w:val="18"/>
          <w:color w:val="auto"/>
        </w:rPr>
      </w:pPr>
    </w:p>
    <w:p>
      <w:pPr>
        <w:ind w:left="380" w:right="739" w:firstLine="21"/>
        <w:spacing w:after="0" w:line="500" w:lineRule="auto"/>
        <w:tabs>
          <w:tab w:leader="none" w:pos="73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confirming the accuracy of our estimates with selected providers and adjusting, if necessary. Examples of estimated research and development expenses that we accrue include:</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preclinical and toxicology studies and clinical studies;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investigative sites in connection with clinical studies;</w:t>
      </w:r>
    </w:p>
    <w:p>
      <w:pPr>
        <w:spacing w:after="0" w:line="225"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CMOs in connection with the production of our product candidates prior to qualifying for capitalization as inventory;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fees for consulting and related services.</w:t>
      </w:r>
    </w:p>
    <w:p>
      <w:pPr>
        <w:spacing w:after="0" w:line="225" w:lineRule="exact"/>
        <w:rPr>
          <w:sz w:val="20"/>
          <w:szCs w:val="20"/>
          <w:color w:val="auto"/>
        </w:rPr>
      </w:pPr>
    </w:p>
    <w:p>
      <w:pPr>
        <w:jc w:val="both"/>
        <w:ind w:left="60" w:right="139" w:firstLine="324"/>
        <w:spacing w:after="0" w:line="267" w:lineRule="auto"/>
        <w:rPr>
          <w:sz w:val="20"/>
          <w:szCs w:val="20"/>
          <w:color w:val="auto"/>
        </w:rPr>
      </w:pPr>
      <w:r>
        <w:rPr>
          <w:rFonts w:ascii="Times New Roman" w:cs="Times New Roman" w:eastAsia="Times New Roman" w:hAnsi="Times New Roman"/>
          <w:sz w:val="17"/>
          <w:szCs w:val="17"/>
          <w:color w:val="auto"/>
        </w:rPr>
        <w:t>We base our expense accruals related to clinical studies on our estimates of the services received and efforts expended pursuant to contracts with multiple research institutions and clinical CROs that conduct and manage clinical studies on our behalf. The financial terms of these agreements vary from contract to contract and may result in uneven payment flows.</w:t>
      </w: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Payments under some of these contracts depend on factors such as the successful enrollment of patients and the completion of clinical study milestones. Our service providers predominantly invoice us monthly in arrears for services performed. In accruing service fees, we estimate the time period over which the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To date, we have not experienced significant changes in our estimates of accrued research and development expenses after a reporting period. However, due to the nature of estimates, we may be required to make changes to our estimates in the future as we become aware of additional information about the status or conduct of our clinical studies and other research activities.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consolidated statements of income/(loss), and a corresponding adjustment to equity over the remaining vesting period.</w:t>
      </w:r>
    </w:p>
    <w:p>
      <w:pPr>
        <w:spacing w:after="0" w:line="178"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We estimate the fair value of all time-vested options as of the date of grant using the Black-Scholes option-pricing model. Key assumptions in determining the fair value of share options granted utilizing the Black-Scholes valuation method include the following:</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9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496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Method of estimation</w:t>
            </w:r>
          </w:p>
        </w:tc>
      </w:tr>
      <w:tr>
        <w:trPr>
          <w:trHeight w:val="230"/>
        </w:trPr>
        <w:tc>
          <w:tcPr>
            <w:tcW w:w="394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Estimated expected term of options</w:t>
            </w:r>
          </w:p>
        </w:tc>
        <w:tc>
          <w:tcPr>
            <w:tcW w:w="4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Simplified method</w:t>
            </w:r>
          </w:p>
        </w:tc>
      </w:tr>
      <w:tr>
        <w:trPr>
          <w:trHeight w:val="198"/>
        </w:trPr>
        <w:tc>
          <w:tcPr>
            <w:tcW w:w="3940" w:type="dxa"/>
            <w:vAlign w:val="bottom"/>
          </w:tcPr>
          <w:p>
            <w:pPr>
              <w:spacing w:after="0"/>
              <w:rPr>
                <w:sz w:val="17"/>
                <w:szCs w:val="17"/>
                <w:color w:val="auto"/>
              </w:rPr>
            </w:pPr>
          </w:p>
        </w:tc>
        <w:tc>
          <w:tcPr>
            <w:tcW w:w="4960" w:type="dxa"/>
            <w:vAlign w:val="bottom"/>
          </w:tcPr>
          <w:p>
            <w:pPr>
              <w:ind w:left="940"/>
              <w:spacing w:after="0" w:line="198" w:lineRule="exact"/>
              <w:rPr>
                <w:sz w:val="20"/>
                <w:szCs w:val="20"/>
                <w:color w:val="auto"/>
              </w:rPr>
            </w:pPr>
            <w:r>
              <w:rPr>
                <w:rFonts w:ascii="Times New Roman" w:cs="Times New Roman" w:eastAsia="Times New Roman" w:hAnsi="Times New Roman"/>
                <w:sz w:val="18"/>
                <w:szCs w:val="18"/>
                <w:color w:val="auto"/>
              </w:rPr>
              <w:t>● The Company’s actual volatility for the period</w:t>
            </w:r>
          </w:p>
        </w:tc>
      </w:tr>
      <w:tr>
        <w:trPr>
          <w:trHeight w:val="216"/>
        </w:trPr>
        <w:tc>
          <w:tcPr>
            <w:tcW w:w="3940" w:type="dxa"/>
            <w:vAlign w:val="bottom"/>
          </w:tcPr>
          <w:p>
            <w:pPr>
              <w:spacing w:after="0"/>
              <w:rPr>
                <w:sz w:val="18"/>
                <w:szCs w:val="18"/>
                <w:color w:val="auto"/>
              </w:rPr>
            </w:pPr>
          </w:p>
        </w:tc>
        <w:tc>
          <w:tcPr>
            <w:tcW w:w="4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congruent with the expected term of the underlying</w:t>
            </w:r>
          </w:p>
        </w:tc>
      </w:tr>
      <w:tr>
        <w:trPr>
          <w:trHeight w:val="234"/>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Expected volatility</w:t>
            </w:r>
          </w:p>
        </w:tc>
        <w:tc>
          <w:tcPr>
            <w:tcW w:w="4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option</w:t>
            </w: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Risk-free interest rate</w:t>
            </w:r>
          </w:p>
        </w:tc>
        <w:tc>
          <w:tcPr>
            <w:tcW w:w="4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Yields of long-dated U.S. Treasury notes</w:t>
            </w: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Expected dividends</w:t>
            </w:r>
          </w:p>
        </w:tc>
        <w:tc>
          <w:tcPr>
            <w:tcW w:w="49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Zero percent as dividends have not been paid</w:t>
            </w: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Forfeiture rates</w:t>
            </w:r>
          </w:p>
        </w:tc>
        <w:tc>
          <w:tcPr>
            <w:tcW w:w="4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Historical and expected forfeiture data</w:t>
            </w:r>
          </w:p>
        </w:tc>
      </w:tr>
    </w:tbl>
    <w:p>
      <w:pPr>
        <w:spacing w:after="0" w:line="2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We estimate the fair value of restricted share units using the market value of the common shares on the date of the award. We classify our share-based payments as equity-classified awards as they are settled in our common shares. We measure equity-classified awards at their grant date fair value and do not subsequently re-measure them. Compensation costs related to equity-classified awards are equal to the fair value of the award at grant date amortized over the vesting period of the award using the graded method. We reclassify that portion of vested awards to share premium as the awards vested.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Right-of-use assets and lease liabilities</w:t>
      </w:r>
    </w:p>
    <w:p>
      <w:pPr>
        <w:spacing w:after="0" w:line="22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applies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provides the model for lessee accounting in which all leases, other than short-term and low-value leases, are accounted for by the recognition on the consolidated balance sheet of a right-of-use asset and a lease liability, and the subsequent amortization of the right-of-use asset over the earlier of the end of the useful life or the lease term. In accordance with IFRS 16, the Company (i) does not recognize right-of-use assets and lease liabilities for leases of low value (i.e. approximate fair value of USD 5,000). For a complete discussion of accounting, see “Note 5. Right-of-use assets, long-term financial assets and lease liabilities.”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In-process research and development (IPR&amp;D) asset</w:t>
      </w:r>
    </w:p>
    <w:p>
      <w:pPr>
        <w:spacing w:after="0" w:line="229"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The Company’s acquired IPR&amp;D asset is stated at cost less any impairments. Our IPR&amp;D asset is subject to impairment testing at least annually or when there are indications that the carrying value may not be recoverable until the</w:t>
      </w:r>
    </w:p>
    <w:p>
      <w:pPr>
        <w:sectPr>
          <w:pgSz w:w="11900" w:h="16838" w:orient="portrait"/>
          <w:cols w:equalWidth="0" w:num="1">
            <w:col w:w="9019"/>
          </w:cols>
          <w:pgMar w:left="1440" w:top="513" w:right="1440"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completion of the development process. At that point, the capitalized amounts are amortized over their estimated useful life. The determination of the recoverable amounts include key estimates which are highly sensitive to, and depend upon, key assumptions.</w:t>
      </w:r>
    </w:p>
    <w:p>
      <w:pPr>
        <w:spacing w:after="0" w:line="176"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will not capitalize future development costs in respect to this IPR&amp;D asset until they meet the criteria for capitalization of research and development costs in accordance with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employee defined benefit liabilities</w:t>
      </w:r>
    </w:p>
    <w:p>
      <w:pPr>
        <w:spacing w:after="0" w:line="22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187"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highly liquid corporate bonds that have terms to maturity approximating the terms of the related liability.</w:t>
      </w:r>
    </w:p>
    <w:p>
      <w:pPr>
        <w:spacing w:after="0" w:line="18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the fair value of the plan assets is greater than the present value of the defined benefit obligation as calculated by our independent actuary, the Company accounts for the effect of the asset ceiling test under IAS 19.</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Re-measurements of the net defined benefit liability, which comprise actuarial gains and losses and the return on plan assets (excluding interest) are recognized immediately in the consolidated statements of other comprehensive income/(loss). Past service costs, including curtailment gains or losses, are recognized immediately as a split in research and development and general and administrative expenses within the operating results. Settlement gains or losses are recognized in either research and development and/or general and administrative expenses within the operating results. The Company determines the net interest expense/(income) on the net defined benefit liability for the period by applying the discount rate used to measure the defined benefit obligation at the beginning of the annual period or in case of any significant events between measurement dates to the then-net defined benefit liability, considering any changes in the net defined benefit liability during the period as a result of contributions and benefit payments. Net interest expense/(income) and other expenses related to defined benefit plans are recognized in the consolidated statements of income/(loss).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revenues</w:t>
      </w:r>
    </w:p>
    <w:p>
      <w:pPr>
        <w:spacing w:after="0" w:line="229"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Given our stage of development, we have not generated any revenue from product sales. Our contract revenues to date have been derived primarily from separate option, license and collaboration agreements on some of our product candidates in various stages of preclinical and clinical development.</w:t>
      </w:r>
    </w:p>
    <w:p>
      <w:pPr>
        <w:spacing w:after="0" w:line="176" w:lineRule="exact"/>
        <w:rPr>
          <w:sz w:val="20"/>
          <w:szCs w:val="20"/>
          <w:color w:val="auto"/>
        </w:rPr>
      </w:pPr>
    </w:p>
    <w:p>
      <w:pPr>
        <w:ind w:left="60" w:right="379" w:firstLine="324"/>
        <w:spacing w:after="0" w:line="275" w:lineRule="auto"/>
        <w:rPr>
          <w:sz w:val="20"/>
          <w:szCs w:val="20"/>
          <w:color w:val="auto"/>
        </w:rPr>
      </w:pPr>
      <w:r>
        <w:rPr>
          <w:rFonts w:ascii="Times New Roman" w:cs="Times New Roman" w:eastAsia="Times New Roman" w:hAnsi="Times New Roman"/>
          <w:sz w:val="17"/>
          <w:szCs w:val="17"/>
          <w:color w:val="auto"/>
        </w:rPr>
        <w:t>Our contract revenues have experienced fluctuations over the past three years as a result of the timing of milestone achievement and the size of each milestone payment. We expect that any revenue we generate from our collaboration agreements with each of Lilly, Janssen, LMI, Takeda and/or from any other current or future collaboration partners will fluctuate from year to year as a result of the timing and amount of milestones and other payments.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Research and development costs are expensed as incurred, and consist of salaries and benefits, laboratory supplies, materials, intellectual property, facility and information technology (IT) costs, as well as fees paid to other non-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employees and entities that conduct certain research and development activities on our behalf and all other allocated expenses. Amounts incurred in connection with option, license and collaboration agreements are also included in research and development expense. Payments made prior to the receipt of goods or services to be used in research and development are capitalized until those goods or services are received.</w:t>
      </w:r>
    </w:p>
    <w:p>
      <w:pPr>
        <w:spacing w:after="0" w:line="18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We accrue and expense clinical trial activities performed by third parties based upon actual work completed in accordance with agreements established with clinical CROs and clinical sites. We determine the actual costs through monitoring patient enrollment and discussions with internal personnel and external service providers as to the progress or stage of completion of trials or services and the agreed-upon fee to be paid for such services.</w:t>
      </w:r>
    </w:p>
    <w:p>
      <w:pPr>
        <w:spacing w:after="0" w:line="187"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Manufacturing start-up costs are a component of research and development expenses. Additionally, manufacturing costs incurred after regulatory approval but in connection with significant changes and/or enhancements to the approved manufacturing process are recorded as research and development expenses. We accrue and expense the manufacturing activities performed by third parties based upon actual work completed in accordance with agreements established with contract manufacturers.</w:t>
      </w:r>
    </w:p>
    <w:p>
      <w:pPr>
        <w:spacing w:after="0" w:line="17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investment in research and development activities, including the clinical development of our product candidates has historically been, and is projected to be, more than 75% of our total annual operating costs. Research and development expenses represent costs incurred to conduct research, such as the discovery and development of our product candidates, as well as development of new product candidates from our SupraAntigen and Morphomer platforms and the development of product candidates pursuant to our collaboration agreements with Lilly, Janssen, LMI and Takeda. We recognize all research and development costs as they are incurred. Clinical study costs, contract manufacturing and other development costs incurred by third parties are expensed as the contracted work is performed. At present, most of our research activities comprise three major areas:</w:t>
      </w:r>
    </w:p>
    <w:p>
      <w:pPr>
        <w:spacing w:after="0" w:line="178" w:lineRule="exact"/>
        <w:rPr>
          <w:sz w:val="20"/>
          <w:szCs w:val="20"/>
          <w:color w:val="auto"/>
        </w:rPr>
      </w:pPr>
    </w:p>
    <w:p>
      <w:pPr>
        <w:ind w:left="720" w:hanging="319"/>
        <w:spacing w:after="0"/>
        <w:tabs>
          <w:tab w:leader="none" w:pos="7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non-AD NDD including PD, ALS and NeuroOrphan indications;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diagnostics.</w:t>
      </w:r>
    </w:p>
    <w:p>
      <w:pPr>
        <w:spacing w:after="0" w:line="225"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increase in the future and expect to fund a broader number of projects, which will impact our research strategy in four key ways:</w:t>
      </w:r>
    </w:p>
    <w:p>
      <w:pPr>
        <w:spacing w:after="0" w:line="162" w:lineRule="exact"/>
        <w:rPr>
          <w:sz w:val="20"/>
          <w:szCs w:val="20"/>
          <w:color w:val="auto"/>
        </w:rPr>
      </w:pPr>
    </w:p>
    <w:p>
      <w:pPr>
        <w:ind w:left="720" w:right="739" w:hanging="319"/>
        <w:spacing w:after="0" w:line="282" w:lineRule="auto"/>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undertake later-stage research and development for certain of our product candidates and, if approved, to take some of those product candidates into commercialization;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allocate more funding to existing programs to advance the development of these programs;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increase our research and development efforts on non-AD indications including NeuroOrphans and diagnostics; and</w:t>
      </w:r>
    </w:p>
    <w:p>
      <w:pPr>
        <w:spacing w:after="0" w:line="16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initiate a number of new research initiatives that are complementary to our existing and planned research initiatives.</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expect that our total future research and development costs will increase over current levels in line with our three-pillar strategy that focuses on (i) AD, (ii) focused non-AD NDD including PD, ALS and NeuroOrphan indications and (iii) diagnostics.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 We continue to incur additional expenses as a result of operating as a public company, including expenses related to compliance with the rules and regulations of the SEC, and those of any national securities exchange on which our securities are traded (Nasdaq), additional insurance expenses, investor relations activities and other administrative and professional services.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 net</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income/(expense) consists primarily of income associated with foundation grants such as those from the MJFF or Target ALS.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Finance result, net</w:t>
      </w:r>
    </w:p>
    <w:p>
      <w:pPr>
        <w:spacing w:after="0" w:line="229" w:lineRule="exact"/>
        <w:rPr>
          <w:sz w:val="20"/>
          <w:szCs w:val="20"/>
          <w:color w:val="auto"/>
        </w:rPr>
      </w:pPr>
    </w:p>
    <w:p>
      <w:pPr>
        <w:jc w:val="both"/>
        <w:ind w:left="60" w:right="619" w:firstLine="324"/>
        <w:spacing w:after="0" w:line="312" w:lineRule="auto"/>
        <w:rPr>
          <w:sz w:val="20"/>
          <w:szCs w:val="20"/>
          <w:color w:val="auto"/>
        </w:rPr>
      </w:pPr>
      <w:r>
        <w:rPr>
          <w:rFonts w:ascii="Times New Roman" w:cs="Times New Roman" w:eastAsia="Times New Roman" w:hAnsi="Times New Roman"/>
          <w:sz w:val="17"/>
          <w:szCs w:val="17"/>
          <w:color w:val="auto"/>
        </w:rPr>
        <w:t>Financial income and expenses include bank fees associated with charges levied by banks on foreign payments, interest income and expense associated with our cash balances and interest expense associated with lease liabilities.</w:t>
      </w:r>
    </w:p>
    <w:p>
      <w:pPr>
        <w:spacing w:after="0" w:line="12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Exchange differences consist of foreign exchange transactions and re-measurement gains and losses that arise from our cash being held in currency other than Swiss Francs, certain collaboration agreements such as the collaboration agreements with LMI or Takeda being denominated in currencies other than Swiss Francs, and selected purchases, which we effect in foreign currencies.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AC Immune is subject to corporate Swiss federal, cantonal and communal taxation, respectively, in Switzerland, Canton of Vaud, Commune of Ecublens, near Lausanne. We are also subject to taxation in other jurisdictions in which we operate, in particular, the United States where our wholly-owned subsidiary is incorporated.</w:t>
      </w:r>
    </w:p>
    <w:p>
      <w:pPr>
        <w:spacing w:after="0" w:line="162"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are entitled under Swiss laws to carry forward any losses incurred for a period of 7 years and can offset our losses carried forward against future taxes. As of December 31, 2024, we had tax loss carry-forwards totaling CHF 343.6 million (provisional amount; tax loss is definitively recognized by Swiss tax authorities once set-off against taxable income). There is no certainty that we will make sufficient profits to be able to utilize these tax loss carry-forwards in full.</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effective corporate income tax rate (federal, cantonal and communal) where we are domiciled is currently 13.6%.</w:t>
      </w:r>
    </w:p>
    <w:p>
      <w:pPr>
        <w:spacing w:after="0" w:line="225"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As of January 1, 2020, the Company may request for 2020 and future tax years a tax relief of 60%, which would be applied to income from patents and similar rights at the communal and cantonal levels. This relief would first require the reintegration of all expensed and deducted research and development costs related to the concerned patents and similar rights for consideration in our taxable results from the prior ten years. The Company has not currently made any decision to enter this patent box system. Additionally, a “super-deduction” may be granted for payroll and other expenses of research and development of Swiss origins.</w:t>
      </w:r>
    </w:p>
    <w:p>
      <w:pPr>
        <w:spacing w:after="0" w:line="18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However, the aforementioned tax relief based on the patent box and deductions for research and development may not exceed 50% of the overall taxable profit before these tax relief and deductions.</w:t>
      </w:r>
    </w:p>
    <w:p>
      <w:pPr>
        <w:spacing w:after="0" w:line="16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corporate income tax, the corporate capital is taxed at a rate of 0.1305% (cantonal and communal tax only, as there is no federal tax on capital).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Value added tax (VAT) is charged on all qualifying goods and services supplied by VAT-registered businesses. Rates vary based on category, but the Company applies a standard rate of 8.1% since January 1, 2024 on the value of the goods or services to all sales invoices, which is payable to the Swiss tax authorities. Similarly, VAT paid on purchase invoices is reclaimable from the Swiss tax authorities.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The numbers below have been derived from our audited consolidated financial statements included elsewhere in this Annual Report. The discussion below should be read along with these consolidated financial statements and it is qualified in its entirety by reference to them.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revenue</w:t>
      </w:r>
    </w:p>
    <w:p>
      <w:pPr>
        <w:spacing w:after="0" w:line="229"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AC Immune generated CHF 27.3 million in contract revenues compared with CHF 14.8 million for the comparable period in 2023. This represents an increase of CHF 12.5 million. The following table summarizes our contract revenues during the years ended December 31, 2024 and 2023:</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6"/>
                <w:szCs w:val="16"/>
                <w:color w:val="auto"/>
              </w:rPr>
            </w:pPr>
          </w:p>
        </w:tc>
      </w:tr>
      <w:tr>
        <w:trPr>
          <w:trHeight w:val="189"/>
        </w:trPr>
        <w:tc>
          <w:tcPr>
            <w:tcW w:w="602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8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27,309</w:t>
            </w:r>
          </w:p>
        </w:tc>
        <w:tc>
          <w:tcPr>
            <w:tcW w:w="2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14,801</w:t>
            </w: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w:t>
            </w:r>
          </w:p>
        </w:tc>
      </w:tr>
      <w:tr>
        <w:trPr>
          <w:trHeight w:val="22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27,309</w:t>
            </w:r>
          </w:p>
        </w:tc>
        <w:tc>
          <w:tcPr>
            <w:tcW w:w="240" w:type="dxa"/>
            <w:vAlign w:val="bottom"/>
          </w:tcPr>
          <w:p>
            <w:pPr>
              <w:spacing w:after="0"/>
              <w:rPr>
                <w:sz w:val="19"/>
                <w:szCs w:val="19"/>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14,801</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12,508</w:t>
            </w:r>
          </w:p>
        </w:tc>
      </w:tr>
    </w:tbl>
    <w:p>
      <w:pPr>
        <w:spacing w:after="0" w:line="225"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Our contract revenues experience fluctuations as a result of securing new collaboration agreements, the timing of milestone achievements and the size of each milestone payment.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 ended December 31, 2024, our contract revenues of CHF 27.3 million were related to:</w:t>
      </w:r>
    </w:p>
    <w:p>
      <w:pPr>
        <w:spacing w:after="0" w:line="225" w:lineRule="exact"/>
        <w:rPr>
          <w:sz w:val="20"/>
          <w:szCs w:val="20"/>
          <w:color w:val="auto"/>
        </w:rPr>
      </w:pPr>
    </w:p>
    <w:p>
      <w:pPr>
        <w:ind w:left="1100" w:right="299" w:hanging="334"/>
        <w:spacing w:after="0" w:line="261" w:lineRule="auto"/>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the second ReTain-related milestone payment of CHF 24.6 million under the agreement with Janssen. This milestone payment was triggered by the rapid rate of prescreening in the potentially registrational Phase 2b ReTain trial investigating active-immunotherapy candidate ACI-35.030 to treat preclinical AD; and</w:t>
      </w:r>
    </w:p>
    <w:p>
      <w:pPr>
        <w:spacing w:after="0" w:line="166" w:lineRule="exact"/>
        <w:rPr>
          <w:rFonts w:ascii="Times New Roman" w:cs="Times New Roman" w:eastAsia="Times New Roman" w:hAnsi="Times New Roman"/>
          <w:sz w:val="18"/>
          <w:szCs w:val="18"/>
          <w:color w:val="auto"/>
        </w:rPr>
      </w:pPr>
    </w:p>
    <w:p>
      <w:pPr>
        <w:ind w:left="1100" w:hanging="334"/>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made under the agreement with Takeda for the development, CMC, and regulatory activities.</w:t>
      </w:r>
    </w:p>
    <w:p>
      <w:pPr>
        <w:spacing w:after="0" w:line="225"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our contract revenues of CHF 14.8 million were related to the commencement of the first Phase 2b clinical study of ACI-35.056 per our agreement with Janssen.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agreements have different agreements to share costs for the development of our product candidates.</w:t>
      </w:r>
    </w:p>
    <w:p>
      <w:pPr>
        <w:spacing w:after="0" w:line="18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have completed our co-development costs with Janssen for the Phase 1b/2a studies for our active immunotherapy, ACI-35.030 and JACI-35.054. AC Immune and Janssen will jointly share research and development costs for the first Phase 2b (however, AC Immune’s contribution to the first Phase 2b trial is capped (and remaining costs for AC Immune are non-material). From Phase 2b and onwards, Janssen will assume responsibility for the clinical development, manufacturing and commercialization.</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We intend to increase our R&amp;D costs associated with the advancement of our active immunotherapies, ACI-24.060 targeting Abeta in AD and AD in DS and ACI-7104.056 targeting a-syn in PD, through mid- and late-stage clinical development, as well as through investments in our diagnostic programs.</w:t>
      </w:r>
    </w:p>
    <w:p>
      <w:pPr>
        <w:spacing w:after="0" w:line="176" w:lineRule="exact"/>
        <w:rPr>
          <w:sz w:val="20"/>
          <w:szCs w:val="20"/>
          <w:color w:val="auto"/>
        </w:rPr>
      </w:pPr>
    </w:p>
    <w:p>
      <w:pPr>
        <w:jc w:val="both"/>
        <w:ind w:left="60" w:right="259" w:firstLine="324"/>
        <w:spacing w:after="0" w:line="257" w:lineRule="auto"/>
        <w:rPr>
          <w:sz w:val="20"/>
          <w:szCs w:val="20"/>
          <w:color w:val="auto"/>
        </w:rPr>
      </w:pPr>
      <w:r>
        <w:rPr>
          <w:rFonts w:ascii="Times New Roman" w:cs="Times New Roman" w:eastAsia="Times New Roman" w:hAnsi="Times New Roman"/>
          <w:sz w:val="18"/>
          <w:szCs w:val="18"/>
          <w:color w:val="auto"/>
        </w:rPr>
        <w:t>Finally, we intend to further advance the characterization of our other clinical and preclinical candidates, such as our Morphomer Tau program. In addition to the collaborative arrangements and proprietarily held assets, we expect that our total future R&amp;D costs will increase over current levels, in line with our three-pillar strategy that focuses on (i) AD,</w:t>
      </w:r>
    </w:p>
    <w:p>
      <w:pPr>
        <w:ind w:left="320" w:hanging="270"/>
        <w:spacing w:after="0" w:line="238" w:lineRule="auto"/>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 PD and non-AD neurodegenerative diseases, including NeuroOrphan indications and LATE and</w:t>
      </w:r>
    </w:p>
    <w:p>
      <w:pPr>
        <w:ind w:left="360" w:hanging="310"/>
        <w:spacing w:after="0"/>
        <w:tabs>
          <w:tab w:leader="none" w:pos="3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diagnostics.</w:t>
      </w:r>
    </w:p>
    <w:p>
      <w:pPr>
        <w:spacing w:after="0" w:line="20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table below provides a breakdown of our research and development costs, including direct research and development costs, manufacturing costs related to research and development and other research and development costs not allocated directly to programs for the periods covered by this Annual Report. The research and development costs not allocated to specific programs include employment costs, regulatory, QA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research and development programs.</w:t>
      </w:r>
    </w:p>
    <w:p>
      <w:pPr>
        <w:spacing w:after="0" w:line="187"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research and development expenses totaled CHF 62.6 million compared with CHF 54.6 million for the comparable period in 2023. This represents an increase of CHF 8.0 million. The following table presents the research and development expenses during the years ended December 31, 2024 and 2023:</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Detailed research and development expenditures by major development category</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Borders>
              <w:top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3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 w:type="dxa"/>
            <w:vAlign w:val="bottom"/>
          </w:tcPr>
          <w:p>
            <w:pPr>
              <w:spacing w:after="0"/>
              <w:rPr>
                <w:sz w:val="19"/>
                <w:szCs w:val="19"/>
                <w:color w:val="auto"/>
              </w:rPr>
            </w:pPr>
          </w:p>
        </w:tc>
      </w:tr>
      <w:tr>
        <w:trPr>
          <w:trHeight w:val="230"/>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Clinical expenses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19,850</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11,095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20" w:type="dxa"/>
            <w:vAlign w:val="bottom"/>
          </w:tcPr>
          <w:p>
            <w:pPr>
              <w:spacing w:after="0"/>
              <w:rPr>
                <w:sz w:val="19"/>
                <w:szCs w:val="19"/>
                <w:color w:val="auto"/>
              </w:rPr>
            </w:pPr>
          </w:p>
        </w:tc>
      </w:tr>
      <w:tr>
        <w:trPr>
          <w:trHeight w:val="230"/>
        </w:trPr>
        <w:tc>
          <w:tcPr>
            <w:tcW w:w="65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function expenses</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19"/>
                <w:szCs w:val="19"/>
                <w:color w:val="auto"/>
              </w:rPr>
            </w:pPr>
          </w:p>
        </w:tc>
      </w:tr>
      <w:tr>
        <w:trPr>
          <w:trHeight w:val="263"/>
        </w:trPr>
        <w:tc>
          <w:tcPr>
            <w:tcW w:w="652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 R&amp;D expenses</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23,575</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20" w:type="dxa"/>
            <w:vAlign w:val="bottom"/>
          </w:tcPr>
          <w:p>
            <w:pPr>
              <w:spacing w:after="0"/>
              <w:rPr>
                <w:sz w:val="22"/>
                <w:szCs w:val="22"/>
                <w:color w:val="auto"/>
              </w:rPr>
            </w:pPr>
          </w:p>
        </w:tc>
      </w:tr>
      <w:tr>
        <w:trPr>
          <w:trHeight w:val="210"/>
        </w:trPr>
        <w:tc>
          <w:tcPr>
            <w:tcW w:w="65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expenses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18"/>
                <w:szCs w:val="18"/>
                <w:color w:val="auto"/>
              </w:rPr>
            </w:pPr>
          </w:p>
        </w:tc>
      </w:tr>
      <w:tr>
        <w:trPr>
          <w:trHeight w:val="230"/>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9"/>
                <w:szCs w:val="19"/>
                <w:color w:val="auto"/>
              </w:rPr>
            </w:pPr>
          </w:p>
        </w:tc>
      </w:tr>
      <w:tr>
        <w:trPr>
          <w:trHeight w:val="229"/>
        </w:trPr>
        <w:tc>
          <w:tcPr>
            <w:tcW w:w="65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non-allocated</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9"/>
                <w:szCs w:val="19"/>
                <w:color w:val="auto"/>
              </w:rPr>
            </w:pPr>
          </w:p>
        </w:tc>
      </w:tr>
      <w:tr>
        <w:trPr>
          <w:trHeight w:val="223"/>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6"/>
                <w:szCs w:val="16"/>
                <w:color w:val="auto"/>
              </w:rPr>
            </w:pPr>
          </w:p>
        </w:tc>
        <w:tc>
          <w:tcPr>
            <w:tcW w:w="66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6340" w:type="dxa"/>
            <w:vAlign w:val="bottom"/>
            <w:tcBorders>
              <w:top w:val="single" w:sz="8" w:color="auto"/>
            </w:tcBorders>
            <w:gridSpan w:val="3"/>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40,163</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33,198</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0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Salaries and related costs</w:t>
            </w:r>
            <w:r>
              <w:rPr>
                <w:rFonts w:ascii="Times New Roman" w:cs="Times New Roman" w:eastAsia="Times New Roman" w:hAnsi="Times New Roman"/>
                <w:sz w:val="26"/>
                <w:szCs w:val="26"/>
                <w:color w:val="auto"/>
                <w:vertAlign w:val="superscript"/>
              </w:rPr>
              <w:t>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22,407</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Includes depreciation expenses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Includes share-based compensation</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2024:</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Discovery and preclinical expenses decreased by CHF 1.8 million, primarily due to:</w:t>
      </w:r>
    </w:p>
    <w:p>
      <w:pPr>
        <w:spacing w:after="0" w:line="239" w:lineRule="exact"/>
        <w:rPr>
          <w:sz w:val="20"/>
          <w:szCs w:val="20"/>
          <w:color w:val="auto"/>
        </w:rPr>
      </w:pPr>
    </w:p>
    <w:p>
      <w:pPr>
        <w:ind w:left="720" w:right="199" w:hanging="319"/>
        <w:spacing w:after="0" w:line="297" w:lineRule="auto"/>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pre-clinical TOX studies in the TDP-43 monoclonal antibody, lower spending in PET imaging programs, and our strategic focus on advancing clinical-stage programs. As a result, a greater</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159"/>
        <w:spacing w:after="0" w:line="313" w:lineRule="auto"/>
        <w:rPr>
          <w:sz w:val="20"/>
          <w:szCs w:val="20"/>
          <w:color w:val="auto"/>
        </w:rPr>
      </w:pPr>
      <w:r>
        <w:rPr>
          <w:rFonts w:ascii="Times New Roman" w:cs="Times New Roman" w:eastAsia="Times New Roman" w:hAnsi="Times New Roman"/>
          <w:sz w:val="18"/>
          <w:szCs w:val="18"/>
          <w:color w:val="auto"/>
        </w:rPr>
        <w:t>proportion of our resources was allocated to clinical development activities rather than discovery and pre-clinical activities.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Clinical expenses increased by CHF 8.8 million, primarily due to:</w:t>
      </w:r>
    </w:p>
    <w:p>
      <w:pPr>
        <w:spacing w:after="0" w:line="225" w:lineRule="exact"/>
        <w:rPr>
          <w:sz w:val="20"/>
          <w:szCs w:val="20"/>
          <w:color w:val="auto"/>
        </w:rPr>
      </w:pPr>
    </w:p>
    <w:p>
      <w:pPr>
        <w:ind w:left="720" w:right="139" w:hanging="319"/>
        <w:spacing w:after="0" w:line="266" w:lineRule="auto"/>
        <w:tabs>
          <w:tab w:leader="none" w:pos="7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7.2 million in our ACI-24.060 active immunotherapy for expansion of the ABATE study, an increase of CHF 2.1 million attributed to the ramp-up of activities for our Phase 2 VacSYn study evaluating ACI-7104.056 in early PD and an increase of CHF 0.3 million in other clinical programs.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720" w:right="179" w:hanging="319"/>
        <w:spacing w:after="0" w:line="282"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0.8 million for the clinical development of ACI-35.030 driven by the completion of the Phase 1b/2a and the advancement into Phase 2b, where the costs are borne by Janssen.</w:t>
      </w:r>
    </w:p>
    <w:p>
      <w:pPr>
        <w:spacing w:after="0" w:line="16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intellectual property and other non-allocated costs across various cost centers.</w:t>
      </w:r>
    </w:p>
    <w:p>
      <w:pPr>
        <w:spacing w:after="0" w:line="162"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Total salaries and related costs increased by CHF 1.0 million, primarily due to the annualization of 2023 hires and additional new hires during the year, which resulted in an increase in salary- and benefit-related costs of CHF 0.7 million, and CHF 0.3 million in share-based compensation expense.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decrease in other non-allocated expenses relates to certain non-allocated functional expenses.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including share-based compensation, professional fees such as legal and accounting related services, infrastructure expenses, and other operating expenses.</w:t>
      </w:r>
    </w:p>
    <w:p>
      <w:pPr>
        <w:spacing w:after="0" w:line="162"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general and administrative expenses totaled CHF 17.3 million compared with CHF 15.3 million for the comparable period in 2023. This represents an increase of CHF 2.0 million. The following table presents the general and administrative expenses during the years ended December 31, 2024 and 2023:</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60" w:type="dxa"/>
            <w:vAlign w:val="bottom"/>
          </w:tcPr>
          <w:p>
            <w:pPr>
              <w:spacing w:after="0"/>
              <w:rPr>
                <w:sz w:val="16"/>
                <w:szCs w:val="16"/>
                <w:color w:val="auto"/>
              </w:rPr>
            </w:pPr>
          </w:p>
        </w:tc>
      </w:tr>
      <w:tr>
        <w:trPr>
          <w:trHeight w:val="194"/>
        </w:trPr>
        <w:tc>
          <w:tcPr>
            <w:tcW w:w="22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6"/>
                <w:szCs w:val="16"/>
                <w:color w:val="auto"/>
              </w:rPr>
            </w:pPr>
          </w:p>
        </w:tc>
      </w:tr>
      <w:tr>
        <w:trPr>
          <w:trHeight w:val="189"/>
        </w:trPr>
        <w:tc>
          <w:tcPr>
            <w:tcW w:w="2240" w:type="dxa"/>
            <w:vAlign w:val="bottom"/>
          </w:tcPr>
          <w:p>
            <w:pPr>
              <w:spacing w:after="0"/>
              <w:rPr>
                <w:sz w:val="16"/>
                <w:szCs w:val="16"/>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340" w:type="dxa"/>
            <w:vAlign w:val="bottom"/>
            <w:tcBorders>
              <w:top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30"/>
        </w:trPr>
        <w:tc>
          <w:tcPr>
            <w:tcW w:w="652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Salaries and related costs</w:t>
            </w:r>
            <w:r>
              <w:rPr>
                <w:rFonts w:ascii="Times New Roman" w:cs="Times New Roman" w:eastAsia="Times New Roman" w:hAnsi="Times New Roman"/>
                <w:sz w:val="26"/>
                <w:szCs w:val="26"/>
                <w:color w:val="auto"/>
                <w:vertAlign w:val="superscript"/>
              </w:rPr>
              <w:t>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23"/>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0"/>
        </w:trPr>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Includes depreciation expenses</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Includes share-based compensation</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 ended December 31, 2024, this increase is primarily due to:</w:t>
      </w:r>
    </w:p>
    <w:p>
      <w:pPr>
        <w:spacing w:after="0" w:line="225" w:lineRule="exact"/>
        <w:rPr>
          <w:sz w:val="20"/>
          <w:szCs w:val="20"/>
          <w:color w:val="auto"/>
        </w:rPr>
      </w:pPr>
    </w:p>
    <w:p>
      <w:pPr>
        <w:ind w:left="1040" w:right="439" w:hanging="315"/>
        <w:spacing w:after="0" w:line="282" w:lineRule="auto"/>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1.1 million in operating expenses, predominantly due to a rise in legal fees related to business development and licensing activities; and</w:t>
      </w:r>
    </w:p>
    <w:p>
      <w:pPr>
        <w:spacing w:after="0" w:line="161" w:lineRule="exact"/>
        <w:rPr>
          <w:rFonts w:ascii="Times New Roman" w:cs="Times New Roman" w:eastAsia="Times New Roman" w:hAnsi="Times New Roman"/>
          <w:sz w:val="18"/>
          <w:szCs w:val="18"/>
          <w:color w:val="auto"/>
        </w:rPr>
      </w:pPr>
    </w:p>
    <w:p>
      <w:pPr>
        <w:ind w:left="1040" w:right="259" w:hanging="315"/>
        <w:spacing w:after="0" w:line="312" w:lineRule="auto"/>
        <w:tabs>
          <w:tab w:leader="none" w:pos="10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CHF 0.9 million in salaries and related costs, mainly due to new hires during the year, which resulted in an increase in salary- and benefit-related costs of CHF 0.5 million. Additionally, there was an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spacing w:after="0" w:line="282" w:lineRule="auto"/>
        <w:rPr>
          <w:sz w:val="20"/>
          <w:szCs w:val="20"/>
          <w:color w:val="auto"/>
        </w:rPr>
      </w:pPr>
      <w:r>
        <w:rPr>
          <w:rFonts w:ascii="Times New Roman" w:cs="Times New Roman" w:eastAsia="Times New Roman" w:hAnsi="Times New Roman"/>
          <w:sz w:val="18"/>
          <w:szCs w:val="18"/>
          <w:color w:val="auto"/>
        </w:rPr>
        <w:t>incremental CHF 0.4 million in share-based compensation expense, mainly driven by the higher fair value of equity awards granted in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 net</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other operating income/(expense), net totaled CHF 0.1 million in income compared with CHF 1.5 million in income for the comparable period in 2023. This represents a decrease of CHF 1.4 million. The following table presents the other operating income/(expense), net during the years ended December 31, 2024 and 2023:</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4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Pr>
          <w:p>
            <w:pPr>
              <w:spacing w:after="0"/>
              <w:rPr>
                <w:sz w:val="16"/>
                <w:szCs w:val="16"/>
                <w:color w:val="auto"/>
              </w:rPr>
            </w:pPr>
          </w:p>
        </w:tc>
      </w:tr>
      <w:tr>
        <w:trPr>
          <w:trHeight w:val="189"/>
        </w:trPr>
        <w:tc>
          <w:tcPr>
            <w:tcW w:w="6600" w:type="dxa"/>
            <w:vAlign w:val="bottom"/>
            <w:gridSpan w:val="2"/>
          </w:tcPr>
          <w:p>
            <w:pPr>
              <w:ind w:left="26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1,486</w:t>
            </w:r>
          </w:p>
        </w:tc>
        <w:tc>
          <w:tcPr>
            <w:tcW w:w="2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 net</w:t>
            </w:r>
          </w:p>
        </w:tc>
        <w:tc>
          <w:tcPr>
            <w:tcW w:w="6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9"/>
                <w:szCs w:val="19"/>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1,486</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decrease of CHF 1.4 million in grant income primarily resulted from activities related to our MJFF awards that were completed prior to the start of the current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Finance result, net</w:t>
      </w:r>
    </w:p>
    <w:p>
      <w:pPr>
        <w:spacing w:after="0" w:line="229" w:lineRule="exact"/>
        <w:rPr>
          <w:sz w:val="20"/>
          <w:szCs w:val="20"/>
          <w:color w:val="auto"/>
        </w:rPr>
      </w:pPr>
    </w:p>
    <w:p>
      <w:pPr>
        <w:jc w:val="both"/>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finance result was a CHF 1.5 million gain compared with a CHF 0.6 million loss for the comparable period in 2023. This represents an increase of CHF 2.1 million. The following table presents the finance result during the years ended December 31, 2024 and 2023:</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60" w:type="dxa"/>
            <w:vAlign w:val="bottom"/>
          </w:tcPr>
          <w:p>
            <w:pPr>
              <w:spacing w:after="0"/>
              <w:rPr>
                <w:sz w:val="16"/>
                <w:szCs w:val="16"/>
                <w:color w:val="auto"/>
              </w:rPr>
            </w:pPr>
          </w:p>
        </w:tc>
      </w:tr>
      <w:tr>
        <w:trPr>
          <w:trHeight w:val="194"/>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6"/>
                <w:szCs w:val="16"/>
                <w:color w:val="auto"/>
              </w:rPr>
            </w:pPr>
          </w:p>
        </w:tc>
      </w:tr>
      <w:tr>
        <w:trPr>
          <w:trHeight w:val="189"/>
        </w:trPr>
        <w:tc>
          <w:tcPr>
            <w:tcW w:w="6520" w:type="dxa"/>
            <w:vAlign w:val="bottom"/>
            <w:gridSpan w:val="2"/>
          </w:tcPr>
          <w:p>
            <w:pPr>
              <w:ind w:left="26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23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(1,598)</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0"/>
        </w:trPr>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The change in net finance result of CHF 2.1 million primarily related to an increase of CHF 2.2 million in financial income attributed to higher interest received on net investments in short-term financial assets, with more deposits made in 2024 compared to the previous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60" w:type="dxa"/>
            <w:vAlign w:val="bottom"/>
          </w:tcPr>
          <w:p>
            <w:pPr>
              <w:spacing w:after="0"/>
              <w:rPr>
                <w:sz w:val="16"/>
                <w:szCs w:val="16"/>
                <w:color w:val="auto"/>
              </w:rPr>
            </w:pPr>
          </w:p>
        </w:tc>
      </w:tr>
      <w:tr>
        <w:trPr>
          <w:trHeight w:val="194"/>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r>
      <w:tr>
        <w:trPr>
          <w:trHeight w:val="189"/>
        </w:trPr>
        <w:tc>
          <w:tcPr>
            <w:tcW w:w="6440" w:type="dxa"/>
            <w:vAlign w:val="bottom"/>
            <w:gridSpan w:val="2"/>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6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230"/>
        </w:trPr>
        <w:tc>
          <w:tcPr>
            <w:tcW w:w="6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65,842</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(60,408)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126,250</w:t>
            </w:r>
          </w:p>
        </w:tc>
      </w:tr>
      <w:tr>
        <w:trPr>
          <w:trHeight w:val="229"/>
        </w:trPr>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(105,290)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65,645</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(170,935)</w:t>
            </w:r>
          </w:p>
        </w:tc>
      </w:tr>
      <w:tr>
        <w:trPr>
          <w:trHeight w:val="229"/>
        </w:trPr>
        <w:tc>
          <w:tcPr>
            <w:tcW w:w="6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(44,370)</w:t>
            </w:r>
          </w:p>
        </w:tc>
      </w:tr>
      <w:tr>
        <w:trPr>
          <w:trHeight w:val="22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(40,568)</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48,487</w:t>
            </w: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(89,055)</w:t>
            </w:r>
          </w:p>
        </w:tc>
      </w:tr>
      <w:tr>
        <w:trPr>
          <w:trHeight w:val="20"/>
        </w:trPr>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CHF 65.8 million for the year ended December 31, 2024 compared with net cash used in operating activities of CHF 60.4 million for the year ended December 31, 2023. The change in cash used in operating activities for the year ended December 31, 2024 was mostly due to (i) an increase of CHF 89.6 million in deferred contract revenue, resulting from the receipt of the upfront payment from our agreement with Takeda, (ii) a decrease of CHF 14.8 million in account receivable for the period, which relates to the milestone recognized from Janssen and (iii) the Company’s reporting a net loss of CHF 50.9 million for the year ended December 31, 2024 compared with net loss of CHF 54.2 million for the same period in 2023.</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Net cash used in investing activities was CHF 105.3 million for the year ended December 31, 2024 compared with net cash provided by investing activities of CHF 65.6 million for the year ended December 31, 2023. A net amount of CHF 104.7 million of short-term financial assets was invested during the financial year ended December 31, 2024, compared to a net maturation of CHF 66.4 million of short-term financial assets in the prior period. Additionally, the Company spent CHF 0.6 million on property, plant and equipment, predominantly to enhance its laboratory and IT equipment in 2024.</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was CHF 1.1 million for the year ended December 31, 2024, compared with net cash provided by financing activities of CHF 43.3 million for the year ended December 31, 2023. The decrease of CHF 44.4 million is predominantly related to prior year’s (i) CHF 41.1 million in net proceeds raised from follow-on offering and (ii) CHF 2.7 million received from proceeds from the sale of treasury shares in public offerings, net of underwriting fees and transaction costs.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collaboration partners or we obtain regulatory approval of, and successfully commercialize, our current or any future product candidates. As of December 31, 2024, we had cash and cash equivalents of CHF 36.3 million and short-term financial assets of CHF 129.2 million, resulting in CHF 165.5 million of liquidity. The increase of CHF 62.4 million relative to December 31, 2023 was predominantly related to the receipt of the upfront payment of USD 100.0 (CHF 92.3) million from Takeda as part of the exclusive option and license agreement for ACI-24.060 and the CHF 14.8 million milestone payment from Janssen for the commencement of first Phase 2b clinical study of ACI-35.030. This was partially offset by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R&amp;D spending on our major discovery and R&amp;D programs, the strengthening of the Company’s infrastructure, systems and organization and other operating expenditures. We believe that our existing capital resources, assuming no other milestone payment, will be sufficient to meet our projected operating requirements into Q1 2027. There can be no certainty as to the exact timing of future milestone payments, or in fact, whether any of these will ever be made, given that they are contingent on clear milestones being reached.</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700" w:right="479" w:hanging="326"/>
        <w:spacing w:after="0" w:line="266" w:lineRule="auto"/>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89" w:lineRule="exact"/>
        <w:rPr>
          <w:rFonts w:ascii="Times New Roman" w:cs="Times New Roman" w:eastAsia="Times New Roman" w:hAnsi="Times New Roman"/>
          <w:sz w:val="18"/>
          <w:szCs w:val="18"/>
          <w:color w:val="auto"/>
        </w:rPr>
      </w:pPr>
    </w:p>
    <w:p>
      <w:pPr>
        <w:ind w:left="700" w:right="279" w:hanging="326"/>
        <w:spacing w:after="0" w:line="266" w:lineRule="auto"/>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pacing w:after="0" w:line="18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8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25" w:lineRule="exact"/>
        <w:rPr>
          <w:rFonts w:ascii="Times New Roman" w:cs="Times New Roman" w:eastAsia="Times New Roman" w:hAnsi="Times New Roman"/>
          <w:sz w:val="18"/>
          <w:szCs w:val="18"/>
          <w:color w:val="auto"/>
        </w:rPr>
      </w:pPr>
    </w:p>
    <w:p>
      <w:pPr>
        <w:ind w:left="700" w:right="599" w:hanging="326"/>
        <w:spacing w:after="0" w:line="266" w:lineRule="auto"/>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and timing of managing, protecting, defending and enforcing our portfolio of intellectual property.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1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addition, the Company has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We have capitalized a portion of our lease liabilities in accordance with IFRS 16. See “Note 5. Right-of-use assets, long-term financial assets and lease liabilities.”</w:t>
      </w:r>
    </w:p>
    <w:p>
      <w:pPr>
        <w:spacing w:after="0" w:line="183"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projects CHF 1.5 million in undiscounted short-term lease obligations and CHF 4.7 million in undiscounted long-term lease obligations. Additionally, the Company projects CHF 27.3 million in short-term purchase commitments and CHF 15.7 million in long-term purchase commitments predominantly driven by R&amp;D activities.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Commencing in September 2020, the Company established an “at the market offering” (ATM) for the sale of up to USD 80.0 (CHF 73.0) million worth of our common shares from time to time by entering into an Open Market Sale Agreement (Sales Agreement) with Jefferies LLC (Jefferies).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Q2 2021 and Q2 2024, we filed a new registration statement on Form F-3 and entered into a new Sales Agreement in Q2 2021 and Q3 2024 to replace and extend the ATM program.</w:t>
      </w:r>
    </w:p>
    <w:p>
      <w:pPr>
        <w:spacing w:after="0" w:line="162"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To date, the Company has sold 2,179,434 common shares previously held as treasury shares pursuant to the previous Sales Agreement, raising USD 16.4 (CHF 14.9) million, net of underwriting fees and transaction costs. The Company did not sell any common shares held as treasury shares pursuant to the new Sales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29" w:lineRule="exact"/>
        <w:rPr>
          <w:sz w:val="20"/>
          <w:szCs w:val="20"/>
          <w:color w:val="auto"/>
        </w:rPr>
      </w:pPr>
    </w:p>
    <w:p>
      <w:pPr>
        <w:ind w:left="60" w:right="439" w:firstLine="324"/>
        <w:spacing w:after="0" w:line="255" w:lineRule="auto"/>
        <w:rPr>
          <w:sz w:val="20"/>
          <w:szCs w:val="20"/>
          <w:color w:val="auto"/>
        </w:rPr>
      </w:pPr>
      <w:r>
        <w:rPr>
          <w:rFonts w:ascii="Times New Roman" w:cs="Times New Roman" w:eastAsia="Times New Roman" w:hAnsi="Times New Roman"/>
          <w:sz w:val="18"/>
          <w:szCs w:val="18"/>
          <w:color w:val="auto"/>
        </w:rPr>
        <w:t>For a discussion of the financial results and condition for the fiscal year ended December 31, 2022, please refer to “Item 5. Operating and financial review and prospects—A. Operating results—Comparison of the years ended December 31, 2023 and 2022” of our Annual Report on Form 20-F for the year ended December 31, 2023 filed on March 14, 2024.</w:t>
      </w:r>
    </w:p>
    <w:p>
      <w:pPr>
        <w:spacing w:after="0" w:line="18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Research and development, patents and licenses, etc.</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 and “Item 5. Operating and financial review and prospects—A. Operating results—results of operations.”</w:t>
      </w:r>
    </w:p>
    <w:p>
      <w:pPr>
        <w:spacing w:after="0" w:line="158" w:lineRule="exact"/>
        <w:rPr>
          <w:sz w:val="20"/>
          <w:szCs w:val="20"/>
          <w:color w:val="auto"/>
        </w:rPr>
      </w:pPr>
    </w:p>
    <w:p>
      <w:pPr>
        <w:ind w:left="380" w:hanging="330"/>
        <w:spacing w:after="0"/>
        <w:tabs>
          <w:tab w:leader="none" w:pos="3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15"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5. Operating and financial review and prospects.”</w:t>
      </w:r>
    </w:p>
    <w:p>
      <w:pPr>
        <w:spacing w:after="0" w:line="22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See “Note 3. Summary of material accounting policies” to our consolidated financial statements for a description of the most significant accounting policies applied in the preparation of our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Directors and senior management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 other key employees and board of directors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our executive officers, other key employees, and directors and director nominees, including their ages, as of March 1, 2025. The term of each of our directors is 1 year and, accordingly, will expire at our 2025 annual shareholder meeting to be held in June 2025.</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 year of</w:t>
            </w:r>
          </w:p>
        </w:tc>
      </w:tr>
      <w:tr>
        <w:trPr>
          <w:trHeight w:val="238"/>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30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appointment</w:t>
            </w:r>
          </w:p>
        </w:tc>
      </w:tr>
      <w:tr>
        <w:trPr>
          <w:trHeight w:val="223"/>
        </w:trPr>
        <w:tc>
          <w:tcPr>
            <w:tcW w:w="2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80" w:type="dxa"/>
            <w:vAlign w:val="bottom"/>
          </w:tcPr>
          <w:p>
            <w:pPr>
              <w:spacing w:after="0"/>
              <w:rPr>
                <w:sz w:val="19"/>
                <w:szCs w:val="19"/>
                <w:color w:val="auto"/>
              </w:rPr>
            </w:pPr>
          </w:p>
        </w:tc>
        <w:tc>
          <w:tcPr>
            <w:tcW w:w="4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Andrea Pfeifer, Ph.D.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Anke Post, M.D., Ph.D.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Roberts</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Piergiorgio Donati</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Technical Operations Officer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Donovan</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9"/>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Key Employees</w:t>
            </w:r>
          </w:p>
        </w:tc>
        <w:tc>
          <w:tcPr>
            <w:tcW w:w="4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Danton</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EVP Artificial Intelligence and Information Systems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Günther Staffler, Ph.D.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Immunotherapy</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Julien Rongère, Ph.D.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SVP Regulatory Affairs and Quality Assurance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Gary Waanders, Ph.D.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Investor Relations and Corporate Communications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Matthias Maurer, Ph.D.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SVP General Counsel</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Bojana Portmann, Ph.D.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VP IP and Business Development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Olivier Sol, M.D.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VP Head of Clinical Development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Francesca Capotosti, Ph.D.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VP Research</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r>
      <w:tr>
        <w:trPr>
          <w:trHeight w:val="230"/>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4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Douglas Williams, Ph.D.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 and Director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Monika Bütler, Ph.D.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Chair and Director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Werner Lanthaler, Ph.D.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 Twyman, M.D.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Carl June, M.D.</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Monica Shaw, M.D.</w:t>
            </w: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bl>
    <w:p>
      <w:pPr>
        <w:spacing w:after="0" w:line="211"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current business addresses for our executive officers, other key employees, directors and director nominee is AC Immune SA, EPFL Innovation Park, Building B, 1015 Lausanne, Switzerland.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Andrea Pfeifer, Ph.D., Co-Founder, Chief Executive Officer and Director: </w:t>
      </w:r>
      <w:r>
        <w:rPr>
          <w:rFonts w:ascii="Times New Roman" w:cs="Times New Roman" w:eastAsia="Times New Roman" w:hAnsi="Times New Roman"/>
          <w:sz w:val="18"/>
          <w:szCs w:val="18"/>
          <w:color w:val="auto"/>
        </w:rPr>
        <w:t>Andrea Pfeifer co-founded AC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 in 2003, successfully leading it to an IPO in 2016, since when she has served as a Director on the Board. Under her leadership, multiple transformative partnerships have been established with leading pharmaceutical companies, yielding a potential value of up to CHF 3.3 billion plus additional royalties. She has a 30+ years track record in senior R&amp;D and business leadership roles in the life science industry. She was the Head of Nestlé Research Centre in Lausanne, Switzerland where she played a major role in connecting science and business. Whilst at Nestlé she led the scientific development of a number of highly innovative, critically acclaimed products from laboratory to market, established the microbiome as a major cross-category product development platform and co-founded the Life Science focused Nestlé Venture Capital Fund. Prior to this she was a Visiting Fellow at the Human Carcinogenesis Branch of The National Institute of Health, Bethesda, USA. She currently serves as the Chair of Investment Fund BioMedInvest,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Basel and AB2 Bio SA, Lausanne. Dr. Pfeifer is a Non-Executive Member of the Board of Directors of E.M.S. Electro Medical Systems SA, Nyon, and is a member of the Supervisory Board of Symrise AG, Holzminden, Germany. She is also a key member of the CEOi initiative on Alzheimer’s Disease and the Davos Alzheimer’s Collaborative (DAC).</w:t>
      </w:r>
    </w:p>
    <w:p>
      <w:pPr>
        <w:spacing w:after="0" w:line="17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Andrea Pfeifer holds a Ph.D. in Toxicology (Cancer Research) from the University of Würzburg, Germany and is a registered Toxicologist and Pharmacist. She received her Habilitation from the University of Lausanne, Switzerland and is an Honorary Professor at the Ecole Polytechnique Fédérale de Lausanne (EPFL).</w:t>
      </w:r>
    </w:p>
    <w:p>
      <w:pPr>
        <w:spacing w:after="0" w:line="172"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Anke Post, M.D., Ph.D., Chief Medical Officer: </w:t>
      </w:r>
      <w:r>
        <w:rPr>
          <w:rFonts w:ascii="Times New Roman" w:cs="Times New Roman" w:eastAsia="Times New Roman" w:hAnsi="Times New Roman"/>
          <w:sz w:val="18"/>
          <w:szCs w:val="18"/>
          <w:color w:val="auto"/>
        </w:rPr>
        <w:t>Anke Post joined AC Immune in September 2024 as Chief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bringing in-depth academic and medical knowledge in neuroscience, psychiatry and neurology. Dr. Post has more than 25 years of academic and pharmaceutical R&amp;D experience in three major multinational pharmaceutical organizations as well as in biotech and medical device companies. She started her career at Novartis and subsequently Eli Lilly &amp; Co., where she was responsible for a global medical group in early clinical development, and as Head of Translational Medicine in Neurology at Roche, and has held senior roles with Idorsia, UniQure and GeNeuro. Dr. Post studied medicine in Berlin, Vienna and Münster, earning her M.D. from the latter. She completed her residency and fellowship training in Psychiatry, Psychotherapy and Neurology at the Max Planck Institute of Psychiatry in Munich and received her Habilitation from the Ludwig Maximilian University in Munich.</w:t>
      </w:r>
    </w:p>
    <w:p>
      <w:pPr>
        <w:spacing w:after="0" w:line="185"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Christopher Roberts, Chief Financial Officer: </w:t>
      </w:r>
      <w:r>
        <w:rPr>
          <w:rFonts w:ascii="Times New Roman" w:cs="Times New Roman" w:eastAsia="Times New Roman" w:hAnsi="Times New Roman"/>
          <w:sz w:val="18"/>
          <w:szCs w:val="18"/>
          <w:color w:val="auto"/>
        </w:rPr>
        <w:t>Christopher Roberts joined AC Immune in 2019 serving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roles within the Company’s finance leadership team prior to his promotion in 2022. Previously, he worked as a Senior Manager for Ernst &amp; Young for more than 10 years and supported the AC Immune IPO. During that time, he served high-growth life science companies in Switzerland, the San Francisco Bay Area, and the UK. Christopher Roberts is a Trustee and Treasurer of Msizi Africa, a charity dedicated to sustainably improving the lives of children in Lesotho. He is a Chartered Accountant with the Institute of Chartered Accountants in Scotland (ICAS) and holds a Bachelor of Science in Accounting, Auditing and Finance with first class honours from Lancaster University.</w:t>
      </w:r>
    </w:p>
    <w:p>
      <w:pPr>
        <w:spacing w:after="0" w:line="16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Piergiorgio Donati, Chief Technical Operations Officer: </w:t>
      </w:r>
      <w:r>
        <w:rPr>
          <w:rFonts w:ascii="Times New Roman" w:cs="Times New Roman" w:eastAsia="Times New Roman" w:hAnsi="Times New Roman"/>
          <w:sz w:val="18"/>
          <w:szCs w:val="18"/>
          <w:color w:val="auto"/>
        </w:rPr>
        <w:t>Piergiorgio Donati joined AC Immune in 2018 as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Program Management, becoming Chief Technical Operations Officer in 2020. He has extensive experience in R&amp;D project management and CMC process and product development strategies, particularly in leading and planning cross-functional projects, built over a career in senior roles in the pharmaceutical and biotech industries. He has served as Head of CMC program development at Glenmark Pharmaceuticals and Biotech CMC Lead at Merck KGaA and was previously with AC Immune from 2011 to 2015 as Head of Manufacturing and Project Management. He has also held R&amp;D positions at Abiogen, Merck Group and Serono. Piergiorgio Donati holds a degree in Analytical Chemistry from the Technical Institute G.L. Bernini.</w:t>
      </w:r>
    </w:p>
    <w:p>
      <w:pPr>
        <w:spacing w:after="0" w:line="18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Howard Donovan, Chief Human Resources Officer: </w:t>
      </w:r>
      <w:r>
        <w:rPr>
          <w:rFonts w:ascii="Times New Roman" w:cs="Times New Roman" w:eastAsia="Times New Roman" w:hAnsi="Times New Roman"/>
          <w:sz w:val="18"/>
          <w:szCs w:val="18"/>
          <w:color w:val="auto"/>
        </w:rPr>
        <w:t>Howard Donovan joined AC Immune in 2022 and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internationally experienced, commercially focused leader who has competencies in all aspects of employee services, well-being, benefit design, international mobility, talent management, operations and HR business partnering. He had been at the World Economic Forum since 2015, where he led People Services and was responsible for global reward, employee experience, people insights, strategic sourcing, new office launches, and business partnering with the Board of Directors across its locations in Switzerland, United States, China, Japan and India. Howard previously worked as the in-house Global Head of Reward for Puma Energy and prior to that he held senior HR leadership roles with a strong reward focus with multinational companies, including SGS Group and Xerox Corporation.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key employees</w:t>
      </w:r>
    </w:p>
    <w:p>
      <w:pPr>
        <w:spacing w:after="0" w:line="22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Mark Danton, EVP Artificial Intelligence and Information Systems</w:t>
      </w:r>
      <w:r>
        <w:rPr>
          <w:rFonts w:ascii="Times New Roman" w:cs="Times New Roman" w:eastAsia="Times New Roman" w:hAnsi="Times New Roman"/>
          <w:sz w:val="18"/>
          <w:szCs w:val="18"/>
          <w:color w:val="auto"/>
        </w:rPr>
        <w:t>: Mark Danton is a globally recognized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experienced executive in Information Systems/Information Technology (IS/IT) with extensive experience in developing, launching and managing business-relevant IS, cybersecurity and digital technology solutions and services. He has a proven track-record of combining sound business acumen, consulting experience, strong product management, service management and business process knowledge to bring complexity to its simplest elements. Prior to joining AC Immune, he served as IS/IT Global Manager at Nestlé, driving excellence in security, risk and compliance at all locations within the multinational organization, and held a number of global roles at BT Global Services and in Dimension Data PLC.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Mark Danton holds an Executive MBA from the Business School Lausanne, graduating cum laude and as the Executive MBA Student of the Year.</w:t>
      </w:r>
    </w:p>
    <w:p>
      <w:pPr>
        <w:spacing w:after="0" w:line="15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Günther Staffler, Ph.D., SVP Immunotherapy</w:t>
      </w:r>
      <w:r>
        <w:rPr>
          <w:rFonts w:ascii="Times New Roman" w:cs="Times New Roman" w:eastAsia="Times New Roman" w:hAnsi="Times New Roman"/>
          <w:sz w:val="18"/>
          <w:szCs w:val="18"/>
          <w:color w:val="auto"/>
        </w:rPr>
        <w:t>: Günther Staffler joined AC Immune in 2021, bringing more than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experience in immunology and biochemical research and establishing and managing drug development programs. He is a skilled manager of translational research with extensive knowledge and understanding of global product development in the biotech industry, with in-depth leadership, mentorship, and strategic oversight experience in drug development phases from early discovery to clinical Phase 2 with strong involvement in manufacturing operations, as well as in project and program management. Dr. Staffler joined AC Immune from Affiris, where he held increasingly senior roles and was most recently Chief Technical Officer. He previously worked at a number of biotech companies in Vienna including Biovertis and Intercell (now Valneva). Dr. Staffler holds a PhD in Biochemistry with focus on Immunology from the Medical University of Vienna.</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Julien Rongère, Ph.D., SVP Regulatory Affairs and Quality Assurance</w:t>
      </w:r>
      <w:r>
        <w:rPr>
          <w:rFonts w:ascii="Times New Roman" w:cs="Times New Roman" w:eastAsia="Times New Roman" w:hAnsi="Times New Roman"/>
          <w:sz w:val="18"/>
          <w:szCs w:val="18"/>
          <w:color w:val="auto"/>
        </w:rPr>
        <w:t>: Julien Rongère joined AC Immune in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and during his career has gained specific expertise in the development of regulatory strategies for taking products from Phase 1 through to commercialization in the field of hematology/oncology and immunology/inflammation, including fast-to-market approaches, orphan drugs and pediatric development. Prior to joining AC Immune, Dr. Rongère held positions of increasing responsibility at Celgene in Switzerland, most recently as Director, Regulatory Affairs, leading the development of regulatory strategies for small molecules and CAR-T cell therapies and contributed to the development and approval of Revlimid in multiple myeloma and mantle cell lymphoma. Prior to Celgene, he served as a Regulatory Expert at Apoxis, SA in Switzerland. Dr. Rongère gained his Master’s Degree in Medical Genetics from the University of Aberdeen, UK, and holds a Ph.D. in Molecular Biology from the University of Lausanne, Switzerland.</w:t>
      </w:r>
    </w:p>
    <w:p>
      <w:pPr>
        <w:spacing w:after="0" w:line="183"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Gary Waanders, Ph.D., SVP Investor Relations and Corporate Communications</w:t>
      </w:r>
      <w:r>
        <w:rPr>
          <w:rFonts w:ascii="Times New Roman" w:cs="Times New Roman" w:eastAsia="Times New Roman" w:hAnsi="Times New Roman"/>
          <w:sz w:val="18"/>
          <w:szCs w:val="18"/>
          <w:color w:val="auto"/>
        </w:rPr>
        <w:t>: Gary Waanders joined 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 in November 2021 as the Head of Investor Relations and Corporate Communications, bringing extensive international experience in investor relations and finance, with a focus in life sciences. Prior to AC Immune he was Head of Investor Relations at Medigene (Munich, Germany) from mid-2019. Before these roles, he worked from 2001 until 2019 as a Life Sciences Equity analyst for several investment banks based in London, UK, including Nomura Code Securities, KBC Peel Hunt, and Bryan, Garnier &amp; Co. He obtained a Ph.D. in Immunology from Monash University in Melbourne, Australia, and worked as a postdoctoral fellow at the Ludwig Institute for Cancer Research in Lausanne, Switzerland. He gained an MBA with distinction from the University of Durham Business School in the UK.</w:t>
      </w:r>
    </w:p>
    <w:p>
      <w:pPr>
        <w:spacing w:after="0" w:line="185"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Matthias Maurer, Ph.D., SVP General Counsel: </w:t>
      </w:r>
      <w:r>
        <w:rPr>
          <w:rFonts w:ascii="Times New Roman" w:cs="Times New Roman" w:eastAsia="Times New Roman" w:hAnsi="Times New Roman"/>
          <w:sz w:val="18"/>
          <w:szCs w:val="18"/>
          <w:color w:val="auto"/>
        </w:rPr>
        <w:t>Matthias Maurer is a Swiss qualified attorney with 15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private practice and multinational companies. He is an experienced international life sciences lawyer with a track record in leading global cross-functional teams to plan, negotiate and successfully complete major strategic projects in private and public companies. He started his career working as an associate at Baker McKenzie and Homburger before specializing in healthcare. He held senior legal positions at Roche and Lonza focusing on M&amp;A, licensing transactions, corporate matters, and venture investments, as well as research and development collaborations. Matthias Maurer holds a Doctor in Law degree from the University of Zurich, an MBA from INSEAD and is admitted to the Bar of Zurich, Switzerland.</w:t>
      </w:r>
    </w:p>
    <w:p>
      <w:pPr>
        <w:spacing w:after="0" w:line="171"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Bojana Portmann, Ph.D., VP IP and Business Development</w:t>
      </w:r>
      <w:r>
        <w:rPr>
          <w:rFonts w:ascii="Times New Roman" w:cs="Times New Roman" w:eastAsia="Times New Roman" w:hAnsi="Times New Roman"/>
          <w:sz w:val="18"/>
          <w:szCs w:val="18"/>
          <w:color w:val="auto"/>
        </w:rPr>
        <w:t>: Bojana Portmann joined AC Immune in 2011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Manager and has held multiple roles within the IP department with increasing responsibility over the past years. During this time, she has developed significant experience in intellectual property law and management and project management, with her work at AC Immune mainly focused on creating and strengthening patent portfolios for biologicals, small molecules and liposomal technology. Since 2019, she has also led Business Development and Alliance Management, maximizing partnership opportunities and managing industry and academic partnerships. Bojana Portmann holds a Ph.D. degree from the EPFL University in Switzerland, and a LL.M. degree, Master of Intellectual Property Law and Management (MIPLM), from the CEIPI in France. She also received a M.Sc. (Dipl. Ing.) degree in Polymer and Chemical Engineering from the University of Belgrade in Serbia.</w:t>
      </w:r>
    </w:p>
    <w:p>
      <w:pPr>
        <w:spacing w:after="0" w:line="183" w:lineRule="exact"/>
        <w:rPr>
          <w:sz w:val="20"/>
          <w:szCs w:val="20"/>
          <w:color w:val="auto"/>
        </w:rPr>
      </w:pPr>
    </w:p>
    <w:p>
      <w:pPr>
        <w:ind w:left="60" w:right="699"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Olivier Sol, M.D., VP Head of Clinical Development</w:t>
      </w:r>
      <w:r>
        <w:rPr>
          <w:rFonts w:ascii="Times New Roman" w:cs="Times New Roman" w:eastAsia="Times New Roman" w:hAnsi="Times New Roman"/>
          <w:sz w:val="17"/>
          <w:szCs w:val="17"/>
          <w:color w:val="auto"/>
        </w:rPr>
        <w:t>: Prior to joining AC Immune, Olivier Sol was Clinical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of Exonhit (Paris) and thereafter Medical &amp; Regulatory Affairs Director for Diaxonhit, where he was</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responsible for the development and medical validation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products in cancer, infectious diseases and Alzheimer’s disease. Olivier Sol spent his over 20 year career as a Medical Expert in several therapeutic areas with a strong focus on central nervous system diseases, within pharmaceutical companies as Janssen, UCB-Pharma, GlaxoSmithKline and Sanofi. He contributed to the clinical development of currently marketed drugs in epilepsy (topiramate and levetiracetam) and galantamine in Alzheimer’s disease. He has also gained significant experience in the field of biological biomarkers. Olivier Sol holds an M.D. from the Paris-Sud University (Paris-Saclay) with a specialization in Medical Biology.</w:t>
      </w:r>
    </w:p>
    <w:p>
      <w:pPr>
        <w:spacing w:after="0" w:line="16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Francesca Capotosti, Ph.D., VP Research</w:t>
      </w:r>
      <w:r>
        <w:rPr>
          <w:rFonts w:ascii="Times New Roman" w:cs="Times New Roman" w:eastAsia="Times New Roman" w:hAnsi="Times New Roman"/>
          <w:sz w:val="18"/>
          <w:szCs w:val="18"/>
          <w:color w:val="auto"/>
        </w:rPr>
        <w:t>: Francesca Capotosti joined AC Immune in 2013 and has established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expertise in the development of innovative diagnostics and therapeutic approaches to address neurodegenerative diseases. She is responsible for AC Immune’s discovery and preclinical pipeline with a major focus on small-molecular weight compounds as therapeutic and diagnostic agents. She joined as a research scientist and has since been Team Leader and Associate Vice President and Global Project Leader, playing key roles in development of small molecules targeting Tau and a-syn, as well as AC Immune’s a-syn PET tracer program, which delivered the first tracer capable of detecting a-syn pathology in patients. Dr. Capotosti completed postdoctoral studies at the École Polytechnique Fédérale de Lausanne (EPFL), and obtained a Ph.D. in Life Sciences from the University of Lausanne in 2010.</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225"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Douglas Williams, Ph.D., Chair and Director: </w:t>
      </w:r>
      <w:r>
        <w:rPr>
          <w:rFonts w:ascii="Times New Roman" w:cs="Times New Roman" w:eastAsia="Times New Roman" w:hAnsi="Times New Roman"/>
          <w:sz w:val="18"/>
          <w:szCs w:val="18"/>
          <w:color w:val="auto"/>
        </w:rPr>
        <w:t>Douglas E. Williams is currently part-time Head of R&amp;D at Manifold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 and Kelonia Therapeutics as well as senior executive advisor at TriArm Therapeutics. He was most recently President of R&amp;D at Sana Biotechnology, a cell therapy company. He was the Founding President, CEO and member of the Board of Directors of Codiak BioSciences from September 2015 to April 2023. He was previously Biogen’s Executive Vice President, Research and Development, serving in this role from January 2011 to July 2015. He joined Biogen from ZymoGenetics, where he was most recently CEO and member of the Board of Directors. ZymoGenetics was purchased for USD 985 million by Bristol Myers Squibb during Dr. Williams’ tenure. Previously, he held leadership positions within the biotechnology industry, including Chief Scientific Officer and Executive Vice President of Research and Development at Seattle Genetics, and Senior Vice President and Washington Site Leader at Amgen. Dr. Williams served in a series of scientific and senior leadership positions over a decade at Immunex, including Executive Vice President and Chief Technology Officer and a member of the Board of Directors. During his 30+ year career in the biotechnology industry he has played a role in the development of several novel drugs including Leukine, Enbrel, Adcetris, Tecfidera, Alprolix, Eloctate, and Spinraza. He has served on the board of more than a dozen biotechnology companies and is currently Chairman of the Boards of AC Immune and Climb Bio, and Member of the Board of Stablix and TriArm Therapeutics.</w:t>
      </w:r>
    </w:p>
    <w:p>
      <w:pPr>
        <w:spacing w:after="0" w:line="194"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Monika Bütler, Ph.D., Vice Chair and Director: </w:t>
      </w:r>
      <w:r>
        <w:rPr>
          <w:rFonts w:ascii="Times New Roman" w:cs="Times New Roman" w:eastAsia="Times New Roman" w:hAnsi="Times New Roman"/>
          <w:sz w:val="18"/>
          <w:szCs w:val="18"/>
          <w:color w:val="auto"/>
        </w:rPr>
        <w:t>Monika Bütler is a leading Swiss economist and former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the independent Swiss Covid-19 Science Taskforce. She is a member of the Board of Directors and of the audit committees of Swiss Life Holding AG and Schindler Holding AG, where she also chairs the compensation committee. Dr. Bütler is also a member of the Board of Directors of Huber+Suhner Ltd, where she chairs the nomination and remuneration committee. Her international economic expertise is in public policy and managerial economics, including an advisory role to the World Bank and visiting appointments in the U.S., Australia and Europe. Dr. Bütler is a Vice President of the Foundation Board of the Gebert Rüf Foundation, a science and innovation foundation that supports entrepreneurial projects which are committed to achieving an impact. Monika Bütler holds a Doctorate in Economics from the University of St. Gallen, a Doctorate Honoris Causa from the University of Lucerne, and a Diploma in Mathematics/Physics from the University of Zurich.</w:t>
      </w:r>
    </w:p>
    <w:p>
      <w:pPr>
        <w:spacing w:after="0" w:line="189" w:lineRule="exact"/>
        <w:rPr>
          <w:sz w:val="20"/>
          <w:szCs w:val="20"/>
          <w:color w:val="auto"/>
        </w:rPr>
      </w:pPr>
    </w:p>
    <w:p>
      <w:pPr>
        <w:ind w:left="60" w:right="259" w:firstLine="324"/>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Werner Lanthaler, Ph.D., Director: </w:t>
      </w:r>
      <w:r>
        <w:rPr>
          <w:rFonts w:ascii="Times New Roman" w:cs="Times New Roman" w:eastAsia="Times New Roman" w:hAnsi="Times New Roman"/>
          <w:sz w:val="17"/>
          <w:szCs w:val="17"/>
          <w:color w:val="auto"/>
        </w:rPr>
        <w:t>Werner Lanthaler is the managing director of W.Lan Holding GmbH,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advisory and investment firm. Up to January 2024, he was the CEO of Evotec AG, a drug discovery alliance and development partnership company focused on rapidly progressing innovative product approaches with leading pharmaceutical and biotechnology companies, academics, patient advocacy groups and venture capitalists. Dr. Lanthaler focused the company on collaborating with biotech and pharma companies and academia, supporting biotech innovation. He previously served as Chief Financial Officer at Intercell AG where he played a key role in many of that company’s major milestones. During his tenure, Intercell undertook an IPO and developed from a venture-backed biotechnology</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company into a global vaccine player. Dr. Lanthaler has also served as Director of the Federation of Austrian Industry, and from 1995 to 1998 was a Senior Management Consultant at McKinsey &amp; Company. Dr. Lanthaler is a Non-Executive Member of the Board of Directors of arGEN-X and is a member of the Supervisory Board of Topas Therapeutics GmbH. He holds a Doctorate in Economics from Vienna University, a Master’s degree in Business Administration from Harvard University, and a degree in Psychology.</w:t>
      </w:r>
    </w:p>
    <w:p>
      <w:pPr>
        <w:spacing w:after="0" w:line="179" w:lineRule="exact"/>
        <w:rPr>
          <w:sz w:val="20"/>
          <w:szCs w:val="20"/>
          <w:color w:val="auto"/>
        </w:rPr>
      </w:pPr>
    </w:p>
    <w:p>
      <w:pPr>
        <w:ind w:left="60" w:right="259" w:firstLine="324"/>
        <w:spacing w:after="0" w:line="271" w:lineRule="auto"/>
        <w:rPr>
          <w:sz w:val="20"/>
          <w:szCs w:val="20"/>
          <w:color w:val="auto"/>
        </w:rPr>
      </w:pPr>
      <w:r>
        <w:rPr>
          <w:rFonts w:ascii="Times New Roman" w:cs="Times New Roman" w:eastAsia="Times New Roman" w:hAnsi="Times New Roman"/>
          <w:sz w:val="17"/>
          <w:szCs w:val="17"/>
          <w:b w:val="1"/>
          <w:bCs w:val="1"/>
          <w:color w:val="auto"/>
        </w:rPr>
        <w:t>Roy Twyman, M.D., Director</w:t>
      </w:r>
      <w:r>
        <w:rPr>
          <w:rFonts w:ascii="Times New Roman" w:cs="Times New Roman" w:eastAsia="Times New Roman" w:hAnsi="Times New Roman"/>
          <w:sz w:val="17"/>
          <w:szCs w:val="17"/>
          <w:color w:val="auto"/>
        </w:rPr>
        <w:t>: Roy Twyman is a Neurologist and is founder and current CEO of Amron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Neuroscience, LLC, a private consulting company focused on neuroscience drug development. Prior to this, Dr. Twyman spent almost 20 years at Janssen Research &amp; Development, LLC (a Johnson &amp; Johnson company) and was a member of the Neuroscience Therapeutic Area Leadership team responsible for clinical R&amp;D and strategic planning of CNS neurology and psychiatry pipeline products. From 2012 to March 2018, Dr. Twyman was a Senior Vice President in the Neuroscience Therapeutic Area overseeing the Alzheimer’s Disease Area. He currently participates as an independent Board Member or as a Scientific Advisory Board Member for a number of small biotech or pharmaceutical companies.</w:t>
      </w:r>
    </w:p>
    <w:p>
      <w:pPr>
        <w:spacing w:after="0" w:line="16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Carl June, M.D., Director: </w:t>
      </w:r>
      <w:r>
        <w:rPr>
          <w:rFonts w:ascii="Times New Roman" w:cs="Times New Roman" w:eastAsia="Times New Roman" w:hAnsi="Times New Roman"/>
          <w:sz w:val="18"/>
          <w:szCs w:val="18"/>
          <w:color w:val="auto"/>
        </w:rPr>
        <w:t>Carl June is Richard W. Vague Professor in Immunotherapy, Director of the Center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Cellular Immunotherapies and Director of the Parker Institute for Cancer Immunotherapy at the Perelman School of Medicine at the University of Pennsylvania. Due to his lifelong work on lymphocyte activation, Dr. June is considered a world authority on mechanisms related to immune tolerance and adoptive immunotherapy in the fields of chronic inflammation and cancer. He and his team pioneered the groundbreaking work in immunotherapy in which patients with refractory and relapsed chronic lymphocytic leukemia are treated with genetically engineered versions of their own T cells. This CAR-T therapy approach, which trains the immune system to attack and destroy cancer cells, has opened a new era of innovative treatments and personalized medicine for cancer patients.</w:t>
      </w:r>
    </w:p>
    <w:p>
      <w:pPr>
        <w:spacing w:after="0" w:line="18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Dr. June is a graduate of the Naval Academy in Annapolis, USA, and Baylor College of Medicine in Houston, USA, where he received his medical degree. Dr. June also completed graduate training in immunology and malaria with Dr. Paul-Henri Lambert at the World Health Organization, Geneva, Switzerland, and post-doctoral training in transplantation biology with E. Donnell Thomas and John Hansen at the Fred Hutchinson Cancer Research Center in Seattle, USA. He has published more than 500 manuscripts and is the recipient of numerous honors and prizes.</w:t>
      </w:r>
    </w:p>
    <w:p>
      <w:pPr>
        <w:spacing w:after="0" w:line="183"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Monica Shaw, M.D., Director: </w:t>
      </w:r>
      <w:r>
        <w:rPr>
          <w:rFonts w:ascii="Times New Roman" w:cs="Times New Roman" w:eastAsia="Times New Roman" w:hAnsi="Times New Roman"/>
          <w:sz w:val="18"/>
          <w:szCs w:val="18"/>
          <w:color w:val="auto"/>
        </w:rPr>
        <w:t>Monica Shaw is a pharmaceutical industry expert who has held senior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positions and was involved in advancing more than 15 therapeutic products from first-in-human studies through regulatory approvals and commercialization across multiple geographies. She also played key business development roles in company acquisition and integration and co-development partnerships. Through her work, Dr. Shaw gained extensive specialty experience in the fields of dermatology, immuno-inflammation, HIV, neurology, and oncology.</w:t>
      </w:r>
    </w:p>
    <w:p>
      <w:pPr>
        <w:spacing w:after="0" w:line="18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Currently, Dr. Shaw is Senior Vice President, Commercial Head Cell Therapy at Bristol Myers Squibb. Prior to this she was CEO for Oncopeptides, a Swedish listed biotech company, and before that, Executive Vice President Head Region Europe, Canada, Australia, for Leo Pharma. In addition, she has previously held broad leadership roles at other leading pharmaceutical companies, including as Vice President Commercial Head Asia Pacific region at GSK/ViiV Healthcare, and Medical Director and Chief Scientific Officer UK for Novartis, in addition to previous leadership positions at Norgine, Shire and Merck KGaA. Monica Shaw holds an M.D. from the University of Oxford Medical School and is a Member of the Royal College of Physicians.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 of our directors or executive officers has a family relationship as defined in Item 401 of Regulation S-K.</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aggregate compensation accrued or paid to the members of our board of directors and our executive officers for services in all capacities was CHF 8.5 million.</w:t>
      </w:r>
    </w:p>
    <w:p>
      <w:pPr>
        <w:sectPr>
          <w:pgSz w:w="11900" w:h="16838" w:orient="portrait"/>
          <w:cols w:equalWidth="0" w:num="1">
            <w:col w:w="9019"/>
          </w:cols>
          <w:pgMar w:left="1440" w:top="513" w:right="1440"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total fair value of equity awards granted to directors and executive officers was CHF 3.6 million.</w:t>
      </w:r>
    </w:p>
    <w:p>
      <w:pPr>
        <w:spacing w:after="0" w:line="162"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amount set aside or accrued by us to provide pension, retirement or similar benefits to members of our board of directors and executive officers amounted to a total of CHF 0.5 million in the year ended December 31, 2024.</w:t>
      </w:r>
    </w:p>
    <w:p>
      <w:pPr>
        <w:spacing w:after="0" w:line="162"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incorporate by reference into this Annual Report the information contained in the section “Directors and Executive Management Compensation Report” under “Item 2. C—2024 and 2023 Board Compensation” and “Item 3. C—2024 and 2023 Executive Compensation” of Exhibit 99.2 to our report on Form 6-K filed with the SEC on March 13, 2025. For the avoidance of doubt the Statutory Auditor's Report on the audit of the compensation report included in the aforementioned Form 6-K is not incorporated by reference or otherwise included in this Form 20-F.</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In 2016, we ceased issuing new grants under our prior equity incentive plans, which we refer to as the Prior Plans, and adopted a new omnibus equity incentive plan under which we have the discretion to grant a broad range of equity-based awards to eligible participants.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Prior plan: C1</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Since our inception in 2003, we have had four separate Prior Plans under which stock options were granted (Prior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Plans A, B and C2 have terminated): Options granted under Plan C1 from 2013 through the adoption of the current 2016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Option and Incentive Plan (SOIP) were taxed upon exercise instead of at grant due to a change in taxation rules.</w:t>
      </w:r>
    </w:p>
    <w:p>
      <w:pPr>
        <w:spacing w:after="0" w:line="205" w:lineRule="exact"/>
        <w:rPr>
          <w:sz w:val="20"/>
          <w:szCs w:val="20"/>
          <w:color w:val="auto"/>
        </w:rPr>
      </w:pPr>
    </w:p>
    <w:p>
      <w:pPr>
        <w:jc w:val="both"/>
        <w:ind w:left="60" w:right="1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Under Plan C1, an option, which can only be granted with the approval of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evidenced by an option agreement signed by the participant to indicate his or her acceptance of the option and is subject to the terms and conditions of the applicable Prior Plan.</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Under Plan C1, options were granted to our directors, employees, advisors and agents.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Options exercise price</w:t>
      </w:r>
      <w:r>
        <w:rPr>
          <w:rFonts w:ascii="Times New Roman" w:cs="Times New Roman" w:eastAsia="Times New Roman" w:hAnsi="Times New Roman"/>
          <w:sz w:val="18"/>
          <w:szCs w:val="18"/>
          <w:color w:val="auto"/>
        </w:rPr>
        <w:t>. The exercise price of all options issued under the Prior Plan is CHF 0.15.</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Vesting period</w:t>
      </w:r>
      <w:r>
        <w:rPr>
          <w:rFonts w:ascii="Times New Roman" w:cs="Times New Roman" w:eastAsia="Times New Roman" w:hAnsi="Times New Roman"/>
          <w:sz w:val="18"/>
          <w:szCs w:val="18"/>
          <w:color w:val="auto"/>
        </w:rPr>
        <w:t>. Under Plan C1, the options vesting period was 4 years with 25% of the options vesting each year.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Expiration period. </w:t>
      </w:r>
      <w:r>
        <w:rPr>
          <w:rFonts w:ascii="Times New Roman" w:cs="Times New Roman" w:eastAsia="Times New Roman" w:hAnsi="Times New Roman"/>
          <w:sz w:val="18"/>
          <w:szCs w:val="18"/>
          <w:color w:val="auto"/>
        </w:rPr>
        <w:t>The expiry dates for each plan are as follows: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Plan C1: 10 years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Our board of directors has the authority to amend each of the Prior Plans.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2016 SOIP</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At the November 15, 2016 AGM of the Company, our board of directors approved the 2016 SOIP (as amended and restated the “2016 SOIP”). In June 2019, the Board authorized, and the shareholders approved, an amendment and restatement of the 2016 SOIP to increase the maximum number of shares reserved for issuance under the 2016 SOIP. In October 2019, the Board authorized a second amendment and restatement of the 2016 SOIP (which did not require shareholder approval). As of December 31, 2024, the maximum number of shares available for issuance under the 2016 SOIP is 4,592,210 common shares. The shares available for issuance under the 2016 SOIP were initially registered with the SEC on a Form S-8 on March 8, 2017, and additional shares were registered on a Form S-8 on August 5, 2019. As of December 31, 2024, there were a total of 4,097,932 shares underlying options that were exercisable and 5,010,827 shares underlying outstanding options and 822,740 shares underlying outstanding restricted share units issued from both our Prior Plans and the 2016 SOIP.</w:t>
      </w:r>
    </w:p>
    <w:p>
      <w:pPr>
        <w:spacing w:after="0" w:line="18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2016 SOIP is administered by either our board of directors or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 similar committee performing the functions of the compensation committee. Approval of the plan administrator is required for all grants of awards under the 2016 SOIP, but the administrator may delegate to our CEO the authority to grant awards, subject to certain limitations set forth on the plan.</w:t>
      </w:r>
    </w:p>
    <w:p>
      <w:pPr>
        <w:spacing w:after="0" w:line="183" w:lineRule="exact"/>
        <w:rPr>
          <w:sz w:val="20"/>
          <w:szCs w:val="20"/>
          <w:color w:val="auto"/>
        </w:rPr>
      </w:pPr>
    </w:p>
    <w:p>
      <w:pPr>
        <w:ind w:left="60" w:right="1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Awards may be granted in the form of incentive stock options, non-qualified stock options,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restricted share units, restricted share awards, unrestricted share awards, performance share awards and dividend equivalent rights.</w:t>
      </w:r>
    </w:p>
    <w:p>
      <w:pPr>
        <w:spacing w:after="0" w:line="173" w:lineRule="exact"/>
        <w:rPr>
          <w:sz w:val="20"/>
          <w:szCs w:val="20"/>
          <w:color w:val="auto"/>
        </w:rPr>
      </w:pPr>
    </w:p>
    <w:p>
      <w:pPr>
        <w:ind w:left="60" w:right="11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Under the 2016 SOIP, full or part-time officers and other employees, non-employee directors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consultants of the Company and its subsidiaries who are selected by the administrator are eligible to participate in the plan.</w:t>
      </w:r>
    </w:p>
    <w:p>
      <w:pPr>
        <w:spacing w:after="0" w:line="135" w:lineRule="exact"/>
        <w:rPr>
          <w:sz w:val="20"/>
          <w:szCs w:val="20"/>
          <w:color w:val="auto"/>
        </w:rPr>
      </w:pPr>
    </w:p>
    <w:p>
      <w:pPr>
        <w:jc w:val="both"/>
        <w:ind w:left="60" w:right="1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Options exercise price. </w:t>
      </w:r>
      <w:r>
        <w:rPr>
          <w:rFonts w:ascii="Times New Roman" w:cs="Times New Roman" w:eastAsia="Times New Roman" w:hAnsi="Times New Roman"/>
          <w:sz w:val="18"/>
          <w:szCs w:val="18"/>
          <w:color w:val="auto"/>
        </w:rPr>
        <w:t>Under the 2016 SOIP, the option exercise price is determined by the plan administrator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 but will not be less than fair market value (as defined in the 2016 SOIP) on the grant date, and for incentive stock options granted to any employee who is a 10 percent owner in the Company, will not be less than 110 percent of the fair market value on the grant date.</w:t>
      </w:r>
    </w:p>
    <w:p>
      <w:pPr>
        <w:spacing w:after="0" w:line="183" w:lineRule="exact"/>
        <w:rPr>
          <w:sz w:val="20"/>
          <w:szCs w:val="20"/>
          <w:color w:val="auto"/>
        </w:rPr>
      </w:pPr>
    </w:p>
    <w:p>
      <w:pPr>
        <w:ind w:left="60" w:right="4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period. </w:t>
      </w:r>
      <w:r>
        <w:rPr>
          <w:rFonts w:ascii="Times New Roman" w:cs="Times New Roman" w:eastAsia="Times New Roman" w:hAnsi="Times New Roman"/>
          <w:sz w:val="18"/>
          <w:szCs w:val="18"/>
          <w:color w:val="auto"/>
        </w:rPr>
        <w:t>Vesting conditions are determined by the administrator at the time of grant and are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certificate.</w:t>
      </w:r>
    </w:p>
    <w:p>
      <w:pPr>
        <w:spacing w:after="0" w:line="158" w:lineRule="exact"/>
        <w:rPr>
          <w:sz w:val="20"/>
          <w:szCs w:val="20"/>
          <w:color w:val="auto"/>
        </w:rPr>
      </w:pPr>
    </w:p>
    <w:p>
      <w:pPr>
        <w:ind w:left="60" w:right="13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Accelerated vesting. </w:t>
      </w:r>
      <w:r>
        <w:rPr>
          <w:rFonts w:ascii="Times New Roman" w:cs="Times New Roman" w:eastAsia="Times New Roman" w:hAnsi="Times New Roman"/>
          <w:sz w:val="17"/>
          <w:szCs w:val="17"/>
          <w:color w:val="auto"/>
        </w:rPr>
        <w:t>The administrator may accelerate the exercisability or vesting of all or any portion of any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circumstances involving the grantee’s death, disability, retirement or termination of employment, or a change in control.</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Our board of directors has the authority to amend the 2016 SOIP.</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ind w:left="60" w:right="119" w:firstLine="324"/>
        <w:spacing w:after="0" w:line="269" w:lineRule="auto"/>
        <w:rPr>
          <w:sz w:val="20"/>
          <w:szCs w:val="20"/>
          <w:color w:val="auto"/>
        </w:rPr>
      </w:pPr>
      <w:r>
        <w:rPr>
          <w:rFonts w:ascii="Times New Roman" w:cs="Times New Roman" w:eastAsia="Times New Roman" w:hAnsi="Times New Roman"/>
          <w:sz w:val="17"/>
          <w:szCs w:val="17"/>
          <w:color w:val="auto"/>
        </w:rPr>
        <w:t>For the fiscal year ended December 31, 2024, the Company has granted our directors and executive officers, in the aggregate, options for the right to acquire 406,680 shares at an exercise price ranging from USD 3.39 to USD 4.23 per share, which vest either over a 1 year or 3 year period with vesting to occur quarterly or annually depending on the nature of the award. The expiration date for these options granted in 2024 is 2034. The Company also granted to our directors and executive officers a total of 557,934 restricted share units in 2024. Restricted share units granted to directors vest over a</w:t>
      </w:r>
    </w:p>
    <w:p>
      <w:pPr>
        <w:spacing w:after="0" w:line="3" w:lineRule="exact"/>
        <w:rPr>
          <w:sz w:val="20"/>
          <w:szCs w:val="20"/>
          <w:color w:val="auto"/>
        </w:rPr>
      </w:pPr>
    </w:p>
    <w:p>
      <w:pPr>
        <w:ind w:left="60" w:right="119"/>
        <w:spacing w:after="0" w:line="247" w:lineRule="auto"/>
        <w:rPr>
          <w:sz w:val="20"/>
          <w:szCs w:val="20"/>
          <w:color w:val="auto"/>
        </w:rPr>
      </w:pPr>
      <w:r>
        <w:rPr>
          <w:rFonts w:ascii="Times New Roman" w:cs="Times New Roman" w:eastAsia="Times New Roman" w:hAnsi="Times New Roman"/>
          <w:sz w:val="18"/>
          <w:szCs w:val="18"/>
          <w:color w:val="auto"/>
        </w:rPr>
        <w:t>1 year period with vesting to occur annually, depending on the nature of the award. Restricted share units granted to executive officers vest over a 1 year or 3 year period with vesting to occur quarterly or semi-annually. Please see “Note 18. Share-based compensation” for further detail.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359" w:hanging="10"/>
        <w:spacing w:after="0" w:line="503" w:lineRule="auto"/>
        <w:tabs>
          <w:tab w:leader="none" w:pos="384"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Composition of board of directors</w:t>
      </w: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is composed of seven directors. Each director is elected for a 1-year renewable term until the next Annual General Meeting (AGM). The current members of our board of directors were appointed at the AGM held on June 20, 2024 to serve until the 2025 AGM to be held in June 2025. There are currently no service contracts in effect between us and any of our directors regarding their board responsibilities.</w:t>
      </w:r>
    </w:p>
    <w:p>
      <w:pPr>
        <w:spacing w:after="0" w:line="180" w:lineRule="exact"/>
        <w:rPr>
          <w:sz w:val="20"/>
          <w:szCs w:val="20"/>
          <w:color w:val="auto"/>
        </w:rPr>
      </w:pPr>
    </w:p>
    <w:p>
      <w:pPr>
        <w:ind w:left="60" w:right="379" w:firstLine="324"/>
        <w:spacing w:after="0" w:line="255" w:lineRule="auto"/>
        <w:rPr>
          <w:sz w:val="20"/>
          <w:szCs w:val="20"/>
          <w:color w:val="auto"/>
        </w:rPr>
      </w:pPr>
      <w:r>
        <w:rPr>
          <w:rFonts w:ascii="Times New Roman" w:cs="Times New Roman" w:eastAsia="Times New Roman" w:hAnsi="Times New Roman"/>
          <w:sz w:val="18"/>
          <w:szCs w:val="18"/>
          <w:color w:val="auto"/>
        </w:rPr>
        <w:t>We are a foreign private issuer. As a result, in accordance with the Nasdaq stock exchange listing requirements, we rely on home country governance requirements and certain exemptions thereunder rather than relying on the stock exchange corporate governance requirements. For an overview of our corporate governance principles, see “Item 16G. Corporate governance.”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29"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met in accordance with their respective mandate both physically, by video-conference and telephonically throughout 2024. The Board members analyzed the scientific, business, financial, organizational and legal risks of the Company based on the external factors and internal changes that could potentially impact the risks for the Company in the future.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considering any applicable committee independence standards, Douglas Williams, Werner Lanthaler, Roy Twyman, Carl June, Monika Bütler and Monica Shaw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common shares beneficially owned by the director and his or her affiliated entities, if any.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established two separate permanent committees: an audit and finance committee and a compensation, nomination and corporate governance committee.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and finance committee</w:t>
      </w:r>
    </w:p>
    <w:p>
      <w:pPr>
        <w:spacing w:after="0" w:line="21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audit and finance committee, which consists of Monika Bütler (Chair), Monica Shaw (Member), and Douglas Williams (Member), assists our board of directors in overseeing our accounting and financial reporting processes and the audits of our consolidated financial statements. In addition, the audit and finance committee is directly responsible for the appointment, compensation, retention and oversight of the work of our independent registered public accounting firm. The audit and finance committee consists exclusively of members of our board who are financially literate, and Monika Bütler is considered to be “audit committee financial expert” as defined by the SEC. Our board of directors has determined that Monika Bütler, Monica Shaw and Douglas Williams satisfy the “independence” requirements set forth in Rule 10A-3 under the Exchange Act.</w:t>
      </w:r>
    </w:p>
    <w:p>
      <w:pPr>
        <w:spacing w:after="0" w:line="19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audit and finance committee is governed by a charter that complies with Nasdaq rules. The audit and finance committee has the responsibility to, among other things:</w:t>
      </w:r>
    </w:p>
    <w:p>
      <w:pPr>
        <w:spacing w:after="0" w:line="162" w:lineRule="exact"/>
        <w:rPr>
          <w:sz w:val="20"/>
          <w:szCs w:val="20"/>
          <w:color w:val="auto"/>
        </w:rPr>
      </w:pPr>
    </w:p>
    <w:p>
      <w:pPr>
        <w:ind w:left="720" w:hanging="319"/>
        <w:spacing w:after="0"/>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qualifications, independence, performance and effectiveness of the independent auditor;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82"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scope of the prospective audit by the independent auditor, the estimated fees, and any other matters pertaining to the audit;</w:t>
      </w:r>
    </w:p>
    <w:p>
      <w:pPr>
        <w:spacing w:after="0" w:line="161"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audit and non-audit services proposed to be provided by the independent auditor to ensure independent auditor independence;</w:t>
      </w:r>
    </w:p>
    <w:p>
      <w:pPr>
        <w:spacing w:after="0" w:line="16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independent auditor’s report and management letters and take notice of all comments of the independent auditor on accounting procedures and systems of control, and review the independent auditor’s reports with management;</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responsible for the resolution of disagreements between the management and the independent auditor;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the lead audit partner of the independent audit team and confirm and evaluate their rotation;</w:t>
      </w:r>
    </w:p>
    <w:p>
      <w:pPr>
        <w:spacing w:after="0" w:line="225"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all (i) consolidated financial statements, (ii) reports intended for publication and (iii) any other financial statements intended for publication to consider significant financial reporting issues and judgments made in connection with the preparation of our consolidated financial statements, including any significant changes in our selection or application of accounting principles;</w:t>
      </w:r>
    </w:p>
    <w:p>
      <w:pPr>
        <w:spacing w:after="0" w:line="16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quarterly condensed consolidated financial statements;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56"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consolidated financial statements, including critical accounting policies, the effect of regulatory and accounting initiatives, and off-balance sheet transactions and structures on our consolidated financial statements;</w:t>
      </w:r>
    </w:p>
    <w:p>
      <w:pPr>
        <w:spacing w:after="0" w:line="173"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 cooperation with the independent auditor and the management whether the accounting principles applied are appropriate in view of our size and complexity;</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w:t>
      </w:r>
    </w:p>
    <w:p>
      <w:pPr>
        <w:spacing w:after="0" w:line="175"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external advisors any legal matters that may have a material impact on our consolidated financial statements and any material reports or inquiries from regulatory or governmental agencies that could materially impact our contingent liabilities and risks;</w:t>
      </w:r>
    </w:p>
    <w:p>
      <w:pPr>
        <w:spacing w:after="0" w:line="175" w:lineRule="exact"/>
        <w:rPr>
          <w:rFonts w:ascii="Times New Roman" w:cs="Times New Roman" w:eastAsia="Times New Roman" w:hAnsi="Times New Roman"/>
          <w:sz w:val="18"/>
          <w:szCs w:val="18"/>
          <w:color w:val="auto"/>
        </w:rPr>
      </w:pPr>
    </w:p>
    <w:p>
      <w:pPr>
        <w:ind w:left="720" w:right="219" w:hanging="319"/>
        <w:spacing w:after="0" w:line="312" w:lineRule="auto"/>
        <w:tabs>
          <w:tab w:leader="none" w:pos="7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our disclosure controls and procedures and internal control over financial reporting, including significant deficiencies and material weaknesses in the design or operation of internal controls over financial reporting;</w:t>
      </w:r>
    </w:p>
    <w:p>
      <w:pPr>
        <w:spacing w:after="0" w:line="139" w:lineRule="exact"/>
        <w:rPr>
          <w:rFonts w:ascii="Times New Roman" w:cs="Times New Roman" w:eastAsia="Times New Roman" w:hAnsi="Times New Roman"/>
          <w:sz w:val="17"/>
          <w:szCs w:val="17"/>
          <w:color w:val="auto"/>
        </w:rPr>
      </w:pPr>
    </w:p>
    <w:p>
      <w:pPr>
        <w:ind w:left="720" w:right="119" w:hanging="319"/>
        <w:spacing w:after="0" w:line="266"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17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ratify any related-person transaction in accordance with our related-person transaction policy.</w:t>
      </w:r>
    </w:p>
    <w:p>
      <w:pPr>
        <w:spacing w:after="0" w:line="16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audit and finance committee will meet as often as it determines is appropriate to carry out its responsibilities, but in any event will meet at least four times per year.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nomination and corporate governance committee</w:t>
      </w:r>
    </w:p>
    <w:p>
      <w:pPr>
        <w:spacing w:after="0" w:line="22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compensation, nomination and corporate governance committee, consists of Monika Bütler (Chair), Douglas Williams (Member) and Roy Twyman (Member).</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compensation, nomination and corporate governance committee is governed by a charter that complies with SEC and home country governance rules. The compensation, nomination and corporate governance committee has the responsibility to, among other things:</w:t>
      </w:r>
    </w:p>
    <w:p>
      <w:pPr>
        <w:spacing w:after="0" w:line="176" w:lineRule="exact"/>
        <w:rPr>
          <w:sz w:val="20"/>
          <w:szCs w:val="20"/>
          <w:color w:val="auto"/>
        </w:rPr>
      </w:pPr>
    </w:p>
    <w:p>
      <w:pPr>
        <w:ind w:left="720" w:right="179" w:hanging="319"/>
        <w:spacing w:after="0" w:line="266" w:lineRule="auto"/>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guidelines for the overall compensation and equity awards for the board of directors and executive officers along with the rationale for such recommendations;</w:t>
      </w:r>
    </w:p>
    <w:p>
      <w:pPr>
        <w:spacing w:after="0" w:line="1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compensation of executive officers;</w:t>
      </w:r>
    </w:p>
    <w:p>
      <w:pPr>
        <w:spacing w:after="0" w:line="225" w:lineRule="exact"/>
        <w:rPr>
          <w:rFonts w:ascii="Times New Roman" w:cs="Times New Roman" w:eastAsia="Times New Roman" w:hAnsi="Times New Roman"/>
          <w:sz w:val="18"/>
          <w:szCs w:val="18"/>
          <w:color w:val="auto"/>
        </w:rPr>
      </w:pPr>
    </w:p>
    <w:p>
      <w:pPr>
        <w:ind w:left="720" w:right="499" w:hanging="319"/>
        <w:spacing w:after="0" w:line="266" w:lineRule="auto"/>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the maximum total compensation of the board of directors and executive officers for approval at the Annual General Meeting;</w:t>
      </w:r>
    </w:p>
    <w:p>
      <w:pPr>
        <w:spacing w:after="0" w:line="1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policies and principles for the Company’s corporate governance;</w:t>
      </w:r>
    </w:p>
    <w:p>
      <w:pPr>
        <w:spacing w:after="0" w:line="225"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process for assessment of the performance of members of the board, its committees and individual members;</w:t>
      </w:r>
    </w:p>
    <w:p>
      <w:pPr>
        <w:spacing w:after="0" w:line="1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review the Company’s succession plan for members of the board and the executive committee;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code of conduct and recommends changes as needed;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for presentation to our shareholders the compensation report for shareholder vote; and</w:t>
      </w:r>
    </w:p>
    <w:p>
      <w:pPr>
        <w:spacing w:after="0" w:line="225" w:lineRule="exact"/>
        <w:rPr>
          <w:rFonts w:ascii="Times New Roman" w:cs="Times New Roman" w:eastAsia="Times New Roman" w:hAnsi="Times New Roman"/>
          <w:sz w:val="18"/>
          <w:szCs w:val="18"/>
          <w:color w:val="auto"/>
        </w:rPr>
      </w:pPr>
    </w:p>
    <w:p>
      <w:pPr>
        <w:ind w:left="720" w:right="579" w:hanging="319"/>
        <w:spacing w:after="0" w:line="266" w:lineRule="auto"/>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guidelines for the selection of candidates for election or re-election as members of the board and our executive officers.</w:t>
      </w:r>
    </w:p>
    <w:p>
      <w:pPr>
        <w:spacing w:after="0" w:line="1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Compensation Recoupment Policy.</w:t>
      </w:r>
    </w:p>
    <w:p>
      <w:pPr>
        <w:spacing w:after="0" w:line="22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Swiss law requires that we adopt a compensation committee, so in accordance with Nasdaq Listing Rule 5615(a)(3), we will follow home country requirements with respect to the compensation, nomination and corporate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 requirements of Nasdaq Listing Rule 5605(e). We are subject to the Swiss Executive Compensation (Say on Pay) Rule as enforced in the Code of Obligations. In addition, this committee will also be responsible for director and board committee nominations as well as reviewing and amending, if required, our corporate governance framework and guidelines.</w:t>
      </w:r>
    </w:p>
    <w:p>
      <w:pPr>
        <w:spacing w:after="0" w:line="174"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2024, we employed 172 employees, 39 of whom were part-time employees. All of our employees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are based in Switzerland. 78 of our employees hold Ph.D. degrees and 64 hold M.Sc. degrees. Our 172 employees are from</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27 countries. The average number of employees (calculated on full-time equivalents) in 2024 was 147.2.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and 2022 we had 161 and 156 employees, respectively. We have never had a work stoppage, and none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our employees is represented by a labor organization or under any collective-bargaining arrangements. We consider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employee relations to be good.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7. Major shareholders and related-party transactions—A. Major shareholders.”</w:t>
      </w:r>
    </w:p>
    <w:p>
      <w:pPr>
        <w:spacing w:after="0" w:line="22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RELATED-PARTY TRANSACTIONS</w:t>
      </w:r>
    </w:p>
    <w:p>
      <w:pPr>
        <w:spacing w:after="0" w:line="18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Major shareholders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information relating to the beneficial ownership of our common shares as of the date of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Report by:</w:t>
      </w:r>
    </w:p>
    <w:p>
      <w:pPr>
        <w:spacing w:after="0" w:line="166" w:lineRule="exact"/>
        <w:rPr>
          <w:sz w:val="20"/>
          <w:szCs w:val="20"/>
          <w:color w:val="auto"/>
        </w:rPr>
      </w:pPr>
    </w:p>
    <w:p>
      <w:pPr>
        <w:ind w:left="720" w:right="559" w:hanging="319"/>
        <w:spacing w:after="0" w:line="282" w:lineRule="auto"/>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5% or more of our outstanding common shares;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8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All of our common shares have the same voting rights. 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March 1, 2025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47" w:lineRule="exact"/>
        <w:rPr>
          <w:sz w:val="20"/>
          <w:szCs w:val="20"/>
          <w:color w:val="auto"/>
        </w:rPr>
      </w:pPr>
    </w:p>
    <w:p>
      <w:pPr>
        <w:ind w:left="60" w:right="99" w:firstLine="321"/>
        <w:spacing w:after="0" w:line="256" w:lineRule="auto"/>
        <w:rPr>
          <w:sz w:val="20"/>
          <w:szCs w:val="20"/>
          <w:color w:val="auto"/>
        </w:rPr>
      </w:pPr>
      <w:r>
        <w:rPr>
          <w:rFonts w:ascii="Times New Roman" w:cs="Times New Roman" w:eastAsia="Times New Roman" w:hAnsi="Times New Roman"/>
          <w:sz w:val="18"/>
          <w:szCs w:val="18"/>
          <w:color w:val="auto"/>
        </w:rPr>
        <w:t>The percentage of outstanding common shares is computed on the basis of 100,410,377 common shares outstanding as of March 1, 2025. Common shares that a person has the right to acquire within 60 days of March 1, 2025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1015 Lausanne, Switzerland.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owned (%)</w:t>
            </w:r>
          </w:p>
        </w:tc>
      </w:tr>
      <w:tr>
        <w:trPr>
          <w:trHeight w:val="228"/>
        </w:trPr>
        <w:tc>
          <w:tcPr>
            <w:tcW w:w="20" w:type="dxa"/>
            <w:vAlign w:val="bottom"/>
          </w:tcPr>
          <w:p>
            <w:pPr>
              <w:spacing w:after="0"/>
              <w:rPr>
                <w:sz w:val="19"/>
                <w:szCs w:val="19"/>
                <w:color w:val="auto"/>
              </w:rPr>
            </w:pPr>
          </w:p>
        </w:tc>
        <w:tc>
          <w:tcPr>
            <w:tcW w:w="6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5% Shareholders</w:t>
            </w:r>
          </w:p>
        </w:tc>
        <w:tc>
          <w:tcPr>
            <w:tcW w:w="2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Biotechnology Value Fund (BVF) Inc.</w:t>
            </w:r>
            <w:r>
              <w:rPr>
                <w:rFonts w:ascii="Times New Roman" w:cs="Times New Roman" w:eastAsia="Times New Roman" w:hAnsi="Times New Roman"/>
                <w:sz w:val="26"/>
                <w:szCs w:val="26"/>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19,522,436</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19.4 %</w:t>
            </w:r>
          </w:p>
        </w:tc>
      </w:tr>
      <w:tr>
        <w:trPr>
          <w:trHeight w:val="230"/>
        </w:trPr>
        <w:tc>
          <w:tcPr>
            <w:tcW w:w="20" w:type="dxa"/>
            <w:vAlign w:val="bottom"/>
          </w:tcPr>
          <w:p>
            <w:pPr>
              <w:spacing w:after="0"/>
              <w:rPr>
                <w:sz w:val="19"/>
                <w:szCs w:val="19"/>
                <w:color w:val="auto"/>
              </w:rPr>
            </w:pPr>
          </w:p>
        </w:tc>
        <w:tc>
          <w:tcPr>
            <w:tcW w:w="63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dievini Hopp BioTech holding GmbH &amp; Co KG</w:t>
            </w:r>
            <w:r>
              <w:rPr>
                <w:rFonts w:ascii="Times New Roman" w:cs="Times New Roman" w:eastAsia="Times New Roman" w:hAnsi="Times New Roman"/>
                <w:sz w:val="26"/>
                <w:szCs w:val="26"/>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16,316,742</w:t>
            </w: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16.3 %</w:t>
            </w:r>
          </w:p>
        </w:tc>
      </w:tr>
      <w:tr>
        <w:trPr>
          <w:trHeight w:val="229"/>
        </w:trPr>
        <w:tc>
          <w:tcPr>
            <w:tcW w:w="20" w:type="dxa"/>
            <w:vAlign w:val="bottom"/>
          </w:tcPr>
          <w:p>
            <w:pPr>
              <w:spacing w:after="0"/>
              <w:rPr>
                <w:sz w:val="19"/>
                <w:szCs w:val="19"/>
                <w:color w:val="auto"/>
              </w:rPr>
            </w:pPr>
          </w:p>
        </w:tc>
        <w:tc>
          <w:tcPr>
            <w:tcW w:w="63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Varuma AG</w:t>
            </w:r>
            <w:r>
              <w:rPr>
                <w:rFonts w:ascii="Times New Roman" w:cs="Times New Roman" w:eastAsia="Times New Roman" w:hAnsi="Times New Roman"/>
                <w:sz w:val="26"/>
                <w:szCs w:val="26"/>
                <w:color w:val="auto"/>
                <w:vertAlign w:val="superscript"/>
              </w:rPr>
              <w:t>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11,999,999</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12.0 %</w:t>
            </w:r>
          </w:p>
        </w:tc>
      </w:tr>
      <w:tr>
        <w:trPr>
          <w:trHeight w:val="230"/>
        </w:trPr>
        <w:tc>
          <w:tcPr>
            <w:tcW w:w="20" w:type="dxa"/>
            <w:vAlign w:val="bottom"/>
          </w:tcPr>
          <w:p>
            <w:pPr>
              <w:spacing w:after="0"/>
              <w:rPr>
                <w:sz w:val="19"/>
                <w:szCs w:val="19"/>
                <w:color w:val="auto"/>
              </w:rPr>
            </w:pPr>
          </w:p>
        </w:tc>
        <w:tc>
          <w:tcPr>
            <w:tcW w:w="63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Affiris AG</w:t>
            </w:r>
            <w:r>
              <w:rPr>
                <w:rFonts w:ascii="Times New Roman" w:cs="Times New Roman" w:eastAsia="Times New Roman" w:hAnsi="Times New Roman"/>
                <w:sz w:val="26"/>
                <w:szCs w:val="26"/>
                <w:color w:val="auto"/>
                <w:vertAlign w:val="superscript"/>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6,428,100</w:t>
            </w: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20" w:type="dxa"/>
            <w:vAlign w:val="bottom"/>
          </w:tcPr>
          <w:p>
            <w:pPr>
              <w:spacing w:after="0"/>
              <w:rPr>
                <w:sz w:val="19"/>
                <w:szCs w:val="19"/>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 and Directors</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Andrea Pfeifer</w:t>
            </w:r>
            <w:r>
              <w:rPr>
                <w:rFonts w:ascii="Times New Roman" w:cs="Times New Roman" w:eastAsia="Times New Roman" w:hAnsi="Times New Roman"/>
                <w:sz w:val="26"/>
                <w:szCs w:val="26"/>
                <w:color w:val="auto"/>
                <w:vertAlign w:val="superscript"/>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4,344,077</w:t>
            </w: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20" w:type="dxa"/>
            <w:vAlign w:val="bottom"/>
          </w:tcPr>
          <w:p>
            <w:pPr>
              <w:spacing w:after="0"/>
              <w:rPr>
                <w:sz w:val="19"/>
                <w:szCs w:val="19"/>
                <w:color w:val="auto"/>
              </w:rPr>
            </w:pPr>
          </w:p>
        </w:tc>
        <w:tc>
          <w:tcPr>
            <w:tcW w:w="63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Anke Post</w:t>
            </w:r>
            <w:r>
              <w:rPr>
                <w:rFonts w:ascii="Times New Roman" w:cs="Times New Roman" w:eastAsia="Times New Roman" w:hAnsi="Times New Roman"/>
                <w:sz w:val="26"/>
                <w:szCs w:val="26"/>
                <w:color w:val="auto"/>
                <w:vertAlign w:val="superscript"/>
              </w:rPr>
              <w:t>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Piergiorgio Donati</w:t>
            </w:r>
            <w:r>
              <w:rPr>
                <w:rFonts w:ascii="Times New Roman" w:cs="Times New Roman" w:eastAsia="Times New Roman" w:hAnsi="Times New Roman"/>
                <w:sz w:val="26"/>
                <w:szCs w:val="26"/>
                <w:color w:val="auto"/>
                <w:vertAlign w:val="superscript"/>
              </w:rPr>
              <w:t>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Christopher Roberts</w:t>
            </w:r>
            <w:r>
              <w:rPr>
                <w:rFonts w:ascii="Times New Roman" w:cs="Times New Roman" w:eastAsia="Times New Roman" w:hAnsi="Times New Roman"/>
                <w:sz w:val="26"/>
                <w:szCs w:val="26"/>
                <w:color w:val="auto"/>
                <w:vertAlign w:val="superscript"/>
              </w:rPr>
              <w:t>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Howard Donovan</w:t>
            </w:r>
            <w:r>
              <w:rPr>
                <w:rFonts w:ascii="Times New Roman" w:cs="Times New Roman" w:eastAsia="Times New Roman" w:hAnsi="Times New Roman"/>
                <w:sz w:val="26"/>
                <w:szCs w:val="26"/>
                <w:color w:val="auto"/>
                <w:vertAlign w:val="superscript"/>
              </w:rPr>
              <w:t>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Douglas Williams</w:t>
            </w:r>
            <w:r>
              <w:rPr>
                <w:rFonts w:ascii="Times New Roman" w:cs="Times New Roman" w:eastAsia="Times New Roman" w:hAnsi="Times New Roman"/>
                <w:sz w:val="26"/>
                <w:szCs w:val="26"/>
                <w:color w:val="auto"/>
                <w:vertAlign w:val="superscript"/>
              </w:rPr>
              <w:t>10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Monika Bütler</w:t>
            </w:r>
            <w:r>
              <w:rPr>
                <w:rFonts w:ascii="Times New Roman" w:cs="Times New Roman" w:eastAsia="Times New Roman" w:hAnsi="Times New Roman"/>
                <w:sz w:val="26"/>
                <w:szCs w:val="26"/>
                <w:color w:val="auto"/>
                <w:vertAlign w:val="superscript"/>
              </w:rPr>
              <w:t>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Werner Lanthaler</w:t>
            </w:r>
            <w:r>
              <w:rPr>
                <w:rFonts w:ascii="Times New Roman" w:cs="Times New Roman" w:eastAsia="Times New Roman" w:hAnsi="Times New Roman"/>
                <w:sz w:val="26"/>
                <w:szCs w:val="26"/>
                <w:color w:val="auto"/>
                <w:vertAlign w:val="superscript"/>
              </w:rPr>
              <w:t>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Roy Twyman</w:t>
            </w:r>
            <w:r>
              <w:rPr>
                <w:rFonts w:ascii="Times New Roman" w:cs="Times New Roman" w:eastAsia="Times New Roman" w:hAnsi="Times New Roman"/>
                <w:sz w:val="26"/>
                <w:szCs w:val="26"/>
                <w:color w:val="auto"/>
                <w:vertAlign w:val="superscript"/>
              </w:rPr>
              <w:t>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Carl June</w:t>
            </w:r>
            <w:r>
              <w:rPr>
                <w:rFonts w:ascii="Times New Roman" w:cs="Times New Roman" w:eastAsia="Times New Roman" w:hAnsi="Times New Roman"/>
                <w:sz w:val="26"/>
                <w:szCs w:val="26"/>
                <w:color w:val="auto"/>
                <w:vertAlign w:val="superscript"/>
              </w:rPr>
              <w:t>14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Monica Shaw</w:t>
            </w:r>
            <w:r>
              <w:rPr>
                <w:rFonts w:ascii="Times New Roman" w:cs="Times New Roman" w:eastAsia="Times New Roman" w:hAnsi="Times New Roman"/>
                <w:sz w:val="26"/>
                <w:szCs w:val="26"/>
                <w:color w:val="auto"/>
                <w:vertAlign w:val="superscript"/>
              </w:rPr>
              <w:t>15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(11 persons)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6,468,046</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6.4 %</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r>
    </w:tbl>
    <w:p>
      <w:pPr>
        <w:spacing w:after="0" w:line="63" w:lineRule="exact"/>
        <w:rPr>
          <w:sz w:val="20"/>
          <w:szCs w:val="20"/>
          <w:color w:val="auto"/>
        </w:rPr>
      </w:pPr>
    </w:p>
    <w:p>
      <w:pPr>
        <w:ind w:left="380" w:hanging="330"/>
        <w:spacing w:after="0"/>
        <w:tabs>
          <w:tab w:leader="none" w:pos="3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issued and outstanding common shares.</w:t>
      </w:r>
    </w:p>
    <w:p>
      <w:pPr>
        <w:spacing w:after="0" w:line="217" w:lineRule="exact"/>
        <w:rPr>
          <w:sz w:val="20"/>
          <w:szCs w:val="20"/>
          <w:color w:val="auto"/>
        </w:rPr>
      </w:pPr>
    </w:p>
    <w:p>
      <w:pPr>
        <w:ind w:left="60" w:right="299"/>
        <w:spacing w:after="0" w:line="226"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Based on information set forth in a Schedule 13G/A filed with the SEC by BVF on November 14, 2024, these shares consist of 19,522,436 shares held of record by BVF Inc. The address of BVF Inc. is 44 Montgomery St., 40th Floor, San Francisco, California 94104.</w:t>
      </w:r>
    </w:p>
    <w:p>
      <w:pPr>
        <w:spacing w:after="0" w:line="193" w:lineRule="exact"/>
        <w:rPr>
          <w:sz w:val="20"/>
          <w:szCs w:val="20"/>
          <w:color w:val="auto"/>
        </w:rPr>
      </w:pPr>
    </w:p>
    <w:p>
      <w:pPr>
        <w:ind w:left="60" w:right="339"/>
        <w:spacing w:after="0" w:line="217"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Based on information set forth in a Schedule 13G/A filed with the SEC by dievini Hopp BioTech holding GmbH &amp; Co KG (“dievini”) on February 10, 2023. These shares consist of 16,316,742 shares held by dievini.</w:t>
      </w:r>
    </w:p>
    <w:p>
      <w:pPr>
        <w:spacing w:after="0" w:line="212" w:lineRule="exact"/>
        <w:rPr>
          <w:sz w:val="20"/>
          <w:szCs w:val="20"/>
          <w:color w:val="auto"/>
        </w:rPr>
      </w:pPr>
    </w:p>
    <w:p>
      <w:pPr>
        <w:ind w:left="60" w:right="199"/>
        <w:spacing w:after="0" w:line="272" w:lineRule="auto"/>
        <w:rPr>
          <w:sz w:val="20"/>
          <w:szCs w:val="20"/>
          <w:color w:val="auto"/>
        </w:rPr>
      </w:pPr>
      <w:r>
        <w:rPr>
          <w:rFonts w:ascii="Times New Roman" w:cs="Times New Roman" w:eastAsia="Times New Roman" w:hAnsi="Times New Roman"/>
          <w:sz w:val="18"/>
          <w:szCs w:val="18"/>
          <w:color w:val="auto"/>
        </w:rPr>
        <w:t>DH-Capital GmbH &amp; Co. KG (“DH-Capital”) and OH Beteiligungen GmbH &amp; Co. KG (“OH Beteiligungen”) are collectively the holders of 100% of the limited partner interest in dievini and therefore, control the voting and dispositive decisions of dievini together and may be deemed to beneficially own the shares held by dievini. Dietmar Hopp, Oliver Hopp and Daniel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w:t>
      </w:r>
    </w:p>
    <w:p>
      <w:pPr>
        <w:spacing w:after="0" w:line="118" w:lineRule="exact"/>
        <w:rPr>
          <w:sz w:val="20"/>
          <w:szCs w:val="20"/>
          <w:color w:val="auto"/>
        </w:rPr>
      </w:pPr>
    </w:p>
    <w:p>
      <w:pPr>
        <w:ind w:left="60" w:right="299"/>
        <w:spacing w:after="0" w:line="297" w:lineRule="auto"/>
        <w:rPr>
          <w:sz w:val="20"/>
          <w:szCs w:val="20"/>
          <w:color w:val="auto"/>
        </w:rPr>
      </w:pPr>
      <w:r>
        <w:rPr>
          <w:rFonts w:ascii="Times New Roman" w:cs="Times New Roman" w:eastAsia="Times New Roman" w:hAnsi="Times New Roman"/>
          <w:sz w:val="17"/>
          <w:szCs w:val="17"/>
          <w:color w:val="auto"/>
        </w:rPr>
        <w:t>The address of the principal business office of dievini and Dietmar Hopp is c/o dievini Hopp BioTech holding GmbH &amp; Co. KG, Johann-Jakob-Astor Straße 57, 69190 Walldorf, Germany. The address of the principal business office of DH-Capital GmbH &amp; Co. KG and OH Beteiligungen GmbH &amp; Co. KG is Opelstraße 28, 68789 St. Leon-Rot, Germany. The address of the principal business office of Oliver Hopp is Johann-Jakob-Astor-Straße 59, 69190 Walldorf, Germany.</w:t>
      </w:r>
    </w:p>
    <w:p>
      <w:pPr>
        <w:spacing w:after="0" w:line="64" w:lineRule="exact"/>
        <w:rPr>
          <w:sz w:val="20"/>
          <w:szCs w:val="20"/>
          <w:color w:val="auto"/>
        </w:rPr>
      </w:pPr>
    </w:p>
    <w:p>
      <w:pPr>
        <w:ind w:left="60" w:right="79"/>
        <w:spacing w:after="0" w:line="226"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Represents 11,999,999 shares held by Varuma AG set forth in a Schedule 13G/A filed with the SEC on February 12, 2019. The address for Varuma AG is Aeschenvorstadt 55, CH-4051 Basel, Switzerland. Rudolf Maag controls the voting and investment decisions of Varuma AG.</w:t>
      </w:r>
    </w:p>
    <w:p>
      <w:pPr>
        <w:spacing w:after="0" w:line="193" w:lineRule="exact"/>
        <w:rPr>
          <w:sz w:val="20"/>
          <w:szCs w:val="20"/>
          <w:color w:val="auto"/>
        </w:rPr>
      </w:pPr>
    </w:p>
    <w:p>
      <w:pPr>
        <w:ind w:left="60" w:right="99"/>
        <w:spacing w:after="0" w:line="226" w:lineRule="auto"/>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Based on information set forth in a Schedule 13G/A filed with the SEC by Affiris AG December 13, 2024, these shares consist of 6,428,100 shares held of record by Affiris AG. The address of Affiris AG is Karl-Farkas-Gasse 22, 1030 Vienna, Austria.</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Consists of 2,956,067 of our common shares and options to purchase 1,388,010 of our common shares exercisable within</w:t>
      </w:r>
    </w:p>
    <w:p>
      <w:pPr>
        <w:ind w:left="60"/>
        <w:spacing w:after="0"/>
        <w:rPr>
          <w:sz w:val="20"/>
          <w:szCs w:val="20"/>
          <w:color w:val="auto"/>
        </w:rPr>
      </w:pPr>
      <w:r>
        <w:rPr>
          <w:rFonts w:ascii="Times New Roman" w:cs="Times New Roman" w:eastAsia="Times New Roman" w:hAnsi="Times New Roman"/>
          <w:sz w:val="18"/>
          <w:szCs w:val="18"/>
          <w:color w:val="auto"/>
        </w:rPr>
        <w:t>60 days of March 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99"/>
        <w:spacing w:after="0" w:line="217" w:lineRule="auto"/>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Consists of 9,804 of our common shares and options to purchase 18,830 of our common shares exercisable within 60 days of March 1, 2025.</w:t>
      </w:r>
    </w:p>
    <w:p>
      <w:pPr>
        <w:spacing w:after="0" w:line="191" w:lineRule="exact"/>
        <w:rPr>
          <w:sz w:val="20"/>
          <w:szCs w:val="20"/>
          <w:color w:val="auto"/>
        </w:rPr>
      </w:pPr>
    </w:p>
    <w:p>
      <w:pPr>
        <w:ind w:left="60" w:right="299"/>
        <w:spacing w:after="0" w:line="217" w:lineRule="auto"/>
        <w:rPr>
          <w:sz w:val="20"/>
          <w:szCs w:val="20"/>
          <w:color w:val="auto"/>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Consists of 45,800 of our common shares and options to purchase 195,328 of our common shares exercisable within 60 days of March 1, 2025.</w:t>
      </w:r>
    </w:p>
    <w:p>
      <w:pPr>
        <w:spacing w:after="0" w:line="191" w:lineRule="exact"/>
        <w:rPr>
          <w:sz w:val="20"/>
          <w:szCs w:val="20"/>
          <w:color w:val="auto"/>
        </w:rPr>
      </w:pPr>
    </w:p>
    <w:p>
      <w:pPr>
        <w:ind w:left="60" w:right="379"/>
        <w:spacing w:after="0" w:line="217" w:lineRule="auto"/>
        <w:rPr>
          <w:sz w:val="20"/>
          <w:szCs w:val="20"/>
          <w:color w:val="auto"/>
        </w:rPr>
      </w:pP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Consists of 38,048 of our common shares and options to purchase 74,485 of our common shares exercisable within 60 days of March 1, 2025.</w:t>
      </w:r>
    </w:p>
    <w:p>
      <w:pPr>
        <w:spacing w:after="0" w:line="191" w:lineRule="exact"/>
        <w:rPr>
          <w:sz w:val="20"/>
          <w:szCs w:val="20"/>
          <w:color w:val="auto"/>
        </w:rPr>
      </w:pPr>
    </w:p>
    <w:p>
      <w:pPr>
        <w:ind w:left="60" w:right="379"/>
        <w:spacing w:after="0" w:line="210" w:lineRule="auto"/>
        <w:rPr>
          <w:sz w:val="20"/>
          <w:szCs w:val="20"/>
          <w:color w:val="auto"/>
        </w:rPr>
      </w:pP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Consists of 40,797 of our common shares and options to purchase 87,255 of our common shares exercisable within 60 days of March 1, 2025.</w:t>
      </w:r>
    </w:p>
    <w:p>
      <w:pPr>
        <w:spacing w:after="0" w:line="192" w:lineRule="exact"/>
        <w:rPr>
          <w:sz w:val="20"/>
          <w:szCs w:val="20"/>
          <w:color w:val="auto"/>
        </w:rPr>
      </w:pPr>
    </w:p>
    <w:p>
      <w:pPr>
        <w:ind w:left="60" w:right="219"/>
        <w:spacing w:after="0" w:line="217" w:lineRule="auto"/>
        <w:rPr>
          <w:sz w:val="20"/>
          <w:szCs w:val="20"/>
          <w:color w:val="auto"/>
        </w:rPr>
      </w:pP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Consists of 58,008 of our common shares and options to purchase 129,458 of our common shares exercisable within 60 days of March 1, 2025.</w:t>
      </w:r>
    </w:p>
    <w:p>
      <w:pPr>
        <w:spacing w:after="0" w:line="191" w:lineRule="exact"/>
        <w:rPr>
          <w:sz w:val="20"/>
          <w:szCs w:val="20"/>
          <w:color w:val="auto"/>
        </w:rPr>
      </w:pPr>
    </w:p>
    <w:p>
      <w:pPr>
        <w:ind w:left="60" w:right="239"/>
        <w:spacing w:after="0" w:line="217" w:lineRule="auto"/>
        <w:rPr>
          <w:sz w:val="20"/>
          <w:szCs w:val="20"/>
          <w:color w:val="auto"/>
        </w:rPr>
      </w:pP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Consists of 27,099 of our common shares and options to purchase 110,337 of our common shares exercisable within 60 days of March 1, 2025.</w:t>
      </w:r>
    </w:p>
    <w:p>
      <w:pPr>
        <w:spacing w:after="0" w:line="191" w:lineRule="exact"/>
        <w:rPr>
          <w:sz w:val="20"/>
          <w:szCs w:val="20"/>
          <w:color w:val="auto"/>
        </w:rPr>
      </w:pPr>
    </w:p>
    <w:p>
      <w:pPr>
        <w:ind w:left="60" w:right="139"/>
        <w:spacing w:after="0" w:line="217" w:lineRule="auto"/>
        <w:rPr>
          <w:sz w:val="20"/>
          <w:szCs w:val="20"/>
          <w:color w:val="auto"/>
        </w:rPr>
      </w:pP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Consists of 140,003 of our common shares and options to purchase 107,701 of our common shares exercisable within 60 days of March 1, 2025.</w:t>
      </w:r>
    </w:p>
    <w:p>
      <w:pPr>
        <w:spacing w:after="0" w:line="177" w:lineRule="exact"/>
        <w:rPr>
          <w:sz w:val="20"/>
          <w:szCs w:val="20"/>
          <w:color w:val="auto"/>
        </w:rPr>
      </w:pPr>
    </w:p>
    <w:p>
      <w:pPr>
        <w:ind w:left="60" w:right="219"/>
        <w:spacing w:after="0" w:line="217" w:lineRule="auto"/>
        <w:rPr>
          <w:sz w:val="20"/>
          <w:szCs w:val="20"/>
          <w:color w:val="auto"/>
        </w:rPr>
      </w:pP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Consists of 50,969 of our common shares and options to purchase 125,883 of our common shares exercisable within 60 days of March 1, 2025.</w:t>
      </w:r>
    </w:p>
    <w:p>
      <w:pPr>
        <w:spacing w:after="0" w:line="191" w:lineRule="exact"/>
        <w:rPr>
          <w:sz w:val="20"/>
          <w:szCs w:val="20"/>
          <w:color w:val="auto"/>
        </w:rPr>
      </w:pPr>
    </w:p>
    <w:p>
      <w:pPr>
        <w:ind w:left="60" w:right="219"/>
        <w:spacing w:after="0" w:line="217" w:lineRule="auto"/>
        <w:rPr>
          <w:sz w:val="20"/>
          <w:szCs w:val="20"/>
          <w:color w:val="auto"/>
        </w:rPr>
      </w:pP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Consists of 25,969 of our common shares and options to purchase 104,688 of our common shares exercisable within 60 days of March 1, 2025.</w:t>
      </w:r>
    </w:p>
    <w:p>
      <w:pPr>
        <w:spacing w:after="0" w:line="191" w:lineRule="exact"/>
        <w:rPr>
          <w:sz w:val="20"/>
          <w:szCs w:val="20"/>
          <w:color w:val="auto"/>
        </w:rPr>
      </w:pPr>
    </w:p>
    <w:p>
      <w:pPr>
        <w:ind w:left="60" w:right="219"/>
        <w:spacing w:after="0" w:line="217" w:lineRule="auto"/>
        <w:rPr>
          <w:sz w:val="20"/>
          <w:szCs w:val="20"/>
          <w:color w:val="auto"/>
        </w:rPr>
      </w:pP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Consists of 24,969 of our common shares and options to purchase 107,682 of our common shares exercisable within 60 days of March 1, 2025.</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As of March 1, 2025, we had approximately 250 shareholders of record of our common shares.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or by other entities.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changes in ownership by major shareholders</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We have experienced significant changes in the percentage ownership held by major shareholders as a result of our IPO. Prior to our IPO in September 2016, our principal shareholders were dievini Hopp BioTech holding GmbH &amp; Co KG and Varuma AG, which held shares representing 36.5% and 23.1%, respectively.</w:t>
      </w:r>
    </w:p>
    <w:p>
      <w:pPr>
        <w:spacing w:after="0" w:line="162"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As of March 1, 2025, dievini Hopp BioTech holding GmbH &amp; Co KG and Varuma AG held 16.3% and 12.0% of our outstanding common shares, respectively. BVF Inc. increased its holdings from 14.7% to 19.4% of our outstanding common shares in 2024. Affiris became major shareholder in 2021 and owns 6.4% of our outstanding common shares as of March 1, 2025.</w:t>
      </w:r>
    </w:p>
    <w:p>
      <w:pPr>
        <w:spacing w:after="0" w:line="180" w:lineRule="exact"/>
        <w:rPr>
          <w:sz w:val="20"/>
          <w:szCs w:val="20"/>
          <w:color w:val="auto"/>
        </w:rPr>
      </w:pPr>
    </w:p>
    <w:p>
      <w:pPr>
        <w:jc w:val="both"/>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In September 2016, we completed our IPO and listed our common shares on the Nasdaq Global Market. In the IPO, we issued and sold 6,900,000 common shares, including 900,000 common shares sold to the underwriters pursuant to the underwriters’ over-allotment option. While none of our existing shareholders sold common shares in the IPO,</w:t>
      </w:r>
    </w:p>
    <w:p>
      <w:pPr>
        <w:spacing w:after="0" w:line="3" w:lineRule="exact"/>
        <w:rPr>
          <w:sz w:val="20"/>
          <w:szCs w:val="20"/>
          <w:color w:val="auto"/>
        </w:rPr>
      </w:pPr>
    </w:p>
    <w:p>
      <w:pPr>
        <w:jc w:val="both"/>
        <w:ind w:left="60" w:right="239"/>
        <w:spacing w:after="0" w:line="258" w:lineRule="auto"/>
        <w:rPr>
          <w:sz w:val="20"/>
          <w:szCs w:val="20"/>
          <w:color w:val="auto"/>
        </w:rPr>
      </w:pPr>
      <w:r>
        <w:rPr>
          <w:rFonts w:ascii="Times New Roman" w:cs="Times New Roman" w:eastAsia="Times New Roman" w:hAnsi="Times New Roman"/>
          <w:sz w:val="18"/>
          <w:szCs w:val="18"/>
          <w:color w:val="auto"/>
        </w:rPr>
        <w:t>the percentage ownership held by certain shareholders decreased as a result of the issuance of the common shares sold by us in the IPO.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76" w:lineRule="auto"/>
        <w:rPr>
          <w:sz w:val="20"/>
          <w:szCs w:val="20"/>
          <w:color w:val="auto"/>
        </w:rPr>
      </w:pPr>
      <w:r>
        <w:rPr>
          <w:rFonts w:ascii="Times New Roman" w:cs="Times New Roman" w:eastAsia="Times New Roman" w:hAnsi="Times New Roman"/>
          <w:sz w:val="17"/>
          <w:szCs w:val="17"/>
          <w:color w:val="auto"/>
        </w:rPr>
        <w:t>In July 2018, we completed three offerings of our common shares. In these offerings, we issued and sold 10,000,000 common shares, including 1,108,695 sold to the underwriters pursuant to the underwriters’ over-allotment option.</w:t>
      </w:r>
    </w:p>
    <w:p>
      <w:pPr>
        <w:spacing w:after="0" w:line="1"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The percentage ownership held by certain shareholders decreased as a result of the issuance of the common shares sold by us in these offerings.</w:t>
      </w:r>
    </w:p>
    <w:p>
      <w:pPr>
        <w:spacing w:after="0" w:line="181"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In December 2023, we completed an offering of our common shares. In this offering, we issued and sold 14,300,000 common shares to the underwriters pursuant to the underwriters’ agreement. The percentage ownership held by certain shareholders decreased as a result of the issuance of the common shares sold by us in this offering.</w:t>
      </w:r>
    </w:p>
    <w:p>
      <w:pPr>
        <w:spacing w:after="0" w:line="158" w:lineRule="exact"/>
        <w:rPr>
          <w:sz w:val="20"/>
          <w:szCs w:val="20"/>
          <w:color w:val="auto"/>
        </w:rPr>
      </w:pPr>
    </w:p>
    <w:p>
      <w:pPr>
        <w:ind w:left="380" w:right="6599" w:hanging="330"/>
        <w:spacing w:after="0" w:line="500" w:lineRule="auto"/>
        <w:tabs>
          <w:tab w:leader="none" w:pos="3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Related-party transactions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of directors and executive management</w:t>
      </w:r>
    </w:p>
    <w:p>
      <w:pPr>
        <w:spacing w:after="0" w:line="22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Our Articles of Association require us to indemnify our executive officers and directors to the fullest extent permitted by law. We entered into indemnification agreements with our executive officers and directors.</w:t>
      </w:r>
    </w:p>
    <w:p>
      <w:pPr>
        <w:spacing w:after="0" w:line="15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Interests of experts and counsel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60" w:right="4299" w:hanging="10"/>
        <w:spacing w:after="0" w:line="503" w:lineRule="auto"/>
        <w:tabs>
          <w:tab w:leader="none" w:pos="384"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 Financial statements</w:t>
      </w: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See “Item 18. Financial statements,” which contains our consolidated financial statements prepared in accordance with IFRS.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that arise in the ordinary course of business. As of the date of this Annual Report, we have not been a party to or paid any damages in connection with litigation that has had a material adverse effect on our financial position. No assurance can be given that future litigation will not have a material adverse effect on our financial position. When appropriate in the executive management’s estimation, we may record reserves in our consolidated financial statements for pending litigation and other claims.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229" w:lineRule="exact"/>
        <w:rPr>
          <w:sz w:val="20"/>
          <w:szCs w:val="20"/>
          <w:color w:val="auto"/>
        </w:rPr>
      </w:pPr>
    </w:p>
    <w:p>
      <w:pPr>
        <w:jc w:val="both"/>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We have never declared or distributed dividends on our capital stock. We intend to retain all available funds and any future earnings, if any, to fund the development and expansion of our business and we do not anticipate distributing any dividends in the foreseeable future. Any future determination related to dividend policy will be made at the discretion of our board of directors.</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Under Swiss law, any dividend must be approved by our shareholders. In addition, our auditors must confirm that the dividend proposal of our board of directors conforms to Swiss statutory law and our articles of incorporation. A Swiss corporation may pay dividends only if it has sufficient distributable profits brought forward from the previous business years (</w:t>
      </w:r>
      <w:r>
        <w:rPr>
          <w:rFonts w:ascii="Times New Roman" w:cs="Times New Roman" w:eastAsia="Times New Roman" w:hAnsi="Times New Roman"/>
          <w:sz w:val="18"/>
          <w:szCs w:val="18"/>
          <w:i w:val="1"/>
          <w:iCs w:val="1"/>
          <w:color w:val="auto"/>
        </w:rPr>
        <w:t>report des bénéfices</w:t>
      </w:r>
      <w:r>
        <w:rPr>
          <w:rFonts w:ascii="Times New Roman" w:cs="Times New Roman" w:eastAsia="Times New Roman" w:hAnsi="Times New Roman"/>
          <w:sz w:val="18"/>
          <w:szCs w:val="18"/>
          <w:color w:val="auto"/>
        </w:rPr>
        <w:t>) or if it has distributable reserves (</w:t>
      </w:r>
      <w:r>
        <w:rPr>
          <w:rFonts w:ascii="Times New Roman" w:cs="Times New Roman" w:eastAsia="Times New Roman" w:hAnsi="Times New Roman"/>
          <w:sz w:val="18"/>
          <w:szCs w:val="18"/>
          <w:i w:val="1"/>
          <w:iCs w:val="1"/>
          <w:color w:val="auto"/>
        </w:rPr>
        <w:t>réserves à libre disposition</w:t>
      </w:r>
      <w:r>
        <w:rPr>
          <w:rFonts w:ascii="Times New Roman" w:cs="Times New Roman" w:eastAsia="Times New Roman" w:hAnsi="Times New Roman"/>
          <w:sz w:val="18"/>
          <w:szCs w:val="18"/>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Distributions out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nominal share capital, which is the aggregate nominal value of a corporation’s issued shares, may be made only by way of a share capital reduction.</w:t>
      </w:r>
    </w:p>
    <w:p>
      <w:pPr>
        <w:spacing w:after="0" w:line="15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 discussion of the significant changes in our business can be found under “Item 4. Information on the Company—A. History and development of the Company” and “Item 4. Information on the Company—B. Business overview.”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ind w:left="380" w:right="6299" w:hanging="330"/>
        <w:spacing w:after="0" w:line="522" w:lineRule="auto"/>
        <w:tabs>
          <w:tab w:leader="none" w:pos="38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Offering and listing details </w:t>
      </w:r>
      <w:r>
        <w:rPr>
          <w:rFonts w:ascii="Times New Roman" w:cs="Times New Roman" w:eastAsia="Times New Roman" w:hAnsi="Times New Roman"/>
          <w:sz w:val="17"/>
          <w:szCs w:val="17"/>
          <w:color w:val="auto"/>
        </w:rPr>
        <w:t>See “Item 9–C. Markets” below.</w:t>
      </w:r>
    </w:p>
    <w:p>
      <w:pPr>
        <w:ind w:left="380" w:right="7139" w:hanging="330"/>
        <w:spacing w:after="0" w:line="530" w:lineRule="auto"/>
        <w:tabs>
          <w:tab w:leader="none" w:pos="38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common shares trade on the Nasdaq Global Market under the symbol “ACIU.”</w:t>
      </w:r>
    </w:p>
    <w:p>
      <w:pPr>
        <w:spacing w:after="0" w:line="221" w:lineRule="exact"/>
        <w:rPr>
          <w:rFonts w:ascii="Times New Roman" w:cs="Times New Roman" w:eastAsia="Times New Roman" w:hAnsi="Times New Roman"/>
          <w:sz w:val="18"/>
          <w:szCs w:val="18"/>
          <w:b w:val="1"/>
          <w:bCs w:val="1"/>
          <w:color w:val="auto"/>
        </w:rPr>
      </w:pPr>
    </w:p>
    <w:p>
      <w:pPr>
        <w:ind w:left="380" w:right="7099" w:hanging="330"/>
        <w:spacing w:after="0" w:line="522" w:lineRule="auto"/>
        <w:tabs>
          <w:tab w:leader="none" w:pos="38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380" w:right="7039" w:hanging="330"/>
        <w:spacing w:after="0" w:line="500" w:lineRule="auto"/>
        <w:tabs>
          <w:tab w:leader="none" w:pos="3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ind w:left="380" w:right="7539" w:hanging="330"/>
        <w:spacing w:after="0" w:line="530" w:lineRule="auto"/>
        <w:tabs>
          <w:tab w:leader="none" w:pos="380"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16"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annual report on Form 20-F the description of our Articles of Association incorporated herein by reference to Exhibit 3.1 to the Company’s Registration Statement on Form F-3/A, filed with the SEC on July 26, 2024.</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Material contracts</w:t>
      </w:r>
    </w:p>
    <w:p>
      <w:pPr>
        <w:spacing w:after="0" w:line="229"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disclosed in this Annual Report on Form 20-F (including the Exhibits), we are not currently, and have not been in the past 2 years, party to any material contract, other than contracts entered into in the ordinary course of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29"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common shares.</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following summary contains a description of the material Swiss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Switzerland and regulations thereunder and on the tax laws of the United States and regulations thereunder as of the date hereof, which are subject to change.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Swiss tax considerations</w:t>
      </w:r>
    </w:p>
    <w:p>
      <w:pPr>
        <w:spacing w:after="0" w:line="229" w:lineRule="exact"/>
        <w:rPr>
          <w:sz w:val="20"/>
          <w:szCs w:val="20"/>
          <w:color w:val="auto"/>
        </w:rPr>
      </w:pPr>
    </w:p>
    <w:p>
      <w:pPr>
        <w:ind w:left="60" w:right="59" w:firstLine="324"/>
        <w:spacing w:after="0" w:line="271" w:lineRule="auto"/>
        <w:rPr>
          <w:sz w:val="20"/>
          <w:szCs w:val="20"/>
          <w:color w:val="auto"/>
        </w:rPr>
      </w:pPr>
      <w:r>
        <w:rPr>
          <w:rFonts w:ascii="Times New Roman" w:cs="Times New Roman" w:eastAsia="Times New Roman" w:hAnsi="Times New Roman"/>
          <w:sz w:val="17"/>
          <w:szCs w:val="17"/>
          <w:color w:val="auto"/>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consider the specific circumstances of any particular shareholder or potential investor and does not relate to persons in the business of buying and selling common shares or other securities. The summary is not intended to be, and should not be interpreted as, legal or tax advice to any particular potential shareholder, and no representation with respect to the tax consequences to any particular shareholder is made.</w:t>
      </w:r>
    </w:p>
    <w:p>
      <w:pPr>
        <w:spacing w:after="0" w:line="174"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Current and prospective shareholders are advised to consult their own tax advisors in light of their particular circumstances as to the Swiss tax laws, regulations and regulatory practices that could be relevant to them in connection with the acquiring, owning and selling or otherwise disposing of common shares and receiving dividends and similar cash or in-kind distributions on common shares (including dividends on liquidation proceeds and stock dividends) or distributions on common shares based upon a capital reduction (</w:t>
      </w:r>
      <w:r>
        <w:rPr>
          <w:rFonts w:ascii="Times New Roman" w:cs="Times New Roman" w:eastAsia="Times New Roman" w:hAnsi="Times New Roman"/>
          <w:sz w:val="18"/>
          <w:szCs w:val="18"/>
          <w:i w:val="1"/>
          <w:iCs w:val="1"/>
          <w:color w:val="auto"/>
        </w:rPr>
        <w:t>remboursements de la valeur nominale</w:t>
      </w:r>
      <w:r>
        <w:rPr>
          <w:rFonts w:ascii="Times New Roman" w:cs="Times New Roman" w:eastAsia="Times New Roman" w:hAnsi="Times New Roman"/>
          <w:sz w:val="18"/>
          <w:szCs w:val="18"/>
          <w:color w:val="auto"/>
        </w:rPr>
        <w:t>) or reserves paid out of capital contributions (</w:t>
      </w:r>
      <w:r>
        <w:rPr>
          <w:rFonts w:ascii="Times New Roman" w:cs="Times New Roman" w:eastAsia="Times New Roman" w:hAnsi="Times New Roman"/>
          <w:sz w:val="18"/>
          <w:szCs w:val="18"/>
          <w:i w:val="1"/>
          <w:iCs w:val="1"/>
          <w:color w:val="auto"/>
        </w:rPr>
        <w:t>réserves sur les apports en capital</w:t>
      </w:r>
      <w:r>
        <w:rPr>
          <w:rFonts w:ascii="Times New Roman" w:cs="Times New Roman" w:eastAsia="Times New Roman" w:hAnsi="Times New Roman"/>
          <w:sz w:val="18"/>
          <w:szCs w:val="18"/>
          <w:color w:val="auto"/>
        </w:rPr>
        <w:t>) and the consequences thereof under the tax laws, regulations and regulatory practices of Switzerland.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 of AC Immune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AC Immune is subject to corporate Swiss federal, cantonal and communal taxation in Switzerland, Canton of Vaud, Commune of Ecublens, near Lausanne, respectively.</w:t>
      </w:r>
    </w:p>
    <w:p>
      <w:pPr>
        <w:spacing w:after="0" w:line="162" w:lineRule="exact"/>
        <w:rPr>
          <w:sz w:val="20"/>
          <w:szCs w:val="20"/>
          <w:color w:val="auto"/>
        </w:rPr>
      </w:pPr>
    </w:p>
    <w:p>
      <w:pPr>
        <w:jc w:val="both"/>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are entitled under Swiss laws to carry forward any losses incurred for a period of 7 years and can offset our losses carried forward against future taxes. As of December 31, 2024, we had tax loss carry-forwards totaling CHF 343.6 million (provisional amount; tax loss is definitively recognized by Swiss tax authorities once set-off against taxable income). There is no certainty that we will make sufficient profits to be able to utilize these tax loss carry-forwards in full.</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effective corporate income tax rate (federal, cantonal and communal) where we are domiciled is currently 13.6%.</w:t>
      </w:r>
    </w:p>
    <w:p>
      <w:pPr>
        <w:spacing w:after="0" w:line="225"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of January 1, 2020, the Company may request a tax relief of 60%, which would be applied to income from patents and similar rights at communal and cantonal levels. Additionally, a so-called “super-deduction” may be granted for payroll and other expenses of research and development of Swiss origins.</w:t>
      </w:r>
    </w:p>
    <w:p>
      <w:pPr>
        <w:spacing w:after="0" w:line="176"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However, the aforementioned tax relief based on the patent box and deductions for research and development may not exceed 50% of the overall taxable profit before these tax relief and deductions.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corporate income tax, the corporate capital is taxed at a rate of 0.1305% (cantonal and communal tax only, as there is no federal tax on capital). As of January 1, 2020 the capital attributable to patents and similar rights is considered with 50% relief in the capital tax calculation.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Federal, cantonal and communal individual income tax and corporate income tax</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Except as described in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xml:space="preserve"> below, shareholders who are not resident in Switzerland for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tax purposes, and who, during the relevant taxation year, have not engaged in a trade or business carried on through a</w:t>
      </w:r>
    </w:p>
    <w:p>
      <w:pPr>
        <w:ind w:left="60"/>
        <w:spacing w:after="0"/>
        <w:rPr>
          <w:sz w:val="20"/>
          <w:szCs w:val="20"/>
          <w:color w:val="auto"/>
        </w:rPr>
      </w:pPr>
      <w:r>
        <w:rPr>
          <w:rFonts w:ascii="Times New Roman" w:cs="Times New Roman" w:eastAsia="Times New Roman" w:hAnsi="Times New Roman"/>
          <w:sz w:val="18"/>
          <w:szCs w:val="18"/>
          <w:color w:val="auto"/>
        </w:rPr>
        <w:t>permanent establishment or fixed place of business situated in Switzerland for tax purposes (all such shareholders for</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purposes of this section termed, “Non-resident shareholders”), will not be subject to any Swiss federal, cantonal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communal income tax on dividends and similar cash or in-kind distributions on Shares (including liquidation proceeds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dividends) (for the purposes of this section, “dividends”), distributions based upon a capital reduction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on shares, or capital gains realized on the sale or other disposition of shares.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Resident private shareholders</w:t>
      </w:r>
    </w:p>
    <w:p>
      <w:pPr>
        <w:spacing w:after="0" w:line="214"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Swiss-resident individuals who hold their shares as private assets are required to include dividends, but not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confirmed by the Swiss Federal Tax Administration (</w:t>
      </w:r>
      <w:r>
        <w:rPr>
          <w:rFonts w:ascii="Times New Roman" w:cs="Times New Roman" w:eastAsia="Times New Roman" w:hAnsi="Times New Roman"/>
          <w:sz w:val="18"/>
          <w:szCs w:val="18"/>
          <w:i w:val="1"/>
          <w:iCs w:val="1"/>
          <w:color w:val="auto"/>
        </w:rPr>
        <w:t>apports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capital</w:t>
      </w:r>
      <w:r>
        <w:rPr>
          <w:rFonts w:ascii="Times New Roman" w:cs="Times New Roman" w:eastAsia="Times New Roman" w:hAnsi="Times New Roman"/>
          <w:sz w:val="18"/>
          <w:szCs w:val="18"/>
          <w:color w:val="auto"/>
        </w:rPr>
        <w:t>), in their personal income tax return and are subject to Swiss federal, cantonal and communal income tax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taxable income for the relevant taxation period, including the dividends, but not the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confirmed by the Swiss Federal Tax Administration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Shareholders holding shares representing at least 10% of the nominal share capital of the Company may be able to decrease the taxable dividend basis by 30% (70% taxable) at the federal level and up to 50% at the cantonal level, depending on their respective cantonal rates, as partial relief from economic double taxation. Capital gains resulting from the sale or other disposition of shares are, subject to a few exceptions such as in case of Taxable Repurchases as described in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xml:space="preserve"> below,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Times New Roman" w:cs="Times New Roman" w:eastAsia="Times New Roman" w:hAnsi="Times New Roman"/>
          <w:sz w:val="18"/>
          <w:szCs w:val="18"/>
          <w:i w:val="1"/>
          <w:iCs w:val="1"/>
          <w:color w:val="auto"/>
        </w:rPr>
        <w:t>Domestic commercial shareholders</w:t>
      </w:r>
      <w:r>
        <w:rPr>
          <w:rFonts w:ascii="Times New Roman" w:cs="Times New Roman" w:eastAsia="Times New Roman" w:hAnsi="Times New Roman"/>
          <w:sz w:val="18"/>
          <w:szCs w:val="18"/>
          <w:color w:val="auto"/>
        </w:rPr>
        <w:t>” below for a summary of the taxation treatment applicable to Swiss-resident individuals, who, for income tax purposes, are classified as “professional securities dealers” or are otherwise deemed to hold Company shares in their commercial wealth.</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Domestic commercial shareholders</w:t>
      </w:r>
    </w:p>
    <w:p>
      <w:pPr>
        <w:spacing w:after="0" w:line="227"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Corporate and individual shareholders who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frequent dealing, or leveraged investments, in shares and other securities (the shareholders referred to in this paragraph for purposes of this section, “Domestic commercial shareholders”). Domestic commercial shareholders who are natural persons holding shares representing at least 10% of the nominal share capital of the Company may be able to decrease the taxable basis by 30% (70% taxable) at the federal level and up to 50% at the cantonal level, depending on their respective cantonal rates, as partial relief from economic double taxation (in the case of capital gains provide the shares have been held for at least one year). Domestic commercial shareholders who are corporate taxpayers may be eligible for tax relief (</w:t>
      </w:r>
      <w:r>
        <w:rPr>
          <w:rFonts w:ascii="Times New Roman" w:cs="Times New Roman" w:eastAsia="Times New Roman" w:hAnsi="Times New Roman"/>
          <w:sz w:val="18"/>
          <w:szCs w:val="18"/>
          <w:i w:val="1"/>
          <w:iCs w:val="1"/>
          <w:color w:val="auto"/>
        </w:rPr>
        <w:t>réduction pour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participations</w:t>
      </w:r>
      <w:r>
        <w:rPr>
          <w:rFonts w:ascii="Times New Roman" w:cs="Times New Roman" w:eastAsia="Times New Roman" w:hAnsi="Times New Roman"/>
          <w:sz w:val="18"/>
          <w:szCs w:val="18"/>
          <w:color w:val="auto"/>
        </w:rPr>
        <w:t>) in respect of dividends and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held by them as part of a Swiss business have an aggregate market value of at least CHF 1 million or represent 10% or more of the outstanding share capital or the dividend rights, of the Company. Capital gains relief is generally available only if the sold shares represent 10% or more of the outstanding share capital or the dividend rights, of the Company and provided that the shares have been held for at least one year.</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Swiss cantonal and communal private wealth tax and capital tax</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Non-resident shareholders are not subject to Swiss cantonal and communal private wealth tax or capital tax.</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Resident private shareholders and domestic commercial shareholders</w:t>
      </w:r>
    </w:p>
    <w:p>
      <w:pPr>
        <w:spacing w:after="0" w:line="227"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Resident private shareholders and Domestic commercial shareholders who are individuals are required to report their shares as part of their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Swiss federal withholding tax</w:t>
      </w:r>
    </w:p>
    <w:p>
      <w:pPr>
        <w:spacing w:after="0" w:line="229" w:lineRule="exact"/>
        <w:rPr>
          <w:sz w:val="20"/>
          <w:szCs w:val="20"/>
          <w:color w:val="auto"/>
        </w:rPr>
      </w:pPr>
    </w:p>
    <w:p>
      <w:pPr>
        <w:ind w:left="60" w:right="99" w:firstLine="324"/>
        <w:spacing w:after="0" w:line="251" w:lineRule="auto"/>
        <w:rPr>
          <w:sz w:val="20"/>
          <w:szCs w:val="20"/>
          <w:color w:val="auto"/>
        </w:rPr>
      </w:pPr>
      <w:r>
        <w:rPr>
          <w:rFonts w:ascii="Times New Roman" w:cs="Times New Roman" w:eastAsia="Times New Roman" w:hAnsi="Times New Roman"/>
          <w:sz w:val="18"/>
          <w:szCs w:val="18"/>
          <w:color w:val="auto"/>
        </w:rPr>
        <w:t xml:space="preserve">Dividends (including scrip or stock dividends) that the Company pays on the shares are subject to Swiss Federal withholding tax </w:t>
      </w:r>
      <w:r>
        <w:rPr>
          <w:rFonts w:ascii="Times New Roman" w:cs="Times New Roman" w:eastAsia="Times New Roman" w:hAnsi="Times New Roman"/>
          <w:sz w:val="18"/>
          <w:szCs w:val="18"/>
          <w:i w:val="1"/>
          <w:iCs w:val="1"/>
          <w:color w:val="auto"/>
        </w:rPr>
        <w:t>(impôt anticipé)</w:t>
      </w:r>
      <w:r>
        <w:rPr>
          <w:rFonts w:ascii="Times New Roman" w:cs="Times New Roman" w:eastAsia="Times New Roman" w:hAnsi="Times New Roman"/>
          <w:sz w:val="18"/>
          <w:szCs w:val="18"/>
          <w:color w:val="auto"/>
        </w:rPr>
        <w:t xml:space="preserve"> imposed on the gross amount of the taxable distribution at the then prevailing rate (currently, at a rate of 35% of the gross amount of the taxable distribution). The Company is required to withhold the Swiss federal withholding tax from the dividend and remit it to the Swiss Federal Tax Administration.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contributions confirmed by the Swiss Federal Tax Administration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are not subject to Swiss federal withholding tax. Capital gains realized on the sale of the shares are not subject to the Swiss federal withholding tax (other than in case of a sale to the Company (i) for cancellation, (ii) if the total of repurchased shares exceeds 10% of the Company's share capital or (iii) if the repurchased shares are not resold within the applicable time period after the repurchase, if and to the extent the redemption price less the nominal value of the redeemed shares is not booked against reserves from capital contributions confirmed by the Swiss Federal Tax Administration ("Taxable Repurchases")).</w:t>
      </w:r>
    </w:p>
    <w:p>
      <w:pPr>
        <w:spacing w:after="0" w:line="183"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Swiss federal withholding tax on a dividend will be refundable in full to a resident private shareholder and to a Domestic commercial shareholder, who, in each case,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as a condition to a refund, is the beneficial owner of the shares and the dividends or the distributions made or paid on the share and duly reports the dividend in his individual income tax return as income or recognizes the dividend in his income statement as earnings, as applicable.</w:t>
      </w:r>
    </w:p>
    <w:p>
      <w:pPr>
        <w:spacing w:after="0" w:line="180" w:lineRule="exact"/>
        <w:rPr>
          <w:sz w:val="20"/>
          <w:szCs w:val="20"/>
          <w:color w:val="auto"/>
        </w:rPr>
      </w:pPr>
    </w:p>
    <w:p>
      <w:pPr>
        <w:ind w:left="60" w:right="159" w:firstLine="324"/>
        <w:spacing w:after="0" w:line="250" w:lineRule="auto"/>
        <w:rPr>
          <w:sz w:val="20"/>
          <w:szCs w:val="20"/>
          <w:color w:val="auto"/>
        </w:rPr>
      </w:pPr>
      <w:r>
        <w:rPr>
          <w:rFonts w:ascii="Times New Roman" w:cs="Times New Roman" w:eastAsia="Times New Roman" w:hAnsi="Times New Roman"/>
          <w:sz w:val="18"/>
          <w:szCs w:val="18"/>
          <w:color w:val="auto"/>
        </w:rPr>
        <w:t>A Non-resident shareholder may be entitled to a partial or full refund, as the case may be,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A holder of the shares who is a resident of the U.S. for purposes of the Convention between the United States of America and the Swiss Confederation for the Avoidance of Double Taxation with Respect to Taxes on Income (Treaty), without taxable presence in Switzerland to which the shares are attributable or who is a qualified U.S. pension fund and who, in each case, is the beneficial owner of the shares and the dividend or distribution and who meets the other conditions of the Treaty may (i) in the case of qualified U.S. pension funds, apply for a full refund of the Swiss federal withholding tax, (ii) if the holder is a corporation owning at least 10% of the voting rights of the Company, apply for a refund of the Swiss federal withholding tax withheld in excess of the 5% reduced treaty rate, or (iii) apply for a refund of the Swiss federal withholding tax withheld in excess of the 15% treaty rate in all other cases. The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stamp taxes</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be subject to and pay to the Swiss Federal Tax Administration a 1% Swiss federal issuance stamp duty (droit de timbre </w:t>
      </w:r>
      <w:r>
        <w:rPr>
          <w:rFonts w:ascii="Times New Roman" w:cs="Times New Roman" w:eastAsia="Times New Roman" w:hAnsi="Times New Roman"/>
          <w:sz w:val="18"/>
          <w:szCs w:val="18"/>
          <w:i w:val="1"/>
          <w:iCs w:val="1"/>
          <w:color w:val="auto"/>
        </w:rPr>
        <w:t>d’émissions</w:t>
      </w:r>
      <w:r>
        <w:rPr>
          <w:rFonts w:ascii="Times New Roman" w:cs="Times New Roman" w:eastAsia="Times New Roman" w:hAnsi="Times New Roman"/>
          <w:sz w:val="18"/>
          <w:szCs w:val="18"/>
          <w:color w:val="auto"/>
        </w:rPr>
        <w:t>) on the consideration received for the issuance of the shares less certain costs incurred in connection with the issuance (in case of the implementation of the capital band, the issuance stamp duty is payable based on the net-principle at the end of the period of the validity of the capital band). The issuance and delivery of the shares to the initial shareholders at the settlement date is not subject to Swiss federal securities transfer stamp duty (</w:t>
      </w:r>
      <w:r>
        <w:rPr>
          <w:rFonts w:ascii="Times New Roman" w:cs="Times New Roman" w:eastAsia="Times New Roman" w:hAnsi="Times New Roman"/>
          <w:sz w:val="18"/>
          <w:szCs w:val="18"/>
          <w:i w:val="1"/>
          <w:iCs w:val="1"/>
          <w:color w:val="auto"/>
        </w:rPr>
        <w:t>droit de timbre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négociation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Any subsequent dealings in the shares, for which a bank or another securities dealer in Switzerland or Liechtenstein, as defined in the Swiss Federal Stamp Tax Act, acts as an intermediary, or is a party, to the transaction, are, subject to certain exemptions provided for in the Swiss Federal Stamp Tax Act, subject to Swiss securities transfer stamp duty tax at an aggregate tax rate of up to 0.15% of the consideration paid for such shares.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considerations associated with our ATM program</w:t>
      </w:r>
    </w:p>
    <w:p>
      <w:pPr>
        <w:spacing w:after="0" w:line="229"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As of December 31, 2024, the Company held in total 10,899,773 fully paid-in treasury shares as part of its ATM offerings. These shares were established via three tranches (one in September 2020, one in September 2021 and one in June 2024, respectively). Under present Swiss tax laws, repurchases of shares for the purposes of cancellation are treated as a partial liquidation and are subject to 35% Swiss withholding tax on the difference between the repurchase price and the nominal value of the shares except, since January 1, 2011, to the extent these are booked against the reserves from capital contributions confirmed by the Swiss Federal Tax Administration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if any. No partial liquidation treatment applies and no withholding tax is triggered if the shares are not repurchased for cancellation but held by the Company as treasury shares, provided the limitations imposed by corporate law are respected (the nominal value of such shares does not exceed 10% of the outstanding share capital and the purchase price is covered by freely disposable equity). However, regarding the above-mentioned 10,899,773 treasury shares and given the specificities of the ATM offering, the Company sought and obtained a tax ruling for the two first tranches from the Swiss Federal Tax Administration confirming that their acquisition by the Company did not constitute a direct partial liquidation and therefore does not trigger withholding tax. Further, the Company has obtained a tax ruling from the concerned Cantonal Tax Authority at its place of incorporation, to obtain confirmation that the placement of these treasury shares related to the two first tranches for a subscription price superior to their nominal value will not trigger any corporate income tax for the Company.</w:t>
      </w:r>
    </w:p>
    <w:p>
      <w:pPr>
        <w:spacing w:after="0" w:line="195"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As of December 31, 2024, 2,806,613 shares from the first tranche have not been sold and are still recorded as treasury shares. In addition, 2,393,160 fully paid in treasury shares issued as part of second tranche, and 5,700,000 fully paid in treasury shares issued as part of the third tranche for the ATM for future subscription (or, possibly, as part of a future share-dividend program, should the Company become profitable and have enough earnings carried forward to cover such distribution) have not been sold and are still recorded as treasury shares as of December 31, 2024. The shares linked to the two first tranches are covered by the above-mentioned tax rulings (i.e. their acquisition does not trigger any withholding tax and their placement will not trigger any corporate income tax). The Company sought confirmation from the Cantonal Tax Authority at its place of incorporation that the same previous tax ruling remains valid and covers the third tranche as well. Based on the cantonal confirmation the company will assess with its tax advisors whether a confirmation should also be obtained from the Federal Tax Authority.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2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material U.S. federal income tax consequences to the U.S. Holders described below of owning and disposing of our common shares. It does not describe all tax considerations that may be relevant to a particular person’s decision to own common shares.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minimum tax consequences, the potential application of the provisions of the U.S. Internal Revenue Code of 1986, as amended (the “Code”) known as the Medicare contribution tax and tax consequences applicable to U.S. Holders subject to special rules, such as:</w:t>
      </w:r>
    </w:p>
    <w:p>
      <w:pPr>
        <w:spacing w:after="0" w:line="183" w:lineRule="exact"/>
        <w:rPr>
          <w:sz w:val="20"/>
          <w:szCs w:val="20"/>
          <w:color w:val="auto"/>
        </w:rPr>
      </w:pPr>
    </w:p>
    <w:p>
      <w:pPr>
        <w:ind w:left="720" w:hanging="319"/>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electing traders in securities that use a mark-to-market method of tax accounting;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as part of a straddle, integrated transaction or similar transaction;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their common shares as compensation;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shares, by vote or value; and</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in connection with a trade or business conducted outside of the United States.</w:t>
      </w:r>
    </w:p>
    <w:p>
      <w:pPr>
        <w:spacing w:after="0" w:line="162" w:lineRule="exact"/>
        <w:rPr>
          <w:sz w:val="20"/>
          <w:szCs w:val="20"/>
          <w:color w:val="auto"/>
        </w:rPr>
      </w:pPr>
    </w:p>
    <w:p>
      <w:pPr>
        <w:ind w:left="60" w:right="379" w:firstLine="324"/>
        <w:spacing w:after="0" w:line="255"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and their partners should consult their tax advisers as to the particular U.S. federal income tax consequences of owning and disposing of the common shares.</w:t>
      </w:r>
    </w:p>
    <w:p>
      <w:pPr>
        <w:spacing w:after="0" w:line="18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and the income tax treaty between Switzerland and the United States ( the “Treaty”), all as of the date hereof, any of which is subject to change or differing interpretations, possibly with retroactive effect.</w:t>
      </w:r>
    </w:p>
    <w:p>
      <w:pPr>
        <w:spacing w:after="0" w:line="176"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 “U.S. Holder” is a person that, for U.S. federal income tax purposes, is a beneficial owner of common shares and is any of the following:</w:t>
      </w:r>
    </w:p>
    <w:p>
      <w:pPr>
        <w:spacing w:after="0" w:line="148" w:lineRule="exact"/>
        <w:rPr>
          <w:sz w:val="20"/>
          <w:szCs w:val="20"/>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U.S. federal, state, local and non-U.S. tax consequences of owning and disposing of common shares in their particular circumstances.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will be a passive foreign investment company (a “PFIC”) under the Code for any taxable year in which, after the application of certain look-through rules with respect to subsidiaries, either (i) 75% or more of our gross income consists of passive income (the “income test”) or (ii) 50% or more of the average value of our assets (generally determined on a quarterly basis) consists of assets that produce, or are held for the production of, passive income (the “asset test”).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Passive income generally includes dividends, interest, certain non-active rents and royalties, and gains from financial investments. Cash is generally a passive asset. Goodwill and other intangible assets (the value of which may be determined by reference to the excess of the sum of a corporation’s market capitalization and liabilities over the value of its assets) are generally active assets to the extent attributable to business activities that produce active income. For purposes of the above calculations, we will be treated as if we hold our proportionate share of the assets of, and directly receive our proportionate share of the income of, any other corporation in which we directly or indirectly own at least 25% of the shares of such corporation by value.</w:t>
      </w:r>
    </w:p>
    <w:p>
      <w:pPr>
        <w:spacing w:after="0" w:line="175"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Although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and grants (which we believe are 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Internal Revenue Service (“IRS”) will not challenge the classification of any of our income items for PFIC purposes for any taxable year. Accordingly, there is no assurance that we will not be a PFIC for any taxable year under the income test.</w:t>
      </w:r>
    </w:p>
    <w:p>
      <w:pPr>
        <w:spacing w:after="0" w:line="19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In addition, we currently hold, and expect to continue to hold, a substantial amount of passive assets, including cash. Therefore, our PFIC status for any taxable year will depend on the value of our intangible assets. We have not obtained, and do not intend to obtain, valuations of our goodwill and other intangible assets. However, the average value of our assets (including goodwill and other intangible assets) for any taxable year may be determined, in large part, by reference to our market capitalization, which has fluctuated substantially over time and may continue to be volatile. Due to the volatility of our market capitalization, we may be a PFIC under the asset test for any taxable year if our cash and other passive assets constitute 50% or more of the value of our total assets (including goodwill and other intangibles).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Although we have not obtained valuations of our assets (including goodwill and other intangibles) for 2024 and thus are not in a position to make a definitive determination regarding whether we were a PFIC for 2024, based on the composition of our income and assets during 2024 and the estimated value of our assets (which is based on our average market capitalization during 2024), we believe that we were likely not a PFIC for 2024. However, for the reasons described above there can be no assurance that the IRS will agree. Because our PFIC status is a factual annual determination that can be determined only after the end of the relevant taxable year, we cannot express a view regarding our PFIC status for 2025 or any future taxable year.</w:t>
      </w:r>
    </w:p>
    <w:p>
      <w:pPr>
        <w:spacing w:after="0" w:line="187"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8"/>
          <w:szCs w:val="18"/>
          <w:color w:val="auto"/>
        </w:rPr>
        <w:t>As discussed in our Annual Reports on Form 20-F for 2019, 2020 and 2022, we were likely a PFIC for these years. If we were a PFIC for 2019, 2020 or 2022, or any other taxable year, under a rule commonly referred to as the “once a PFIC always a PFIC” rule, we generally will continue to be treated as a PFIC with respect to a U.S. Holder who owned our common shares during any portion of such years, even if we are not a PFIC for any subsequent taxable year, unless the U.S. Holder makes a “deemed sale” election with respect to our common shares. As a result of this election, the U.S. Holder (i) may recognize gain subject to the PFIC anti-deferral rules described below, (ii) will have additional tax basis in the common shares to the extent of any gain recognized in the deemed sale, and (iii) solely for purposes of the PFIC rules, will have a new holding period for the common shares. U.S. Holders are urged to consult their tax advisers regarding the potential application of the deemed sale election rules to their particular circumstances and the advisability of making a deemed sale election in light of the uncertainty regarding our PFIC status for the current or future taxable years, as described below.</w:t>
      </w:r>
    </w:p>
    <w:p>
      <w:pPr>
        <w:spacing w:after="0" w:line="19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If a U.S. Holder owns our common shares in any year in which we are a PFIC, subject to the discussion above regarding the deemed sale election and the discussion below regarding the mark-to-market election, any gain recognized by the U.S. Holder on a sale or other disposition (including certain pledges) of the common shares will be allocated ratably over the U.S. Holder’s holding period for the common shares. The amounts allocated to the taxable year of the sale or other disposition and to any year before we became a PFIC will be taxed as ordinary income. The amount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Times New Roman" w:cs="Times New Roman" w:eastAsia="Times New Roman" w:hAnsi="Times New Roman"/>
          <w:sz w:val="17"/>
          <w:szCs w:val="17"/>
          <w:color w:val="auto"/>
        </w:rPr>
        <w:t>allocated to any other taxable year will be subject to tax at the highest rate in effect for individuals or corporations, as appropriate, for that taxable year, and an interest charge will be imposed on the amount of tax allocated to that taxable year. Further, to the extent that distributions received by a U.S. Holder on its common shares during a taxable year exceed 125% of the average of the annual distributions on the common shares received during the preceding three taxable years or the U.S. Holder’s holding period, whichever is shorter, the excess distribution will be subject to taxation in the same manner.</w:t>
      </w:r>
    </w:p>
    <w:p>
      <w:pPr>
        <w:spacing w:after="0" w:line="168"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 U.S. Holder may be able to avoid the rules described above by making a timely mark-to-market election with respect to the common shares, provided that the common shares are regularly traded on Nasdaq or any other qualified exchange. If a U.S. Holder makes the mark-to-market election, it generally will recognize as ordinary income any excess of the fair market value of the common shares at the end of each taxable year in which we are a PFIC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this election, the U.S. Holder’s tax basis in the common shares will be adjusted to reflect the income or loss amounts recognized. Any gain recognized on the sale or other disposition of common shares in a year in which we are a PFIC will be treated as ordinary income and any loss will be treated as an ordinary loss (but only to the extent of the net amount of income previously included as a result of the mark-to-market election, with any excess loss treated as a capital loss).</w:t>
      </w:r>
    </w:p>
    <w:p>
      <w:pPr>
        <w:spacing w:after="0" w:line="19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do not intend to provide the information necessary for U.S. Holders to make a “qualified electing fund” election, which if available could materially affect the tax consequences to U.S. Holders of the ownership and disposition of our common shares if we are or were a PFIC for any taxable year. Therefore, U.S. Holders will not be able to make such elections.</w:t>
      </w:r>
    </w:p>
    <w:p>
      <w:pPr>
        <w:spacing w:after="0" w:line="180"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In addition, if we are a PFIC (or are treated as a PFIC with respect to a particular U.S. Holder under the “once a PFIC always a PFIC” rule) for the taxable year in which we pay a dividend or for the prior taxable year, the preferential tax rate discussed below with respect to “qualified dividend income” received by certain non-corporate U.S. Holders will not be available.</w:t>
      </w:r>
    </w:p>
    <w:p>
      <w:pPr>
        <w:spacing w:after="0" w:line="187"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If a U.S. Holder owns common shares during any taxable year in which we are a PFIC, the U.S. Holder generally must file annual reports on IRS Form 8621 with respect to us with the U.S. Holder’s federal income tax return.</w:t>
      </w:r>
    </w:p>
    <w:p>
      <w:pPr>
        <w:spacing w:after="0" w:line="16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concerning our PFIC status for any taxable year and the consequences thereof.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27"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 xml:space="preserve">As discussed under “Item 8. Financial Information—Section A. Consolidated statements and other financial information—Dividends and dividend policy,” we do not currently expect to make distributions on our common shares. In the event that we do make distributions of cash or other property on our common shares, other than certain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distributions of our common shares, they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Dividends paid to certain non-corporate U.S. Holders may be eligible for taxation as “qualified dividend income” and therefore, subject to applicable limitations, may be taxable at rates applicable to long-term capital gains, provided that we are not a PFIC (and are not treated as a PFIC with respect to a particular U.S. Holder under the “once a PFIC always a PFIC” rule) for our taxable year in which the dividend is paid or the preceding taxable year. Non-corporate U.S. Holders should consult their tax advisers regarding the availability of the reduced tax rate on dividends, if any, in their particular circumstances.</w:t>
      </w:r>
    </w:p>
    <w:p>
      <w:pPr>
        <w:spacing w:after="0" w:line="19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Dividends will not be eligible for the dividends-received deduction generally available to U.S. corporations under the Code. Dividends will be included in a U.S. Holder’s income on the date of receipt. The amount of any dividend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3"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Dividends will be foreign-source income. The amount of dividend income will include any amounts withheld by us in respect of Swiss income taxes. Subject to applicable limitations, some of which vary depending upon the U.S. Holder’s particular circumstances, Swiss income taxes withheld from dividends on our common shares (at a rate not exceeding the applicable Treaty rate in the case of U.S. Holders eligible for Treaty benefits) may be creditable against the U.S. Holder’s U.S. federal income tax liability. The rules governing foreign tax credits are complex. For example,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Swiss income tax system meets this requirement. The IRS has released notices which provide relief from certain of the Treasury regulations’ requirements for taxable years ending before the date that a notice or other guidance withdrawing or modifying the temporary relief is issued (or any later date specified in such notice or other guidance). U.S. Holders should consult their tax advisers regarding the creditability of any Swiss taxes in their particular circumstances (including the U.S. Holder’s eligibility for Treaty benefits). In lieu of claiming a credit, U.S. Holders may be able to elect to deduct any Swiss income taxes in computing their taxable income, subject to generally applicable limitations under U.S. law. An election to deduct non-U.S. taxes instead of claiming foreign tax credits applies to all otherwise creditable non-U.S. taxes paid or accrued in the taxable year.</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shares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14"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Gain or loss realized on the sale or other disposition of common shares will be capital gain or loss, and will be long-term capital gain or loss if the U.S. Holder owned the common shares for more than one year, or short-term capital gain or loss otherwise.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 Any Swiss securities transfer stamp duty tax on the sale will not be creditable, but may reduce the amount realized on any gain.</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center"/>
        <w:ind w:left="50" w:right="270"/>
        <w:spacing w:after="0" w:line="276"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generally are subject to information reporting, and may be subject to backup withholding, unless</w:t>
      </w:r>
    </w:p>
    <w:p>
      <w:pPr>
        <w:spacing w:after="0" w:line="1" w:lineRule="exact"/>
        <w:rPr>
          <w:sz w:val="20"/>
          <w:szCs w:val="20"/>
          <w:color w:val="auto"/>
        </w:rPr>
      </w:pPr>
    </w:p>
    <w:p>
      <w:pPr>
        <w:ind w:left="60" w:right="259" w:hanging="10"/>
        <w:spacing w:after="0" w:line="255" w:lineRule="auto"/>
        <w:tabs>
          <w:tab w:leader="none" w:pos="27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 is a corporation or other exempt recipient (and establishes that status if required to do so) or (ii) in the case of backup withholding, the U.S. Holder provides a correct taxpayer identification number and certifies that it is not subject to backup withholding.</w:t>
      </w:r>
    </w:p>
    <w:p>
      <w:pPr>
        <w:spacing w:after="0" w:line="186"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 federal income tax liability and may entitle the U.S. Holder to a refund, provided that the required information is furnished in a timely manner to the IRS.</w:t>
      </w:r>
    </w:p>
    <w:p>
      <w:pPr>
        <w:spacing w:after="0" w:line="183" w:lineRule="exact"/>
        <w:rPr>
          <w:sz w:val="20"/>
          <w:szCs w:val="20"/>
          <w:color w:val="auto"/>
        </w:rPr>
      </w:pPr>
    </w:p>
    <w:p>
      <w:pPr>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Certain U.S. Holders who are individuals (or certain specified entities) may be required to report information relating to our common shares or non-U.S. accounts through which the common shares may be held. U.S. Holders should consult their tax advisers regarding their reporting obligations with respect to the ownership and disposition of our common shares.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6439" w:hanging="330"/>
        <w:spacing w:after="0" w:line="500" w:lineRule="auto"/>
        <w:tabs>
          <w:tab w:leader="none" w:pos="3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7019" w:hanging="330"/>
        <w:spacing w:after="0" w:line="530" w:lineRule="auto"/>
        <w:tabs>
          <w:tab w:leader="none" w:pos="38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reports and other information with the SEC, including Annual Reports on Form 20-F and reports on Form 6-K. In addition, the SEC maintains an Internet website that contains reports and other information about issuers, such as us, that file electronically with the SEC. The address of that website is www.sec.gov.</w:t>
      </w:r>
    </w:p>
    <w:p>
      <w:pPr>
        <w:spacing w:after="0" w:line="187"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Additionally, our articles of association, this Annual Report, the annual business report, the compensation report, the auditors' report and any other reports that require shareholder approval shall be published on our website at least 20 days prior to the date of the annual shareholder meeting.</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ind w:left="380" w:right="6859" w:hanging="330"/>
        <w:spacing w:after="0" w:line="530" w:lineRule="auto"/>
        <w:tabs>
          <w:tab w:leader="none" w:pos="38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ind w:left="380" w:right="6079" w:hanging="330"/>
        <w:spacing w:after="0" w:line="500" w:lineRule="auto"/>
        <w:tabs>
          <w:tab w:leader="none" w:pos="3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1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Company’s activities expose it to the following financial risks: market risk (currency and interest rate risk), credit risk and liquidity risk. The Company’s overall risk management program focuses on the unpredictability of financial markets and seeks to minimize potential adverse effects on the Company’s financial performance.</w:t>
      </w:r>
    </w:p>
    <w:p>
      <w:pPr>
        <w:spacing w:after="0" w:line="176"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Market risk arises from our exposure to fluctuation in currency exchange rates. We are exposed to market risks in the ordinary course of our business, which are principally limited to foreign currency exchange rate fluctuations and to a lesser degree, interest rate fluctuations.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As of December 31, 2024, the Company holds approximately 57% of its overall cash and cash equivalents balance in CHF with the remainder predominantly in USD and EUR (see “Note 7. Cash and cash equivalents and short-term financial assets” of the consolidated financial statements). The Company holds almost 70% of its liquidity (cash and cash equivalents plus short-term financial assets) in CHF.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have a number of collaboration agreements for which the upfront payments, milestone payments and future royalty payments are not denominated in Swiss Francs, our reporting currency. Furthermore, many of our research and development activities are subcontracted to parties outside of Switzerland and we purchase materials from suppliers outside of Switzerland. As a result, we are exposed to foreign exchange risk. Approximately 38% of our total costs are incurred in currencies other than the Swiss Franc. Due to the size of some of the income received from collaboration agreements and also the high percentage of our costs indirectly being in foreign currencies, a hypothetical 10% change in exchange rates relative to the Swiss Franc could have a material impact on our consolidated financial statements.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maintain financial instruments in accordance with our treasury management policy. The primary objectives of our policy are to preserve principal, maintain proper liquidity and meet operating needs. Our financial assets are subject to interest rate risk and will decrease in value if market interest rates increase. Due to our policy to maintain the majority of our cash and cash equivalents in our functional currency and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The Company maintains a formal treasury risk and investment management policy to limit counterparty credit risk. As of December 31, 2024, the Company’s cash and cash equivalents and short-term financial assets are held with six financial institutions, each with a high credit rating assigned by international credit-rating agencies. The maximum amount of credit risk is the carrying amount of the financial assets. Receivables are fully performing, not past due and not impaired (see “Note 7. Cash and cash equivalents and short-term financial assets” and “Note 10. Other current receivables”).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Inherent in the Company’s business are various risks and uncertainties, including the high uncertainty that new therapeutic and diagnostic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87"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12 months.</w:t>
      </w:r>
    </w:p>
    <w:p>
      <w:pPr>
        <w:spacing w:after="0" w:line="162"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Based on the Company’s current liquidity position, comprised of cash and cash equivalents and short-term financial assets, the Company is financed into Q1 2027, assuming no other milestone payments.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“Forward-looking Statements.”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jc w:val="both"/>
        <w:ind w:left="380" w:right="7519" w:hanging="330"/>
        <w:spacing w:after="0" w:line="522" w:lineRule="auto"/>
        <w:tabs>
          <w:tab w:leader="none" w:pos="38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380" w:right="7079" w:hanging="330"/>
        <w:spacing w:after="0" w:line="582" w:lineRule="auto"/>
        <w:tabs>
          <w:tab w:leader="none" w:pos="38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sectPr>
          <w:pgSz w:w="11900" w:h="16838" w:orient="portrait"/>
          <w:cols w:equalWidth="0" w:num="1">
            <w:col w:w="9019"/>
          </w:cols>
          <w:pgMar w:left="1440" w:top="513"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7419" w:hanging="330"/>
        <w:spacing w:after="0" w:line="530" w:lineRule="auto"/>
        <w:tabs>
          <w:tab w:leader="none" w:pos="38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380" w:right="6499" w:hanging="330"/>
        <w:spacing w:after="0" w:line="537" w:lineRule="auto"/>
        <w:tabs>
          <w:tab w:leader="none" w:pos="38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American depositary shares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5" w:lineRule="exact"/>
        <w:rPr>
          <w:sz w:val="20"/>
          <w:szCs w:val="20"/>
          <w:color w:val="auto"/>
        </w:rPr>
      </w:pPr>
    </w:p>
    <w:p>
      <w:pPr>
        <w:ind w:left="380" w:hanging="330"/>
        <w:spacing w:after="0"/>
        <w:tabs>
          <w:tab w:leader="none" w:pos="3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matters to report.</w:t>
      </w:r>
    </w:p>
    <w:p>
      <w:pPr>
        <w:spacing w:after="0" w:line="221" w:lineRule="exact"/>
        <w:rPr>
          <w:rFonts w:ascii="Times New Roman" w:cs="Times New Roman" w:eastAsia="Times New Roman" w:hAnsi="Times New Roman"/>
          <w:sz w:val="18"/>
          <w:szCs w:val="18"/>
          <w:b w:val="1"/>
          <w:bCs w:val="1"/>
          <w:color w:val="auto"/>
        </w:rPr>
      </w:pPr>
    </w:p>
    <w:p>
      <w:pPr>
        <w:ind w:left="380" w:right="6619" w:hanging="330"/>
        <w:spacing w:after="0" w:line="530" w:lineRule="auto"/>
        <w:tabs>
          <w:tab w:leader="none" w:pos="38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Arrears and delinquencies </w:t>
      </w:r>
      <w:r>
        <w:rPr>
          <w:rFonts w:ascii="Times New Roman" w:cs="Times New Roman" w:eastAsia="Times New Roman" w:hAnsi="Times New Roman"/>
          <w:sz w:val="17"/>
          <w:szCs w:val="17"/>
          <w:color w:val="auto"/>
        </w:rPr>
        <w:t>No matters to report.</w:t>
      </w:r>
    </w:p>
    <w:p>
      <w:pPr>
        <w:spacing w:after="0" w:line="1" w:lineRule="exact"/>
        <w:rPr>
          <w:sz w:val="20"/>
          <w:szCs w:val="20"/>
          <w:color w:val="auto"/>
        </w:rPr>
      </w:pPr>
    </w:p>
    <w:p>
      <w:pPr>
        <w:ind w:left="60" w:right="859"/>
        <w:spacing w:after="0" w:line="271"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under the supervision and with the participation of our management, including our Chief Executive Officer and Chief Financial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Our Chief Executive Officer and Chief Financial Officer concluded that our disclosure controls and procedures were effective in recording, processing, summarizing and reporting on a timely basis the information required to be included in periodic filings under the Exchange Act and that such information is accumulated and communicated to management, including our Chief Executive and Chief Financial Officers, as appropriate to allow timely decisions regarding required disclosure.</w:t>
      </w:r>
    </w:p>
    <w:p>
      <w:pPr>
        <w:spacing w:after="0" w:line="166"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Our internal control over financial reporting is supported by written policies and procedures.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ind w:left="60" w:right="219" w:firstLine="324"/>
        <w:spacing w:after="0" w:line="277" w:lineRule="auto"/>
        <w:rPr>
          <w:sz w:val="20"/>
          <w:szCs w:val="20"/>
          <w:color w:val="auto"/>
        </w:rPr>
      </w:pPr>
      <w:r>
        <w:rPr>
          <w:rFonts w:ascii="Times New Roman" w:cs="Times New Roman" w:eastAsia="Times New Roman" w:hAnsi="Times New Roman"/>
          <w:sz w:val="17"/>
          <w:szCs w:val="17"/>
          <w:color w:val="auto"/>
        </w:rPr>
        <w:t xml:space="preserve">Under the supervision and with the participation of our Chief Executive Officer and Chief Financial Officer, management conducted an evaluation of the effectiveness of our internal control over financial reporting based upon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by the Committee of Sponsoring Organizations of the Treadway Commission. Based on that evaluation, our management, including our Chief Executive Officer and Chief Financial Officer concluded that our internal control over financial reporting was effective as of December 31, 2024.</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Attestation report of the registered public accounting firm</w:t>
      </w:r>
    </w:p>
    <w:p>
      <w:pPr>
        <w:spacing w:after="0" w:line="229" w:lineRule="exact"/>
        <w:rPr>
          <w:sz w:val="20"/>
          <w:szCs w:val="20"/>
          <w:color w:val="auto"/>
        </w:rPr>
      </w:pPr>
    </w:p>
    <w:p>
      <w:pPr>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SA, an independent registered public accounting firm. Their report is included on page F-2. PricewaterhouseCoopers SA (PwC) is a member of the Chamber of Public Accountants, Lausanne, Switzerland.</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29" w:lineRule="exact"/>
        <w:rPr>
          <w:sz w:val="20"/>
          <w:szCs w:val="20"/>
          <w:color w:val="auto"/>
        </w:rPr>
      </w:pPr>
    </w:p>
    <w:p>
      <w:pPr>
        <w:ind w:left="60" w:right="419" w:firstLine="324"/>
        <w:spacing w:after="0" w:line="258"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year ended December 31, 2024 that have materially affected, or are reasonably likely to materially affect, our internal control over financial reporting.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Monika Bütler is an audit committee financial expert, as that term is defined by the SEC, and is independent for the purposes of SEC rules.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covers a broad range of matters including the handling of conflicts of interest, compliance issues and other corporate policies such as insider trading and equal opportunity and non-discrimination standards. Our Code of Business Conduct and Ethics applies to all of our directors, executive officers and employees. We have published our Code of Business Conduct and Ethics on our website, </w:t>
      </w:r>
      <w:r>
        <w:rPr>
          <w:rFonts w:ascii="Times New Roman" w:cs="Times New Roman" w:eastAsia="Times New Roman" w:hAnsi="Times New Roman"/>
          <w:sz w:val="18"/>
          <w:szCs w:val="18"/>
          <w:i w:val="1"/>
          <w:iCs w:val="1"/>
          <w:color w:val="auto"/>
        </w:rPr>
        <w:t>www.acimmune.com</w:t>
      </w:r>
      <w:r>
        <w:rPr>
          <w:rFonts w:ascii="Times New Roman" w:cs="Times New Roman" w:eastAsia="Times New Roman" w:hAnsi="Times New Roman"/>
          <w:sz w:val="18"/>
          <w:szCs w:val="18"/>
          <w:color w:val="auto"/>
        </w:rPr>
        <w:t>. The information contained on our website is not a part of this Annual Report.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4"/>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200" w:type="dxa"/>
            <w:vAlign w:val="bottom"/>
            <w:gridSpan w:val="2"/>
          </w:tcPr>
          <w:p>
            <w:pPr>
              <w:ind w:left="2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PwC was the Company’s auditor for the IFRS and statutory accounts. At the ordinary Annual General Meeting on June 20, 2024, the shareholders appointed PwC as the Company’s auditor for a term of office of 1 year.</w:t>
      </w:r>
    </w:p>
    <w:p>
      <w:pPr>
        <w:spacing w:after="0" w:line="176"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0D0E00"/>
        </w:rPr>
        <w:t>Audit fees i</w:t>
      </w:r>
      <w:r>
        <w:rPr>
          <w:rFonts w:ascii="Times New Roman" w:cs="Times New Roman" w:eastAsia="Times New Roman" w:hAnsi="Times New Roman"/>
          <w:sz w:val="18"/>
          <w:szCs w:val="18"/>
          <w:color w:val="000000"/>
        </w:rPr>
        <w:t>nclude fees for audit services primarily related to the audit of the statutory financial statements and to the</w:t>
      </w:r>
      <w:r>
        <w:rPr>
          <w:rFonts w:ascii="Times New Roman" w:cs="Times New Roman" w:eastAsia="Times New Roman" w:hAnsi="Times New Roman"/>
          <w:sz w:val="18"/>
          <w:szCs w:val="18"/>
          <w:color w:val="0D0E00"/>
        </w:rPr>
        <w:t xml:space="preserve"> </w:t>
      </w:r>
      <w:r>
        <w:rPr>
          <w:rFonts w:ascii="Times New Roman" w:cs="Times New Roman" w:eastAsia="Times New Roman" w:hAnsi="Times New Roman"/>
          <w:sz w:val="18"/>
          <w:szCs w:val="18"/>
          <w:color w:val="000000"/>
        </w:rPr>
        <w:t>integrated audit of (i) our annual consolidated financial statements and our internal control over financial reporting as required by Section 404(b) of the Sarbanes-Oxley Act of 2002, (ii) the review of our quarterly condensed consolidated financial statements, (iii) comfort letters, consents and assistance with and review of documents relating to our securities offerings, including our registration statement on Form F-3 related to our follow-on shelf registration in Q1 2024 and its amendment in Q3 2024 and (iv) other accounting and financial reporting consultation billed as audit fees or necessary to comply with the standards of the Public Company Accounting Oversight Board (United States).</w:t>
      </w:r>
    </w:p>
    <w:p>
      <w:pPr>
        <w:spacing w:after="0" w:line="187"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Audit-related fees consisted of fees billed for assurance and related services that were reasonably related to the performance of the audit or review of our financial statements or for services that were traditionally performed by the external auditor.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requirements of the U.S. Sarbanes-Oxley Act of 2002 and rules issued by the SEC, we review and pre-approve any services performed by PwC. The procedure requires that all proposed future engagements of PwC for audit and permitted non-audit services are submitted to the Audit and Finance Committee for approval prior to the beginning of any such services. In accordance with this policy, all services performed by and fees paid to PwC in this Item 16C, were approved by the Audit and Finance Committee.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In 2024, no purchases of our equity securities were made by or on behalf of AC Immune SA or any affiliated purchaser.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Corporate Governance Differences from Nasdaq Listing Standards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common shares are listed on the Nasdaq Global Market. We are therefore required to comply with certain of the Nasdaq’s corporate governance listing standards (Nasdaq Standards). As a foreign private issuer, we may follow our home country’s corporate governance practices in lieu of certain of the Nasdaq Standards. Our corporate governance practices differ in certain respects from those that U.S. companies must adopt in order to maintain a Nasdaq listing. A brief, general summary of those differences is provided as follows.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Independent directors</w:t>
      </w:r>
    </w:p>
    <w:p>
      <w:pPr>
        <w:spacing w:after="0" w:line="227"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must regularly have scheduled meetings at which only independent directors are present.</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Compensation, nomination and corporate governance committee</w:t>
      </w:r>
    </w:p>
    <w:p>
      <w:pPr>
        <w:spacing w:after="0" w:line="22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As Swiss law requires that we have a compensation, nomination and corporate governance committee, we will follow home country requirements with respect to such committee. As a result, our practice will vary from the requirements of Nasdaq Listing Rule 5605(d), which sets forth certain requirements as to the responsibilities, composition and independence of compensation, nomination and corporate governance committees.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Quorum requirements</w:t>
      </w:r>
    </w:p>
    <w:p>
      <w:pPr>
        <w:spacing w:after="0" w:line="227"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Solicitation of proxies</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Shareholder approval</w:t>
      </w:r>
    </w:p>
    <w:p>
      <w:pPr>
        <w:spacing w:after="0" w:line="227"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43" w:lineRule="exact"/>
        <w:rPr>
          <w:sz w:val="20"/>
          <w:szCs w:val="20"/>
          <w:color w:val="auto"/>
        </w:rPr>
      </w:pPr>
    </w:p>
    <w:p>
      <w:pPr>
        <w:ind w:left="60" w:right="259" w:firstLine="324"/>
        <w:spacing w:after="0" w:line="276" w:lineRule="auto"/>
        <w:rPr>
          <w:sz w:val="20"/>
          <w:szCs w:val="20"/>
          <w:color w:val="auto"/>
        </w:rPr>
      </w:pPr>
      <w:r>
        <w:rPr>
          <w:rFonts w:ascii="Times New Roman" w:cs="Times New Roman" w:eastAsia="Times New Roman" w:hAnsi="Times New Roman"/>
          <w:sz w:val="18"/>
          <w:szCs w:val="18"/>
          <w:color w:val="auto"/>
        </w:rPr>
        <w:t>The Company has an insider trading policy in place, which governs the purchase, sale, and other dispositions of our securities, by directors, senior management, and employees that is reasonably designed to promote compliance with applicable insider trading laws, rules and regulations, and any listing standards applicable to the Company. A copy of the insider trading policy is attached as Exhibit 11.1 to this Annual Report.</w:t>
      </w: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43"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8"/>
          <w:szCs w:val="18"/>
          <w:color w:val="auto"/>
        </w:rPr>
        <w:t>To more effectively protect against, detect and respond to cybersecurity threats, the Company maintains a cybersecurity risk management program, which is supervised by our EVP Artificial Intelligence and Information Systems, whose team is responsible for leading enterprise-wide cybersecurity strategy, policy, standards, architecture and processes. The Company’s EVP Artificial Intelligence and Information Systems and his team possess expertise with cybersecurity, as demonstrated by prior work experience. The Company has designed its cybersecurity program based on the COBIT 2019 framework (and other certain industry standards) with the aim of protecting our networks, applications and systems and the confidentiality of sensitive information maintained as part of our business operations as well as securing our resources against cybersecurity threats. A breach, compromise or other security incident involving such information and resources could have a material impact on the Company’s operations.</w:t>
      </w:r>
    </w:p>
    <w:p>
      <w:pPr>
        <w:spacing w:after="0" w:line="103"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8"/>
          <w:szCs w:val="18"/>
          <w:color w:val="auto"/>
        </w:rPr>
        <w:t>The goal of our cybersecurity program is to design, implement and maintain effective operational risk techniques and strategies, protect intellectual property and other proprietary and sensitive information, including personal information, minimize operational and fraud losses, and enhance our overall performance. As part of our cybersecurity program, we utilize security monitoring capabilities that alert us of suspicious activity, supported by an incident response program that is designed to support our ability to restore critical business operations in a controlled and step-wise manner. The Company also has procedures for evaluating the privacy, data protection and information security practices of our third-party service providers that provide us with IT services or that otherwise have access to our systems or our confidential or sensitive data. Additionally, we continually evaluate our internal systems, processes and controls to</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313" w:lineRule="auto"/>
        <w:rPr>
          <w:sz w:val="20"/>
          <w:szCs w:val="20"/>
          <w:color w:val="auto"/>
        </w:rPr>
      </w:pPr>
      <w:r>
        <w:rPr>
          <w:rFonts w:ascii="Times New Roman" w:cs="Times New Roman" w:eastAsia="Times New Roman" w:hAnsi="Times New Roman"/>
          <w:sz w:val="18"/>
          <w:szCs w:val="18"/>
          <w:color w:val="auto"/>
        </w:rPr>
        <w:t>identify potential vulnerabilities, mitigate potential loss from cyber-attacks and also engage third-party security experts for risk assessment and system enhancements.</w:t>
      </w:r>
    </w:p>
    <w:p>
      <w:pPr>
        <w:spacing w:after="0" w:line="68"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8"/>
          <w:szCs w:val="18"/>
          <w:color w:val="auto"/>
        </w:rPr>
        <w:t>Furthermore, our cybersecurity program is focused on companywide awareness geared toward enabling our employees and other key personnel to effectively handle the ever-increasing threat vectors such as phishing and other sophisticated social engineering attacks. Our management takes the position that cybersecurity is owned companywide as a collective team, not just by the EVP Artificial Intelligence and Information Systems. Our security awareness program focuses on improving awareness through training, including realistic phishing simulation campaigns. Our key areas of focus in 2025 and beyond will include requiring further training for employees that fail simulated phishing campaigns and encouraging our employees to report any suspicious activity they encounter.</w:t>
      </w:r>
    </w:p>
    <w:p>
      <w:pPr>
        <w:spacing w:after="0" w:line="119" w:lineRule="exact"/>
        <w:rPr>
          <w:sz w:val="20"/>
          <w:szCs w:val="20"/>
          <w:color w:val="auto"/>
        </w:rPr>
      </w:pPr>
    </w:p>
    <w:p>
      <w:pPr>
        <w:ind w:left="60" w:right="459" w:firstLine="324"/>
        <w:spacing w:after="0" w:line="276"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overall enterprise risk management, including cybersecurity risks and threats, and the EVP Artificial Intelligence and Information Systems reports to the Board of Directors at least annually on such cybersecurity risks or threats as well as current trends and developments within the cybersecurity landscape.</w:t>
      </w:r>
    </w:p>
    <w:p>
      <w:pPr>
        <w:spacing w:after="0" w:line="114" w:lineRule="exact"/>
        <w:rPr>
          <w:sz w:val="20"/>
          <w:szCs w:val="20"/>
          <w:color w:val="auto"/>
        </w:rPr>
      </w:pPr>
    </w:p>
    <w:p>
      <w:pPr>
        <w:ind w:left="60" w:right="119" w:firstLine="324"/>
        <w:spacing w:after="0" w:line="281" w:lineRule="auto"/>
        <w:rPr>
          <w:sz w:val="20"/>
          <w:szCs w:val="20"/>
          <w:color w:val="auto"/>
        </w:rPr>
      </w:pPr>
      <w:r>
        <w:rPr>
          <w:rFonts w:ascii="Times New Roman" w:cs="Times New Roman" w:eastAsia="Times New Roman" w:hAnsi="Times New Roman"/>
          <w:sz w:val="18"/>
          <w:szCs w:val="18"/>
          <w:color w:val="auto"/>
        </w:rPr>
        <w:t>Finally, the EVP Artificial Intelligence and Information Systems is also a member of the Company’s SOX Committee, which drives awareness, ownership and alignment across broad governance and risk stakeholder groups for effective cybersecurity risk management and reporting.</w:t>
      </w:r>
    </w:p>
    <w:p>
      <w:pPr>
        <w:spacing w:after="0" w:line="110" w:lineRule="exact"/>
        <w:rPr>
          <w:sz w:val="20"/>
          <w:szCs w:val="20"/>
          <w:color w:val="auto"/>
        </w:rPr>
      </w:pPr>
    </w:p>
    <w:p>
      <w:pPr>
        <w:ind w:left="60" w:right="319" w:firstLine="324"/>
        <w:spacing w:after="0" w:line="274" w:lineRule="auto"/>
        <w:rPr>
          <w:sz w:val="20"/>
          <w:szCs w:val="20"/>
          <w:color w:val="auto"/>
        </w:rPr>
      </w:pPr>
      <w:r>
        <w:rPr>
          <w:rFonts w:ascii="Times New Roman" w:cs="Times New Roman" w:eastAsia="Times New Roman" w:hAnsi="Times New Roman"/>
          <w:sz w:val="18"/>
          <w:szCs w:val="18"/>
          <w:color w:val="auto"/>
        </w:rPr>
        <w:t>Despite our efforts, we cannot eliminate all risks from cybersecurity threats, or provide assurances that we have not experienced an undetected cybersecurity incident. For more information about these risks, please see “Risk factors—A breakdown or breach of our information technology systems and cybersecurity efforts, or those of our key business partners, CROs or service providers, could subject us to liability or reputational damage or interrupt the operation of our business” in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responded to Item 18 in lieu of this item.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Financial Statements are filed as part of this Annual Report, see page F-1.</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420" w:type="dxa"/>
            <w:vAlign w:val="bottom"/>
            <w:gridSpan w:val="24"/>
          </w:tcPr>
          <w:p>
            <w:pPr>
              <w:ind w:left="160"/>
              <w:spacing w:after="0"/>
              <w:rPr>
                <w:sz w:val="20"/>
                <w:szCs w:val="20"/>
                <w:color w:val="auto"/>
              </w:rPr>
            </w:pPr>
            <w:r>
              <w:rPr>
                <w:rFonts w:ascii="Times New Roman" w:cs="Times New Roman" w:eastAsia="Times New Roman" w:hAnsi="Times New Roman"/>
                <w:sz w:val="18"/>
                <w:szCs w:val="18"/>
                <w:color w:val="auto"/>
              </w:rPr>
              <w:t>(a) The following documents are filed as part of Annual Report on Form 20-F:</w:t>
            </w:r>
          </w:p>
        </w:tc>
      </w:tr>
      <w:tr>
        <w:trPr>
          <w:trHeight w:val="432"/>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4"/>
                <w:szCs w:val="24"/>
                <w:color w:val="auto"/>
              </w:rPr>
            </w:pPr>
          </w:p>
        </w:tc>
        <w:tc>
          <w:tcPr>
            <w:tcW w:w="7760" w:type="dxa"/>
            <w:vAlign w:val="bottom"/>
            <w:gridSpan w:val="23"/>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Articles of Association of AC Immune SA dated June 21, 2024 (incorporated herein by reference to</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Exhibit 3.1 to the Company’s Registration Statement on Form F-3/A (File No. 333-277940) filed with the</w:t>
              </w:r>
            </w:hyperlink>
          </w:p>
        </w:tc>
        <w:tc>
          <w:tcPr>
            <w:tcW w:w="160" w:type="dxa"/>
            <w:vAlign w:val="bottom"/>
            <w:gridSpan w:val="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224">
              <w:r>
                <w:rPr>
                  <w:rFonts w:ascii="Times New Roman" w:cs="Times New Roman" w:eastAsia="Times New Roman" w:hAnsi="Times New Roman"/>
                  <w:sz w:val="18"/>
                  <w:szCs w:val="18"/>
                  <w:color w:val="0000EE"/>
                  <w:w w:val="97"/>
                </w:rPr>
                <w:t>SEC on July 26, 2024)</w:t>
              </w:r>
            </w:hyperlink>
          </w:p>
        </w:tc>
        <w:tc>
          <w:tcPr>
            <w:tcW w:w="6140" w:type="dxa"/>
            <w:vAlign w:val="bottom"/>
            <w:gridSpan w:val="21"/>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17"/>
                <w:szCs w:val="17"/>
                <w:color w:val="auto"/>
              </w:rPr>
            </w:pPr>
          </w:p>
        </w:tc>
        <w:tc>
          <w:tcPr>
            <w:tcW w:w="7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Research Collaboration and License Agreement between AC Immune SA Corporation and Genentech, Inc.</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dated November 6, 2006 (incorporated herein by reference to Exhibit 10.1 to the Company’s Registration</w:t>
              </w:r>
            </w:hyperlink>
          </w:p>
        </w:tc>
        <w:tc>
          <w:tcPr>
            <w:tcW w:w="180" w:type="dxa"/>
            <w:vAlign w:val="bottom"/>
            <w:gridSpan w:val="4"/>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Statement on Form F-1 (File No. 333-211714) filed with the SEC on May 31, 2016)</w:t>
              </w:r>
            </w:hyperlink>
          </w:p>
        </w:tc>
        <w:tc>
          <w:tcPr>
            <w:tcW w:w="1720" w:type="dxa"/>
            <w:vAlign w:val="bottom"/>
            <w:gridSpan w:val="15"/>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17"/>
                <w:szCs w:val="17"/>
                <w:color w:val="auto"/>
              </w:rPr>
            </w:pPr>
          </w:p>
        </w:tc>
        <w:tc>
          <w:tcPr>
            <w:tcW w:w="7760" w:type="dxa"/>
            <w:vAlign w:val="bottom"/>
            <w:gridSpan w:val="2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Amendment to the Research Collaboration and License Agreement between AC Immune SA Corporation</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and Genentech, Inc. dated May 7, 2015 (incorporated herein by reference to Exhibit 10.2 to the Company’s</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Registration Statement on Form F-1 (File No. 333-211714) filed with the SEC on May 31, 2016)</w:t>
              </w:r>
            </w:hyperlink>
          </w:p>
        </w:tc>
        <w:tc>
          <w:tcPr>
            <w:tcW w:w="800" w:type="dxa"/>
            <w:vAlign w:val="bottom"/>
            <w:gridSpan w:val="14"/>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660" w:type="dxa"/>
            <w:vAlign w:val="bottom"/>
          </w:tcPr>
          <w:p>
            <w:pPr>
              <w:spacing w:after="0"/>
              <w:rPr>
                <w:sz w:val="17"/>
                <w:szCs w:val="17"/>
                <w:color w:val="auto"/>
              </w:rPr>
            </w:pPr>
          </w:p>
        </w:tc>
        <w:tc>
          <w:tcPr>
            <w:tcW w:w="7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Research Collaboration and License Agreement between AC Immune SA Corporation and Genentech, Inc.</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dated June 15, 2012 (incorporated herein by reference to Exhibit 10.3 to the Company’s Registration</w:t>
              </w:r>
            </w:hyperlink>
          </w:p>
        </w:tc>
        <w:tc>
          <w:tcPr>
            <w:tcW w:w="520" w:type="dxa"/>
            <w:vAlign w:val="bottom"/>
            <w:gridSpan w:val="9"/>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Statement on Form F-1 (File No. 333-211714) filed with the SEC on May 31, 2016)</w:t>
              </w:r>
            </w:hyperlink>
          </w:p>
        </w:tc>
        <w:tc>
          <w:tcPr>
            <w:tcW w:w="1720" w:type="dxa"/>
            <w:vAlign w:val="bottom"/>
            <w:gridSpan w:val="15"/>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660" w:type="dxa"/>
            <w:vAlign w:val="bottom"/>
          </w:tcPr>
          <w:p>
            <w:pPr>
              <w:spacing w:after="0"/>
              <w:rPr>
                <w:sz w:val="17"/>
                <w:szCs w:val="17"/>
                <w:color w:val="auto"/>
              </w:rPr>
            </w:pPr>
          </w:p>
        </w:tc>
        <w:tc>
          <w:tcPr>
            <w:tcW w:w="7760" w:type="dxa"/>
            <w:vAlign w:val="bottom"/>
            <w:gridSpan w:val="2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License and Collaboration Agreement between Piramal Imaging Ltd., Piramal Imaging SA and AC</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Immune SA, dated May 9, 2014 (incorporated herein by reference to Exhibit 10.4 to the Company’s</w:t>
              </w:r>
            </w:hyperlink>
          </w:p>
        </w:tc>
        <w:tc>
          <w:tcPr>
            <w:tcW w:w="580" w:type="dxa"/>
            <w:vAlign w:val="bottom"/>
            <w:gridSpan w:val="1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Registration Statement on Form F-1 (File No. 333-211714) filed with the SEC on May 31, 2016)</w:t>
              </w:r>
            </w:hyperlink>
          </w:p>
        </w:tc>
        <w:tc>
          <w:tcPr>
            <w:tcW w:w="800" w:type="dxa"/>
            <w:vAlign w:val="bottom"/>
            <w:gridSpan w:val="14"/>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660" w:type="dxa"/>
            <w:vAlign w:val="bottom"/>
          </w:tcPr>
          <w:p>
            <w:pPr>
              <w:spacing w:after="0"/>
              <w:rPr>
                <w:sz w:val="17"/>
                <w:szCs w:val="17"/>
                <w:color w:val="auto"/>
              </w:rPr>
            </w:pPr>
          </w:p>
        </w:tc>
        <w:tc>
          <w:tcPr>
            <w:tcW w:w="76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License, Development and Commercialization Agreement between Janssen Pharmaceuticals, Inc. and AC</w:t>
              </w:r>
            </w:hyperlink>
          </w:p>
        </w:tc>
        <w:tc>
          <w:tcPr>
            <w:tcW w:w="160" w:type="dxa"/>
            <w:vAlign w:val="bottom"/>
            <w:gridSpan w:val="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Immune SA, dated December 24, 2014 (incorporated herein by reference to Exhibit 10.5 to the Company’s</w:t>
              </w:r>
            </w:hyperlink>
          </w:p>
        </w:tc>
        <w:tc>
          <w:tcPr>
            <w:tcW w:w="8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Registration Statement on Form F-1 (File No. 333-211714) filed with the SEC on May 31, 2016)</w:t>
              </w:r>
            </w:hyperlink>
          </w:p>
        </w:tc>
        <w:tc>
          <w:tcPr>
            <w:tcW w:w="800" w:type="dxa"/>
            <w:vAlign w:val="bottom"/>
            <w:gridSpan w:val="14"/>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660" w:type="dxa"/>
            <w:vAlign w:val="bottom"/>
          </w:tcPr>
          <w:p>
            <w:pPr>
              <w:spacing w:after="0"/>
              <w:rPr>
                <w:sz w:val="17"/>
                <w:szCs w:val="17"/>
                <w:color w:val="auto"/>
              </w:rPr>
            </w:pPr>
          </w:p>
        </w:tc>
        <w:tc>
          <w:tcPr>
            <w:tcW w:w="75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Form of Indemnity Agreement (incorporated herein by reference to Exhibit 4.6 to the Company’s Annual</w:t>
              </w:r>
            </w:hyperlink>
          </w:p>
        </w:tc>
        <w:tc>
          <w:tcPr>
            <w:tcW w:w="180" w:type="dxa"/>
            <w:vAlign w:val="bottom"/>
            <w:gridSpan w:val="4"/>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3"/>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Report on Form 20-F (File No. 001-37891) filed with the SEC on March 16, 2023)</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660" w:type="dxa"/>
            <w:vAlign w:val="bottom"/>
          </w:tcPr>
          <w:p>
            <w:pPr>
              <w:spacing w:after="0"/>
              <w:rPr>
                <w:sz w:val="17"/>
                <w:szCs w:val="17"/>
                <w:color w:val="auto"/>
              </w:rPr>
            </w:pPr>
          </w:p>
        </w:tc>
        <w:tc>
          <w:tcPr>
            <w:tcW w:w="7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AC Immune SA 2013 Equity Incentive Plan (incorporated herein by reference to Exhibit 10.7 to the</w:t>
              </w:r>
            </w:hyperlink>
          </w:p>
        </w:tc>
        <w:tc>
          <w:tcPr>
            <w:tcW w:w="580" w:type="dxa"/>
            <w:vAlign w:val="bottom"/>
            <w:gridSpan w:val="1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Company’s Registration Statement on Form F-1 (File No. 333-211714) filed with the SEC on May 31,</w:t>
              </w:r>
            </w:hyperlink>
          </w:p>
        </w:tc>
        <w:tc>
          <w:tcPr>
            <w:tcW w:w="400" w:type="dxa"/>
            <w:vAlign w:val="bottom"/>
            <w:gridSpan w:val="8"/>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60" w:type="dxa"/>
            <w:vAlign w:val="bottom"/>
            <w:gridSpan w:val="2"/>
          </w:tcPr>
          <w:p>
            <w:pPr>
              <w:ind w:left="640"/>
              <w:spacing w:after="0" w:line="196" w:lineRule="exact"/>
              <w:rPr>
                <w:rFonts w:ascii="Times New Roman" w:cs="Times New Roman" w:eastAsia="Times New Roman" w:hAnsi="Times New Roman"/>
                <w:sz w:val="18"/>
                <w:szCs w:val="18"/>
                <w:color w:val="0000EE"/>
                <w:w w:val="95"/>
              </w:rPr>
            </w:pPr>
            <w:hyperlink r:id="rId231">
              <w:r>
                <w:rPr>
                  <w:rFonts w:ascii="Times New Roman" w:cs="Times New Roman" w:eastAsia="Times New Roman" w:hAnsi="Times New Roman"/>
                  <w:sz w:val="18"/>
                  <w:szCs w:val="18"/>
                  <w:color w:val="0000EE"/>
                  <w:w w:val="95"/>
                </w:rPr>
                <w:t>2016)</w:t>
              </w:r>
            </w:hyperlink>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660" w:type="dxa"/>
            <w:vAlign w:val="bottom"/>
          </w:tcPr>
          <w:p>
            <w:pPr>
              <w:spacing w:after="0"/>
              <w:rPr>
                <w:sz w:val="17"/>
                <w:szCs w:val="17"/>
                <w:color w:val="auto"/>
              </w:rPr>
            </w:pPr>
          </w:p>
        </w:tc>
        <w:tc>
          <w:tcPr>
            <w:tcW w:w="7760" w:type="dxa"/>
            <w:vAlign w:val="bottom"/>
            <w:gridSpan w:val="23"/>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AC Immune SA 2016 Stock Option and Incentive Plan, As Amended and Restated as of June 28, 2019</w:t>
              </w:r>
            </w:hyperlink>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(incorporated herein by reference to Exhibit 99 to the Company’s Registration Statement on Form S-8,</w:t>
              </w:r>
            </w:hyperlink>
          </w:p>
        </w:tc>
        <w:tc>
          <w:tcPr>
            <w:tcW w:w="380" w:type="dxa"/>
            <w:vAlign w:val="bottom"/>
            <w:gridSpan w:val="7"/>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filed with the SEC on August 5, 2019)</w:t>
              </w:r>
            </w:hyperlink>
          </w:p>
        </w:tc>
        <w:tc>
          <w:tcPr>
            <w:tcW w:w="400" w:type="dxa"/>
            <w:vAlign w:val="bottom"/>
            <w:gridSpan w:val="8"/>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17"/>
                <w:szCs w:val="17"/>
                <w:color w:val="auto"/>
              </w:rPr>
            </w:pPr>
          </w:p>
        </w:tc>
        <w:tc>
          <w:tcPr>
            <w:tcW w:w="7760" w:type="dxa"/>
            <w:vAlign w:val="bottom"/>
            <w:gridSpan w:val="23"/>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License Agreement between AC Immune SA and Eli Lilly and Company, dated December 11, 2018</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3"/>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(incorporated herein by reference to Exhibit 4.14 to the Amendment No. 1 to the Company’s Annual</w:t>
              </w:r>
            </w:hyperlink>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Report on Form 20-F/A, filed with the SEC on April 19, 2019)</w:t>
              </w:r>
            </w:hyperlink>
          </w:p>
        </w:tc>
        <w:tc>
          <w:tcPr>
            <w:tcW w:w="540" w:type="dxa"/>
            <w:vAlign w:val="bottom"/>
            <w:gridSpan w:val="10"/>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660" w:type="dxa"/>
            <w:vAlign w:val="bottom"/>
          </w:tcPr>
          <w:p>
            <w:pPr>
              <w:spacing w:after="0"/>
              <w:rPr>
                <w:sz w:val="17"/>
                <w:szCs w:val="17"/>
                <w:color w:val="auto"/>
              </w:rPr>
            </w:pPr>
          </w:p>
        </w:tc>
        <w:tc>
          <w:tcPr>
            <w:tcW w:w="74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Convertible Note Agreement between AC Immune SA and Eli Lilly and Company, dated December 11,</w:t>
              </w:r>
            </w:hyperlink>
          </w:p>
        </w:tc>
        <w:tc>
          <w:tcPr>
            <w:tcW w:w="320" w:type="dxa"/>
            <w:vAlign w:val="bottom"/>
            <w:gridSpan w:val="5"/>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3"/>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2018 (incorporated herein by reference to Exhibit 4.15 to the Company’s Annual Report on Form 20-F,</w:t>
              </w:r>
            </w:hyperlink>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filed with the SEC on March 21, 2019)</w:t>
              </w:r>
            </w:hyperlink>
          </w:p>
        </w:tc>
        <w:tc>
          <w:tcPr>
            <w:tcW w:w="360" w:type="dxa"/>
            <w:vAlign w:val="bottom"/>
            <w:gridSpan w:val="6"/>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660" w:type="dxa"/>
            <w:vAlign w:val="bottom"/>
          </w:tcPr>
          <w:p>
            <w:pPr>
              <w:spacing w:after="0"/>
              <w:rPr>
                <w:sz w:val="17"/>
                <w:szCs w:val="17"/>
                <w:color w:val="auto"/>
              </w:rPr>
            </w:pPr>
          </w:p>
        </w:tc>
        <w:tc>
          <w:tcPr>
            <w:tcW w:w="7760" w:type="dxa"/>
            <w:vAlign w:val="bottom"/>
            <w:gridSpan w:val="23"/>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First Amendment to License Agreement between AC Immune SA and Eli Lilly and Company, dated</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3900" w:type="dxa"/>
            <w:vAlign w:val="bottom"/>
            <w:gridSpan w:val="7"/>
            <w:shd w:val="clear" w:color="auto" w:fill="0000EE"/>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September 19, 2019 (incorporated herein by reference to Exhibit 10.1 to the Company’s Report on Form 6-</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3"/>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K, filed with the SEC on September 20, 2019)</w:t>
              </w:r>
            </w:hyperlink>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8"/>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color w:val="auto"/>
              </w:rPr>
              <w:t>173</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0"/>
        </w:trPr>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74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Second Amendment to License Agreement between AC Immune SA and Eli Lilly and Company, dated</w:t>
              </w:r>
            </w:hyperlink>
          </w:p>
        </w:tc>
        <w:tc>
          <w:tcPr>
            <w:tcW w:w="16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3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March 20, 2020 (incorporated herein by reference to Exhibit 10.1 to the Company’s Current Report on</w:t>
              </w:r>
            </w:hyperlink>
          </w:p>
        </w:tc>
        <w:tc>
          <w:tcPr>
            <w:tcW w:w="22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Form 6-K (File No. 001-37891) filed with the SEC on March 23, 2020)</w:t>
              </w:r>
            </w:hyperlink>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Open Market Sale Agreement, dated as of May 5, 2021, between AC Immune SA and Jefferies LLC</w:t>
              </w:r>
            </w:hyperlink>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72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(incorporated herein by reference to Exhibit 1.1 to the Company’s Current Report on Form 6-K (File</w:t>
              </w:r>
            </w:hyperlink>
          </w:p>
        </w:tc>
        <w:tc>
          <w:tcPr>
            <w:tcW w:w="340" w:type="dxa"/>
            <w:vAlign w:val="bottom"/>
            <w:gridSpan w:val="10"/>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7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No. 001-37891) filed with the SEC on May 5, 2021)</w:t>
              </w:r>
            </w:hyperlink>
          </w:p>
        </w:tc>
        <w:tc>
          <w:tcPr>
            <w:tcW w:w="3820" w:type="dxa"/>
            <w:vAlign w:val="bottom"/>
            <w:gridSpan w:val="23"/>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76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Asset Purchase and Contribution in Kind Agreement, dated as of July 26, 2021, between AC Immune SA</w:t>
              </w:r>
            </w:hyperlink>
          </w:p>
        </w:tc>
      </w:tr>
      <w:tr>
        <w:trPr>
          <w:trHeight w:val="196"/>
        </w:trPr>
        <w:tc>
          <w:tcPr>
            <w:tcW w:w="112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and Affiris AG (incorporated herein by reference to Exhibit 10.1 to the Company’s Current Report on</w:t>
              </w:r>
            </w:hyperlink>
          </w:p>
        </w:tc>
      </w:tr>
      <w:tr>
        <w:trPr>
          <w:trHeight w:val="196"/>
        </w:trPr>
        <w:tc>
          <w:tcPr>
            <w:tcW w:w="1120" w:type="dxa"/>
            <w:vAlign w:val="bottom"/>
          </w:tcPr>
          <w:p>
            <w:pPr>
              <w:spacing w:after="0"/>
              <w:rPr>
                <w:sz w:val="17"/>
                <w:szCs w:val="17"/>
                <w:color w:val="auto"/>
              </w:rPr>
            </w:pPr>
          </w:p>
        </w:tc>
        <w:tc>
          <w:tcPr>
            <w:tcW w:w="73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Form 6-K (File No. 001-37891) filed with the SEC on August 4, 2021)</w:t>
              </w:r>
            </w:hyperlink>
          </w:p>
        </w:tc>
        <w:tc>
          <w:tcPr>
            <w:tcW w:w="280" w:type="dxa"/>
            <w:vAlign w:val="bottom"/>
            <w:gridSpan w:val="9"/>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72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Convertible Note Agreement, dated as of July 26, 2021, between AC Immune SA and Santo Venture</w:t>
              </w:r>
            </w:hyperlink>
          </w:p>
        </w:tc>
        <w:tc>
          <w:tcPr>
            <w:tcW w:w="36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GmbH (incorporated herein by reference to Exhibit 10.2 to the Company’s Current Report on Form 6-K</w:t>
              </w:r>
            </w:hyperlink>
          </w:p>
        </w:tc>
      </w:tr>
      <w:tr>
        <w:trPr>
          <w:trHeight w:val="196"/>
        </w:trPr>
        <w:tc>
          <w:tcPr>
            <w:tcW w:w="1120" w:type="dxa"/>
            <w:vAlign w:val="bottom"/>
          </w:tcPr>
          <w:p>
            <w:pPr>
              <w:spacing w:after="0"/>
              <w:rPr>
                <w:sz w:val="17"/>
                <w:szCs w:val="17"/>
                <w:color w:val="auto"/>
              </w:rPr>
            </w:pPr>
          </w:p>
        </w:tc>
        <w:tc>
          <w:tcPr>
            <w:tcW w:w="74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(File No. 001-37891) filed with the SEC on August 4, 2021)</w:t>
              </w:r>
            </w:hyperlink>
          </w:p>
        </w:tc>
        <w:tc>
          <w:tcPr>
            <w:tcW w:w="12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75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Convertible Note Agreement, dated as of July 26, 2021, between AC Immune SA and FCPB Affi GmbH</w:t>
              </w:r>
            </w:hyperlink>
          </w:p>
        </w:tc>
        <w:tc>
          <w:tcPr>
            <w:tcW w:w="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(incorporated herein by reference to Exhibit 10.3 to the Company’s Current Report on Form 6-K (File</w:t>
              </w:r>
            </w:hyperlink>
          </w:p>
        </w:tc>
        <w:tc>
          <w:tcPr>
            <w:tcW w:w="24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No. 001-37891) filed with the SEC on August 4, 2021)</w:t>
              </w:r>
            </w:hyperlink>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Option and License Agreement, dated as of May 13, 2024, between AC Immune SA and Takeda</w:t>
              </w:r>
            </w:hyperlink>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7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Pharmaceutical Company Limited (incorporated herein by reference to Exhibit 10.1 to the Company's</w:t>
              </w:r>
            </w:hyperlink>
          </w:p>
        </w:tc>
        <w:tc>
          <w:tcPr>
            <w:tcW w:w="26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Current Report on Form 6-K (File No. 001-37891) filed with the SEC on August 6, 2024)</w:t>
              </w:r>
            </w:hyperlink>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74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Open Market Sale Agreement, dated as of August 6, 2024, between AC Immune SA and Jefferies LLC</w:t>
              </w:r>
            </w:hyperlink>
          </w:p>
        </w:tc>
        <w:tc>
          <w:tcPr>
            <w:tcW w:w="18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5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(incorporated herein by reference to Exhibit 1.1 to the Company's Current Report on Form 6-K (File No.</w:t>
              </w:r>
            </w:hyperlink>
          </w:p>
        </w:tc>
        <w:tc>
          <w:tcPr>
            <w:tcW w:w="6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001-37891) filed with the SEC on August 6, 2024)</w:t>
              </w:r>
            </w:hyperlink>
          </w:p>
        </w:tc>
        <w:tc>
          <w:tcPr>
            <w:tcW w:w="3940" w:type="dxa"/>
            <w:vAlign w:val="bottom"/>
            <w:gridSpan w:val="24"/>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7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7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List of subsidiaries</w:t>
            </w:r>
          </w:p>
        </w:tc>
        <w:tc>
          <w:tcPr>
            <w:tcW w:w="5820" w:type="dxa"/>
            <w:vAlign w:val="bottom"/>
            <w:gridSpan w:val="26"/>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46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 of Policy Concerning Trading in Company Securities</w:t>
            </w:r>
          </w:p>
        </w:tc>
        <w:tc>
          <w:tcPr>
            <w:tcW w:w="3000" w:type="dxa"/>
            <w:vAlign w:val="bottom"/>
            <w:gridSpan w:val="20"/>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47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Andrea Pfeifer pursuant to 17 CFR 240.13a-14(a)</w:t>
            </w:r>
          </w:p>
        </w:tc>
        <w:tc>
          <w:tcPr>
            <w:tcW w:w="2860" w:type="dxa"/>
            <w:vAlign w:val="bottom"/>
            <w:gridSpan w:val="19"/>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7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Christopher Roberts pursuant to 17 CFR 240.13a-14(a)</w:t>
            </w:r>
          </w:p>
        </w:tc>
      </w:tr>
      <w:tr>
        <w:trPr>
          <w:trHeight w:val="20"/>
        </w:trPr>
        <w:tc>
          <w:tcPr>
            <w:tcW w:w="112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7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Andrea Pfeifer pursuant to 17 CFR 240.13a-14(b) and 18 U.S.C.1350</w:t>
            </w:r>
          </w:p>
        </w:tc>
      </w:tr>
      <w:tr>
        <w:trPr>
          <w:trHeight w:val="20"/>
        </w:trPr>
        <w:tc>
          <w:tcPr>
            <w:tcW w:w="112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3260" w:type="dxa"/>
            <w:vAlign w:val="bottom"/>
            <w:gridSpan w:val="9"/>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65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Christopher Roberts pursuant to 17 CFR 240.13a-14(b) and 18 U.S.C.1350</w:t>
            </w:r>
          </w:p>
        </w:tc>
        <w:tc>
          <w:tcPr>
            <w:tcW w:w="1040" w:type="dxa"/>
            <w:vAlign w:val="bottom"/>
            <w:gridSpan w:val="14"/>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2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PricewaterhouseCoopers SA</w:t>
            </w:r>
          </w:p>
        </w:tc>
        <w:tc>
          <w:tcPr>
            <w:tcW w:w="4700" w:type="dxa"/>
            <w:vAlign w:val="bottom"/>
            <w:gridSpan w:val="2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72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Compensation Recoupment Policy, dated as of October 6, 2023 (incorporated herein by reference to</w:t>
              </w:r>
            </w:hyperlink>
          </w:p>
        </w:tc>
        <w:tc>
          <w:tcPr>
            <w:tcW w:w="380" w:type="dxa"/>
            <w:vAlign w:val="bottom"/>
            <w:gridSpan w:val="1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Exhibit 97.1 to the Company’s Annual Report on Form 20 F, filed with the SEC on March 14, 2024)</w:t>
              </w:r>
            </w:hyperlink>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2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80" w:type="dxa"/>
            <w:vAlign w:val="bottom"/>
            <w:gridSpan w:val="12"/>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6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6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6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6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960" w:hanging="262"/>
        <w:spacing w:after="0"/>
        <w:tabs>
          <w:tab w:leader="none" w:pos="9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AC IMMUNE SA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13, 2025</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5715</wp:posOffset>
            </wp:positionV>
            <wp:extent cx="26060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Name:Andrea Pfeifer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6060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Name:Christopher Roberts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360" w:type="dxa"/>
            <w:vAlign w:val="bottom"/>
            <w:gridSpan w:val="8"/>
          </w:tcPr>
          <w:p>
            <w:pPr>
              <w:ind w:left="2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 AC IMMUNE SA</w:t>
            </w:r>
          </w:p>
        </w:tc>
        <w:tc>
          <w:tcPr>
            <w:tcW w:w="5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8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b w:val="1"/>
                <w:bCs w:val="1"/>
                <w:color w:val="000000"/>
              </w:rPr>
              <w:t>(PCAOB ID 1358)</w:t>
            </w:r>
          </w:p>
        </w:tc>
        <w:tc>
          <w:tcPr>
            <w:tcW w:w="5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Income/(Loss) and Consolidated Statements of Comprehensive Income/(Loss) for the</w:t>
            </w:r>
          </w:p>
        </w:tc>
        <w:tc>
          <w:tcPr>
            <w:tcW w:w="52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90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fiscal years ended December 31, 2024, 2023 and 2022</w:t>
            </w:r>
          </w:p>
        </w:tc>
        <w:tc>
          <w:tcPr>
            <w:tcW w:w="428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20" w:type="dxa"/>
            <w:vAlign w:val="bottom"/>
          </w:tcPr>
          <w:p>
            <w:pPr>
              <w:spacing w:after="0"/>
              <w:rPr>
                <w:sz w:val="15"/>
                <w:szCs w:val="15"/>
                <w:color w:val="auto"/>
              </w:rPr>
            </w:pPr>
          </w:p>
        </w:tc>
        <w:tc>
          <w:tcPr>
            <w:tcW w:w="8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fiscal years ended December 31, 2024, 2023 and 2022</w:t>
            </w:r>
          </w:p>
        </w:tc>
        <w:tc>
          <w:tcPr>
            <w:tcW w:w="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fiscal years ended December 31, 2024, 2023 and 2022</w:t>
            </w:r>
          </w:p>
        </w:tc>
        <w:tc>
          <w:tcPr>
            <w:tcW w:w="1020" w:type="dxa"/>
            <w:vAlign w:val="bottom"/>
            <w:tcBorders>
              <w:bottom w:val="single" w:sz="8" w:color="CCEEFF"/>
            </w:tcBorders>
            <w:gridSpan w:val="3"/>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175"/>
        </w:trPr>
        <w:tc>
          <w:tcPr>
            <w:tcW w:w="20" w:type="dxa"/>
            <w:vAlign w:val="bottom"/>
          </w:tcPr>
          <w:p>
            <w:pPr>
              <w:spacing w:after="0"/>
              <w:rPr>
                <w:sz w:val="15"/>
                <w:szCs w:val="15"/>
                <w:color w:val="auto"/>
              </w:rPr>
            </w:pPr>
          </w:p>
        </w:tc>
        <w:tc>
          <w:tcPr>
            <w:tcW w:w="8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F-9</w:t>
            </w: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Shareholders of AC Immune SA</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AC Immune SA and its subsidiary (the “Company”) as of December 31, 2024 and 2023, and the related consolidated statements of income/(loss), of comprehensive income/(loss), of changes in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0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IFRS Accounting Standards as issued by the International Accounting Standards Board.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COSO.</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ind w:left="60" w:right="159"/>
        <w:spacing w:after="0" w:line="272"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15B.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ind w:left="60" w:right="139"/>
        <w:spacing w:after="0" w:line="27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left="60" w:right="99"/>
        <w:spacing w:after="0" w:line="28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 – valuation</w:t>
      </w:r>
    </w:p>
    <w:p>
      <w:pPr>
        <w:spacing w:after="0" w:line="241"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As described in Note 6 to the consolidated financial statements, the Company has CHF 50.4 million of an in-process research and development (IPR&amp;D) intangible asset as of December 31, 2024. The asset is not ready for use until the asset obtains market approval. Therefore, in accordance with IAS 36 ‘Impairment of asset’, the IPR&amp;D asset is reviewed at least annually for impairment by assessing the fair value less costs to sell (recoverable amount) and comparing this to the carrying value of the asset. The significant assumptions used in the model include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used to discount future cash flows. The Company’s valuation model calculates the risk-adjusted, net cash flows through the period of market exclusivity across target sales regions.</w:t>
      </w:r>
    </w:p>
    <w:p>
      <w:pPr>
        <w:spacing w:after="0" w:line="203" w:lineRule="exact"/>
        <w:rPr>
          <w:sz w:val="20"/>
          <w:szCs w:val="20"/>
          <w:color w:val="auto"/>
        </w:rPr>
      </w:pPr>
    </w:p>
    <w:p>
      <w:pPr>
        <w:ind w:left="60" w:right="119"/>
        <w:spacing w:after="0" w:line="276"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the intangible asset – valuation is a critical audit matter are (i) the significant judgment by management when determining the value of the intangible asset;</w:t>
      </w:r>
    </w:p>
    <w:p>
      <w:pPr>
        <w:spacing w:after="0" w:line="1" w:lineRule="exact"/>
        <w:rPr>
          <w:sz w:val="20"/>
          <w:szCs w:val="20"/>
          <w:color w:val="auto"/>
        </w:rPr>
      </w:pPr>
    </w:p>
    <w:p>
      <w:pPr>
        <w:ind w:left="60" w:right="199" w:hanging="10"/>
        <w:spacing w:after="0" w:line="249" w:lineRule="auto"/>
        <w:tabs>
          <w:tab w:leader="none" w:pos="32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degree of auditor judgment, subjectivity and effort in performing procedures and evaluating the audit evidence obtained related to the valuation of the intangible asset and management’s assumptions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used to discount future cash flows and (iii) the audit effort involved the use of professionals with specialized skill and knowledge.</w:t>
      </w:r>
    </w:p>
    <w:p>
      <w:pPr>
        <w:spacing w:after="0" w:line="206" w:lineRule="exact"/>
        <w:rPr>
          <w:sz w:val="20"/>
          <w:szCs w:val="20"/>
          <w:color w:val="auto"/>
        </w:rPr>
      </w:pPr>
    </w:p>
    <w:p>
      <w:pPr>
        <w:ind w:left="60" w:right="179"/>
        <w:spacing w:after="0" w:line="249"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the intangible asset. These procedures also included, among others, (i) testing management’s process for developing the fair value estimate; (ii) evaluating the appropriateness of the discounted cash flow model; (iii) testing the completeness and accuracy of underlying data used in the model; and (iv) evaluating the reasonableness of the significant assumptions used by management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Evaluating management’s assumptions related to anticipated research and development costs, anticipated costs of goods and sales and market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involved evaluating whether the assumption used by management were reasonable considering (i) the consistency with market and industry data; and (ii) whether these assumptions were consistent with evidence obtained in other areas of the audit. Professionals with specialized skill and knowledge were used to assist in the evaluation of the Company’s discounted cash flow model and the discount rate assumption.</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Pully, Switzerland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13, 2025</w:t>
      </w:r>
    </w:p>
    <w:p>
      <w:pPr>
        <w:spacing w:after="0" w:line="3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4" w:name="page185"/>
    <w:bookmarkEnd w:id="1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Financial Statements (IFRS Accounting Standards)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0"/>
        </w:trPr>
        <w:tc>
          <w:tcPr>
            <w:tcW w:w="6160" w:type="dxa"/>
            <w:vAlign w:val="bottom"/>
            <w:vMerge w:val="continue"/>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w:t>
            </w:r>
          </w:p>
        </w:tc>
        <w:tc>
          <w:tcPr>
            <w:tcW w:w="0" w:type="dxa"/>
            <w:vAlign w:val="bottom"/>
          </w:tcPr>
          <w:p>
            <w:pPr>
              <w:spacing w:after="0"/>
              <w:rPr>
                <w:sz w:val="1"/>
                <w:szCs w:val="1"/>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3,508</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50,416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50,416</w:t>
            </w:r>
          </w:p>
        </w:tc>
        <w:tc>
          <w:tcPr>
            <w:tcW w:w="0" w:type="dxa"/>
            <w:vAlign w:val="bottom"/>
          </w:tcPr>
          <w:p>
            <w:pPr>
              <w:spacing w:after="0"/>
              <w:rPr>
                <w:sz w:val="1"/>
                <w:szCs w:val="1"/>
                <w:color w:val="auto"/>
              </w:rPr>
            </w:pPr>
          </w:p>
        </w:tc>
      </w:tr>
      <w:tr>
        <w:trPr>
          <w:trHeight w:val="20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Long-term financial assets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57,661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6,437</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income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8/13</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receivables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14,800</w:t>
            </w:r>
          </w:p>
        </w:tc>
        <w:tc>
          <w:tcPr>
            <w:tcW w:w="0" w:type="dxa"/>
            <w:vAlign w:val="bottom"/>
          </w:tcPr>
          <w:p>
            <w:pPr>
              <w:spacing w:after="0"/>
              <w:rPr>
                <w:sz w:val="1"/>
                <w:szCs w:val="1"/>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financial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24,554</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2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78,494</w:t>
            </w:r>
          </w:p>
        </w:tc>
        <w:tc>
          <w:tcPr>
            <w:tcW w:w="0" w:type="dxa"/>
            <w:vAlign w:val="bottom"/>
          </w:tcPr>
          <w:p>
            <w:pPr>
              <w:spacing w:after="0"/>
              <w:rPr>
                <w:sz w:val="1"/>
                <w:szCs w:val="1"/>
                <w:color w:val="auto"/>
              </w:rPr>
            </w:pPr>
          </w:p>
        </w:tc>
      </w:tr>
      <w:tr>
        <w:trPr>
          <w:trHeight w:val="236"/>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6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171,994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125,153</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230,913</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182,814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Shareholders' equity and liabilities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 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premium</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478,506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474,907</w:t>
            </w:r>
          </w:p>
        </w:tc>
        <w:tc>
          <w:tcPr>
            <w:tcW w:w="0" w:type="dxa"/>
            <w:vAlign w:val="bottom"/>
          </w:tcPr>
          <w:p>
            <w:pPr>
              <w:spacing w:after="0"/>
              <w:rPr>
                <w:sz w:val="1"/>
                <w:szCs w:val="1"/>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Treasury shares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losses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(368,239)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(316,197)</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112,270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160,643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deferred contract revenue</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w:t>
            </w:r>
          </w:p>
        </w:tc>
        <w:tc>
          <w:tcPr>
            <w:tcW w:w="0" w:type="dxa"/>
            <w:vAlign w:val="bottom"/>
          </w:tcPr>
          <w:p>
            <w:pPr>
              <w:spacing w:after="0"/>
              <w:rPr>
                <w:sz w:val="1"/>
                <w:szCs w:val="1"/>
                <w:color w:val="auto"/>
              </w:rPr>
            </w:pPr>
          </w:p>
        </w:tc>
      </w:tr>
      <w:tr>
        <w:trPr>
          <w:trHeight w:val="20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employee defined benefit liabilities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5,770</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17,805</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and other payables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1,679</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11,087</w:t>
            </w:r>
          </w:p>
        </w:tc>
        <w:tc>
          <w:tcPr>
            <w:tcW w:w="0" w:type="dxa"/>
            <w:vAlign w:val="bottom"/>
          </w:tcPr>
          <w:p>
            <w:pPr>
              <w:spacing w:after="0"/>
              <w:rPr>
                <w:sz w:val="1"/>
                <w:szCs w:val="1"/>
                <w:color w:val="auto"/>
              </w:rPr>
            </w:pPr>
          </w:p>
        </w:tc>
      </w:tr>
      <w:tr>
        <w:trPr>
          <w:trHeight w:val="20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deferred income</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00" w:type="dxa"/>
            <w:vAlign w:val="bottom"/>
          </w:tcPr>
          <w:p>
            <w:pPr>
              <w:spacing w:after="0"/>
              <w:rPr>
                <w:sz w:val="17"/>
                <w:szCs w:val="17"/>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deferred contract revenue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100,838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13,576</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tcBorders>
              <w:bottom w:val="single" w:sz="8" w:color="CCEEFF"/>
            </w:tcBorders>
            <w:vMerge w:val="continue"/>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118,643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22,171</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Total shareholders’ equity and liabilities</w:t>
            </w: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230,913</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182,814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5" w:name="page186"/>
    <w:bookmarkEnd w:id="1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Income/(Loss)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9"/>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40" w:type="dxa"/>
            <w:vAlign w:val="bottom"/>
            <w:gridSpan w:val="2"/>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920" w:type="dxa"/>
            <w:vAlign w:val="bottom"/>
            <w:gridSpan w:val="3"/>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(62,570)</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(54,606)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(17,259)</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(15,305)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13.2</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(79,687)</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(1,598)</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(50,913)</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(54,223)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(50,916)</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(0.51)</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9"/>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40" w:type="dxa"/>
            <w:vAlign w:val="bottom"/>
            <w:gridSpan w:val="2"/>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920" w:type="dxa"/>
            <w:vAlign w:val="bottom"/>
            <w:gridSpan w:val="3"/>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(50,916)</w:t>
            </w:r>
          </w:p>
        </w:tc>
        <w:tc>
          <w:tcPr>
            <w:tcW w:w="200" w:type="dxa"/>
            <w:vAlign w:val="bottom"/>
            <w:tcBorders>
              <w:top w:val="single" w:sz="8" w:color="CCEEFF"/>
            </w:tcBorders>
            <w:gridSpan w:val="2"/>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(54,233)</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reclassified to income or loss in subsequent periods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 subsequent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periods (net of tax):</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gains/(losses) on defined-benefit plans (net of tax)</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(3,084)</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(3,038)</w:t>
            </w:r>
          </w:p>
        </w:tc>
        <w:tc>
          <w:tcPr>
            <w:tcW w:w="200" w:type="dxa"/>
            <w:vAlign w:val="bottom"/>
            <w:gridSpan w:val="2"/>
          </w:tcPr>
          <w:p>
            <w:pPr>
              <w:spacing w:after="0"/>
              <w:rPr>
                <w:sz w:val="22"/>
                <w:szCs w:val="22"/>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(53,954)</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6" w:name="page187"/>
    <w:bookmarkEnd w:id="1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68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680" w:type="dxa"/>
            <w:vAlign w:val="bottom"/>
          </w:tcPr>
          <w:p>
            <w:pPr>
              <w:spacing w:after="0"/>
              <w:rPr>
                <w:sz w:val="14"/>
                <w:szCs w:val="14"/>
                <w:color w:val="auto"/>
              </w:rPr>
            </w:pPr>
          </w:p>
        </w:tc>
      </w:tr>
      <w:tr>
        <w:trPr>
          <w:trHeight w:val="176"/>
        </w:trPr>
        <w:tc>
          <w:tcPr>
            <w:tcW w:w="332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premium</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differences</w:t>
            </w: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2022</w:t>
            </w:r>
          </w:p>
        </w:tc>
        <w:tc>
          <w:tcPr>
            <w:tcW w:w="5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431,251</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(200,942)</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231,979</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for the period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(70,753)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(70,753)</w:t>
            </w:r>
          </w:p>
        </w:tc>
      </w:tr>
      <w:tr>
        <w:trPr>
          <w:trHeight w:val="16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17</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4,426</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4,436</w:t>
            </w:r>
          </w:p>
        </w:tc>
      </w:tr>
      <w:tr>
        <w:trPr>
          <w:trHeight w:val="195"/>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(66,327)</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(66,317)</w:t>
            </w:r>
          </w:p>
        </w:tc>
      </w:tr>
      <w:tr>
        <w:trPr>
          <w:trHeight w:val="143"/>
        </w:trPr>
        <w:tc>
          <w:tcPr>
            <w:tcW w:w="3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w:t>
            </w: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w:t>
            </w:r>
          </w:p>
        </w:tc>
      </w:tr>
      <w:tr>
        <w:trPr>
          <w:trHeight w:val="144"/>
        </w:trPr>
        <w:tc>
          <w:tcPr>
            <w:tcW w:w="33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underwriting fees and transaction costs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(76)</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62"/>
        </w:trPr>
        <w:tc>
          <w:tcPr>
            <w:tcW w:w="3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5"/>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431,323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(264,015)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168,991</w:t>
            </w:r>
          </w:p>
        </w:tc>
      </w:tr>
      <w:tr>
        <w:trPr>
          <w:trHeight w:val="20"/>
        </w:trPr>
        <w:tc>
          <w:tcPr>
            <w:tcW w:w="3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Currency</w:t>
            </w:r>
          </w:p>
        </w:tc>
        <w:tc>
          <w:tcPr>
            <w:tcW w:w="68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translation</w:t>
            </w:r>
          </w:p>
        </w:tc>
        <w:tc>
          <w:tcPr>
            <w:tcW w:w="680" w:type="dxa"/>
            <w:vAlign w:val="bottom"/>
          </w:tcPr>
          <w:p>
            <w:pPr>
              <w:spacing w:after="0"/>
              <w:rPr>
                <w:sz w:val="14"/>
                <w:szCs w:val="14"/>
                <w:color w:val="auto"/>
              </w:rPr>
            </w:pPr>
          </w:p>
        </w:tc>
      </w:tr>
      <w:tr>
        <w:trPr>
          <w:trHeight w:val="176"/>
        </w:trPr>
        <w:tc>
          <w:tcPr>
            <w:tcW w:w="334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premium</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differences</w:t>
            </w: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2023</w:t>
            </w: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431,323</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(264,015)</w:t>
            </w: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168,991</w:t>
            </w: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for the period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(54,233)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(54,233)</w:t>
            </w:r>
          </w:p>
        </w:tc>
      </w:tr>
      <w:tr>
        <w:trPr>
          <w:trHeight w:val="16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(1,669)</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w:t>
            </w:r>
          </w:p>
        </w:tc>
      </w:tr>
      <w:tr>
        <w:trPr>
          <w:trHeight w:val="155"/>
        </w:trPr>
        <w:tc>
          <w:tcPr>
            <w:tcW w:w="334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(55,902)</w:t>
            </w:r>
          </w:p>
        </w:tc>
        <w:tc>
          <w:tcPr>
            <w:tcW w:w="1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(55,963)</w:t>
            </w:r>
          </w:p>
        </w:tc>
      </w:tr>
      <w:tr>
        <w:trPr>
          <w:trHeight w:val="155"/>
        </w:trPr>
        <w:tc>
          <w:tcPr>
            <w:tcW w:w="3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4,365</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4,365</w:t>
            </w:r>
          </w:p>
        </w:tc>
      </w:tr>
      <w:tr>
        <w:trPr>
          <w:trHeight w:val="144"/>
        </w:trPr>
        <w:tc>
          <w:tcPr>
            <w:tcW w:w="3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public offerings, net of underwriting fees,</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costs and stamp duty</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40,249</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40,535</w:t>
            </w:r>
          </w:p>
        </w:tc>
      </w:tr>
      <w:tr>
        <w:trPr>
          <w:trHeight w:val="144"/>
        </w:trPr>
        <w:tc>
          <w:tcPr>
            <w:tcW w:w="33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underwriting fees and transaction costs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2,650</w:t>
            </w:r>
          </w:p>
        </w:tc>
      </w:tr>
      <w:tr>
        <w:trPr>
          <w:trHeight w:val="17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2"/>
        </w:trPr>
        <w:tc>
          <w:tcPr>
            <w:tcW w:w="3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(645)</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2"/>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5"/>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474,907</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6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(316,197)</w:t>
            </w:r>
          </w:p>
        </w:tc>
        <w:tc>
          <w:tcPr>
            <w:tcW w:w="1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160,643</w:t>
            </w:r>
          </w:p>
        </w:tc>
      </w:tr>
      <w:tr>
        <w:trPr>
          <w:trHeight w:val="20"/>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Currency</w:t>
            </w:r>
          </w:p>
        </w:tc>
        <w:tc>
          <w:tcPr>
            <w:tcW w:w="68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translation</w:t>
            </w:r>
          </w:p>
        </w:tc>
        <w:tc>
          <w:tcPr>
            <w:tcW w:w="680" w:type="dxa"/>
            <w:vAlign w:val="bottom"/>
          </w:tcPr>
          <w:p>
            <w:pPr>
              <w:spacing w:after="0"/>
              <w:rPr>
                <w:sz w:val="14"/>
                <w:szCs w:val="14"/>
                <w:color w:val="auto"/>
              </w:rPr>
            </w:pPr>
          </w:p>
        </w:tc>
      </w:tr>
      <w:tr>
        <w:trPr>
          <w:trHeight w:val="176"/>
        </w:trPr>
        <w:tc>
          <w:tcPr>
            <w:tcW w:w="334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premium</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differences</w:t>
            </w: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2024</w:t>
            </w: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474,907</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(316,197)</w:t>
            </w: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160,643</w:t>
            </w: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for the period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(50,916)</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(50,916)</w:t>
            </w:r>
          </w:p>
        </w:tc>
      </w:tr>
      <w:tr>
        <w:trPr>
          <w:trHeight w:val="16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income/(loss)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(3,084)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(3,038)</w:t>
            </w:r>
          </w:p>
        </w:tc>
      </w:tr>
      <w:tr>
        <w:trPr>
          <w:trHeight w:val="156"/>
        </w:trPr>
        <w:tc>
          <w:tcPr>
            <w:tcW w:w="334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(54,000)</w:t>
            </w:r>
          </w:p>
        </w:tc>
        <w:tc>
          <w:tcPr>
            <w:tcW w:w="1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(53,954)</w:t>
            </w:r>
          </w:p>
        </w:tc>
      </w:tr>
      <w:tr>
        <w:trPr>
          <w:trHeight w:val="155"/>
        </w:trPr>
        <w:tc>
          <w:tcPr>
            <w:tcW w:w="3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5,470</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5,470</w:t>
            </w:r>
          </w:p>
        </w:tc>
      </w:tr>
      <w:tr>
        <w:trPr>
          <w:trHeight w:val="144"/>
        </w:trPr>
        <w:tc>
          <w:tcPr>
            <w:tcW w:w="3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underwriting fees and transaction costs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shares to be held as treasury shares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(114)</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2"/>
        </w:trPr>
        <w:tc>
          <w:tcPr>
            <w:tcW w:w="3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3,489</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(3,512)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5"/>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478,506</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6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(368,239)</w:t>
            </w:r>
          </w:p>
        </w:tc>
        <w:tc>
          <w:tcPr>
            <w:tcW w:w="1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112,270</w:t>
            </w:r>
          </w:p>
        </w:tc>
      </w:tr>
      <w:tr>
        <w:trPr>
          <w:trHeight w:val="20"/>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7" w:name="page188"/>
    <w:bookmarkEnd w:id="1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Note</w:t>
            </w: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7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7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1"/>
        </w:trPr>
        <w:tc>
          <w:tcPr>
            <w:tcW w:w="564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4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Loss for the period</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(50,916)</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(54,233)</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Adjustments to reconcile net loss for the period to net cash flows: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Depreciation of right-of-use assets</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 (income)/expense, net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5,470</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4,365</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net employee defined benefit liability</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5/14</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Changes in working capital:</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(Increase)/decrease in prepaid expenses</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8</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(Increase)/decrease in accrued income</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8</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(Increase)/decrease in accounts receivable</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14,800</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(14,800)</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(Increase)/decrease in other current receivables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(Decrease)/increase in accrued expenses</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(Decrease)/increase in deferred contract revenue, short-term</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85,056</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(Decrease)/increase in deferred income</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(Decrease)/increase in trade and other payables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(Decrease)/increase in deferred contract revenue, long-term</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4,560</w:t>
            </w:r>
          </w:p>
        </w:tc>
        <w:tc>
          <w:tcPr>
            <w:tcW w:w="2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Cash provided by/(used in) operating activities</w:t>
            </w:r>
          </w:p>
        </w:tc>
        <w:tc>
          <w:tcPr>
            <w:tcW w:w="4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64,408</w:t>
            </w:r>
          </w:p>
        </w:tc>
        <w:tc>
          <w:tcPr>
            <w:tcW w:w="2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(60,827)</w:t>
            </w: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received</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paid</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5/14</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Finance expenses paid</w:t>
            </w:r>
          </w:p>
        </w:tc>
        <w:tc>
          <w:tcPr>
            <w:tcW w:w="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flows provided by/(used in) operating activities</w:t>
            </w:r>
          </w:p>
        </w:tc>
        <w:tc>
          <w:tcPr>
            <w:tcW w:w="4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65,842</w:t>
            </w: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(60,408)</w:t>
            </w:r>
          </w:p>
        </w:tc>
        <w:tc>
          <w:tcPr>
            <w:tcW w:w="2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Short-term financial assets, net</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(104,660)</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66,446</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Purchases of property, plant and equipment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Rental deposits</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flows provided by/(used in) investing activities</w:t>
            </w:r>
          </w:p>
        </w:tc>
        <w:tc>
          <w:tcPr>
            <w:tcW w:w="4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(105,290)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65,645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public offerings of common shares, net of underwriting fees and transaction costs</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41,056</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sale of treasury shares in public offerings, net of underwriting fees and transaction costs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issuance of common shares – equity plan, net of transaction costs</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Transaction costs and stamp duty associated with the public offerings of common shares previously</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recorded in Accrued expenses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Transaction costs associated with the sale of treasury shares in public offering previously recorded in</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expenses</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Principal payments of lease obligations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Transaction costs associated with issuance of shares in relation to asset acquisition previously recorded in</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expenses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flows (used in)/provided by financing activities</w:t>
            </w: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43,250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increase/(decrease) in cash and cash equivalents</w:t>
            </w:r>
          </w:p>
        </w:tc>
        <w:tc>
          <w:tcPr>
            <w:tcW w:w="4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(40,568)</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48,487</w:t>
            </w:r>
          </w:p>
        </w:tc>
        <w:tc>
          <w:tcPr>
            <w:tcW w:w="2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at January 1</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78,494</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31,586</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Exchange gain/(loss) on cash and cash equivalents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at December 31</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36,275</w:t>
            </w:r>
          </w:p>
        </w:tc>
        <w:tc>
          <w:tcPr>
            <w:tcW w:w="2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78,494</w:t>
            </w:r>
          </w:p>
        </w:tc>
        <w:tc>
          <w:tcPr>
            <w:tcW w:w="2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31,586</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increase/(decrease) in cash and cash equivalents</w:t>
            </w:r>
          </w:p>
        </w:tc>
        <w:tc>
          <w:tcPr>
            <w:tcW w:w="4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(40,568)</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48,487</w:t>
            </w:r>
          </w:p>
        </w:tc>
        <w:tc>
          <w:tcPr>
            <w:tcW w:w="2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non-cash activity</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Capital expenditures in Trade and other payables or Accrued expenses</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Transaction costs and stamp duty associated with the public offerings of common shares recorded in</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Accrued expenses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Transaction costs associated with the sale of treasury shares in public offering recorded in Accrued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expenses</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8" w:name="page189"/>
    <w:bookmarkEnd w:id="1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for share and per share data)</w:t>
      </w:r>
    </w:p>
    <w:p>
      <w:pPr>
        <w:spacing w:after="0" w:line="215" w:lineRule="exact"/>
        <w:rPr>
          <w:sz w:val="20"/>
          <w:szCs w:val="20"/>
          <w:color w:val="auto"/>
        </w:rPr>
      </w:pPr>
    </w:p>
    <w:p>
      <w:pPr>
        <w:ind w:left="380" w:hanging="330"/>
        <w:spacing w:after="0"/>
        <w:tabs>
          <w:tab w:leader="none" w:pos="3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AC Immune SA was founded in 2003. The Company controls a fully-owned subsidiary, AC Immune USA, Inc. (“AC Immune USA” or “Subsidiary” and, together with AC Immune SA, “AC Immune,” “ACIU,” “Company,” “we,” “our,” “ours,” “us”), which was registered and organized under the laws of Delaware, USA in June 2021. The Company and its Subsidiary form the Group.</w:t>
      </w:r>
    </w:p>
    <w:p>
      <w:pPr>
        <w:spacing w:after="0" w:line="180"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77"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Company was initially incorporated as a limited liability company on February 13, 2003 in Basel, and effective August 25, 2003 was transformed into a stock company. The Company’s corporate headquarters are located at EPFL Innovation Park Building B, 1015 Lausanne, Switzerland.</w:t>
      </w:r>
    </w:p>
    <w:p>
      <w:pPr>
        <w:spacing w:after="0" w:line="172" w:lineRule="exact"/>
        <w:rPr>
          <w:sz w:val="20"/>
          <w:szCs w:val="20"/>
          <w:color w:val="auto"/>
        </w:rPr>
      </w:pPr>
    </w:p>
    <w:p>
      <w:pPr>
        <w:ind w:left="380" w:hanging="330"/>
        <w:spacing w:after="0"/>
        <w:tabs>
          <w:tab w:leader="none" w:pos="3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Company believes that it will be able to meet all of its obligations as they fall due for at least 12 months from the filing date of this Form 20-F, after considering the Company’s cash position of CHF 36.3 million and short-term financial assets of CHF 129.2 million as of December 31, 2024. Hence, these consolidated financial statements have been prepared on a going-concern basis.</w:t>
      </w:r>
    </w:p>
    <w:p>
      <w:pPr>
        <w:spacing w:after="0" w:line="18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7"/>
          <w:szCs w:val="17"/>
          <w:color w:val="auto"/>
        </w:rPr>
        <w:t>To date, the Company has financed its cash requirements primarily from its public offerings, share issuances, contract revenues from option, license and collaboration agreements (OLCAs)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ind w:left="360" w:hanging="310"/>
        <w:spacing w:after="0"/>
        <w:tabs>
          <w:tab w:leader="none" w:pos="3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move its product candidates through clinical development, (iv) attract and retain key personnel and</w:t>
      </w:r>
    </w:p>
    <w:p>
      <w:pPr>
        <w:spacing w:after="0" w:line="9" w:lineRule="exact"/>
        <w:rPr>
          <w:rFonts w:ascii="Times New Roman" w:cs="Times New Roman" w:eastAsia="Times New Roman" w:hAnsi="Times New Roman"/>
          <w:sz w:val="18"/>
          <w:szCs w:val="18"/>
          <w:color w:val="auto"/>
        </w:rPr>
      </w:pPr>
    </w:p>
    <w:p>
      <w:pPr>
        <w:ind w:left="300" w:hanging="250"/>
        <w:spacing w:after="0"/>
        <w:tabs>
          <w:tab w:leader="none" w:pos="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capital to support its operations.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left="60" w:right="639" w:firstLine="324"/>
        <w:spacing w:after="0" w:line="280"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accordance with International Financial Reporting Standards (IFRS) Accounting Standards as issued by the International Accounting Standards Board (IASB). These consolidated financial statements were approved for issue by the Board of Directors on March 12, 2025.</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9" w:name="page190"/>
    <w:bookmarkEnd w:id="1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under the historical cost convention except for items that are required to be accounted for at fair value.</w:t>
      </w:r>
    </w:p>
    <w:p>
      <w:pPr>
        <w:spacing w:after="0" w:line="158" w:lineRule="exact"/>
        <w:rPr>
          <w:sz w:val="20"/>
          <w:szCs w:val="20"/>
          <w:color w:val="auto"/>
        </w:rPr>
      </w:pPr>
    </w:p>
    <w:p>
      <w:pPr>
        <w:ind w:left="380" w:hanging="330"/>
        <w:spacing w:after="0"/>
        <w:tabs>
          <w:tab w:leader="none" w:pos="38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material accounting policies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adopted in the preparation of these consolidated financial statements are set out below. These policies have been consistently applied to all the years presented, unless otherwise stated.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reporting currency</w:t>
      </w:r>
    </w:p>
    <w:p>
      <w:pPr>
        <w:spacing w:after="0" w:line="21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and accompanying notes are presented in Swiss Francs (CHF), which is AC Immune SA’s functional currency and the Group’s reporting currency. The Company’s subsidiary has a functional currency of the U.S. Dollar (USD). The respective functional currency represents the primary economic environment in which the entities operate.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exchange rates have been used for the translation of the financial statements of AC Immune USA:</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00" w:type="dxa"/>
            <w:vAlign w:val="bottom"/>
          </w:tcPr>
          <w:p>
            <w:pPr>
              <w:spacing w:after="0"/>
              <w:rPr>
                <w:sz w:val="16"/>
                <w:szCs w:val="16"/>
                <w:color w:val="auto"/>
              </w:rPr>
            </w:pPr>
          </w:p>
        </w:tc>
      </w:tr>
      <w:tr>
        <w:trPr>
          <w:trHeight w:val="195"/>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6"/>
                <w:szCs w:val="16"/>
                <w:color w:val="auto"/>
              </w:rPr>
            </w:pPr>
          </w:p>
        </w:tc>
      </w:tr>
      <w:tr>
        <w:trPr>
          <w:trHeight w:val="188"/>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gridSpan w:val="3"/>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CHF/USD</w:t>
            </w:r>
          </w:p>
        </w:tc>
        <w:tc>
          <w:tcPr>
            <w:tcW w:w="1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rate, USD 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0.912</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0.851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0.933</w:t>
            </w:r>
          </w:p>
        </w:tc>
      </w:tr>
      <w:tr>
        <w:trPr>
          <w:trHeight w:val="23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exchange rate, USD 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0.889</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0.908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0.965</w:t>
            </w: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results and financial position of AC Immune USA are translated into the presentation currency as follows:</w:t>
      </w:r>
    </w:p>
    <w:p>
      <w:pPr>
        <w:spacing w:after="0" w:line="225" w:lineRule="exact"/>
        <w:rPr>
          <w:sz w:val="20"/>
          <w:szCs w:val="20"/>
          <w:color w:val="auto"/>
        </w:rPr>
      </w:pPr>
    </w:p>
    <w:p>
      <w:pPr>
        <w:ind w:left="720" w:right="259" w:hanging="319"/>
        <w:spacing w:after="0" w:line="266" w:lineRule="auto"/>
        <w:tabs>
          <w:tab w:leader="none" w:pos="7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for each balance sheet presented are translated at the closing rate at the date of that balance sheet;</w:t>
      </w:r>
    </w:p>
    <w:p>
      <w:pPr>
        <w:spacing w:after="0" w:line="1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for each statement of income/(loss) are translated at average exchange rates; and</w:t>
      </w:r>
    </w:p>
    <w:p>
      <w:pPr>
        <w:spacing w:after="0" w:line="225" w:lineRule="exact"/>
        <w:rPr>
          <w:rFonts w:ascii="Times New Roman" w:cs="Times New Roman" w:eastAsia="Times New Roman" w:hAnsi="Times New Roman"/>
          <w:sz w:val="18"/>
          <w:szCs w:val="18"/>
          <w:color w:val="auto"/>
        </w:rPr>
      </w:pPr>
    </w:p>
    <w:p>
      <w:pPr>
        <w:ind w:left="720" w:right="619" w:hanging="319"/>
        <w:spacing w:after="0" w:line="266" w:lineRule="auto"/>
        <w:tabs>
          <w:tab w:leader="none" w:pos="7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resulting exchange differences are recognized in other comprehensive income/(loss), within cumulative translation differences.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1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annual closing date of the individual financial statements is December 31. The Company fully-owns its Subsidiary and fully consolidates its financial statements into these consolidated financial statements. All intercompany transactions have been eliminated.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Foreign currency transactions are translated into the respective functional currency using prevailing exchange rates at the dates of the transactions. Foreign exchange gains and losses resulting from the settlement of such transactions and from the translation at year-end exchange rates of monetary assets and liabilities denominated in foreign currencies are recognized in the consolidated statements of income/(loss). Any gains or losses from these translations are included in the consolidated statements of income/(loss) in the period in which they arise.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Current vs. non-current classification</w:t>
      </w:r>
    </w:p>
    <w:p>
      <w:pPr>
        <w:spacing w:after="0" w:line="229" w:lineRule="exact"/>
        <w:rPr>
          <w:sz w:val="20"/>
          <w:szCs w:val="20"/>
          <w:color w:val="auto"/>
        </w:rPr>
      </w:pPr>
    </w:p>
    <w:p>
      <w:pPr>
        <w:jc w:val="center"/>
        <w:ind w:left="40" w:right="439"/>
        <w:spacing w:after="0" w:line="312" w:lineRule="auto"/>
        <w:rPr>
          <w:sz w:val="20"/>
          <w:szCs w:val="20"/>
          <w:color w:val="auto"/>
        </w:rPr>
      </w:pPr>
      <w:r>
        <w:rPr>
          <w:rFonts w:ascii="Times New Roman" w:cs="Times New Roman" w:eastAsia="Times New Roman" w:hAnsi="Times New Roman"/>
          <w:sz w:val="17"/>
          <w:szCs w:val="17"/>
          <w:color w:val="auto"/>
        </w:rPr>
        <w:t>The Company presents assets and liabilities in the consolidated balance sheets based on a current/non-current classification. The Company classifies as current all amounts (assets) that are to be realized within 12 months after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0" w:name="page191"/>
    <w:bookmarkEnd w:id="1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reporting period and classifies as non-current all other amounts (assets). For liabilities, in accordance with IAS 1, any amounts expected to be settled within 12 months after the reporting period are classified as current if the Company does not have the right to defer settlement for at least 12 months after the reporting period - all other amounts (liabilities) are classified as non-current.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 xml:space="preserve">The Company applies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standard applies to all contracts with customers, except for contracts that are within the scope of other standards, such as leases, insurance, certain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enters into OLCAs which are within the scope of IFRS 15, under which it licenses certain rights to its 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intellectual property. Each of these payments results in license, collaboration and other revenues, which are classified as contract revenue on the consolidated statements of income/(loss).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Licenses of intellectual property</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payments</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regulatory and/or commercial milestone payments, the Company evaluates whether the milestones are considered highly probable of being reached and estimates the amount to be included in the transaction price using the most likely amount method. If it is highly probable that a significant cumulative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1" w:name="page192"/>
    <w:bookmarkEnd w:id="1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Company has certain arrangements with our collaboration partners that include contracting our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Sublicense revenues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Company has certain arrangements with our collaboration partners that include provisions for sublicensing. The Company recognizes any sublicense revenues at the point in time it is highly probable to obtain and not subject to reversal in the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Company receives payments and determines credit terms from its customers for its various performance obligations based on billing schedules established in each contract. The timing of revenue recognition, billings and cash collections results in billed other current receivables, accrued income (contract assets), and deferred income (contract liabilities) on the consolidated balance sheets. Amounts are recorded as accounts receivable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complete discussion of accounting for contract revenue, see “Note 13. Contract revenues.”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Given the stage of development of the Company’s products, all research and development expenditure is expensed as incurred as it does not meet the capitalization criteria outlined in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Company has not capitalized any R&amp;D expenses to date. Research and development expenditures include:</w:t>
      </w:r>
    </w:p>
    <w:p>
      <w:pPr>
        <w:spacing w:after="0" w:line="162" w:lineRule="exact"/>
        <w:rPr>
          <w:sz w:val="20"/>
          <w:szCs w:val="20"/>
          <w:color w:val="auto"/>
        </w:rPr>
      </w:pPr>
    </w:p>
    <w:p>
      <w:pPr>
        <w:ind w:left="720" w:right="99" w:hanging="319"/>
        <w:spacing w:after="0" w:line="282"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under agreements with contract research organizations, investigative sites and other entities in connection with the conduct of clinical trials and preclinical studies and related services, such as administrative, data-management and laboratory services;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costs related to regulatory filings and activities;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activities;</w:t>
      </w:r>
    </w:p>
    <w:p>
      <w:pPr>
        <w:spacing w:after="0" w:line="225"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bonuses, benefits, travel and share-based compensation expenses;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allocated expenses such as facilities and information technology (IT) costs.</w:t>
      </w:r>
    </w:p>
    <w:p>
      <w:pPr>
        <w:spacing w:after="0" w:line="225"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For external research contracts, expenses include those associated with contract research organizations, or CROs, or contract manufacturing organizations, or CMOs. The invoicing from CROs or CMOs for services rendered do not always align with work performed. We accrue the cost of services rendered in connection with CRO or CMO activities based on our estimate of the “stage of completion” for such contracted services. We maintain regular communication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2" w:name="page193"/>
    <w:bookmarkEnd w:id="1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with our CRO or CMO vendors to gauge the reasonableness of our estimates and accrued expenses as of the balance sheet date in the consolidated financial statements based on facts and circumstances known at the time.</w:t>
      </w:r>
    </w:p>
    <w:p>
      <w:pPr>
        <w:spacing w:after="0" w:line="162"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are expensed as incurred and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Company has received grants, from time to time, from the Michael J. Fox Foundation (MJFF), the Target ALS Foundation (Target ALS) and other institutions to support certain research projects. Grants are recorded at their fair value in the consolidated statements of income/(loss) within other operating income/(expenses), net when there is reasonable assurance that the Company will satisfy the underlying grant conditions and the grants will be received. In certain circumstances, grant income may be recognized before formal grantor acknowledgement of milestone achievements. To the extent required, grant income is deferred and recognized on a systematic basis over the periods in which the Company expects to recognize the related expenses for which the grants are intended to compensate.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applies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provides the model for lessee accounting in which all leases, other than short-term and low-value leases, are accounted for by the recognition on the consolidated balance sheet of a right-of-use asset and a lease liability, and the subsequent amortization of the right-of-use asset over the earlier of the end of the useful life or the lease term. In accordance with IFRS 16, the Company (i) does not recognize right-of-use assets and lease liabilities for leases of low value (i.e. approximate fair value of USD 5,000). For a complete discussion of accounting, see “Note 5. Right-of-use assets, long-term financial assets and lease liabilities.”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 and lease liabilities</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At inception of a leasing contract, the Company assesses whether a contract is, or contains, a lease based on whether the contract conveys the right to control the use of an identified asset for a period of time in exchange for consideration. 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The lease liabilities are classified as current or non-current based on the due dates of the underlying principal payments.</w:t>
      </w:r>
    </w:p>
    <w:p>
      <w:pPr>
        <w:spacing w:after="0" w:line="187"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Lease payments generally are fixed for the contract term. The lease liability is measured at amortized cost using the effective interest method. The lease liability is re-measured if there is a change in the estimated lease term, a change in future lease payments arising from a change in an index or rate, a change in the Company’s estimate of the amount expected to be payable under a residual value guarantee or a change in assessment of whether it will exercise a purchase, extension or termination option.</w:t>
      </w:r>
    </w:p>
    <w:p>
      <w:pPr>
        <w:spacing w:after="0" w:line="18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performed on as certain potential triggering events may arise (e.g. lease modifications). When the lease liability is 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3" w:name="page194"/>
    <w:bookmarkEnd w:id="1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measured, a corresponding adjustment is made to the carrying amount of the right-of-use asset or is recorded in profit or loss if the carrying amount of the right-of-use asset has been reduced to zero.</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lease term by right-of-use asset categories are as follows:</w:t>
            </w:r>
          </w:p>
        </w:tc>
        <w:tc>
          <w:tcPr>
            <w:tcW w:w="1020" w:type="dxa"/>
            <w:vAlign w:val="bottom"/>
          </w:tcPr>
          <w:p>
            <w:pPr>
              <w:spacing w:after="0"/>
              <w:rPr>
                <w:sz w:val="20"/>
                <w:szCs w:val="20"/>
                <w:color w:val="auto"/>
              </w:rPr>
            </w:pPr>
          </w:p>
        </w:tc>
      </w:tr>
      <w:tr>
        <w:trPr>
          <w:trHeight w:val="243"/>
        </w:trPr>
        <w:tc>
          <w:tcPr>
            <w:tcW w:w="78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44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Both the right-of-use-assets and lease liabilities are recognized in the consolidated balance sheets.</w:t>
            </w:r>
          </w:p>
        </w:tc>
        <w:tc>
          <w:tcPr>
            <w:tcW w:w="1020" w:type="dxa"/>
            <w:vAlign w:val="bottom"/>
          </w:tcPr>
          <w:p>
            <w:pPr>
              <w:spacing w:after="0"/>
              <w:rPr>
                <w:sz w:val="24"/>
                <w:szCs w:val="24"/>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319" w:firstLine="324"/>
        <w:spacing w:after="0" w:line="255" w:lineRule="auto"/>
        <w:rPr>
          <w:sz w:val="20"/>
          <w:szCs w:val="20"/>
          <w:color w:val="auto"/>
        </w:rPr>
      </w:pPr>
      <w:r>
        <w:rPr>
          <w:rFonts w:ascii="Times New Roman" w:cs="Times New Roman" w:eastAsia="Times New Roman" w:hAnsi="Times New Roman"/>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346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460" w:type="dxa"/>
            <w:vAlign w:val="bottom"/>
          </w:tcPr>
          <w:p>
            <w:pPr>
              <w:ind w:left="294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improvements/furniture</w:t>
            </w:r>
          </w:p>
        </w:tc>
        <w:tc>
          <w:tcPr>
            <w:tcW w:w="3460" w:type="dxa"/>
            <w:vAlign w:val="bottom"/>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211"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Gains and losses on disposals are determined by comparing the disposal proceeds with the carrying amount and are included in the consolidated statements of income/(loss).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AC Immune’s acquired in process research and development (IPR&amp;D) asset is stated at cost less any impairments. The Company does not deem this asset ready for use until the asset obtains market approval. Therefore, during the development period after the date of acquisition until market approval, the IPR&amp;D asset is not amortized. Upon market approval, the Company will determine the useful life of the asset, reclassify it from IPR&amp;D and commence amortization. If the associated R&amp;D effort is abandoned, the related IPR&amp;D will likely be written off and we will record the relevant impairment charge. Finally, the Company will not capitalize future development costs in respect to this IPR&amp;D asset until they meet the criteria for capitalization of research and development costs in accordance with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IPR&amp;D asset is subject to impairment testing at least annually or when there are indications that the carrying value may not be recoverable until the completion of the development process. The determination of the recoverable amounts include key estimates which are highly sensitive to, and dependent upon, key assumptions.</w:t>
      </w:r>
    </w:p>
    <w:p>
      <w:pPr>
        <w:spacing w:after="0" w:line="183"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uses a discounted cash flow method to determine the fair value less costs to sell (recoverable amount) of our IPR&amp;D intangible asset. The Company starts with a forecast of all the expected net cash flows, which incorporates the consideration of a terminal value and then the Company applies a discount rate to arrive at a risk-adjusted net present value amount.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Any impairment losses are recognized immediately in the consolidated statements of income/(loss).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4" w:name="page195"/>
    <w:bookmarkEnd w:id="1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are composed of receivables, short-term financial assets, cash and cash equivalents, trade payables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Short-term financial assets</w:t>
      </w:r>
    </w:p>
    <w:p>
      <w:pPr>
        <w:spacing w:after="0" w:line="229"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Short-term financial assets are held with external financial institutions and comprise fixed-term deposits with maturities ranging from more than 3 through 12 months in duration.</w:t>
      </w:r>
    </w:p>
    <w:p>
      <w:pPr>
        <w:spacing w:after="0" w:line="162"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Company assesses whether there is objective evidence that financial assets are impaired annually or whenever potential impairment triggers may occur.</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deposits held with external financial institutions and cash on hand. All cash and cash equivalents are either in cash or in deposits with original duration of less than 3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payables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Trade payables are amounts due to third parties in the ordinary course of business.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 capital and public offerings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Common shares are classified as equity. Share issuance costs are capitalized as incurred and will be shown in equity as a deduction, net of tax, from the proceeds received from existing or future offerings. Should a planned equity offering not be assessed as probable, the issuance costs would be expensed immediately in the consolidated statements of income/(loss). See “Note 11. Share capital.”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Treasury shares are recognized at acquisition cost and deducted from shareholders’ equity at the time of acquisition, until they are subsequently resold, distributed or cancelled. Where such shares are subsequently sold, any consideration received is included in shareholders’ equity. See “Note 11. Share capital.”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Post-employment benefits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5" w:name="page196"/>
    <w:bookmarkEnd w:id="1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highly liquid corporate bonds that have terms to maturity approximating the terms of the related liability.</w:t>
      </w:r>
    </w:p>
    <w:p>
      <w:pPr>
        <w:spacing w:after="0" w:line="175"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the fair value of the plan assets is greater than the present value of the defined benefit obligation as calculated by our independent actuary, the Company accounts for the effect of the asset ceiling test under IAS 19.</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Re-measurements of the net defined benefit liability, which comprise actuarial gains and losses and the return on plan assets (excluding interest) are recognized immediately in the consolidated statements of other comprehensive income/(loss). Past service costs, including curtailment gains or losses, are recognized immediately as a split in research and development and general and administrative expenses within the operating results. Settlement gains or losses are recognized in either research and development and/or general and administrative expenses within the operating results. The Company determines the net interest expense/(income) on the net defined benefit liability for the period by applying the discount rate used to measure the defined benefit obligation at the beginning of the annual period or in case of any significant events between measurement dates to the then-net defined benefit liability, considering any changes in the net defined benefit liability during the period as a result of contributions and benefit payments. Net interest expense/(income) and other expenses related to defined benefit plans are recognized in the consolidated statements of income/(loss).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consolidated statements of income/(loss), and a corresponding adjustment to equity over the remaining vesting period.</w:t>
      </w:r>
    </w:p>
    <w:p>
      <w:pPr>
        <w:spacing w:after="0" w:line="19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Stock options granted under the Company’s stock option plans C1 and the 2016 Stock Option and Incentive Plan are valued using the Black-Scholes option-pricing model (see “Note 18. Share-based compensation”). This valuation model as well as parameters used such as expected volatility and expected term of the stock options are partially based on management’s estimates.</w:t>
      </w:r>
    </w:p>
    <w:p>
      <w:pPr>
        <w:spacing w:after="0" w:line="187"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proceeds received net of any directly attributable transaction costs are credited to share capital (nominal value) and share premium when the options are exercised.</w:t>
      </w:r>
    </w:p>
    <w:p>
      <w:pPr>
        <w:spacing w:after="0" w:line="162" w:lineRule="exact"/>
        <w:rPr>
          <w:sz w:val="20"/>
          <w:szCs w:val="20"/>
          <w:color w:val="auto"/>
        </w:rPr>
      </w:pPr>
    </w:p>
    <w:p>
      <w:pPr>
        <w:ind w:left="60" w:right="379" w:firstLine="324"/>
        <w:spacing w:after="0" w:line="253" w:lineRule="auto"/>
        <w:rPr>
          <w:sz w:val="20"/>
          <w:szCs w:val="20"/>
          <w:color w:val="auto"/>
        </w:rPr>
      </w:pPr>
      <w:r>
        <w:rPr>
          <w:rFonts w:ascii="Times New Roman" w:cs="Times New Roman" w:eastAsia="Times New Roman" w:hAnsi="Times New Roman"/>
          <w:sz w:val="18"/>
          <w:szCs w:val="18"/>
          <w:color w:val="auto"/>
        </w:rPr>
        <w:t>We estimate the fair value of restricted share units using the market value of the common shares on the date of the award. We classify our share-based payments as equity-classified awards as they are settled in common shares. We measure equity-classified awards at their grant date fair value and do not subsequently re-measure them. Compensation costs related to equity-classified awards are equal to the fair value of the award at grant date amortized over the vesting period of the award using the graded method. We reclassify that portion of vested awards to share capital and share premium as the awards vest.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6" w:name="page197"/>
    <w:bookmarkEnd w:id="1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74"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187"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 because it’s more likely than not that it will not be recovered.</w:t>
      </w:r>
    </w:p>
    <w:p>
      <w:pPr>
        <w:spacing w:after="0" w:line="18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As disclosed in “Note 16. Income taxes,” 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Company presents basic earnings per share for each period in the consolidated financial statements. The earnings per share are calculated by dividing the earnings of the period by the weighted-average number of shares outstanding during the period. Diluted earnings per share reflect the potential dilution that could occur if dilutive securities such as share options or non-vested restricted share units were vested or exercised into common shares or resulted in the issuance of common shares that would participate in net income. Anti-dilutive shares are excluded from the dilutive earnings per share calculation.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Accounting Standards requires management to make judgments, estimates and assumptions that affect the application of accounting policies and the reported amounts of assets, liabilities, income and expenses.</w:t>
      </w:r>
    </w:p>
    <w:p>
      <w:pPr>
        <w:spacing w:after="0" w:line="176"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The areas where AC Immune has had to make judgments, estimates and assumptions relate to (i) revenue recognition on OLCAs, (ii) clinical development accruals, (iii) net employee defined benefit liability, (iv) share-based compensation,</w:t>
      </w:r>
    </w:p>
    <w:p>
      <w:pPr>
        <w:ind w:left="60" w:right="119" w:hanging="10"/>
        <w:spacing w:after="0" w:line="254" w:lineRule="auto"/>
        <w:tabs>
          <w:tab w:leader="none" w:pos="3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 and lease liabilities and (vi) our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Company has one segment. The Company currently focuses most of its resources on discovering and developing therapeutic and diagnostic products targeting misfolded proteins.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7" w:name="page198"/>
    <w:bookmarkEnd w:id="1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is managed and operated as one business. A single management team that reports to the chief operating decision maker comprehensively manages the entire business. Accordingly, the Company views its business and manages its operations as one operating segment. Non-current assets are located in, and revenue is allocated and recorded within, the Company’s country of domicile, Switzerland.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policies, standards, interpretations and amendments adopted by the Company</w:t>
      </w:r>
    </w:p>
    <w:p>
      <w:pPr>
        <w:spacing w:after="0" w:line="227" w:lineRule="exact"/>
        <w:rPr>
          <w:sz w:val="20"/>
          <w:szCs w:val="20"/>
          <w:color w:val="auto"/>
        </w:rPr>
      </w:pPr>
    </w:p>
    <w:p>
      <w:pPr>
        <w:jc w:val="both"/>
        <w:ind w:left="60" w:right="99" w:firstLine="321"/>
        <w:spacing w:after="0" w:line="259" w:lineRule="auto"/>
        <w:rPr>
          <w:sz w:val="20"/>
          <w:szCs w:val="20"/>
          <w:color w:val="auto"/>
        </w:rPr>
      </w:pPr>
      <w:r>
        <w:rPr>
          <w:rFonts w:ascii="Times New Roman" w:cs="Times New Roman" w:eastAsia="Times New Roman" w:hAnsi="Times New Roman"/>
          <w:sz w:val="18"/>
          <w:szCs w:val="18"/>
          <w:color w:val="auto"/>
        </w:rPr>
        <w:t xml:space="preserve">As of January 1, 2024 the amendments to paragraphs 69 to 76 of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(IAS 1), as issued by the IASB became effective. The Company assessed the changes to the accounting standard and determined the amendments had an immaterial impact on the Company’s financial statements.</w:t>
      </w:r>
    </w:p>
    <w:p>
      <w:pPr>
        <w:spacing w:after="0" w:line="182" w:lineRule="exact"/>
        <w:rPr>
          <w:sz w:val="20"/>
          <w:szCs w:val="20"/>
          <w:color w:val="auto"/>
        </w:rPr>
      </w:pPr>
    </w:p>
    <w:p>
      <w:pPr>
        <w:ind w:left="60" w:right="259" w:firstLine="321"/>
        <w:spacing w:after="0" w:line="282" w:lineRule="auto"/>
        <w:rPr>
          <w:sz w:val="20"/>
          <w:szCs w:val="20"/>
          <w:color w:val="auto"/>
        </w:rPr>
      </w:pPr>
      <w:r>
        <w:rPr>
          <w:rFonts w:ascii="Times New Roman" w:cs="Times New Roman" w:eastAsia="Times New Roman" w:hAnsi="Times New Roman"/>
          <w:sz w:val="18"/>
          <w:szCs w:val="18"/>
          <w:color w:val="auto"/>
        </w:rPr>
        <w:t>There are no other new IFRS standards, amendments or interpretations that are mandatory as of January 1, 2024 that are relevant to the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standards that are not yet effective</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April 2024, the IASB issued IFRS 18 </w:t>
      </w: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18"/>
          <w:szCs w:val="18"/>
          <w:color w:val="auto"/>
        </w:rPr>
        <w:t xml:space="preserve"> (IFRS 18). The new standard on presentation and disclosure in the financial statements will change the structure of the statement of profit or loss, require disclosures for certain profit or loss performance measure that are reported outside of the financial statements, and will enhance principles on aggregation and disaggregation within the notes to the financial statements. It also establishes a new starting point and revised requirements for interest and dividends in the statement of cash flows. This new standard will be effective for annual and interim reporting periods beginning on January 1, 2027 and will require retrospective application. The Company is currently evaluating the new standard to determine how it will impact the presentation and disclosure 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8" w:name="page199"/>
    <w:bookmarkEnd w:id="1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show the movements in the net book values of property, plant and equipment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and 2023, respectively:</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IT</w:t>
            </w: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Laboratory</w:t>
            </w:r>
          </w:p>
        </w:tc>
        <w:tc>
          <w:tcPr>
            <w:tcW w:w="60" w:type="dxa"/>
            <w:vAlign w:val="bottom"/>
          </w:tcPr>
          <w:p>
            <w:pPr>
              <w:spacing w:after="0"/>
              <w:rPr>
                <w:sz w:val="15"/>
                <w:szCs w:val="15"/>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 under</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378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20" w:type="dxa"/>
            <w:vAlign w:val="bottom"/>
          </w:tcPr>
          <w:p>
            <w:pPr>
              <w:spacing w:after="0"/>
              <w:rPr>
                <w:sz w:val="19"/>
                <w:szCs w:val="19"/>
                <w:color w:val="auto"/>
              </w:rPr>
            </w:pPr>
          </w:p>
        </w:tc>
      </w:tr>
      <w:tr>
        <w:trPr>
          <w:trHeight w:val="229"/>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 w:type="dxa"/>
            <w:vAlign w:val="bottom"/>
          </w:tcPr>
          <w:p>
            <w:pPr>
              <w:spacing w:after="0"/>
              <w:rPr>
                <w:sz w:val="19"/>
                <w:szCs w:val="19"/>
                <w:color w:val="auto"/>
              </w:rPr>
            </w:pPr>
          </w:p>
        </w:tc>
      </w:tr>
      <w:tr>
        <w:trPr>
          <w:trHeight w:val="230"/>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23"/>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20" w:type="dxa"/>
            <w:vAlign w:val="bottom"/>
          </w:tcPr>
          <w:p>
            <w:pPr>
              <w:spacing w:after="0"/>
              <w:rPr>
                <w:sz w:val="19"/>
                <w:szCs w:val="19"/>
                <w:color w:val="auto"/>
              </w:rPr>
            </w:pPr>
          </w:p>
        </w:tc>
      </w:tr>
      <w:tr>
        <w:trPr>
          <w:trHeight w:val="230"/>
        </w:trPr>
        <w:tc>
          <w:tcPr>
            <w:tcW w:w="3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20" w:type="dxa"/>
            <w:vAlign w:val="bottom"/>
          </w:tcPr>
          <w:p>
            <w:pPr>
              <w:spacing w:after="0"/>
              <w:rPr>
                <w:sz w:val="19"/>
                <w:szCs w:val="19"/>
                <w:color w:val="auto"/>
              </w:rPr>
            </w:pPr>
          </w:p>
        </w:tc>
      </w:tr>
      <w:tr>
        <w:trPr>
          <w:trHeight w:val="230"/>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expenses</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Pr>
          <w:p>
            <w:pPr>
              <w:spacing w:after="0"/>
              <w:rPr>
                <w:sz w:val="19"/>
                <w:szCs w:val="19"/>
                <w:color w:val="auto"/>
              </w:rPr>
            </w:pPr>
          </w:p>
        </w:tc>
      </w:tr>
      <w:tr>
        <w:trPr>
          <w:trHeight w:val="229"/>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23"/>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20" w:type="dxa"/>
            <w:vAlign w:val="bottom"/>
          </w:tcPr>
          <w:p>
            <w:pPr>
              <w:spacing w:after="0"/>
              <w:rPr>
                <w:sz w:val="19"/>
                <w:szCs w:val="19"/>
                <w:color w:val="auto"/>
              </w:rPr>
            </w:pPr>
          </w:p>
        </w:tc>
      </w:tr>
      <w:tr>
        <w:trPr>
          <w:trHeight w:val="229"/>
        </w:trPr>
        <w:tc>
          <w:tcPr>
            <w:tcW w:w="3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0" w:type="dxa"/>
            <w:vAlign w:val="bottom"/>
          </w:tcPr>
          <w:p>
            <w:pPr>
              <w:spacing w:after="0"/>
              <w:rPr>
                <w:sz w:val="19"/>
                <w:szCs w:val="19"/>
                <w:color w:val="auto"/>
              </w:rPr>
            </w:pPr>
          </w:p>
        </w:tc>
      </w:tr>
      <w:tr>
        <w:trPr>
          <w:trHeight w:val="238"/>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0" w:type="dxa"/>
            <w:vAlign w:val="bottom"/>
          </w:tcPr>
          <w:p>
            <w:pPr>
              <w:spacing w:after="0"/>
              <w:rPr>
                <w:sz w:val="20"/>
                <w:szCs w:val="20"/>
                <w:color w:val="auto"/>
              </w:rPr>
            </w:pPr>
          </w:p>
        </w:tc>
      </w:tr>
      <w:tr>
        <w:trPr>
          <w:trHeight w:val="418"/>
        </w:trPr>
        <w:tc>
          <w:tcPr>
            <w:tcW w:w="3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IT</w:t>
            </w:r>
          </w:p>
        </w:tc>
        <w:tc>
          <w:tcPr>
            <w:tcW w:w="4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Laboratory</w:t>
            </w:r>
          </w:p>
        </w:tc>
        <w:tc>
          <w:tcPr>
            <w:tcW w:w="60" w:type="dxa"/>
            <w:vAlign w:val="bottom"/>
          </w:tcPr>
          <w:p>
            <w:pPr>
              <w:spacing w:after="0"/>
              <w:rPr>
                <w:sz w:val="15"/>
                <w:szCs w:val="15"/>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 under</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378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6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4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60" w:type="dxa"/>
            <w:vAlign w:val="bottom"/>
          </w:tcPr>
          <w:p>
            <w:pPr>
              <w:spacing w:after="0"/>
              <w:rPr>
                <w:sz w:val="16"/>
                <w:szCs w:val="16"/>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9,765</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w:t>
            </w:r>
          </w:p>
        </w:tc>
        <w:tc>
          <w:tcPr>
            <w:tcW w:w="20" w:type="dxa"/>
            <w:vAlign w:val="bottom"/>
          </w:tcPr>
          <w:p>
            <w:pPr>
              <w:spacing w:after="0"/>
              <w:rPr>
                <w:sz w:val="19"/>
                <w:szCs w:val="19"/>
                <w:color w:val="auto"/>
              </w:rPr>
            </w:pPr>
          </w:p>
        </w:tc>
      </w:tr>
      <w:tr>
        <w:trPr>
          <w:trHeight w:val="229"/>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 w:type="dxa"/>
            <w:vAlign w:val="bottom"/>
          </w:tcPr>
          <w:p>
            <w:pPr>
              <w:spacing w:after="0"/>
              <w:rPr>
                <w:sz w:val="19"/>
                <w:szCs w:val="19"/>
                <w:color w:val="auto"/>
              </w:rPr>
            </w:pPr>
          </w:p>
        </w:tc>
      </w:tr>
      <w:tr>
        <w:trPr>
          <w:trHeight w:val="230"/>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r>
      <w:tr>
        <w:trPr>
          <w:trHeight w:val="230"/>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6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37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20" w:type="dxa"/>
            <w:vAlign w:val="bottom"/>
          </w:tcPr>
          <w:p>
            <w:pPr>
              <w:spacing w:after="0"/>
              <w:rPr>
                <w:sz w:val="19"/>
                <w:szCs w:val="19"/>
                <w:color w:val="auto"/>
              </w:rPr>
            </w:pPr>
          </w:p>
        </w:tc>
      </w:tr>
      <w:tr>
        <w:trPr>
          <w:trHeight w:val="230"/>
        </w:trPr>
        <w:tc>
          <w:tcPr>
            <w:tcW w:w="37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(159)</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(7,017)</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20" w:type="dxa"/>
            <w:vAlign w:val="bottom"/>
          </w:tcPr>
          <w:p>
            <w:pPr>
              <w:spacing w:after="0"/>
              <w:rPr>
                <w:sz w:val="19"/>
                <w:szCs w:val="19"/>
                <w:color w:val="auto"/>
              </w:rPr>
            </w:pPr>
          </w:p>
        </w:tc>
      </w:tr>
      <w:tr>
        <w:trPr>
          <w:trHeight w:val="230"/>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expenses</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w:t>
            </w: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 w:type="dxa"/>
            <w:vAlign w:val="bottom"/>
          </w:tcPr>
          <w:p>
            <w:pPr>
              <w:spacing w:after="0"/>
              <w:rPr>
                <w:sz w:val="19"/>
                <w:szCs w:val="19"/>
                <w:color w:val="auto"/>
              </w:rPr>
            </w:pPr>
          </w:p>
        </w:tc>
      </w:tr>
      <w:tr>
        <w:trPr>
          <w:trHeight w:val="230"/>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6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23"/>
        </w:trPr>
        <w:tc>
          <w:tcPr>
            <w:tcW w:w="37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20" w:type="dxa"/>
            <w:vAlign w:val="bottom"/>
          </w:tcPr>
          <w:p>
            <w:pPr>
              <w:spacing w:after="0"/>
              <w:rPr>
                <w:sz w:val="19"/>
                <w:szCs w:val="19"/>
                <w:color w:val="auto"/>
              </w:rPr>
            </w:pPr>
          </w:p>
        </w:tc>
      </w:tr>
      <w:tr>
        <w:trPr>
          <w:trHeight w:val="230"/>
        </w:trPr>
        <w:tc>
          <w:tcPr>
            <w:tcW w:w="37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0" w:type="dxa"/>
            <w:vAlign w:val="bottom"/>
          </w:tcPr>
          <w:p>
            <w:pPr>
              <w:spacing w:after="0"/>
              <w:rPr>
                <w:sz w:val="19"/>
                <w:szCs w:val="19"/>
                <w:color w:val="auto"/>
              </w:rPr>
            </w:pPr>
          </w:p>
        </w:tc>
      </w:tr>
      <w:tr>
        <w:trPr>
          <w:trHeight w:val="230"/>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0" w:type="dxa"/>
            <w:vAlign w:val="bottom"/>
          </w:tcPr>
          <w:p>
            <w:pPr>
              <w:spacing w:after="0"/>
              <w:rPr>
                <w:sz w:val="19"/>
                <w:szCs w:val="19"/>
                <w:color w:val="auto"/>
              </w:rPr>
            </w:pPr>
          </w:p>
        </w:tc>
      </w:tr>
    </w:tbl>
    <w:p>
      <w:pPr>
        <w:spacing w:after="0" w:line="211"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incurred CHF 1.5 million, CHF 1.7 million and CHF 1.8 million in depreciation expenses,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9" w:name="page200"/>
    <w:bookmarkEnd w:id="1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long-term financial assets and lease liabilities</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additions and reassessment of right-of-use of leased assets for buildings or for office equipment totaling CHF 2.6 million and CHF 1.2 million for the years ended December 31, 2024 and 2023, respectively. In 2024 and in 2023, these increases are predominantly associated with a new lease and the reassessment of our existing leased office space.</w:t>
      </w:r>
    </w:p>
    <w:p>
      <w:pPr>
        <w:spacing w:after="0" w:line="180"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Regarding lease liabilities, the amortization depends on the rate implicit in the contract or the incremental borrowing rate for the respective lease component. The weighted averages of the incremental borrowing rates as of December 31, 2024 are 3.5% (3.5% for 2023) for buildings, 3.3% (5.3% for 2023) for office equipment and 7.2% (2.6% for 2023) for IT equipment.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show the movements in the net book values of right-of-use of leased assets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and 2023, respectively:</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5"/>
        </w:trPr>
        <w:tc>
          <w:tcPr>
            <w:tcW w:w="568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and reassessment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8"/>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5,437</w:t>
            </w:r>
          </w:p>
        </w:tc>
      </w:tr>
      <w:tr>
        <w:trPr>
          <w:trHeight w:val="416"/>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 w:type="dxa"/>
            <w:vAlign w:val="bottom"/>
          </w:tcPr>
          <w:p>
            <w:pPr>
              <w:spacing w:after="0"/>
              <w:rPr>
                <w:sz w:val="24"/>
                <w:szCs w:val="24"/>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IT</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5"/>
        </w:trPr>
        <w:tc>
          <w:tcPr>
            <w:tcW w:w="568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and reassessment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8"/>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r>
    </w:tbl>
    <w:p>
      <w:pPr>
        <w:spacing w:after="0" w:line="206"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impact on the Company’s consolidated statements of income/(loss) and consolidated statements of cash flows is detailed in the table below.</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4"/>
        </w:trPr>
        <w:tc>
          <w:tcPr>
            <w:tcW w:w="4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4140" w:type="dxa"/>
            <w:vAlign w:val="bottom"/>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880" w:type="dxa"/>
            <w:vAlign w:val="bottom"/>
            <w:gridSpan w:val="2"/>
          </w:tcPr>
          <w:p>
            <w:pPr>
              <w:spacing w:after="0"/>
              <w:rPr>
                <w:sz w:val="16"/>
                <w:szCs w:val="16"/>
                <w:color w:val="auto"/>
              </w:rPr>
            </w:pPr>
          </w:p>
        </w:tc>
        <w:tc>
          <w:tcPr>
            <w:tcW w:w="84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23"/>
        </w:trPr>
        <w:tc>
          <w:tcPr>
            <w:tcW w:w="4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3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19"/>
                <w:szCs w:val="19"/>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3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 w:type="dxa"/>
            <w:vAlign w:val="bottom"/>
          </w:tcPr>
          <w:p>
            <w:pPr>
              <w:spacing w:after="0"/>
              <w:rPr>
                <w:sz w:val="19"/>
                <w:szCs w:val="19"/>
                <w:color w:val="auto"/>
              </w:rPr>
            </w:pPr>
          </w:p>
        </w:tc>
      </w:tr>
      <w:tr>
        <w:trPr>
          <w:trHeight w:val="26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0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 w:type="dxa"/>
            <w:vAlign w:val="bottom"/>
          </w:tcPr>
          <w:p>
            <w:pPr>
              <w:spacing w:after="0"/>
              <w:rPr>
                <w:sz w:val="22"/>
                <w:szCs w:val="22"/>
                <w:color w:val="auto"/>
              </w:rPr>
            </w:pPr>
          </w:p>
        </w:tc>
      </w:tr>
      <w:tr>
        <w:trPr>
          <w:trHeight w:val="210"/>
        </w:trPr>
        <w:tc>
          <w:tcPr>
            <w:tcW w:w="41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26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2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4140" w:type="dxa"/>
            <w:vAlign w:val="bottom"/>
          </w:tcPr>
          <w:p>
            <w:pPr>
              <w:spacing w:after="0"/>
              <w:rPr>
                <w:sz w:val="24"/>
                <w:szCs w:val="24"/>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F-20</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00" w:name="page201"/>
    <w:bookmarkEnd w:id="2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contractual undiscounted cash flows for lease liabilities as of December 31, 2024 and 2023:</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4"/>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years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29"/>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The Company also has two deposits in escrow accounts totaling CHF 0.4 million for the lease of the Company’s premises as of December 31, 2024 and 2023, respectively.</w:t>
      </w:r>
    </w:p>
    <w:p>
      <w:pPr>
        <w:spacing w:after="0" w:line="158" w:lineRule="exact"/>
        <w:rPr>
          <w:sz w:val="20"/>
          <w:szCs w:val="20"/>
          <w:color w:val="auto"/>
        </w:rPr>
      </w:pPr>
    </w:p>
    <w:p>
      <w:pPr>
        <w:ind w:left="380" w:hanging="330"/>
        <w:spacing w:after="0"/>
        <w:tabs>
          <w:tab w:leader="none" w:pos="3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AC Immune’s acquired IPR&amp;D asset is a clinically-validated active immunotherapy candidate for the treatment of Parkinson’s disease. The asset is not yet ready for use until the asset obtains market approval. The carrying amount and net book value are detailed below:</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176"/>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189"/>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book</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 book</w:t>
            </w:r>
          </w:p>
        </w:tc>
      </w:tr>
      <w:tr>
        <w:trPr>
          <w:trHeight w:val="195"/>
        </w:trPr>
        <w:tc>
          <w:tcPr>
            <w:tcW w:w="410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IPR&amp;D asset</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r>
      <w:tr>
        <w:trPr>
          <w:trHeight w:val="22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unobservable inputs used in the valuation. The Company has determined the IPR&amp;D asset was not impaired as of December 31, 2024 and 2023, respectively.</w:t>
      </w:r>
    </w:p>
    <w:p>
      <w:pPr>
        <w:spacing w:after="0" w:line="172"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key assumptions used in the valuation model in accordance with an income approach to determine the recoverable amount include observable and unobservable key inputs as follows:</w:t>
      </w:r>
    </w:p>
    <w:p>
      <w:pPr>
        <w:spacing w:after="0" w:line="162" w:lineRule="exact"/>
        <w:rPr>
          <w:sz w:val="20"/>
          <w:szCs w:val="20"/>
          <w:color w:val="auto"/>
        </w:rPr>
      </w:pPr>
    </w:p>
    <w:p>
      <w:pPr>
        <w:ind w:left="720" w:hanging="319"/>
        <w:spacing w:after="0"/>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research and development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costs of goods and sales and marketing expenditures;</w:t>
      </w:r>
    </w:p>
    <w:p>
      <w:pPr>
        <w:spacing w:after="0" w:line="22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achieving clinical and regulatory development milestones in accordance with certain industry benchmarks;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indication prevalence and incidence rates;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market share;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commercialization expectations such as anticipated pricing and uptake;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patent life and market exclusivity periods;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metrics such as the tax 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1" w:name="page202"/>
    <w:bookmarkEnd w:id="2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Company’s valuation model calculates the risk-adjusted, net cash flows through the projected period of market exclusivity across target sales regions. The Company uses a discount rate of 17% (17% for 2023), based on the assumed cost of capital for the Company over the forecast period.</w:t>
      </w:r>
    </w:p>
    <w:p>
      <w:pPr>
        <w:spacing w:after="0" w:line="172" w:lineRule="exact"/>
        <w:rPr>
          <w:sz w:val="20"/>
          <w:szCs w:val="20"/>
          <w:color w:val="auto"/>
        </w:rPr>
      </w:pPr>
    </w:p>
    <w:p>
      <w:pPr>
        <w:ind w:left="380" w:hanging="330"/>
        <w:spacing w:after="0"/>
        <w:tabs>
          <w:tab w:leader="none" w:pos="3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short-term financial assets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maintained in the following respective currencies as of December 31, 2024 and 2023:</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4"/>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w:t>
            </w:r>
          </w:p>
        </w:tc>
      </w:tr>
      <w:tr>
        <w:trPr>
          <w:trHeight w:val="263"/>
        </w:trPr>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78,494</w:t>
            </w:r>
          </w:p>
        </w:tc>
      </w:tr>
      <w:tr>
        <w:trPr>
          <w:trHeight w:val="210"/>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currency</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CHF</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52,437</w:t>
            </w:r>
          </w:p>
        </w:tc>
      </w:tr>
      <w:tr>
        <w:trPr>
          <w:trHeight w:val="230"/>
        </w:trPr>
        <w:tc>
          <w:tcPr>
            <w:tcW w:w="7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r>
      <w:tr>
        <w:trPr>
          <w:trHeight w:val="229"/>
        </w:trPr>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17,902</w:t>
            </w:r>
          </w:p>
        </w:tc>
      </w:tr>
      <w:tr>
        <w:trPr>
          <w:trHeight w:val="223"/>
        </w:trPr>
        <w:tc>
          <w:tcPr>
            <w:tcW w:w="7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Company’s funds were held in CHF, EUR and USD currencies. Funds held in EUR and USD were translated into CHF at a rate of 0.949 and 0.912 and 0.942 and 0.851, respectively, for each currency and year.</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short-term financial assets as of December 31, 2024 and 2023:</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3"/>
          </w:tcPr>
          <w:p>
            <w:pPr>
              <w:ind w:left="28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By currency</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CHF</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95,006</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USD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short-term financial assets</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8.  Prepaid expenses and accrued income</w:t>
            </w: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Borders>
              <w:bottom w:val="single" w:sz="8" w:color="auto"/>
            </w:tcBorders>
            <w:gridSpan w:val="6"/>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3"/>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80" w:type="dxa"/>
            <w:vAlign w:val="bottom"/>
            <w:tcBorders>
              <w:top w:val="single" w:sz="8" w:color="auto"/>
            </w:tcBorders>
            <w:gridSpan w:val="2"/>
            <w:shd w:val="clear" w:color="auto" w:fill="CCEEFF"/>
          </w:tcPr>
          <w:p>
            <w:pPr>
              <w:spacing w:after="0"/>
              <w:rPr>
                <w:sz w:val="19"/>
                <w:szCs w:val="19"/>
                <w:color w:val="auto"/>
              </w:rPr>
            </w:pPr>
          </w:p>
        </w:tc>
        <w:tc>
          <w:tcPr>
            <w:tcW w:w="200" w:type="dxa"/>
            <w:vAlign w:val="bottom"/>
            <w:tcBorders>
              <w:top w:val="single" w:sz="8" w:color="CCEEFF"/>
            </w:tcBorders>
            <w:gridSpan w:val="2"/>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prepaid expenses and accrued income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80" w:type="dxa"/>
            <w:vAlign w:val="bottom"/>
            <w:tcBorders>
              <w:top w:val="single" w:sz="8" w:color="auto"/>
              <w:bottom w:val="single" w:sz="8" w:color="auto"/>
            </w:tcBorders>
            <w:gridSpan w:val="2"/>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Company’s prepaid expenses relate mainly to research contracts with down-payments at contract signature with the related activities to start or continue into the next year, prepaid expenses recorded as part of our cost sharing arrangement with Janssen, as well as prepaid payroll-related expenses. The decrease in prepaid expenses is mainly due to the reduction in cost-sharing prepaid expenses, which decreased as our clinical development costs for ACI-35.030 decreased following the completion of Phase 1b/2a and the advancement into Phase 2b, where the costs are borne by Janssen.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2" w:name="page203"/>
    <w:bookmarkEnd w:id="2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recorded CHF 1.1 million in accrued income from interest on cash term deposits. As of December 31, 2023, the total accrued income balance of CHF 0.2 million comprised both interest income from these cash term deposits and income associated with Target ALS grants.</w:t>
      </w:r>
    </w:p>
    <w:p>
      <w:pPr>
        <w:spacing w:after="0" w:line="172" w:lineRule="exact"/>
        <w:rPr>
          <w:sz w:val="20"/>
          <w:szCs w:val="20"/>
          <w:color w:val="auto"/>
        </w:rPr>
      </w:pPr>
    </w:p>
    <w:p>
      <w:pPr>
        <w:ind w:left="380" w:hanging="330"/>
        <w:spacing w:after="0"/>
        <w:tabs>
          <w:tab w:leader="none" w:pos="3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4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the accounts receivable balance was nil.</w:t>
      </w:r>
    </w:p>
    <w:p>
      <w:pPr>
        <w:spacing w:after="0" w:line="171" w:lineRule="exact"/>
        <w:rPr>
          <w:sz w:val="20"/>
          <w:szCs w:val="20"/>
          <w:color w:val="auto"/>
        </w:rPr>
      </w:pPr>
    </w:p>
    <w:p>
      <w:pPr>
        <w:ind w:left="60" w:right="279" w:firstLine="324"/>
        <w:spacing w:after="0" w:line="281" w:lineRule="auto"/>
        <w:rPr>
          <w:sz w:val="20"/>
          <w:szCs w:val="20"/>
          <w:color w:val="auto"/>
        </w:rPr>
      </w:pPr>
      <w:r>
        <w:rPr>
          <w:rFonts w:ascii="Times New Roman" w:cs="Times New Roman" w:eastAsia="Times New Roman" w:hAnsi="Times New Roman"/>
          <w:sz w:val="18"/>
          <w:szCs w:val="18"/>
          <w:color w:val="auto"/>
        </w:rPr>
        <w:t>As of December 31, 2023, the balance of accounts receivable included the CHF 14.8 million milestone payment due under the Janssen Agreement for reaching the programmed launch of the Phase 2b ReTain trial study. This amount was received in Q1 2024.</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Other current receivables</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4"/>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Swiss VAT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current receivables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maturity of these assets is less than 3 months. The Company considers the counterparty risk as low and the carrying amount of these receivables is considered to approximate their fair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Share capital</w:t>
      </w:r>
    </w:p>
    <w:p>
      <w:pPr>
        <w:spacing w:after="0" w:line="22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issued share capital amounted to CHF 2,226,203 and CHF 2,088,823, respectively, and is composed of outstanding common shares of 100,410,377 and 99,197,829, respectively, and treasury shares of 10,899,773 and 5,243,958,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the Company’s capital structure:</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4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In CHF thousands</w:t>
            </w:r>
          </w:p>
        </w:tc>
      </w:tr>
      <w:tr>
        <w:trPr>
          <w:trHeight w:val="178"/>
        </w:trPr>
        <w:tc>
          <w:tcPr>
            <w:tcW w:w="454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Treasury</w:t>
            </w:r>
          </w:p>
        </w:tc>
      </w:tr>
      <w:tr>
        <w:trPr>
          <w:trHeight w:val="195"/>
        </w:trPr>
        <w:tc>
          <w:tcPr>
            <w:tcW w:w="454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28"/>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89,834,385</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(6,214,021)</w:t>
            </w:r>
          </w:p>
        </w:tc>
        <w:tc>
          <w:tcPr>
            <w:tcW w:w="1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431,323</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public offerings, net of underwriting fees and</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14,300,000</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40,249</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treasury shares in public offerings, net</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underwriting fees and transaction costs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970,063</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 incentive plans, net of transaction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307,402</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104,441,787</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(5,243,958)</w:t>
            </w:r>
          </w:p>
        </w:tc>
        <w:tc>
          <w:tcPr>
            <w:tcW w:w="1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5"/>
        </w:trPr>
        <w:tc>
          <w:tcPr>
            <w:tcW w:w="4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Proceeds from sale of treasury shares in public offerings, net</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of underwriting fees and transaction costs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30,232</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to be held as treasury 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 incentive plans, net of transaction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1,168,363</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111,310,150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(10,899,773)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4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common shares and treasury shares have nominal values of CHF 0.02 per share. All shares have been fully paid.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treasury shares held by the Company are not considered outstanding shares as of December 31, 2024 or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3" w:name="page204"/>
    <w:bookmarkEnd w:id="2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 for financing and other purposes</w:t>
      </w:r>
    </w:p>
    <w:p>
      <w:pPr>
        <w:spacing w:after="0" w:line="229" w:lineRule="exact"/>
        <w:rPr>
          <w:sz w:val="20"/>
          <w:szCs w:val="20"/>
          <w:color w:val="auto"/>
        </w:rPr>
      </w:pPr>
    </w:p>
    <w:p>
      <w:pPr>
        <w:ind w:left="60" w:right="119" w:firstLine="324"/>
        <w:spacing w:after="0" w:line="281" w:lineRule="auto"/>
        <w:rPr>
          <w:sz w:val="20"/>
          <w:szCs w:val="20"/>
          <w:color w:val="auto"/>
        </w:rPr>
      </w:pPr>
      <w:r>
        <w:rPr>
          <w:rFonts w:ascii="Times New Roman" w:cs="Times New Roman" w:eastAsia="Times New Roman" w:hAnsi="Times New Roman"/>
          <w:sz w:val="17"/>
          <w:szCs w:val="17"/>
          <w:color w:val="auto"/>
        </w:rPr>
        <w:t>The Company’s share capital may be increased by a maximum aggregate amount of CHF 100,000 through the issuance of a maximum of 5,000,000 registered shares, payable in full, each with a nominal value of CHF 0.02 per share, through the exercise of conversion and/or option or warrant rights granted in connection with bonds or similar instruments, issued or to be issued by the Company or by subsidiaries of the Company, including convertible debt instruments.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 for employee benefit plans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Company’s share capital may be increased by a maximum aggregate amount of CHF 91,844.2 through the issuance of not more than 4,592,210 common shares, payable in full, each with a nominal value of CHF 0.02 per share, by the exercise of options rights that have been granted to employees, consultants, members of the board of directors, or other person providing services to the Company or a subsidiary. As of December 31, 2024, 89,343 of our common shares, which were issued upon the exercise of options and restricted share units, have not yet been registered with the commercial register of the Canton of Vaud.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229" w:lineRule="exact"/>
        <w:rPr>
          <w:sz w:val="20"/>
          <w:szCs w:val="20"/>
          <w:color w:val="auto"/>
        </w:rPr>
      </w:pPr>
    </w:p>
    <w:p>
      <w:pPr>
        <w:jc w:val="both"/>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On December 19, 2023, the Company announced that it had closed an underwritten offering of 14,300,000 common shares, resulting in gross proceeds of approximately USD 50.1 (CHF 43.8) million. Net underwriting fees and transaction costs totaled CHF 3.3 million for net proceeds of CHF 40.5 million. Transaction costs associated with these offerings and related to the issuance of new shares were charged directly against the share premium account thereby reducing the total equity reported.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On March 14, 2024, the Company filed a Shelf Registration Statement on Form F-3 (Reg. No. 333-277940) (the “Shelf Registration Statement”), which was subsequently amended on July 26, 2024, with the SEC. The Shelf Registration Statement was declared effective by the SEC on July 31, 2024.</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Shelf Registration Statement allows the Company to offer and sell, from time to time, up to USD 350,000,000 of common shares, debt securities, warrants, purchase contracts, units, subscription rights or any combination of the foregoing in one or more future public offerings. The terms of any future offering would be determined at the time of the offering and would be subject to market conditions and approval by the Company’s Board of Directors. Any offering of securities covered by the Shelf Registration Statement will be made only by means of a written prospectus and prospectus supplement authorized and filed by the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 the market equity offering</w:t>
      </w:r>
    </w:p>
    <w:p>
      <w:pPr>
        <w:spacing w:after="0" w:line="216"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Commencing in September 2020, the Company established an “at the market offering” (ATM) for the sale of up to USD 80.0 (CHF 73.0) million worth of our common shares from time to time by entering into an Open Market Sale Agreement (“Sales Agreement”) with Jefferies LLC (“Jefferies”).</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Q2 2021 and Q2 2024, we filed a new registration statement on Form F-3 and entered into a new Sales Agreement in Q2 2021 and Q3 2024 to replace and extend the ATM program.</w:t>
      </w:r>
    </w:p>
    <w:p>
      <w:pPr>
        <w:spacing w:after="0" w:line="16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In Q2 2024, the Company issued 5,700,000 common shares with a nominal value of CHF 0.02 to be held as treasury shares.</w:t>
      </w:r>
    </w:p>
    <w:p>
      <w:pPr>
        <w:spacing w:after="0" w:line="148"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Through December 31, 2024, the Company has sold 2,179,434 common shares previously held as treasury shares pursuant to the Sales Agreement, raising USD 16.4 (CHF 14.9) million, net of underwriting fees and transaction costs. We have paid commissions to Jefferies totaling USD 0.5 (CHF 0.5) million through December 31, 2024, for share issuances in accordance with our ATM programs.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4" w:name="page205"/>
    <w:bookmarkEnd w:id="2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Trade and other payables and accrued expenses</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6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expenses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increase in trade payables and accrued research and development costs is primarily due to higher operating expenses in 2024 compared to the previous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Contract revenues</w:t>
      </w:r>
    </w:p>
    <w:p>
      <w:pPr>
        <w:spacing w:after="0" w:line="229"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AC Immune generated contract revenues of CHF 27.3 million, CHF 14.8 million and CHF 3.9 million, respectively.</w:t>
      </w:r>
    </w:p>
    <w:p>
      <w:pPr>
        <w:spacing w:after="0" w:line="162"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contract revenue amounts from its OLCAs for the years ended December 31, 2024, 2023 and 2022, respectively.</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00" w:type="dxa"/>
            <w:vAlign w:val="bottom"/>
          </w:tcPr>
          <w:p>
            <w:pPr>
              <w:spacing w:after="0"/>
              <w:rPr>
                <w:sz w:val="19"/>
                <w:szCs w:val="19"/>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Molecular Imaging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the following contract revenues as a result of changes in the contract asset and the contract liability balances in the respective periods: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recognized in the period from:</w:t>
            </w: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13.1 Licensing and collaboration agreements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Morphomer Tau small molecule – 2018 license agreement with Eli Lilly and Company</w:t>
      </w:r>
    </w:p>
    <w:p>
      <w:pPr>
        <w:spacing w:after="0" w:line="214"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December 2018, we entered into an exclusive, worldwide licensing agreement with Eli Lilly and Company (Lilly) to research and develop Morphomer Tau small molecules for the treatment of AD and other neurodegenerative diseases. More specifically, this is an exclusive license with the right to Lilly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In Q3 2019,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5" w:name="page206"/>
    <w:bookmarkEnd w:id="2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EU.</w:t>
      </w:r>
    </w:p>
    <w:p>
      <w:pPr>
        <w:spacing w:after="0" w:line="187" w:lineRule="exact"/>
        <w:rPr>
          <w:sz w:val="20"/>
          <w:szCs w:val="20"/>
          <w:color w:val="auto"/>
        </w:rPr>
      </w:pPr>
    </w:p>
    <w:p>
      <w:pPr>
        <w:ind w:left="60" w:right="239" w:firstLine="324"/>
        <w:spacing w:after="0" w:line="296" w:lineRule="auto"/>
        <w:rPr>
          <w:sz w:val="20"/>
          <w:szCs w:val="20"/>
          <w:color w:val="auto"/>
        </w:rPr>
      </w:pPr>
      <w:r>
        <w:rPr>
          <w:rFonts w:ascii="Times New Roman" w:cs="Times New Roman" w:eastAsia="Times New Roman" w:hAnsi="Times New Roman"/>
          <w:sz w:val="17"/>
          <w:szCs w:val="17"/>
          <w:color w:val="auto"/>
        </w:rPr>
        <w:t>Per the terms of the agreement, the Company received an initial upfront payment of CHF 80 million in Q1 2019 for the rights granted by the Company to Lilly. To date, the Company has completed a Phase 1 clinical study with ACI-3024.</w:t>
      </w:r>
    </w:p>
    <w:p>
      <w:pPr>
        <w:spacing w:after="0" w:line="152"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 double-digits to the mid-teens. The agreement will terminate by the date of expiration of the last royalty term for the last licensed product. However, under the terms of the agreement, Lilly may terminate the agreement at any time by providing 3 months’ prior notice to us.</w:t>
      </w:r>
    </w:p>
    <w:p>
      <w:pPr>
        <w:spacing w:after="0" w:line="189" w:lineRule="exact"/>
        <w:rPr>
          <w:sz w:val="20"/>
          <w:szCs w:val="20"/>
          <w:color w:val="auto"/>
        </w:rPr>
      </w:pPr>
    </w:p>
    <w:p>
      <w:pPr>
        <w:ind w:left="60" w:right="439" w:firstLine="324"/>
        <w:spacing w:after="0" w:line="276" w:lineRule="auto"/>
        <w:rPr>
          <w:sz w:val="20"/>
          <w:szCs w:val="20"/>
          <w:color w:val="auto"/>
        </w:rPr>
      </w:pPr>
      <w:r>
        <w:rPr>
          <w:rFonts w:ascii="Times New Roman" w:cs="Times New Roman" w:eastAsia="Times New Roman" w:hAnsi="Times New Roman"/>
          <w:sz w:val="17"/>
          <w:szCs w:val="17"/>
          <w:color w:val="auto"/>
        </w:rPr>
        <w:t>AC Immune assessed this arrangement in accordance with IFRS 15 and concluded that Lilly is a customer. The Company identified the following significant performance obligations under the contract: (i) a right-of-use license and</w:t>
      </w:r>
    </w:p>
    <w:p>
      <w:pPr>
        <w:spacing w:after="0" w:line="1" w:lineRule="exact"/>
        <w:rPr>
          <w:sz w:val="20"/>
          <w:szCs w:val="20"/>
          <w:color w:val="auto"/>
        </w:rPr>
      </w:pPr>
    </w:p>
    <w:p>
      <w:pPr>
        <w:ind w:left="60" w:right="79" w:hanging="10"/>
        <w:spacing w:after="0" w:line="248" w:lineRule="auto"/>
        <w:tabs>
          <w:tab w:leader="none" w:pos="32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outlined in the development plan. Per the agreement, the Company was responsible for the preclinical and Phase 1 activities for the first clinical candidate, ACI-3024, which the Company determined was distinct and capable of being completed by Lilly or a third party. Preclinical activities for which AC Immune was responsible prior to their completion in Q2 2019 included final manufacturing of materials for use in the regulatory submission of the protocol and in the Phase 1 study. For the completed Phase 1, AC Immune was responsible for leading the study design, obtaining relevant regulatory agency approvals, arranging necessary third-party contracts, completing patient selection, ensuring patient treatment, following up with patients, drafting the clinical study report development and other relevant clinical activities to ensure that the primary objective of the study was completed. The Company used CMOs for certain of its preclinical activities and CROs to complete certain Phase 1 activities and to issue the final clinical study report.</w:t>
      </w:r>
    </w:p>
    <w:p>
      <w:pPr>
        <w:spacing w:after="0" w:line="192"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7"/>
          <w:szCs w:val="17"/>
          <w:color w:val="auto"/>
        </w:rPr>
        <w:t>Finally, per the agreement, each party has three representatives on a joint steering committee (JSC). Depending upon the agenda, additional field experts can attend the JSC to provide the technical and scientific contribution required. The JSC meets on a regular basis depending on agreements between the representatives. The JSC is responsible for serving as the forum to (i) discuss, review and approve certain activities by reviewing and discussing the development progress with updates on back-up candidates, (ii) discuss, review and approve all amendments to the global development plan,</w:t>
      </w:r>
    </w:p>
    <w:p>
      <w:pPr>
        <w:spacing w:after="0" w:line="3" w:lineRule="exact"/>
        <w:rPr>
          <w:sz w:val="20"/>
          <w:szCs w:val="20"/>
          <w:color w:val="auto"/>
        </w:rPr>
      </w:pPr>
    </w:p>
    <w:p>
      <w:pPr>
        <w:jc w:val="both"/>
        <w:ind w:left="60" w:right="179" w:hanging="10"/>
        <w:spacing w:after="0" w:line="254" w:lineRule="auto"/>
        <w:tabs>
          <w:tab w:leader="none" w:pos="37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discuss and review commercialization of licensed products and (iv) review and approve reports related to development costs among other activities. The JSC is intended to ensure that communication between the parties remains consistent and that the development plan is progressing as intended.</w:t>
      </w:r>
    </w:p>
    <w:p>
      <w:pPr>
        <w:spacing w:after="0" w:line="18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valuation of each performance obligation involves estimates and assumptions with revenue recognition timing to be determined by either delivery or the provision of services.</w:t>
      </w:r>
    </w:p>
    <w:p>
      <w:pPr>
        <w:spacing w:after="0" w:line="162"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6" w:name="page207"/>
    <w:bookmarkEnd w:id="2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services, as the level of costs incurred over time is thought to best reflect the transfer of services to Lilly. The Company determined the value of the research and development activities to be CHF 6.9 million and deferred this balance from the effective date. To date, the Company has cumulatively recognized CHF 6.9 million in contract revenue, resulting in no deferred income (contract liability) on the consolidated balance sheets. The remaining CHF 73.1 million from the upfront payment was allocated to the right-of-use license and recognized on the effective date.</w:t>
      </w:r>
    </w:p>
    <w:p>
      <w:pPr>
        <w:spacing w:after="0" w:line="183"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7"/>
          <w:szCs w:val="17"/>
          <w:color w:val="auto"/>
        </w:rPr>
        <w:t>At inception of the agreement, none of the clinical, regulatory or commercial milestones had been included in the transaction price, as all milestone amounts were fully constrained. To date, the Company has recognized CHF 40 million from milestone payments triggered in Q3 2019 and Q1 2020 related to the right-of-use license for intellectual property as there were no further constraints related to these milestones.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years ended December 31, 2024, 2023 and 2022, we have recognized no revenues from this arrangement.</w:t>
      </w:r>
    </w:p>
    <w:p>
      <w:pPr>
        <w:spacing w:after="0" w:line="223" w:lineRule="exact"/>
        <w:rPr>
          <w:sz w:val="20"/>
          <w:szCs w:val="20"/>
          <w:color w:val="auto"/>
        </w:rPr>
      </w:pPr>
    </w:p>
    <w:p>
      <w:pPr>
        <w:ind w:left="380" w:right="579"/>
        <w:spacing w:after="0" w:line="284" w:lineRule="auto"/>
        <w:rPr>
          <w:sz w:val="20"/>
          <w:szCs w:val="20"/>
          <w:color w:val="auto"/>
        </w:rPr>
      </w:pPr>
      <w:r>
        <w:rPr>
          <w:rFonts w:ascii="Times New Roman" w:cs="Times New Roman" w:eastAsia="Times New Roman" w:hAnsi="Times New Roman"/>
          <w:sz w:val="18"/>
          <w:szCs w:val="18"/>
          <w:i w:val="1"/>
          <w:iCs w:val="1"/>
          <w:color w:val="auto"/>
        </w:rPr>
        <w:t>Tau active immunotherapy in AD – 2014 agreement with Janssen Pharmaceuticals, Inc. (Janssen), a Johnson &amp; Johnson company</w:t>
      </w:r>
    </w:p>
    <w:p>
      <w:pPr>
        <w:spacing w:after="0" w:line="160" w:lineRule="exact"/>
        <w:rPr>
          <w:sz w:val="20"/>
          <w:szCs w:val="20"/>
          <w:color w:val="auto"/>
        </w:rPr>
      </w:pPr>
    </w:p>
    <w:p>
      <w:pPr>
        <w:ind w:left="60" w:right="59" w:firstLine="324"/>
        <w:spacing w:after="0" w:line="249" w:lineRule="auto"/>
        <w:rPr>
          <w:sz w:val="20"/>
          <w:szCs w:val="20"/>
          <w:color w:val="auto"/>
        </w:rPr>
      </w:pPr>
      <w:r>
        <w:rPr>
          <w:rFonts w:ascii="Times New Roman" w:cs="Times New Roman" w:eastAsia="Times New Roman" w:hAnsi="Times New Roman"/>
          <w:sz w:val="18"/>
          <w:szCs w:val="18"/>
          <w:color w:val="auto"/>
        </w:rPr>
        <w:t>In December 2014, we entered into an agreement with Janssen Pharmaceuticals, Inc. (Janssen), a Johnson &amp; Johnson company, to develop and commercialize therapeutic anti-Tau active immunotherapies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low-double digits to the mid-teens for the ACI-35.030 active immunotherapy program. In April 2016, July 2017, January 2019, November 2019, December 2022, November 2023, September 2024 and December 2024, the companies entered into the first, second, third, fourth, fifth, sixth, seventh and eighth amendments, respectively. These amendments allow for the alignment of certain payment and activity provisions with the Development Plan and Research Plan activities. We and Janssen have completed the co-development of the second-generation lead active immunotherapies, ACI-35.030 and JACI-35.054, through Phase 1b/2a. In November 2022, it was announced that ACI-35.030 was selected to advance into further development based on interim data from the ongoing Phase 1b/2a trial. In December 2023, it was announced that Janssen has programmed the launch of Phase 2b clinical study to evaluate ACI-</w:t>
      </w:r>
    </w:p>
    <w:p>
      <w:pPr>
        <w:spacing w:after="0" w:line="6"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35.030/JNJ-2056 in patients with preclinical AD, those individuals not yet showing symptoms.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ACI-35.030. In July 2024, JNJ-2056 was granted Fast Track designation from the FDA, for the treatment of AD.</w:t>
      </w:r>
    </w:p>
    <w:p>
      <w:pPr>
        <w:spacing w:after="0" w:line="187" w:lineRule="exact"/>
        <w:rPr>
          <w:sz w:val="20"/>
          <w:szCs w:val="20"/>
          <w:color w:val="auto"/>
        </w:rPr>
      </w:pPr>
    </w:p>
    <w:p>
      <w:pPr>
        <w:jc w:val="both"/>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3"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agreement also allows for the expansion to a second indication based on the same anti-Tau active immunotherapy program and based on intellectual property related to this program.</w:t>
      </w:r>
    </w:p>
    <w:p>
      <w:pPr>
        <w:spacing w:after="0" w:line="162"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The Company received an upfront, non-refundable license fee of CHF 25.9 million, which we recognized as revenue in 2014. In May 2016, we received a payment of CHF 4.9 million for reaching a clinical milestone in the first Phase 1b study. In February 2024, we received a payment of CHF 14.8 million for the commencement of the first Phase 2b clinical study. In October 2024, we received a payment of CHF 24.6 million for triggering the rapid rate of prescreening in the potentially registrational Phase 2b ReTain trial. The Company recognized this income as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7" w:name="page208"/>
    <w:bookmarkEnd w:id="2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because we deemed it highly probable that this milestone would be obtained and would not be subject to reversal in the future.</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chemistry, manufacturing and controls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91"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At execution of the agreement, the transaction price included only the upfront consideration received of CHF 25.9 million. At inception, none of the clinical, regulatory or commercial milestones has been included in the transaction price, as all milestone amounts were fully constrained. The Company did receive a payment of CHF 4.9 million for reaching a clinical milestone in the first Phase 1b study in May 2016, a payment of CHF 14.8 million for the commencement of the first Phase 2b clinical study in February 2024 and a payment of CHF 24.6 million for triggering the rapid rate of prescreening in the potentially registrational Phase 2b ReTain trial in October 2024. The Company could also receive up to more than CHF 418 million in clinical, regulatory and commercial milestones as well as tiered, low-double digits to mid-teen royalties on aggregate net sales for the ACI-35.030 active immunotherapy program.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95"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we have recognized CHF 24.6 million, CHF 14.8 million and nil, respectively, from this arrangement.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Tau-PET imaging agent – 2014 agreement with Life Molecular Imaging (LMI)</w:t>
      </w:r>
    </w:p>
    <w:p>
      <w:pPr>
        <w:spacing w:after="0" w:line="214"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May 2014 (as amended in June 2022),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152) million, plus royalties on sales at a percentage rate ranging from mid-single digits to low-teens. LMI may terminate the LCA at any time by providing 3 months’ notice to us.</w:t>
      </w:r>
    </w:p>
    <w:p>
      <w:pPr>
        <w:spacing w:after="0" w:line="187"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In connection with this agreement, AC Immune received a payment of EUR 500 (CHF 664) thousand, which was fully recognized in 2015. In Q1 2017, we recorded a milestone payment of EUR 1 (CHF 1.1) million related to the initiation of “Part B” of the first-in-man Phase 1 study. In Q3 2019, the Company recognized EUR 2 (CHF 2.2) million in connection with the initiation of a Phase 2 trial of Tau-PET tracer in patients with mild cognitive impairment and mild–to-moderate AD in comparison with non-demented control participants. In Q3 2022, the Company recognized EUR 4 (CHF 3.9) million linked to the progression of the Tau-PET tracer into late-stage development in AD. The Company is eligible to receive additional variable consideration related to the achievement of certain clinical milestones totaling EUR 4 (CHF 4) million should the compound make it through Phase 3 clinical studies. We are also eligible to receive potential regulatory and sales-based milestones totaling EUR 148 (CHF 140.5) million. Finally, the Company is eligible for royalties from the mid-single digits to low-teens.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8" w:name="page209"/>
    <w:bookmarkEnd w:id="2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LMI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76"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The upfront payment constitutes the amount of consideration to be included in the transaction price and has been allocated to the license. None of the clinical, regulatory or commercial milestones has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8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Any consideration related to sales-based milestones (including royalties) will be recognized when the related sales occur as these amounts have been determined to relate predominantly to the license granted to LMI and therefore are recognized at the later of when the performance obligation is satisfied or the related sales occur. The Company considered LMI’s right to sublicense and develop the Tau protein PET tracers, and the fact that LMI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9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has recognized nil, nil and CHF 3.9 million, respectively, from this arrangement.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Anti-Abeta Active Immunotherapy in AD – 2024 agreement with Takeda Pharmaceuticals, USA, Inc</w:t>
      </w:r>
    </w:p>
    <w:p>
      <w:pPr>
        <w:spacing w:after="0" w:line="227"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In May 2024, the Company entered into a worldwide option and license agreement with Takeda Pharmaceuticals, USA, Inc. (Takeda) for our active immunotherapies targeting Abeta, including ACI-24.060 for the treatment of AD.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100.0 (CHF 92.3) million in May 2024 and is eligible to receive an option exercise fee in the low-to-mid nine-figure USD range and additional potential development, commercial and sales-based milestones of up to approximately USD 2.1 (CHF 1.9) billion if all related milestones are achieved over the course of the agreement. Upon commercialization, AC Immune will be entitled to receive tiered mid-to-high teens percentages royalties on worldwide net sales.</w:t>
      </w:r>
    </w:p>
    <w:p>
      <w:pPr>
        <w:spacing w:after="0" w:line="19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Takeda may terminate the agreement at any time by providing 90 days’ notice to the Company. If not otherwise terminated, the agreement shall continue until Takeda decides not to exercise its license option or until the expiration of all royalty obligations as outlined in the contract.</w:t>
      </w:r>
    </w:p>
    <w:p>
      <w:pPr>
        <w:spacing w:after="0" w:line="18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Takeda is a customer. The Company identified the following performance obligations under the contract: (i) a license option and (ii) development, chemistry, manufacturing, and controls (“CMC”) and regulatory activities as outlined in the development and CMC plans, which are necessary to deliver the data package to Takeda. AC Immune concluded that the license option is considered a material right, as the value of the license exceeds the option exercise fee, thereby considering it a distinct performance obligation. The development, CMC, and regulatory activities are treated as one distinct performance obligation because the underlying activities are not distinguishable in the context of the contract and are inputs to an integrated development program that will generate valuable data and information for Takeda in determining whether to exercise the option.</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At the agreement's execution, the transaction price included only the upfront and non-refundable consideration of USD 100.0 (CHF 92.3) million. At inception, none of the development milestones, which may occur prior to the Takeda option exercise, were included in the transaction price, as all milestone amounts were fully constrained. The Takeda option exercise payment and any future development and commercial milestone payments, and royalties following the Takeda option exercise were excluded from the initial transaction price at contract inception. The option exercise fee is considered variable consideration as it depends on Takeda's decision to exercise. In assessing that future development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9" w:name="page210"/>
    <w:bookmarkEnd w:id="2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commercial milestones are fully constrained, the Company considered numerous factors, including that the receipt of these milestones is contingent upon success in future clinical trials and the licensee’s efforts, and thus not highly probable to obtain. Any consideration related to sales-based milestones (including royalties) will be recognized when the related sales occur, as they predominantly relate to the license that will be granted to Takeda upon exercise and therefore have also been excluded from the transaction price. The Company will re-evaluate the transaction price in each reporting period as uncertain events are resolved or other changes in circumstances occur.</w:t>
      </w:r>
    </w:p>
    <w:p>
      <w:pPr>
        <w:spacing w:after="0" w:line="187"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The valuation of each performance obligation involves estimates and assumptions, with the timing of revenue recognition determined by either delivery or the provision of services. In line with the allocation objective under IFRS 15, the Company allocated the USD 100.0 (CHF 92.3) million upfront payment within the transaction price to the license option and development, CMC, and regulatory activities, using the relative stand-alone selling price method. For the standalone selling price of the license option, the Company utilized an income-based approach, which included key assumptions such as the post-option development timeline and costs, revenue forecasts, discount rates, and probabilities of development and regulatory success. The standalone selling price for the development, CMC and regulatory activities was calculated using a cost-plus margin approach based on the estimated development timeline. The Company allocated the transaction price based on the relative standalone selling prices, assigning USD 87.4 (CHF 80.7) million to the license option and USD 12.6 (CHF 11.6) million to development, CMC, and regulatory activities.</w:t>
      </w:r>
    </w:p>
    <w:p>
      <w:pPr>
        <w:spacing w:after="0" w:line="193"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has deferred revenue recognition for the license option and will recognize the entirety of the revenue either when the option is exercised and Takeda obtains the exclusive license, or when the option expires. The Company will recognize revenue related to the development, CMC and regulatory performance obligation over the estimated period of completion of these obligations, using an input method reflecting the costs incurred relative to the total costs expected to be incurred.</w:t>
      </w:r>
    </w:p>
    <w:p>
      <w:pPr>
        <w:spacing w:after="0" w:line="183"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recorded contract revenue CHF 2.7 million reflecting its efforts under this agreement.</w:t>
      </w:r>
    </w:p>
    <w:p>
      <w:pPr>
        <w:spacing w:after="0" w:line="17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recorded CHF 89.6 million in deferred contract revenue related to the unsatisfied performance obligations under this agreement. The deferred contract revenue allocated to the license option is classified as short-term on the consolidated balance sheets because, in accordance with IAS 1, the Company does not have the right to defer the settlement of that portion for at least twelve months after the reporting period. The deferred contract revenue allocated to development, CMC, and regulatory activities will be recognized over the remaining performance period and classified as either current or non-current on the consolidated balance sheets, based on the expected timing of satisfaction of the performance obligations.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13.2 Grant income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Grants from the Michael J. Fox Foundation</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December 2021, the Company announced that it had been awarded two grants totaling USD 1.5 (CHF 1.4) million to advance small molecule PD programs. One award supported an existing early-stage program to develop small molecules that can prevent intracellular aggregation and spreading of a-syn. The other award funded research on the therapeutic potential of chemically and mechanistically novel, brain penetrant small molecule inhibitors of NLRP3 inflammasome activation for the treatment of PD.</w:t>
      </w:r>
    </w:p>
    <w:p>
      <w:pPr>
        <w:spacing w:after="0" w:line="18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August 2022, the Company received follow-on grant funding as part of its joint arrangement with Skåne in Sweden totaling USD 0.5 (CHF 0.5) million for the continued development of its alpha-synuclein PET imaging diagnostic agent. As part of this grant, AC Immune received USD 0.4 (CHF 0.4) million directly from the MJFF. Skåne received USD 0.1 (CHF 0.1) million of the total grant directly from the MJFF over the duration of the grant period.</w:t>
      </w:r>
    </w:p>
    <w:p>
      <w:pPr>
        <w:spacing w:after="0" w:line="180"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announced that it had been awarded a new grant totaling USD 0.5 (CHF 0.4) million from the MJFF to support the development of its TDP-43 PET tracer program.</w:t>
      </w:r>
    </w:p>
    <w:p>
      <w:pPr>
        <w:sectPr>
          <w:pgSz w:w="11900" w:h="16838" w:orient="portrait"/>
          <w:cols w:equalWidth="0" w:num="1">
            <w:col w:w="9019"/>
          </w:cols>
          <w:pgMar w:left="1440" w:top="513" w:right="1440"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0" w:name="page211"/>
    <w:bookmarkEnd w:id="2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has recognized less than CHF 0.1 million, CHF 1.2 million and CHF 1.2 million, respectively, from its MJFF grants, under “Other operating income/(expense), net”.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Expenses by category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40,163</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33,198</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41,166</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w:t>
            </w: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60,336</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increase of research and development expenses in 2024 compared with the prior period is predominantly driven by increases in investments in our research and development projects, the annualization of 2023 hires and additional new hires during the year.</w:t>
      </w:r>
    </w:p>
    <w:p>
      <w:pPr>
        <w:spacing w:after="0" w:line="176" w:lineRule="exact"/>
        <w:rPr>
          <w:sz w:val="20"/>
          <w:szCs w:val="20"/>
          <w:color w:val="auto"/>
        </w:rPr>
      </w:pPr>
    </w:p>
    <w:p>
      <w:pPr>
        <w:ind w:left="60" w:right="65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had 122.5, 115.4 and 122.4 FTEs in our research and development functions.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r>
      <w:tr>
        <w:trPr>
          <w:trHeight w:val="23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15,789</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In 2024, general and administrative expenses increased compared to the previous year, primarily driven by a rise in legal fees related to business development and licensing activities, as well as higher salaries and related costs due to new hires and the greater fair value of equity awards granted in 2024.</w:t>
      </w:r>
    </w:p>
    <w:p>
      <w:pPr>
        <w:spacing w:after="0" w:line="1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had 30.9, 26.2 and 22.5 FTEs in our general and administrative functions.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 net</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5"/>
                <w:szCs w:val="15"/>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(1,467)</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Our finance result primarily consists of interest income associated with our short-term financial assets and interest expense associated with lease liabilities as well as foreign currency exchange differences.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1" w:name="page212"/>
    <w:bookmarkEnd w:id="2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change in net finance result of CHF 2.1 million primarily related to an increase of CHF 2.2 million in financial income attributed to higher interest received on net investments in short-term financial assets, with more deposits made in 2024 compared to the previous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and executive management compensation</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Key management includes the board of directors and executive management. For 2024, there were six members (2023 and 2022: eight) of the Board (excluding the CEO) and seven members (2023: seven and 2022: seven) of executive management (including the CEO). Compensation was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2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Group recognized less than CHF 0.1 million in income taxes and no deferred tax asset or liability positions for the years ended December 31, 2024, 2023 and 2022, respectively. The Group’s expected tax expense for each year is based on the applicable tax rates in each jurisdiction. In 2024, these rates ranged from 13.6% to 34.0% (13.6% - 33.8% for 2023 and 2022) in the Group’s respective tax jurisdictions. The weighted average tax rate applicable to the Group was 13.6% (13.6% for 2023 and 2022, respectively).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Group’s income tax expense for each year can be reconciled to loss before tax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(50,913)</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(70,740)</w:t>
            </w:r>
          </w:p>
        </w:tc>
      </w:tr>
      <w:tr>
        <w:trPr>
          <w:trHeight w:val="22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calculated at the domestic rates applicable in the respective countries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w:t>
            </w:r>
          </w:p>
        </w:tc>
      </w:tr>
      <w:tr>
        <w:trPr>
          <w:trHeight w:val="23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not subject to tax)/expenses not deductible for tax purposes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unused tax losses and tax offsets not recognized as deferred tax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w:t>
            </w:r>
          </w:p>
        </w:tc>
      </w:tr>
      <w:tr>
        <w:trPr>
          <w:trHeight w:val="223"/>
        </w:trPr>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 expense</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The Swiss tax rate used for the 2024 reconciliations is the corporate tax rate of 13.6% (13.6% in 2023 and 2022, respectively) payable by corporate entities in the Canton of Vaud, Switzerland on taxable profits under tax law in that jurisdiction.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2" w:name="page213"/>
    <w:bookmarkEnd w:id="2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62" w:lineRule="auto"/>
        <w:rPr>
          <w:sz w:val="20"/>
          <w:szCs w:val="20"/>
          <w:color w:val="auto"/>
        </w:rPr>
      </w:pPr>
      <w:r>
        <w:rPr>
          <w:rFonts w:ascii="Times New Roman" w:cs="Times New Roman" w:eastAsia="Times New Roman" w:hAnsi="Times New Roman"/>
          <w:sz w:val="18"/>
          <w:szCs w:val="18"/>
          <w:color w:val="auto"/>
        </w:rPr>
        <w:t>The below table details the total unrecognized deductible temporary differences, unused tax losses and unused tax credits: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04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8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20" w:type="dxa"/>
            <w:vAlign w:val="bottom"/>
          </w:tcPr>
          <w:p>
            <w:pPr>
              <w:spacing w:after="0"/>
              <w:rPr>
                <w:sz w:val="18"/>
                <w:szCs w:val="18"/>
                <w:color w:val="auto"/>
              </w:rPr>
            </w:pPr>
          </w:p>
        </w:tc>
        <w:tc>
          <w:tcPr>
            <w:tcW w:w="5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Unrecognized deductible temporary differences, unused tax losses and</w:t>
            </w: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3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unused tax credits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Deductible temporary differences, unused tax losses and unused tax credits for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no deferred tax assets have been recognized are attributable to the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following:</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 losses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312,972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264,089</w:t>
            </w:r>
          </w:p>
        </w:tc>
      </w:tr>
      <w:tr>
        <w:trPr>
          <w:trHeight w:val="230"/>
        </w:trPr>
        <w:tc>
          <w:tcPr>
            <w:tcW w:w="20" w:type="dxa"/>
            <w:vAlign w:val="bottom"/>
          </w:tcPr>
          <w:p>
            <w:pPr>
              <w:spacing w:after="0"/>
              <w:rPr>
                <w:sz w:val="19"/>
                <w:szCs w:val="19"/>
                <w:color w:val="auto"/>
              </w:rPr>
            </w:pPr>
          </w:p>
        </w:tc>
        <w:tc>
          <w:tcPr>
            <w:tcW w:w="6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Deductible temporary differences related to:</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Retirement benefit plan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23"/>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352,433</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318,742</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267,302</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details the tax losses carry forwards of the Company and their respective expiry dates: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Tax losses split by expiry date:</w:t>
            </w: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3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r>
      <w:tr>
        <w:trPr>
          <w:trHeight w:val="229"/>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48,894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48,894</w:t>
            </w:r>
          </w:p>
        </w:tc>
      </w:tr>
      <w:tr>
        <w:trPr>
          <w:trHeight w:val="23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57,824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57,824</w:t>
            </w:r>
          </w:p>
        </w:tc>
      </w:tr>
      <w:tr>
        <w:trPr>
          <w:trHeight w:val="23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r>
      <w:tr>
        <w:trPr>
          <w:trHeight w:val="229"/>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66,936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66,936</w:t>
            </w:r>
          </w:p>
        </w:tc>
      </w:tr>
      <w:tr>
        <w:trPr>
          <w:trHeight w:val="23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2030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2031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45,848</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unrecorded tax loss carryforwards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264,089</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tax losses available for future offset against taxable profits have increased by CHF 45.8 million from 2023, representing the amount of tax losses that are additionally available as an offset reduced by expiring tax losses in 2024 of CHF 15.2 million, subject to expiration as disclosed in the table above, against future taxable income.</w:t>
      </w:r>
    </w:p>
    <w:p>
      <w:pPr>
        <w:spacing w:after="0" w:line="1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Consistent with prior years, the Company has not recorded any deferred tax assets in relation to the past tax losses available for offset against future profits as the recognition criteria were not met at the balance sheet date.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Retirement benefit plan</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6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Contributions paid to the plan are computed as a percentage of salary, adjusted for the age of the employee and shared approximately 47% and 53% by employee and employer, respectively.</w:t>
      </w:r>
    </w:p>
    <w:p>
      <w:pPr>
        <w:spacing w:after="0" w:line="16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a board of trustees, which consists of an equal number of employer and employee representatives of its members. The board of trustees is responsible for the administration of the plan assets and for the definition of the investment strategy. The Company has no direct influence on the investment strategy of the foundation board.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3" w:name="page214"/>
    <w:bookmarkEnd w:id="2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as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pacing w:after="0" w:line="190"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pension plan is exposed to Swiss inflation, interest rate risks and changes in the life expectancy for pensioners. For accounting purposes under IFRS Accounting Standards, the plan is treated as a defined benefit plan in accordance with IAS 19.</w:t>
      </w:r>
    </w:p>
    <w:p>
      <w:pPr>
        <w:spacing w:after="0" w:line="1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status of the defined benefit pension plan and the amount that is recognized in the consolidated balance sheets: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(32,410)</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29,197</w:t>
            </w:r>
          </w:p>
        </w:tc>
      </w:tr>
      <w:tr>
        <w:trPr>
          <w:trHeight w:val="22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liability</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amounts have been recorded as net pension cost in the consolidated statements of income/(loss):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service cost</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Past service cost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pension cost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in defined benefit obligation, fair value of plan assets and unrecognized gains/(losses) are as follows.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Change in defined benefit obligation</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Defined benefit obligation as of January 1</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(33,889)</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demographic assumptions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financial assumptions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w:t>
            </w:r>
          </w:p>
        </w:tc>
      </w:tr>
      <w:tr>
        <w:trPr>
          <w:trHeight w:val="23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experience assumptions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 deposited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r>
      <w:tr>
        <w:trPr>
          <w:trHeight w:val="23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contributions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Defined benefit obligation as of December 31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(52,455)</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(32,410)</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4" w:name="page215"/>
    <w:bookmarkEnd w:id="2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 in fair value of plan assets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 as of January 1</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29,197</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 contributions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Employer’s contributions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deposited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Return on plan assets excluding interest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2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 as of December 31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29,197</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Expected contributions by the employer to be paid to the post-employment benefit plans during the annual period beginning after the end of the reporting period amount to approximately CHF 1.8 million.</w:t>
      </w:r>
    </w:p>
    <w:p>
      <w:pPr>
        <w:spacing w:after="0" w:line="15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Change in net defined benefit liability</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defined benefit liabilities as of January 1</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0" w:type="dxa"/>
            <w:vAlign w:val="bottom"/>
          </w:tcPr>
          <w:p>
            <w:pPr>
              <w:spacing w:after="0"/>
              <w:rPr>
                <w:sz w:val="1"/>
                <w:szCs w:val="1"/>
                <w:color w:val="auto"/>
              </w:rPr>
            </w:pP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pension cost through statement of income/(loss)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through other comprehensive income/(loss)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Employer’s contribution</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(1,567)</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defined benefit liabilities as of December 31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  Other comprehensive gains/(losses)</w:t>
            </w: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demographic assumptions</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changes in financial assumptions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(3,846)</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(2,908)</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experience assumptions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Return on plan assets excluding interest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gain/(loss)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2022, the change in experience assumptions results from an increased sum of insured salaries. In 2024, the change in experience assumptions is mainly due to new active insured and pensioners.</w:t>
      </w:r>
    </w:p>
    <w:p>
      <w:pPr>
        <w:spacing w:after="0" w:line="16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plan assets is the cash surrender value of the insurance with the insurance company (AXA). The investment strategy defined by the board of trustees follows a conservative profile.</w:t>
      </w:r>
    </w:p>
    <w:p>
      <w:pPr>
        <w:spacing w:after="0" w:line="16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duration of the defined benefit obligation is 16.3 years and 15.5 years as of December 31, 2024 and 2023,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5" w:name="page216"/>
    <w:bookmarkEnd w:id="2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actuarial assumptions used for the calculation of the pension cost and the defined benefit obligation of the defined benefit pension plan for the years ended December 31, 2024, 2023 and 2022, respectively, are as follows: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5"/>
        </w:trPr>
        <w:tc>
          <w:tcPr>
            <w:tcW w:w="368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36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Rate of future increase in compensations</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2.00 %</w:t>
            </w:r>
          </w:p>
        </w:tc>
        <w:tc>
          <w:tcPr>
            <w:tcW w:w="1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1.75 %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future increase in current pensions</w:t>
            </w:r>
          </w:p>
        </w:tc>
        <w:tc>
          <w:tcPr>
            <w:tcW w:w="1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0.00 %</w:t>
            </w:r>
          </w:p>
        </w:tc>
        <w:tc>
          <w:tcPr>
            <w:tcW w:w="1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0.00 %</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on retirement savings capital</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1.25 %</w:t>
            </w:r>
          </w:p>
        </w:tc>
        <w:tc>
          <w:tcPr>
            <w:tcW w:w="1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1.50 %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Mortality and disability rates</w:t>
            </w:r>
          </w:p>
        </w:tc>
        <w:tc>
          <w:tcPr>
            <w:tcW w:w="19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BVG 2020 GT (CMI)</w:t>
            </w:r>
          </w:p>
        </w:tc>
        <w:tc>
          <w:tcPr>
            <w:tcW w:w="18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9"/>
              </w:rPr>
              <w:t>BVG 2020 GT (CMI)</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BVG 2020-CMI</w:t>
            </w:r>
          </w:p>
        </w:tc>
      </w:tr>
    </w:tbl>
    <w:p>
      <w:pPr>
        <w:spacing w:after="0" w:line="211"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In defining the benefits, the minimum requirements of the Swiss BVG and its implementing provisions must be observed. The BVG defines the minimum pensionable salary and the minimum retirement credits.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assumptions as of December 31, 2024 is shown below:</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Interest rate on</w:t>
            </w:r>
          </w:p>
        </w:tc>
      </w:tr>
      <w:tr>
        <w:trPr>
          <w:trHeight w:val="195"/>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Future salary increase</w:t>
            </w: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Future pension cost</w:t>
            </w:r>
          </w:p>
        </w:tc>
        <w:tc>
          <w:tcPr>
            <w:tcW w:w="144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savings capital</w:t>
            </w:r>
          </w:p>
        </w:tc>
      </w:tr>
      <w:tr>
        <w:trPr>
          <w:trHeight w:val="176"/>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r>
      <w:tr>
        <w:trPr>
          <w:trHeight w:val="195"/>
        </w:trPr>
        <w:tc>
          <w:tcPr>
            <w:tcW w:w="28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88"/>
        </w:trPr>
        <w:tc>
          <w:tcPr>
            <w:tcW w:w="2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CHF</w:t>
            </w:r>
          </w:p>
        </w:tc>
        <w:tc>
          <w:tcPr>
            <w:tcW w:w="140" w:type="dxa"/>
            <w:vAlign w:val="bottom"/>
          </w:tcPr>
          <w:p>
            <w:pPr>
              <w:spacing w:after="0"/>
              <w:rPr>
                <w:sz w:val="16"/>
                <w:szCs w:val="16"/>
                <w:color w:val="auto"/>
              </w:rPr>
            </w:pPr>
          </w:p>
        </w:tc>
        <w:tc>
          <w:tcPr>
            <w:tcW w:w="6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48,532</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56,936</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53,728</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50,423</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51,118</w:t>
            </w:r>
          </w:p>
        </w:tc>
      </w:tr>
      <w:tr>
        <w:trPr>
          <w:trHeight w:val="225"/>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Decrease/(increase) from actual</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assumptions as of December 31, 2023 is shown below:</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Interest rate on</w:t>
            </w:r>
          </w:p>
        </w:tc>
      </w:tr>
      <w:tr>
        <w:trPr>
          <w:trHeight w:val="195"/>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Future salary increase</w:t>
            </w: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Future pension cost</w:t>
            </w:r>
          </w:p>
        </w:tc>
        <w:tc>
          <w:tcPr>
            <w:tcW w:w="144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savings capital</w:t>
            </w:r>
          </w:p>
        </w:tc>
      </w:tr>
      <w:tr>
        <w:trPr>
          <w:trHeight w:val="176"/>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r>
      <w:tr>
        <w:trPr>
          <w:trHeight w:val="195"/>
        </w:trPr>
        <w:tc>
          <w:tcPr>
            <w:tcW w:w="28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88"/>
        </w:trPr>
        <w:tc>
          <w:tcPr>
            <w:tcW w:w="2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CHF</w:t>
            </w:r>
          </w:p>
        </w:tc>
        <w:tc>
          <w:tcPr>
            <w:tcW w:w="140" w:type="dxa"/>
            <w:vAlign w:val="bottom"/>
          </w:tcPr>
          <w:p>
            <w:pPr>
              <w:spacing w:after="0"/>
              <w:rPr>
                <w:sz w:val="16"/>
                <w:szCs w:val="16"/>
                <w:color w:val="auto"/>
              </w:rPr>
            </w:pPr>
          </w:p>
        </w:tc>
        <w:tc>
          <w:tcPr>
            <w:tcW w:w="6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41,997</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42,681</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39,578</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42,158</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40,030</w:t>
            </w:r>
          </w:p>
        </w:tc>
      </w:tr>
      <w:tr>
        <w:trPr>
          <w:trHeight w:val="225"/>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Decrease/(increase) from actual</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bl>
    <w:p>
      <w:pPr>
        <w:spacing w:after="0" w:line="19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sensitivity analyses above are subject to limitations and have been determined based on a method that extrapolates the impact on net defined benefit obligation as a result of reasonable changes in key assumptions occurring at the end of the reporting period.</w:t>
      </w:r>
    </w:p>
    <w:p>
      <w:pPr>
        <w:spacing w:after="0" w:line="172" w:lineRule="exact"/>
        <w:rPr>
          <w:sz w:val="20"/>
          <w:szCs w:val="20"/>
          <w:color w:val="auto"/>
        </w:rPr>
      </w:pPr>
    </w:p>
    <w:p>
      <w:pPr>
        <w:ind w:left="380" w:right="6599" w:hanging="330"/>
        <w:spacing w:after="0" w:line="524" w:lineRule="auto"/>
        <w:tabs>
          <w:tab w:leader="none" w:pos="380"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i w:val="1"/>
          <w:iCs w:val="1"/>
          <w:color w:val="auto"/>
        </w:rPr>
        <w:t>Share-based option awards</w:t>
      </w:r>
    </w:p>
    <w:p>
      <w:pPr>
        <w:spacing w:after="0" w:line="1"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there are equity-based instruments outstanding that the Company has granted under two different plans.</w:t>
      </w:r>
    </w:p>
    <w:p>
      <w:pPr>
        <w:spacing w:after="0" w:line="16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6" w:name="page217"/>
    <w:bookmarkEnd w:id="2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equity-settled share option grants for plans that existed during the period:</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3580" w:type="dxa"/>
            <w:vAlign w:val="bottom"/>
          </w:tcPr>
          <w:p>
            <w:pPr>
              <w:spacing w:after="0"/>
              <w:rPr>
                <w:sz w:val="16"/>
                <w:szCs w:val="16"/>
                <w:color w:val="auto"/>
              </w:rPr>
            </w:pPr>
          </w:p>
        </w:tc>
        <w:tc>
          <w:tcPr>
            <w:tcW w:w="1180" w:type="dxa"/>
            <w:vAlign w:val="bottom"/>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options awarded</w:t>
            </w:r>
          </w:p>
        </w:tc>
        <w:tc>
          <w:tcPr>
            <w:tcW w:w="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95"/>
        </w:trPr>
        <w:tc>
          <w:tcPr>
            <w:tcW w:w="35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 inception)</w:t>
            </w:r>
          </w:p>
        </w:tc>
        <w:tc>
          <w:tcPr>
            <w:tcW w:w="200" w:type="dxa"/>
            <w:vAlign w:val="bottom"/>
          </w:tcPr>
          <w:p>
            <w:pPr>
              <w:spacing w:after="0"/>
              <w:rPr>
                <w:sz w:val="16"/>
                <w:szCs w:val="16"/>
                <w:color w:val="auto"/>
              </w:rPr>
            </w:pPr>
          </w:p>
        </w:tc>
        <w:tc>
          <w:tcPr>
            <w:tcW w:w="25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Vesting conditions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of options</w:t>
            </w:r>
          </w:p>
        </w:tc>
      </w:tr>
      <w:tr>
        <w:trPr>
          <w:trHeight w:val="228"/>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 plan C1</w:t>
            </w:r>
          </w:p>
        </w:tc>
        <w:tc>
          <w:tcPr>
            <w:tcW w:w="1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6,775,250</w:t>
            </w:r>
          </w:p>
        </w:tc>
        <w:tc>
          <w:tcPr>
            <w:tcW w:w="2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 years’ service from grant date</w:t>
            </w: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2016 SOIP:</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Executives and directors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5,238,005</w:t>
            </w:r>
          </w:p>
        </w:tc>
        <w:tc>
          <w:tcPr>
            <w:tcW w:w="2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 year, 3 year and 4 years’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from the date of grant,</w:t>
            </w:r>
          </w:p>
        </w:tc>
        <w:tc>
          <w:tcPr>
            <w:tcW w:w="1440" w:type="dxa"/>
            <w:vAlign w:val="bottom"/>
            <w:shd w:val="clear" w:color="auto" w:fill="CCEEFF"/>
          </w:tcPr>
          <w:p>
            <w:pPr>
              <w:spacing w:after="0"/>
              <w:rPr>
                <w:sz w:val="19"/>
                <w:szCs w:val="19"/>
                <w:color w:val="auto"/>
              </w:rPr>
            </w:pPr>
          </w:p>
        </w:tc>
      </w:tr>
      <w:tr>
        <w:trPr>
          <w:trHeight w:val="234"/>
        </w:trPr>
        <w:tc>
          <w:tcPr>
            <w:tcW w:w="3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quarterly and annually</w:t>
            </w:r>
          </w:p>
        </w:tc>
        <w:tc>
          <w:tcPr>
            <w:tcW w:w="1440" w:type="dxa"/>
            <w:vAlign w:val="bottom"/>
            <w:shd w:val="clear" w:color="auto" w:fill="CCEEFF"/>
          </w:tcPr>
          <w:p>
            <w:pPr>
              <w:spacing w:after="0"/>
              <w:rPr>
                <w:sz w:val="20"/>
                <w:szCs w:val="20"/>
                <w:color w:val="auto"/>
              </w:rPr>
            </w:pPr>
          </w:p>
        </w:tc>
      </w:tr>
      <w:tr>
        <w:trPr>
          <w:trHeight w:val="225"/>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Employees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1,811,687</w:t>
            </w:r>
          </w:p>
        </w:tc>
        <w:tc>
          <w:tcPr>
            <w:tcW w:w="2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4 years’ service from the date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34"/>
        </w:trPr>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grant, annually</w:t>
            </w:r>
          </w:p>
        </w:tc>
        <w:tc>
          <w:tcPr>
            <w:tcW w:w="1440" w:type="dxa"/>
            <w:vAlign w:val="bottom"/>
          </w:tcPr>
          <w:p>
            <w:pPr>
              <w:spacing w:after="0"/>
              <w:rPr>
                <w:sz w:val="20"/>
                <w:szCs w:val="20"/>
                <w:color w:val="auto"/>
              </w:rPr>
            </w:pPr>
          </w:p>
        </w:tc>
      </w:tr>
    </w:tbl>
    <w:p>
      <w:pPr>
        <w:spacing w:after="0" w:line="198" w:lineRule="exact"/>
        <w:rPr>
          <w:sz w:val="20"/>
          <w:szCs w:val="20"/>
          <w:color w:val="auto"/>
        </w:rPr>
      </w:pPr>
    </w:p>
    <w:p>
      <w:pPr>
        <w:ind w:left="60" w:right="239" w:firstLine="324"/>
        <w:spacing w:after="0" w:line="262" w:lineRule="auto"/>
        <w:rPr>
          <w:sz w:val="20"/>
          <w:szCs w:val="20"/>
          <w:color w:val="auto"/>
        </w:rPr>
      </w:pPr>
      <w:r>
        <w:rPr>
          <w:rFonts w:ascii="Times New Roman" w:cs="Times New Roman" w:eastAsia="Times New Roman" w:hAnsi="Times New Roman"/>
          <w:sz w:val="18"/>
          <w:szCs w:val="18"/>
          <w:color w:val="auto"/>
        </w:rPr>
        <w:t>The number and weighted-average exercise prices (in CHF) of options under the share option programs for Plans C1 and the 2016 SOIP are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9"/>
        </w:trPr>
        <w:tc>
          <w:tcPr>
            <w:tcW w:w="6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89"/>
        </w:trPr>
        <w:tc>
          <w:tcPr>
            <w:tcW w:w="60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95"/>
        </w:trPr>
        <w:tc>
          <w:tcPr>
            <w:tcW w:w="60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r>
      <w:tr>
        <w:trPr>
          <w:trHeight w:val="228"/>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3,585,689</w:t>
            </w: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(304,738)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(110,250)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1,090,316</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4,261,017</w:t>
            </w: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6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2,345,648</w:t>
            </w:r>
          </w:p>
        </w:tc>
        <w:tc>
          <w:tcPr>
            <w:tcW w:w="2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4,261,017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(824,084)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(42,037)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1,554,281</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4,949,177</w:t>
            </w: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6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3,022,345</w:t>
            </w:r>
          </w:p>
        </w:tc>
        <w:tc>
          <w:tcPr>
            <w:tcW w:w="2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4,949,177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(135,118)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 during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(205,634)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406,680</w:t>
            </w: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5,010,827</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4,097,932</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6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outstanding stock options as of December 31, 2024 have the following range of exercise prices: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89"/>
        </w:trPr>
        <w:tc>
          <w:tcPr>
            <w:tcW w:w="7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89"/>
        </w:trPr>
        <w:tc>
          <w:tcPr>
            <w:tcW w:w="7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94"/>
        </w:trPr>
        <w:tc>
          <w:tcPr>
            <w:tcW w:w="702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2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CHF 0.15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CHF 9.53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USD 2.03 to USD 3.00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1,326,865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USD 3.00 to USD 6.00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2,005,164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USD 6.00 to USD 9.00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1,363,575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7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USD 9.00 to USD 12.30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124,933</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outstanding options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5,010,827</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7" w:name="page218"/>
    <w:bookmarkEnd w:id="2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weighted-average exercise price for options granted in 2024, 2023 and 2022 is USD 3.99 (CHF 3.40), USD 2.08 (CHF 1.75) and USD 3.44 (CHF 3.18), respectively. The range of exercise prices for outstanding options was CHF 0.15 to CHF 9.53 for awards previously granted in CHF (prior to 2018) and USD 2.03 to USD 12.30 for awards granted in USD as of December 31, 2024.</w:t>
      </w:r>
    </w:p>
    <w:p>
      <w:pPr>
        <w:spacing w:after="0" w:line="180" w:lineRule="exact"/>
        <w:rPr>
          <w:sz w:val="20"/>
          <w:szCs w:val="20"/>
          <w:color w:val="auto"/>
        </w:rPr>
      </w:pPr>
    </w:p>
    <w:p>
      <w:pPr>
        <w:jc w:val="both"/>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For awards issued in 2024, the volatility is based on the Company’s actual volatility for the period congruent with the expected term of the underlying option. The risk-free interest rate is based on yields of long-dated U.S. Treasury notes that align with the expected term of the award. The weighted-average share price of common share options exercised in 2024 is USD 4.42 (CHF 3.88).</w:t>
      </w:r>
    </w:p>
    <w:p>
      <w:pPr>
        <w:spacing w:after="0" w:line="18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values of the options granted in 2024, 2023 and 2022 are USD 3.68 (CHF 3.13), USD 1.57 (CHF 1.33) and USD 2.38 (CHF 2.20), respectively. The following table illustrates the weighted-average assumptions for the Black-Scholes option-pricing model used in determining the fair value of these awards: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 (USD)</w:t>
            </w:r>
          </w:p>
        </w:tc>
        <w:tc>
          <w:tcPr>
            <w:tcW w:w="23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3.39-4.23</w:t>
            </w: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2.03-3.11</w:t>
            </w:r>
          </w:p>
        </w:tc>
        <w:tc>
          <w:tcPr>
            <w:tcW w:w="2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2.76-4.57</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price (USD and weighted average)</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3.7-4.2 %</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4.0-4.6 %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20" w:type="dxa"/>
            <w:vAlign w:val="bottom"/>
          </w:tcPr>
          <w:p>
            <w:pPr>
              <w:spacing w:after="0"/>
              <w:rPr>
                <w:sz w:val="19"/>
                <w:szCs w:val="19"/>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82-107 %</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72-86 %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67-80 %</w:t>
            </w:r>
          </w:p>
        </w:tc>
        <w:tc>
          <w:tcPr>
            <w:tcW w:w="20" w:type="dxa"/>
            <w:vAlign w:val="bottom"/>
          </w:tcPr>
          <w:p>
            <w:pPr>
              <w:spacing w:after="0"/>
              <w:rPr>
                <w:sz w:val="19"/>
                <w:szCs w:val="19"/>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5.5 - 6.25</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360" w:type="dxa"/>
            <w:vAlign w:val="bottom"/>
          </w:tcPr>
          <w:p>
            <w:pPr>
              <w:spacing w:after="0"/>
              <w:rPr>
                <w:sz w:val="20"/>
                <w:szCs w:val="20"/>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873"/>
        </w:trPr>
        <w:tc>
          <w:tcPr>
            <w:tcW w:w="3620" w:type="dxa"/>
            <w:vAlign w:val="bottom"/>
          </w:tcPr>
          <w:p>
            <w:pPr>
              <w:spacing w:after="0"/>
              <w:rPr>
                <w:sz w:val="24"/>
                <w:szCs w:val="24"/>
                <w:color w:val="auto"/>
              </w:rPr>
            </w:pPr>
          </w:p>
        </w:tc>
        <w:tc>
          <w:tcPr>
            <w:tcW w:w="3300" w:type="dxa"/>
            <w:vAlign w:val="bottom"/>
            <w:gridSpan w:val="3"/>
          </w:tcPr>
          <w:p>
            <w:pPr>
              <w:jc w:val="right"/>
              <w:ind w:right="2208"/>
              <w:spacing w:after="0"/>
              <w:rPr>
                <w:sz w:val="20"/>
                <w:szCs w:val="20"/>
                <w:color w:val="auto"/>
              </w:rPr>
            </w:pPr>
            <w:r>
              <w:rPr>
                <w:rFonts w:ascii="Times New Roman" w:cs="Times New Roman" w:eastAsia="Times New Roman" w:hAnsi="Times New Roman"/>
                <w:sz w:val="18"/>
                <w:szCs w:val="18"/>
                <w:color w:val="auto"/>
              </w:rPr>
              <w:t>F-38</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6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18" w:name="page219"/>
    <w:bookmarkEnd w:id="2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22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 summary of share awards (restricted share and restricted share units) activity as of December 31, 2024 and changes during the year then ended is presented below:</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 of non-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 awards granted</w:t>
            </w: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share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Grantee type</w:t>
            </w: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(since inception)</w:t>
            </w:r>
          </w:p>
        </w:tc>
        <w:tc>
          <w:tcPr>
            <w:tcW w:w="140" w:type="dxa"/>
            <w:vAlign w:val="bottom"/>
          </w:tcPr>
          <w:p>
            <w:pPr>
              <w:spacing w:after="0"/>
              <w:rPr>
                <w:sz w:val="16"/>
                <w:szCs w:val="16"/>
                <w:color w:val="auto"/>
              </w:rPr>
            </w:pPr>
          </w:p>
        </w:tc>
        <w:tc>
          <w:tcPr>
            <w:tcW w:w="312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Vesting conditions</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305,948</w:t>
            </w:r>
          </w:p>
        </w:tc>
        <w:tc>
          <w:tcPr>
            <w:tcW w:w="3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 year service from date of grant, annually</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1,415,118</w:t>
            </w:r>
          </w:p>
        </w:tc>
        <w:tc>
          <w:tcPr>
            <w:tcW w:w="3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9"/>
              </w:rPr>
              <w:t>1 year, 3 year and 4 years’ service from the</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date of grant, quarterly and semi-annually</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995,277</w:t>
            </w:r>
          </w:p>
        </w:tc>
        <w:tc>
          <w:tcPr>
            <w:tcW w:w="3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 years’ service from the date of grant,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annually</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(CHF)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24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CCEEFF"/>
            </w:tcBorders>
            <w:gridSpan w:val="2"/>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124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239,194</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124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(23,505)</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24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216,486</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Vested and exercisable at December 31, 2022</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2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0"/>
        </w:trPr>
        <w:tc>
          <w:tcPr>
            <w:tcW w:w="34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24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4"/>
            <w:vMerge w:val="continue"/>
          </w:tcPr>
          <w:p>
            <w:pPr>
              <w:spacing w:after="0"/>
              <w:rPr>
                <w:sz w:val="18"/>
                <w:szCs w:val="18"/>
                <w:color w:val="auto"/>
              </w:rPr>
            </w:pPr>
          </w:p>
        </w:tc>
        <w:tc>
          <w:tcPr>
            <w:tcW w:w="124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216,486</w:t>
            </w:r>
          </w:p>
        </w:tc>
        <w:tc>
          <w:tcPr>
            <w:tcW w:w="160" w:type="dxa"/>
            <w:vAlign w:val="bottom"/>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24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(134,947)</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24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(55,503)</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124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1,187,570</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124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(265,366)</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24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1,003,743</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63"/>
        </w:trPr>
        <w:tc>
          <w:tcPr>
            <w:tcW w:w="3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2023</w:t>
            </w:r>
          </w:p>
        </w:tc>
        <w:tc>
          <w:tcPr>
            <w:tcW w:w="1240" w:type="dxa"/>
            <w:vAlign w:val="bottom"/>
          </w:tcPr>
          <w:p>
            <w:pPr>
              <w:spacing w:after="0"/>
              <w:rPr>
                <w:sz w:val="22"/>
                <w:szCs w:val="22"/>
                <w:color w:val="auto"/>
              </w:rPr>
            </w:pPr>
          </w:p>
        </w:tc>
        <w:tc>
          <w:tcPr>
            <w:tcW w:w="2200" w:type="dxa"/>
            <w:vAlign w:val="bottom"/>
            <w:gridSpan w:val="2"/>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298,883</w:t>
            </w:r>
          </w:p>
        </w:tc>
        <w:tc>
          <w:tcPr>
            <w:tcW w:w="160" w:type="dxa"/>
            <w:vAlign w:val="bottom"/>
          </w:tcPr>
          <w:p>
            <w:pPr>
              <w:spacing w:after="0"/>
              <w:rPr>
                <w:sz w:val="22"/>
                <w:szCs w:val="22"/>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2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1,003,743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24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(97,841)</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24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(99,018)</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124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1,094,876</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124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(1,064,554)</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24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822,740</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Vested and exercisable at December 31, 2024</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2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1,377,903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weighted-average grant date fair values of the remaining non-vested share awards as of the respective year end for the restricted share units were CHF 3.12, CHF 1.97 and CHF 3.06 for the years ended December 31, 2024, 2023 and 2022, respectively. The fair values of these non-vested share awards granted were determined using the market value of the common shares on the date of the award.</w:t>
      </w:r>
    </w:p>
    <w:p>
      <w:pPr>
        <w:spacing w:after="0" w:line="18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expense charged against the income statement was CHF 5.5 million, CHF 4.4 million and CHF 3.3 million for the years ended December 31, 2024, 2023 and 2022, respectively. The expense is determined by the Company based on the number of instruments that are expected to become exercisable.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9" w:name="page220"/>
    <w:bookmarkEnd w:id="2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229"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Company’s commitments and contingencies relate to its ongoing operating activities, mainly research and development programs, as well as its leased corporate space.</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conduct product research and development programs through collaborative programs that include, among others, arrangements with universities, contract research organizations and clinical research sites. We have contractual arrangements with these organizations.</w:t>
      </w:r>
    </w:p>
    <w:p>
      <w:pPr>
        <w:spacing w:after="0" w:line="17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lease our corporate, laboratory and other facilities under multiple leases at the EPFL Innovation Park in Ecublens, near Lausanne, Canton of Vaud, Switzerland. Our lease agreements have no termination clauses longer than a 12-month contractual notice period. The Company recognizes a right-of-use asset for its leases, except for short-term and low-value leases as indicated in Note 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5. Right-of-use assets, long-term financial assets and lease liabilities” for the contractual undiscounted cash flows for lease obligations.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9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9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27,554</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3 years</w:t>
            </w:r>
          </w:p>
        </w:tc>
        <w:tc>
          <w:tcPr>
            <w:tcW w:w="92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 and 5 years</w:t>
            </w:r>
          </w:p>
        </w:tc>
        <w:tc>
          <w:tcPr>
            <w:tcW w:w="920" w:type="dxa"/>
            <w:vAlign w:val="bottom"/>
            <w:shd w:val="clear" w:color="auto" w:fill="CCEEFF"/>
          </w:tcPr>
          <w:p>
            <w:pPr>
              <w:spacing w:after="0"/>
              <w:rPr>
                <w:sz w:val="19"/>
                <w:szCs w:val="19"/>
                <w:color w:val="auto"/>
              </w:rPr>
            </w:pP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92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 Earnings per share</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gridSpan w:val="4"/>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9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(50,916)</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used to compute EPS basic</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diluted attributable to equity holders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99,691,971</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84,694,616</w:t>
            </w: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83,554,412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periods for which we have a loss, basic net loss per share is the same as diluted net loss per share. We have excluded from our calculation of diluted loss per share all potentially dilutive in-the-money (i) share options and (ii) non-vested restricted share awards. See “Note 18. Share-based compensation” for the potentially dilutive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0" w:name="page221"/>
    <w:bookmarkEnd w:id="2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21. Financial instruments and risk management</w:t>
      </w:r>
    </w:p>
    <w:p>
      <w:pPr>
        <w:spacing w:after="0" w:line="229"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Company’s activities expose it to the following financial risks: market risk (foreign exchange and interest rate risk), credit risk and liquidity risk. The Company’s overall risk management program focuses on the unpredictability of financial markets and seeks to minimize potential adverse effects on the Company’s financial performance.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financial liabilities: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3"/>
          </w:tcPr>
          <w:p>
            <w:pPr>
              <w:jc w:val="center"/>
              <w:ind w:right="59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4"/>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200" w:type="dxa"/>
            <w:vAlign w:val="bottom"/>
            <w:gridSpan w:val="2"/>
          </w:tcPr>
          <w:p>
            <w:pPr>
              <w:ind w:left="2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2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14,800</w:t>
            </w:r>
          </w:p>
        </w:tc>
      </w:tr>
      <w:tr>
        <w:trPr>
          <w:trHeight w:val="22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78,494</w:t>
            </w:r>
          </w:p>
        </w:tc>
      </w:tr>
      <w:tr>
        <w:trPr>
          <w:trHeight w:val="223"/>
        </w:trPr>
        <w:tc>
          <w:tcPr>
            <w:tcW w:w="7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172,445</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122,339</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74"/>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3"/>
          </w:tcPr>
          <w:p>
            <w:pPr>
              <w:jc w:val="center"/>
              <w:ind w:right="59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4"/>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200" w:type="dxa"/>
            <w:vAlign w:val="bottom"/>
            <w:gridSpan w:val="2"/>
          </w:tcPr>
          <w:p>
            <w:pPr>
              <w:ind w:left="2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2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w:t>
            </w: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3"/>
        </w:trPr>
        <w:tc>
          <w:tcPr>
            <w:tcW w:w="7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with lesser balances of EUR and USD (see “Note 7. Cash and cash equivalents and short-term financial assets”). The Company recognized a loss of CHF 1.6 million, a loss of CHF 1.5 million and a gain of CHF 0.5 million for the years ended December 31, 2024, 2023 and 2022, respectively, within “Finance result, net.”</w:t>
      </w:r>
    </w:p>
    <w:p>
      <w:pPr>
        <w:spacing w:after="0" w:line="18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if the CHF had strengthened/weakened by 10% against the EUR and the USD with all other variables held constant, the net loss for the period would have been lower/higher by CHF 5.0 million (2023: CHF 2.6 million), mainly as a result of foreign exchange gains/losses on predominantly EUR/USD denominated cash and cash equivalents and short-term financial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2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Company’s CHF cash holdings (inclusive of those held in short-term financial assets) were subject to positive interest rates at certain counterparty thresholds through 2024. As of December 31, 2024 if the interest rates granted by the counterparties had increased/decreased by 10%, the net income for the period would have been higher/lower by CHF 0.2 million. Interest income and interest expense are recorded within finance results, net in our consolidated statements of income/(loss).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1" w:name="page222"/>
    <w:bookmarkEnd w:id="2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Company maintains a formal treasury risk and investment management policy to limit counterparty credit risk. As of December 31, 2024, the Company’s cash and cash equivalents and short-term financial assets are held with six financial institutions, each with a high credit rating ranging from A+ to AA- assigned by international credit-rating agencies. The maximum amount of credit risk is the carrying amount of the financial assets. Other receivables are fully performing, not past due and not impaired (see “Note 7. Cash and cash equivalents and short-term financial assets” and “Note 10. Other current receivables”).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Inherent in the Company’s business are various risks and uncertainties, including the high uncertainty that new therapeutic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83"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12 months. The Company has CHF 2.7 million in trade and other payables, and CHF 12.1 million in accrued expenses which are due within 12 months from the reporting date. Finally, as it relates to the Company’s lease liabilities please see “Note 5. Right-of-use assets, long-term financial assets and lease liabilities” for detail of when corresponding lease liabilities are due.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22. Capital risk management</w:t>
      </w: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Company’s objectives when managing capital are to safeguard the Company’s ability to continue as a going</w:t>
      </w:r>
    </w:p>
    <w:p>
      <w:pPr>
        <w:spacing w:after="0" w:line="27" w:lineRule="exact"/>
        <w:rPr>
          <w:sz w:val="20"/>
          <w:szCs w:val="20"/>
          <w:color w:val="auto"/>
        </w:rPr>
      </w:pPr>
    </w:p>
    <w:p>
      <w:pPr>
        <w:ind w:left="60" w:right="239"/>
        <w:spacing w:after="0" w:line="245" w:lineRule="auto"/>
        <w:rPr>
          <w:sz w:val="20"/>
          <w:szCs w:val="20"/>
          <w:color w:val="auto"/>
        </w:rPr>
      </w:pPr>
      <w:r>
        <w:rPr>
          <w:rFonts w:ascii="Times New Roman" w:cs="Times New Roman" w:eastAsia="Times New Roman" w:hAnsi="Times New Roman"/>
          <w:sz w:val="18"/>
          <w:szCs w:val="18"/>
          <w:color w:val="auto"/>
        </w:rPr>
        <w:t>concern and to preserve the capital on the required statutory level in order to succeed in developing a cure against (i) AD, (ii) focused non-Alzheimer’s neurodegenerative diseases including NeuroOrphan indications and (iii) diagnostics.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consolidated financial statements, for appropriate accounting and disclosures. The Company has determined that there were no other such events that warrant disclosure or recognition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4.19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87"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our securities registered under Section 12 of the Securities Exchange Act of 1934, as amended (the “Exchange Act”), as of March 13, 2025. The following description of the terms of our common shares is not meant to be complete and is qualified by reference to our articles of association (“articles of association”), which is incorporated by reference as an exhibit to our Annual Report on Form 20-F, of which this exhibit is a part. We encourage you to read our articles of association and the applicable provisions of Swiss law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8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13, 2025, our issued share capital is CHF 2,196,858.10, consisting of 109,842,905 common shares of which 10,899,773 are held as treasury shares, leaving 98,943,132 common shares outstanding with a nominal value of CHF 0.02 each. We have no dividend rights certificates (</w:t>
      </w:r>
      <w:r>
        <w:rPr>
          <w:rFonts w:ascii="Times New Roman" w:cs="Times New Roman" w:eastAsia="Times New Roman" w:hAnsi="Times New Roman"/>
          <w:sz w:val="18"/>
          <w:szCs w:val="18"/>
          <w:i w:val="1"/>
          <w:iCs w:val="1"/>
          <w:color w:val="auto"/>
        </w:rPr>
        <w:t>bons de jouissance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8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On June 21, 2024, we adopted amended articles of association and when we refer to our articles of association, we refer to the articles of association as filed as Exhibit 3.1 to our Registration Statement on Form F-3/A filed with the SEC on July 26, 2024.</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and Conditional Share Capital</w:t>
      </w:r>
    </w:p>
    <w:p>
      <w:pPr>
        <w:spacing w:after="0" w:line="20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Under Swiss law, we may increase our share capital (</w:t>
      </w:r>
      <w:r>
        <w:rPr>
          <w:rFonts w:ascii="Times New Roman" w:cs="Times New Roman" w:eastAsia="Times New Roman" w:hAnsi="Times New Roman"/>
          <w:sz w:val="18"/>
          <w:szCs w:val="18"/>
          <w:i w:val="1"/>
          <w:iCs w:val="1"/>
          <w:color w:val="auto"/>
        </w:rPr>
        <w:t>capital-actions</w:t>
      </w:r>
      <w:r>
        <w:rPr>
          <w:rFonts w:ascii="Times New Roman" w:cs="Times New Roman" w:eastAsia="Times New Roman" w:hAnsi="Times New Roman"/>
          <w:sz w:val="18"/>
          <w:szCs w:val="18"/>
          <w:color w:val="auto"/>
        </w:rPr>
        <w:t>) with a resolution of the general meeting of shareholders (ordinary capital increase) that must be carried out by the board of directors within six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14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Furthermore, under the Swiss Code of Obligations, the CO,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 conditional capital (</w:t>
      </w:r>
      <w:r>
        <w:rPr>
          <w:rFonts w:ascii="Times New Roman" w:cs="Times New Roman" w:eastAsia="Times New Roman" w:hAnsi="Times New Roman"/>
          <w:sz w:val="18"/>
          <w:szCs w:val="18"/>
          <w:i w:val="1"/>
          <w:iCs w:val="1"/>
          <w:color w:val="auto"/>
        </w:rPr>
        <w:t>capital conditionnel</w:t>
      </w:r>
      <w:r>
        <w:rPr>
          <w:rFonts w:ascii="Times New Roman" w:cs="Times New Roman" w:eastAsia="Times New Roman" w:hAnsi="Times New Roman"/>
          <w:sz w:val="18"/>
          <w:szCs w:val="18"/>
          <w:color w:val="auto"/>
        </w:rPr>
        <w:t>) for the purpose of issuing shares in connection with, among other things, (i) the exercise of conversion and/or option or warrant rights granted on a standalone basis or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844550</wp:posOffset>
            </wp:positionV>
            <wp:extent cx="629221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3" w:name="page224"/>
    <w:bookmarkEnd w:id="22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87"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color w:val="auto"/>
        </w:rPr>
        <w:t>Pursuant to the CO, shareholders have in principle pre-emptive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With respect to conditional capital in connection with the issuance of conversion rights, convertible bonds or similar debt instruments, shareholders have in principle advance subscription rights (</w:t>
      </w:r>
      <w:r>
        <w:rPr>
          <w:rFonts w:ascii="Times New Roman" w:cs="Times New Roman" w:eastAsia="Times New Roman" w:hAnsi="Times New Roman"/>
          <w:sz w:val="18"/>
          <w:szCs w:val="18"/>
          <w:i w:val="1"/>
          <w:iCs w:val="1"/>
          <w:color w:val="auto"/>
        </w:rPr>
        <w:t>droit de souscrire préalablement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3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Conditional Share Capital</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Financing and Other Purposes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Article 3b of our articles of association, our share capital may be increased by a maximum aggregate amount of CHF 100,000 through the issue of a maximum of 5,000,000 common shares, payable in full, each with a nominal value of CHF 0.02, through the optional or mandatory exercise of conversion, exchange, option, warrant or similar rights or obligations for the subscription of shares granted to shareholders or third parties on a standalone basis or in connection with bonds, notes, options, warrants or other securities or contractual obligations of the Company or any subsidiaries of the Company, including convertible debt instruments. Shareholders do not have pre-emptive subscription rights in such circumstances.</w:t>
      </w:r>
    </w:p>
    <w:p>
      <w:pPr>
        <w:spacing w:after="0" w:line="14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Shareholders’ subscription rights are excluded. Shareholders’ advance subscription rights with regard to the new bonds, warrants or similar instruments may be restricted or excluded by decision of the board of directors in order to finance or re-finance the acquisition of companies, parts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Employee Benefit Plans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Article 3c of our articles of association, our share capital may, to the exclusion of the pre-emptive subscription rights of shareholders, be increased by a maximum aggregate amount of CHF 91,844.20 through the issue of a maximum of 4,592,210 registered shares, payable in full, each with a nominal value of CHF 0.02, in connection with the exercise of option rights granted to employee of the Company or a subsidiary, members of the board of directors or any consultant, or other persons providing services to the Company or a subsidiary. The board of directors specifies the precise conditions of issue including the issue price of the shares.</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20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within the meaning of Article 973c of the CO) and, when administered by a financial intermediary (</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within the meaning of the Federal Act on Intermediated Securities, “FISA”), qualify as intermediated securities (</w:t>
      </w:r>
      <w:r>
        <w:rPr>
          <w:rFonts w:ascii="Times New Roman" w:cs="Times New Roman" w:eastAsia="Times New Roman" w:hAnsi="Times New Roman"/>
          <w:sz w:val="18"/>
          <w:szCs w:val="18"/>
          <w:i w:val="1"/>
          <w:iCs w:val="1"/>
          <w:color w:val="auto"/>
        </w:rPr>
        <w:t>titres intermédiés</w:t>
      </w:r>
      <w:r>
        <w:rPr>
          <w:rFonts w:ascii="Times New Roman" w:cs="Times New Roman" w:eastAsia="Times New Roman" w:hAnsi="Times New Roman"/>
          <w:sz w:val="18"/>
          <w:szCs w:val="18"/>
          <w:color w:val="auto"/>
        </w:rPr>
        <w:t>, within the meaning of the FISA). In accordance with Article 973c of the CO, we maintain a non-public register of uncertificated securities (</w:t>
      </w:r>
      <w:r>
        <w:rPr>
          <w:rFonts w:ascii="Times New Roman" w:cs="Times New Roman" w:eastAsia="Times New Roman" w:hAnsi="Times New Roman"/>
          <w:sz w:val="18"/>
          <w:szCs w:val="18"/>
          <w:i w:val="1"/>
          <w:iCs w:val="1"/>
          <w:color w:val="auto"/>
        </w:rPr>
        <w:t>registre des droits-valeurs</w:t>
      </w:r>
      <w:r>
        <w:rPr>
          <w:rFonts w:ascii="Times New Roman" w:cs="Times New Roman" w:eastAsia="Times New Roman" w:hAnsi="Times New Roman"/>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Ordinary/Extraordinary Meetings, Powers</w:t>
      </w:r>
    </w:p>
    <w:p>
      <w:pPr>
        <w:spacing w:after="0" w:line="20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powers are vested exclusively in the general meeting of shareholders:</w:t>
      </w:r>
    </w:p>
    <w:p>
      <w:pPr>
        <w:spacing w:after="0" w:line="185" w:lineRule="exact"/>
        <w:rPr>
          <w:sz w:val="20"/>
          <w:szCs w:val="20"/>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amending the articles of association, including change of a company’s purpose or domicile;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224" w:name="page225"/>
    <w:bookmarkEnd w:id="224"/>
    <w:p>
      <w:pPr>
        <w:ind w:left="660" w:right="500" w:hanging="328"/>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and removal of the members of the board of directors, the chairman of the board of directors, the members of the compensation committee, the auditors and the independent proxy;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management report and the consolidated accounts;</w:t>
      </w:r>
    </w:p>
    <w:p>
      <w:pPr>
        <w:spacing w:after="0" w:line="19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accounts and resolutions on the allocation of the disposable profits, and in particular setting the dividend and the shares of profit to board members;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total compensation paid to members of the board of directors and executive management;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the interim dividend and approve the interim account required therefor;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repaying the statutory capital reserve;</w:t>
      </w:r>
    </w:p>
    <w:p>
      <w:pPr>
        <w:spacing w:after="0" w:line="18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discharging the members of the board of directors and executive management from liability with respect to their tenure in the previous financial year;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a company with or without liquidation;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to delist the equity securities of the company; and</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passing resolutions concerning all matters which are reserved to the authority of the general meeting of shareholders by law or by the articles of association.</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general meeting, the board of directors or, under certain circumstances, by a company’s auditor, liquidator or the representatives of convertible bond holders, if any. In addition, our articles of association require the board of directors to convene an extraordinary general meeting of shareholders if shareholders representing at least 5% of the share capital request such general meeting of shareholders in writing. Such request to convene an extraordinary general meeting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18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resolution of the general meeting of the shareholders passed by at least two-thirds of the shares represented at the meeting, and the absolute majority of the nominal value of the shares represented is required for:</w:t>
      </w:r>
    </w:p>
    <w:p>
      <w:pPr>
        <w:spacing w:after="0" w:line="135" w:lineRule="exact"/>
        <w:rPr>
          <w:sz w:val="20"/>
          <w:szCs w:val="20"/>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 company’s corporate purpose;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unless the consent of all the shareholders concerned is required;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shares with privileged voting rights;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transferability of common shares;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conditional share capital or a capital band;</w:t>
      </w:r>
    </w:p>
    <w:p>
      <w:pPr>
        <w:spacing w:after="0" w:line="184"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share capital out of equity, against contributions in-kind or for the purpose of acquiring assets and granting of special benefits;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withdrawing shareholder’s pre-emptive subscription rights;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 company’s domicile;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casting vote for the person chairing the general meeting;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provision on holding the general meeting abroad;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the delisting of the equity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25" w:name="page226"/>
    <w:bookmarkEnd w:id="225"/>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an arbitration clause in the articles of association;</w:t>
      </w:r>
    </w:p>
    <w:p>
      <w:pPr>
        <w:spacing w:after="0" w:line="18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alleviating or withdrawing of restrictions upon the transfer of common shares and the removal of the voting cap of 33 1∕3% as contained in article 4 of the articles of association;</w:t>
      </w:r>
    </w:p>
    <w:p>
      <w:pPr>
        <w:spacing w:after="0" w:line="13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indemnification provision for the board of directors and executive management as contained in article 29 of the articles of association;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common shares into bearer shares and vice versa;</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or liquidating a company; and</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or eliminating article 17 (</w:t>
      </w:r>
      <w:r>
        <w:rPr>
          <w:rFonts w:ascii="Times New Roman" w:cs="Times New Roman" w:eastAsia="Times New Roman" w:hAnsi="Times New Roman"/>
          <w:sz w:val="18"/>
          <w:szCs w:val="18"/>
          <w:i w:val="1"/>
          <w:iCs w:val="1"/>
          <w:color w:val="auto"/>
        </w:rPr>
        <w:t>resolutions and elections</w:t>
      </w:r>
      <w:r>
        <w:rPr>
          <w:rFonts w:ascii="Times New Roman" w:cs="Times New Roman" w:eastAsia="Times New Roman" w:hAnsi="Times New Roman"/>
          <w:sz w:val="18"/>
          <w:szCs w:val="18"/>
          <w:color w:val="auto"/>
        </w:rPr>
        <w:t>) of the articles of association.</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35"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5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Shareholders who represent an aggregate of at least 0.5% of the share capital of votes may request that (i) an item be included in the agenda for a general meeting of shareholders and (ii) proposals relating to items on the agenda be included in the invitation to the general meeting of shareholders. A request for inclusion of an item on the agenda must in principle be requested in writing delivered to or mailed and received at the registered office of the Company at least 60 calendar days before the first anniversary of the date that the Company’s proxy statement was released to shareholders in connection with the previous year’s ordinary general meeting of shareholders. The shareholders may submit a brief description of the business desired to be brought before the ordinary general meeting of shareholders and the reasons for conducting such business at the ordinary general meeting of shareholders. The request must contain, for each of the agenda items, the following information:</w:t>
      </w:r>
    </w:p>
    <w:p>
      <w:pPr>
        <w:spacing w:after="0" w:line="151" w:lineRule="exact"/>
        <w:rPr>
          <w:sz w:val="20"/>
          <w:szCs w:val="20"/>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in our share register, of the shareholder proposing such business;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Company which are beneficially owned by such shareholder;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upon which the shareholder acquired such shares;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documentary support for any claim of beneficial ownership;</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such shareholder in such business; and</w:t>
      </w:r>
    </w:p>
    <w:p>
      <w:pPr>
        <w:spacing w:after="0" w:line="184"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 support of the matter and, for proposals sought to be included in the Company’s proxy statement, any other information required by Securities and Exchange Commission Rule 14a-8.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26" w:name="page227"/>
    <w:bookmarkEnd w:id="226"/>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2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4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8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3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Under the CO, if our general reserves (</w:t>
      </w:r>
      <w:r>
        <w:rPr>
          <w:rFonts w:ascii="Times New Roman" w:cs="Times New Roman" w:eastAsia="Times New Roman" w:hAnsi="Times New Roman"/>
          <w:sz w:val="18"/>
          <w:szCs w:val="18"/>
          <w:i w:val="1"/>
          <w:iCs w:val="1"/>
          <w:color w:val="auto"/>
        </w:rPr>
        <w:t>réserve générale</w:t>
      </w:r>
      <w:r>
        <w:rPr>
          <w:rFonts w:ascii="Times New Roman" w:cs="Times New Roman" w:eastAsia="Times New Roman" w:hAnsi="Times New Roman"/>
          <w:sz w:val="18"/>
          <w:szCs w:val="18"/>
          <w:color w:val="auto"/>
        </w:rPr>
        <w:t>) amount to less than 20% of our share capital recorded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Commercial Register (i.e., 20% of the aggregate nominal value of our issued capital), then at least 5% of our annual profit must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retained as general reserves. The CO permits us to accrue additional general reserves. Further, a purchase of our own shares (whether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or a subsidiary) reduces the distributable reserves in an amount corresponding to the purchase price of such own shares. Finally,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under certain circumstances requires the creation of revaluation reserves which are not distributable.</w:t>
      </w:r>
    </w:p>
    <w:p>
      <w:pPr>
        <w:spacing w:after="0" w:line="166"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An ordinary capital reduction must be completed within six months after the resolution of shareholders, otherwise such resolution becomes invalid.</w:t>
      </w:r>
    </w:p>
    <w:p>
      <w:pPr>
        <w:spacing w:after="0" w:line="13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87" w:lineRule="exact"/>
        <w:rPr>
          <w:sz w:val="20"/>
          <w:szCs w:val="20"/>
          <w:color w:val="auto"/>
        </w:rPr>
      </w:pPr>
    </w:p>
    <w:p>
      <w:pPr>
        <w:jc w:val="both"/>
        <w:ind w:right="240" w:firstLine="324"/>
        <w:spacing w:after="0" w:line="267" w:lineRule="auto"/>
        <w:rPr>
          <w:sz w:val="20"/>
          <w:szCs w:val="20"/>
          <w:color w:val="auto"/>
        </w:rPr>
      </w:pPr>
      <w:r>
        <w:rPr>
          <w:rFonts w:ascii="Times New Roman" w:cs="Times New Roman" w:eastAsia="Times New Roman" w:hAnsi="Times New Roman"/>
          <w:sz w:val="18"/>
          <w:szCs w:val="18"/>
          <w:color w:val="auto"/>
        </w:rPr>
        <w:t>Shares in uncertificated form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may only be transferred by way of assignment. Shares that constitute intermediated securities (</w:t>
      </w:r>
      <w:r>
        <w:rPr>
          <w:rFonts w:ascii="Times New Roman" w:cs="Times New Roman" w:eastAsia="Times New Roman" w:hAnsi="Times New Roman"/>
          <w:sz w:val="18"/>
          <w:szCs w:val="18"/>
          <w:i w:val="1"/>
          <w:iCs w:val="1"/>
          <w:color w:val="auto"/>
        </w:rPr>
        <w:t>titres intermédiés</w:t>
      </w:r>
      <w:r>
        <w:rPr>
          <w:rFonts w:ascii="Times New Roman" w:cs="Times New Roman" w:eastAsia="Times New Roman" w:hAnsi="Times New Roman"/>
          <w:sz w:val="18"/>
          <w:szCs w:val="18"/>
          <w:color w:val="auto"/>
        </w:rPr>
        <w:t>) may only be transferred when a credit of the relevant intermediated securities to the acquirer’s securities account is made in accordance with the relevant provisions of the FISA. Article 5 of our articles of association provides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27" w:name="page228"/>
    <w:bookmarkEnd w:id="227"/>
    <w:p>
      <w:pPr>
        <w:ind w:right="280"/>
        <w:spacing w:after="0" w:line="282" w:lineRule="auto"/>
        <w:rPr>
          <w:sz w:val="20"/>
          <w:szCs w:val="20"/>
          <w:color w:val="auto"/>
        </w:rPr>
      </w:pPr>
      <w:r>
        <w:rPr>
          <w:rFonts w:ascii="Times New Roman" w:cs="Times New Roman" w:eastAsia="Times New Roman" w:hAnsi="Times New Roman"/>
          <w:sz w:val="18"/>
          <w:szCs w:val="18"/>
          <w:color w:val="auto"/>
        </w:rPr>
        <w:t>transfer of intermediated securities and the pledging of these intermediated securities are based on the provisions of the FISA and that transfer of propriety as collateral by means of written assignment are not permitted.</w:t>
      </w:r>
    </w:p>
    <w:p>
      <w:pPr>
        <w:spacing w:after="0" w:line="1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Voting rights may be exercised only after a shareholder (or usufructuaries) has been entered in our share register (</w:t>
      </w:r>
      <w:r>
        <w:rPr>
          <w:rFonts w:ascii="Times New Roman" w:cs="Times New Roman" w:eastAsia="Times New Roman" w:hAnsi="Times New Roman"/>
          <w:sz w:val="18"/>
          <w:szCs w:val="18"/>
          <w:i w:val="1"/>
          <w:iCs w:val="1"/>
          <w:color w:val="auto"/>
        </w:rPr>
        <w:t>registre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actions</w:t>
      </w:r>
      <w:r>
        <w:rPr>
          <w:rFonts w:ascii="Times New Roman" w:cs="Times New Roman" w:eastAsia="Times New Roman" w:hAnsi="Times New Roman"/>
          <w:sz w:val="18"/>
          <w:szCs w:val="18"/>
          <w:color w:val="auto"/>
        </w:rPr>
        <w:t>) with his or her name, first name and address (in the case of legal entities, the registered office) as a shareholder with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voting caps apply to shareholders acquiring shares for other persons (nominees).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Special Investigation</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5 percent of the share capital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Compulsory Acquisitions; Appraisal Rights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14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4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53" w:lineRule="exact"/>
        <w:rPr>
          <w:sz w:val="20"/>
          <w:szCs w:val="20"/>
          <w:color w:val="auto"/>
        </w:rPr>
      </w:pPr>
    </w:p>
    <w:p>
      <w:pPr>
        <w:ind w:left="660" w:right="360" w:hanging="328"/>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statutory business purpose; and</w:t>
      </w:r>
    </w:p>
    <w:p>
      <w:pPr>
        <w:spacing w:after="0" w:line="184"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8" w:name="page229"/>
    <w:bookmarkEnd w:id="228"/>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articles of association provide that the board of directors shall consist of at least three and not more than nine members.</w:t>
      </w:r>
    </w:p>
    <w:p>
      <w:pPr>
        <w:spacing w:after="0" w:line="185"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Powers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has the following non-delegable and inalienable powers and duties:</w:t>
      </w:r>
    </w:p>
    <w:p>
      <w:pPr>
        <w:spacing w:after="0" w:line="185"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Company and the issuing of all necessary directives;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Company’s organization;</w:t>
      </w:r>
    </w:p>
    <w:p>
      <w:pPr>
        <w:spacing w:after="0" w:line="198"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Company;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Company;</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supervision of the persons entrusted with managing the Company, in particular with regard to compliance with the law, articles of association, operational regulations and directives;</w:t>
      </w:r>
    </w:p>
    <w:p>
      <w:pPr>
        <w:spacing w:after="0" w:line="134"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compilation of the annual report, and the preparation for the general meeting of shareholders and implementing its resolutions;</w:t>
      </w:r>
    </w:p>
    <w:p>
      <w:pPr>
        <w:spacing w:after="0" w:line="12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compensation report and to request approval by the general meeting of shareholders regarding the compensation of the board of directors and the executive committee;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court in the event that the Company is over-indebted.</w:t>
      </w:r>
    </w:p>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143"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assigns the persons with signatory power for the Company and the kind of signatory power.</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Indemnification of Executive Management and Directors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13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586105</wp:posOffset>
            </wp:positionV>
            <wp:extent cx="629221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229" w:name="page230"/>
    <w:bookmarkEnd w:id="22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 Management Transactions</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 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6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covers a broad range of matters, including the handling of conflicts of interest.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the Compensation of the Board of Directors and the Executive Management</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forms of compensation are prohibited for members of our board of directors and executive management, such as:</w:t>
      </w:r>
    </w:p>
    <w:p>
      <w:pPr>
        <w:spacing w:after="0" w:line="185" w:lineRule="exact"/>
        <w:rPr>
          <w:sz w:val="20"/>
          <w:szCs w:val="20"/>
          <w:color w:val="auto"/>
        </w:rPr>
      </w:pPr>
    </w:p>
    <w:p>
      <w:pPr>
        <w:ind w:left="660" w:right="80" w:hanging="328"/>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corporations, or parts thereof, by the Company or by companies being, directly or indirectly, controlled by the us;</w:t>
      </w:r>
    </w:p>
    <w:p>
      <w:pPr>
        <w:spacing w:after="0" w:line="12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indebtedness, pension benefits not based on occupational pension schemes and performance-based compensation not provided for in the articles of association;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and conversion and option rights awards not provided for in the articles of association.</w:t>
      </w:r>
    </w:p>
    <w:p>
      <w:pPr>
        <w:spacing w:after="0" w:line="185" w:lineRule="exact"/>
        <w:rPr>
          <w:sz w:val="20"/>
          <w:szCs w:val="20"/>
          <w:color w:val="auto"/>
        </w:rPr>
      </w:pPr>
    </w:p>
    <w:p>
      <w:pPr>
        <w:jc w:val="center"/>
        <w:ind w:right="420"/>
        <w:spacing w:after="0" w:line="266" w:lineRule="auto"/>
        <w:rPr>
          <w:sz w:val="20"/>
          <w:szCs w:val="20"/>
          <w:color w:val="auto"/>
        </w:rPr>
      </w:pPr>
      <w:r>
        <w:rPr>
          <w:rFonts w:ascii="Times New Roman" w:cs="Times New Roman" w:eastAsia="Times New Roman" w:hAnsi="Times New Roman"/>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general meeting of shareholders annually votes on the proposals of the board of directors with respect to:</w:t>
      </w:r>
    </w:p>
    <w:p>
      <w:pPr>
        <w:spacing w:after="0" w:line="198" w:lineRule="exact"/>
        <w:rPr>
          <w:sz w:val="20"/>
          <w:szCs w:val="20"/>
          <w:color w:val="auto"/>
        </w:rPr>
      </w:pPr>
    </w:p>
    <w:p>
      <w:pPr>
        <w:ind w:left="660" w:right="580" w:hanging="328"/>
        <w:spacing w:after="0" w:line="282"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board of directors for the period until the next Ordinary General Meeting;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executive committee for the following financial year.</w:t>
      </w:r>
    </w:p>
    <w:p>
      <w:pPr>
        <w:spacing w:after="0" w:line="18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13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0" w:name="page231"/>
    <w:bookmarkEnd w:id="230"/>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14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and Purchases of Own Shares</w:t>
      </w:r>
    </w:p>
    <w:p>
      <w:pPr>
        <w:spacing w:after="0" w:line="20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hold 10,899,773 fully paid up common shares of par value CHF 0.02 each, as treasury shares.</w:t>
      </w:r>
    </w:p>
    <w:p>
      <w:pPr>
        <w:spacing w:after="0" w:line="18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Notification and Disclosure of Substantial Share Interests</w:t>
      </w:r>
    </w:p>
    <w:p>
      <w:pPr>
        <w:spacing w:after="0" w:line="189"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 of Shares</w:t>
      </w:r>
    </w:p>
    <w:p>
      <w:pPr>
        <w:spacing w:after="0" w:line="20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Subsidiaries of AC Immune SA</w:t>
            </w:r>
          </w:p>
        </w:tc>
      </w:tr>
      <w:tr>
        <w:trPr>
          <w:trHeight w:val="391"/>
        </w:trPr>
        <w:tc>
          <w:tcPr>
            <w:tcW w:w="1720" w:type="dxa"/>
            <w:vAlign w:val="bottom"/>
          </w:tcPr>
          <w:p>
            <w:pPr>
              <w:spacing w:after="0"/>
              <w:rPr>
                <w:sz w:val="24"/>
                <w:szCs w:val="24"/>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Name of Subsidiary</w:t>
            </w:r>
          </w:p>
        </w:tc>
        <w:tc>
          <w:tcPr>
            <w:tcW w:w="2820" w:type="dxa"/>
            <w:vAlign w:val="bottom"/>
          </w:tcPr>
          <w:p>
            <w:pPr>
              <w:spacing w:after="0"/>
              <w:rPr>
                <w:sz w:val="24"/>
                <w:szCs w:val="24"/>
                <w:color w:val="auto"/>
              </w:rPr>
            </w:pPr>
          </w:p>
        </w:tc>
        <w:tc>
          <w:tcPr>
            <w:tcW w:w="356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0"/>
        </w:trPr>
        <w:tc>
          <w:tcPr>
            <w:tcW w:w="17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53"/>
        </w:trPr>
        <w:tc>
          <w:tcPr>
            <w:tcW w:w="354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color w:val="auto"/>
                <w:w w:val="99"/>
              </w:rPr>
              <w:t>AC Immune USA, Inc.</w:t>
            </w:r>
          </w:p>
        </w:tc>
        <w:tc>
          <w:tcPr>
            <w:tcW w:w="2820" w:type="dxa"/>
            <w:vAlign w:val="bottom"/>
          </w:tcPr>
          <w:p>
            <w:pPr>
              <w:spacing w:after="0"/>
              <w:rPr>
                <w:sz w:val="24"/>
                <w:szCs w:val="24"/>
                <w:color w:val="auto"/>
              </w:rPr>
            </w:pPr>
          </w:p>
        </w:tc>
        <w:tc>
          <w:tcPr>
            <w:tcW w:w="356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776"/>
        </w:trPr>
        <w:tc>
          <w:tcPr>
            <w:tcW w:w="17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32" w:name="page233"/>
    <w:bookmarkEnd w:id="232"/>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Policy Concerning Trading in Company Securities</w:t>
      </w:r>
    </w:p>
    <w:p>
      <w:pPr>
        <w:spacing w:after="0" w:line="200" w:lineRule="exact"/>
        <w:rPr>
          <w:sz w:val="20"/>
          <w:szCs w:val="20"/>
          <w:color w:val="auto"/>
        </w:rPr>
      </w:pPr>
    </w:p>
    <w:p>
      <w:pPr>
        <w:spacing w:after="0" w:line="31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Adopted September 22, 2016</w:t>
      </w:r>
    </w:p>
    <w:p>
      <w:pPr>
        <w:spacing w:after="0" w:line="3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i w:val="1"/>
          <w:iCs w:val="1"/>
          <w:color w:val="auto"/>
        </w:rPr>
        <w:t>Revised February 16, 2017</w:t>
      </w:r>
    </w:p>
    <w:p>
      <w:pPr>
        <w:spacing w:after="0" w:line="3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Revised April 27, 2021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Revised December 6,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00" w:hanging="620"/>
        <w:spacing w:after="0"/>
        <w:tabs>
          <w:tab w:leader="none" w:pos="1000" w:val="left"/>
        </w:tabs>
        <w:numPr>
          <w:ilvl w:val="0"/>
          <w:numId w:val="1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Introduction</w:t>
      </w:r>
    </w:p>
    <w:p>
      <w:pPr>
        <w:spacing w:after="0" w:line="266" w:lineRule="exact"/>
        <w:rPr>
          <w:sz w:val="20"/>
          <w:szCs w:val="20"/>
          <w:color w:val="auto"/>
        </w:rPr>
      </w:pPr>
    </w:p>
    <w:p>
      <w:pPr>
        <w:jc w:val="both"/>
        <w:ind w:left="360" w:right="339" w:firstLine="647"/>
        <w:spacing w:after="0" w:line="283" w:lineRule="auto"/>
        <w:rPr>
          <w:sz w:val="20"/>
          <w:szCs w:val="20"/>
          <w:color w:val="auto"/>
        </w:rPr>
      </w:pPr>
      <w:r>
        <w:rPr>
          <w:rFonts w:ascii="Times New Roman" w:cs="Times New Roman" w:eastAsia="Times New Roman" w:hAnsi="Times New Roman"/>
          <w:sz w:val="18"/>
          <w:szCs w:val="18"/>
          <w:color w:val="auto"/>
        </w:rPr>
        <w:t>It is the policy of AC Immune SA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without exception, comply with all applicable laws and regulations in conducting its business. When carrying out Company business, employees and directors must avoid any activity that violates applicable laws or regulations. Each employee and each director is expected to abide by this policy.</w:t>
      </w:r>
    </w:p>
    <w:p>
      <w:pPr>
        <w:spacing w:after="0" w:line="202" w:lineRule="exact"/>
        <w:rPr>
          <w:sz w:val="20"/>
          <w:szCs w:val="20"/>
          <w:color w:val="auto"/>
        </w:rPr>
      </w:pPr>
    </w:p>
    <w:p>
      <w:pPr>
        <w:jc w:val="both"/>
        <w:ind w:left="360" w:right="359" w:firstLine="648"/>
        <w:spacing w:after="0" w:line="276" w:lineRule="auto"/>
        <w:rPr>
          <w:sz w:val="20"/>
          <w:szCs w:val="20"/>
          <w:color w:val="auto"/>
        </w:rPr>
      </w:pPr>
      <w:r>
        <w:rPr>
          <w:rFonts w:ascii="Times New Roman" w:cs="Times New Roman" w:eastAsia="Times New Roman" w:hAnsi="Times New Roman"/>
          <w:sz w:val="18"/>
          <w:szCs w:val="18"/>
          <w:color w:val="auto"/>
        </w:rPr>
        <w:t>This policy is intended to prevent insider trading and ensure compliance with insider trading laws. Adherence to this policy will ensure that the Company conducts its business with the highest level of integrity and in accordance with the highest ethical standards, and will further help safeguard the Company’s reputation. To avoid even an appearance of impropriety, the Company’s directors, officers and certain other employees are subject to pre-approval requirements and other limitations on their ability to enter into transactions involving the Company’s securities. Although these limitations do not apply to transactions pursuant to written plans for trading securities that comply with Rule 10b5-1 under the United States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entry into, amendment or termination of any such written trading plan is subject to the same pre-approval requirements and other limitations that apply to other requests to trade in the Company's securities outlined in this policy.</w:t>
      </w:r>
    </w:p>
    <w:p>
      <w:pPr>
        <w:spacing w:after="0" w:line="194" w:lineRule="exact"/>
        <w:rPr>
          <w:sz w:val="20"/>
          <w:szCs w:val="20"/>
          <w:color w:val="auto"/>
        </w:rPr>
      </w:pPr>
    </w:p>
    <w:p>
      <w:pPr>
        <w:ind w:left="1000" w:hanging="620"/>
        <w:spacing w:after="0"/>
        <w:tabs>
          <w:tab w:leader="none" w:pos="1000" w:val="left"/>
        </w:tabs>
        <w:numPr>
          <w:ilvl w:val="0"/>
          <w:numId w:val="1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Rule</w:t>
      </w:r>
    </w:p>
    <w:p>
      <w:pPr>
        <w:spacing w:after="0" w:line="256" w:lineRule="exact"/>
        <w:rPr>
          <w:sz w:val="20"/>
          <w:szCs w:val="20"/>
          <w:color w:val="auto"/>
        </w:rPr>
      </w:pPr>
    </w:p>
    <w:p>
      <w:pPr>
        <w:jc w:val="both"/>
        <w:ind w:left="360" w:right="359" w:firstLine="648"/>
        <w:spacing w:after="0" w:line="279" w:lineRule="auto"/>
        <w:rPr>
          <w:sz w:val="20"/>
          <w:szCs w:val="20"/>
          <w:color w:val="auto"/>
        </w:rPr>
      </w:pPr>
      <w:r>
        <w:rPr>
          <w:rFonts w:ascii="Times New Roman" w:cs="Times New Roman" w:eastAsia="Times New Roman" w:hAnsi="Times New Roman"/>
          <w:sz w:val="18"/>
          <w:szCs w:val="18"/>
          <w:color w:val="auto"/>
        </w:rPr>
        <w:t>The United States have laws regulating the sale and purchase of securities in the interest of protecting the investing public. A company, its officers and directors, and other employees have the responsibility to ensure that information about the Company is not used unlawfully in the purchase and sale of securities. The purpose of regulating trading on Material Non-Public Information or Inside Information (each as defined below) is to give all persons trading in a company’s securities an equal access to the material information about the company. “</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means any information which (a) a reasonable investor would likely consider important in making an investment decision and (b) has not been publicly disclosed in a manner making it available to investors generally on a broad-based non-exclusionary basis.</w:t>
      </w:r>
    </w:p>
    <w:p>
      <w:pPr>
        <w:spacing w:after="0" w:line="181" w:lineRule="exact"/>
        <w:rPr>
          <w:sz w:val="20"/>
          <w:szCs w:val="20"/>
          <w:color w:val="auto"/>
        </w:rPr>
      </w:pPr>
    </w:p>
    <w:p>
      <w:pPr>
        <w:jc w:val="both"/>
        <w:ind w:left="340" w:right="339" w:firstLine="649"/>
        <w:spacing w:after="0" w:line="278" w:lineRule="auto"/>
        <w:rPr>
          <w:sz w:val="20"/>
          <w:szCs w:val="20"/>
          <w:color w:val="auto"/>
        </w:rPr>
      </w:pPr>
      <w:r>
        <w:rPr>
          <w:rFonts w:ascii="Times New Roman" w:cs="Times New Roman" w:eastAsia="Times New Roman" w:hAnsi="Times New Roman"/>
          <w:sz w:val="18"/>
          <w:szCs w:val="18"/>
          <w:color w:val="auto"/>
        </w:rPr>
        <w:t>The general rules can be stated as follows: It is a violation of federal U.S. securities laws for any person to buy or sell securities if he or she is in possession of Inside Information pertaining to such securities. Furthermore, Inside Information must be kept strictly confidential and only disclosed on a strict need-to-know basis and with appropriate measures to ensure confidentiality. It is illegal for any person in possession of Inside Information to provide other people with such information or to recommend that they buy or sell securities (known as “</w:t>
      </w:r>
      <w:r>
        <w:rPr>
          <w:rFonts w:ascii="Times New Roman" w:cs="Times New Roman" w:eastAsia="Times New Roman" w:hAnsi="Times New Roman"/>
          <w:sz w:val="18"/>
          <w:szCs w:val="18"/>
          <w:b w:val="1"/>
          <w:bCs w:val="1"/>
          <w:color w:val="auto"/>
        </w:rPr>
        <w:t>tipping</w:t>
      </w:r>
      <w:r>
        <w:rPr>
          <w:rFonts w:ascii="Times New Roman" w:cs="Times New Roman" w:eastAsia="Times New Roman" w:hAnsi="Times New Roman"/>
          <w:sz w:val="18"/>
          <w:szCs w:val="18"/>
          <w:color w:val="auto"/>
        </w:rPr>
        <w:t>”). In that case, both the recommending person as well as the trading person may be held liable.</w:t>
      </w:r>
    </w:p>
    <w:p>
      <w:pPr>
        <w:spacing w:after="0" w:line="195" w:lineRule="exact"/>
        <w:rPr>
          <w:sz w:val="20"/>
          <w:szCs w:val="20"/>
          <w:color w:val="auto"/>
        </w:rPr>
      </w:pPr>
    </w:p>
    <w:p>
      <w:pPr>
        <w:jc w:val="both"/>
        <w:ind w:left="340" w:right="359" w:firstLine="649"/>
        <w:spacing w:after="0" w:line="297" w:lineRule="auto"/>
        <w:rPr>
          <w:sz w:val="20"/>
          <w:szCs w:val="20"/>
          <w:color w:val="auto"/>
        </w:rPr>
      </w:pPr>
      <w:r>
        <w:rPr>
          <w:rFonts w:ascii="Times New Roman" w:cs="Times New Roman" w:eastAsia="Times New Roman" w:hAnsi="Times New Roman"/>
          <w:sz w:val="18"/>
          <w:szCs w:val="18"/>
          <w:color w:val="auto"/>
        </w:rPr>
        <w:t>If an employee or a director of the Company knows Inside Information, that employee or director is prohibited from buying or selling securities in the Company until the information has been disclosed to the public.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349885</wp:posOffset>
            </wp:positionV>
            <wp:extent cx="541782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5417820" cy="2540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233" w:name="page234"/>
    <w:bookmarkEnd w:id="233"/>
    <w:p>
      <w:pPr>
        <w:ind w:left="1000" w:hanging="620"/>
        <w:spacing w:after="0"/>
        <w:tabs>
          <w:tab w:leader="none" w:pos="1000" w:val="left"/>
        </w:tabs>
        <w:numPr>
          <w:ilvl w:val="0"/>
          <w:numId w:val="1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Sanctions</w:t>
      </w:r>
    </w:p>
    <w:p>
      <w:pPr>
        <w:spacing w:after="0" w:line="243" w:lineRule="exact"/>
        <w:rPr>
          <w:sz w:val="20"/>
          <w:szCs w:val="20"/>
          <w:color w:val="auto"/>
        </w:rPr>
      </w:pPr>
    </w:p>
    <w:p>
      <w:pPr>
        <w:jc w:val="both"/>
        <w:ind w:left="360" w:right="359" w:firstLine="647"/>
        <w:spacing w:after="0" w:line="277" w:lineRule="auto"/>
        <w:rPr>
          <w:sz w:val="20"/>
          <w:szCs w:val="20"/>
          <w:color w:val="auto"/>
        </w:rPr>
      </w:pPr>
      <w:r>
        <w:rPr>
          <w:rFonts w:ascii="Times New Roman" w:cs="Times New Roman" w:eastAsia="Times New Roman" w:hAnsi="Times New Roman"/>
          <w:sz w:val="18"/>
          <w:szCs w:val="18"/>
          <w:color w:val="auto"/>
        </w:rPr>
        <w:t>Civil and criminal penalties for insider trading are severe.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stock exchanges and plaintiffs’ lawyers focus on uncovering insider trading. A breach of the U.S. insider trading laws could expose the insider to criminal fines up to three times the profits earned and imprisonment for up to ten years, in addition to civil penalties (up to three times the profits earned), and injunctive actions. In addition, punitive damages may be imposed under applicable U.S. state laws. Securities laws also subject controlling persons to civil penalties for illegal insider trading by employees, including employees located outside the United States. Controlling persons include directors, officers and supervisors. These persons may be subject to fines up to the greater of $1,000,000 or three times the profit (or loss avoided) earned by the insider.</w:t>
      </w:r>
    </w:p>
    <w:p>
      <w:pPr>
        <w:spacing w:after="0" w:line="191" w:lineRule="exact"/>
        <w:rPr>
          <w:sz w:val="20"/>
          <w:szCs w:val="20"/>
          <w:color w:val="auto"/>
        </w:rPr>
      </w:pPr>
    </w:p>
    <w:p>
      <w:pPr>
        <w:ind w:left="1000" w:hanging="620"/>
        <w:spacing w:after="0"/>
        <w:tabs>
          <w:tab w:leader="none" w:pos="1000" w:val="left"/>
        </w:tabs>
        <w:numPr>
          <w:ilvl w:val="0"/>
          <w:numId w:val="1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Persons in Scope</w:t>
      </w:r>
    </w:p>
    <w:p>
      <w:pPr>
        <w:spacing w:after="0" w:line="256" w:lineRule="exact"/>
        <w:rPr>
          <w:sz w:val="20"/>
          <w:szCs w:val="20"/>
          <w:color w:val="auto"/>
        </w:rPr>
      </w:pPr>
    </w:p>
    <w:p>
      <w:pPr>
        <w:jc w:val="both"/>
        <w:ind w:left="340" w:right="339" w:firstLine="648"/>
        <w:spacing w:after="0" w:line="287" w:lineRule="auto"/>
        <w:rPr>
          <w:sz w:val="20"/>
          <w:szCs w:val="20"/>
          <w:color w:val="auto"/>
        </w:rPr>
      </w:pPr>
      <w:r>
        <w:rPr>
          <w:rFonts w:ascii="Times New Roman" w:cs="Times New Roman" w:eastAsia="Times New Roman" w:hAnsi="Times New Roman"/>
          <w:sz w:val="18"/>
          <w:szCs w:val="18"/>
          <w:color w:val="auto"/>
        </w:rPr>
        <w:t>The prohibition against trading on Inside Information applies to directors, officers and all other employees, and to other people who gain access to that information. Because of their access to confidential information on a regular basis, Company policy subjects its directors and certain employees, which are defined in Paragraph G of this Policy to additional restrictions on trading in Company securities.</w:t>
      </w:r>
    </w:p>
    <w:p>
      <w:pPr>
        <w:spacing w:after="0" w:line="153" w:lineRule="exact"/>
        <w:rPr>
          <w:sz w:val="20"/>
          <w:szCs w:val="20"/>
          <w:color w:val="auto"/>
        </w:rPr>
      </w:pPr>
    </w:p>
    <w:p>
      <w:pPr>
        <w:ind w:left="1000" w:hanging="620"/>
        <w:spacing w:after="0"/>
        <w:tabs>
          <w:tab w:leader="none" w:pos="1000" w:val="left"/>
        </w:tabs>
        <w:numPr>
          <w:ilvl w:val="0"/>
          <w:numId w:val="1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Companies’ Securities</w:t>
      </w:r>
    </w:p>
    <w:p>
      <w:pPr>
        <w:spacing w:after="0" w:line="270" w:lineRule="exact"/>
        <w:rPr>
          <w:sz w:val="20"/>
          <w:szCs w:val="20"/>
          <w:color w:val="auto"/>
        </w:rPr>
      </w:pPr>
    </w:p>
    <w:p>
      <w:pPr>
        <w:jc w:val="both"/>
        <w:ind w:left="360" w:right="339" w:firstLine="647"/>
        <w:spacing w:after="0" w:line="289" w:lineRule="auto"/>
        <w:rPr>
          <w:sz w:val="20"/>
          <w:szCs w:val="20"/>
          <w:color w:val="auto"/>
        </w:rPr>
      </w:pPr>
      <w:r>
        <w:rPr>
          <w:rFonts w:ascii="Times New Roman" w:cs="Times New Roman" w:eastAsia="Times New Roman" w:hAnsi="Times New Roman"/>
          <w:sz w:val="18"/>
          <w:szCs w:val="18"/>
          <w:color w:val="auto"/>
        </w:rPr>
        <w:t>Employees and directors who learn Inside Information about suppliers, customers, or competitors through their work at the Company, should keep it confidential and not buy or sell securities in such companies until the information becomes public. Employees and directors should not give tips about such securities.</w:t>
      </w:r>
    </w:p>
    <w:p>
      <w:pPr>
        <w:spacing w:after="0" w:line="153" w:lineRule="exact"/>
        <w:rPr>
          <w:sz w:val="20"/>
          <w:szCs w:val="20"/>
          <w:color w:val="auto"/>
        </w:rPr>
      </w:pPr>
    </w:p>
    <w:p>
      <w:pPr>
        <w:ind w:left="1000" w:hanging="620"/>
        <w:spacing w:after="0"/>
        <w:tabs>
          <w:tab w:leader="none" w:pos="1000" w:val="left"/>
        </w:tabs>
        <w:numPr>
          <w:ilvl w:val="0"/>
          <w:numId w:val="1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Pledging of Securities, Margin Accounts</w:t>
      </w:r>
    </w:p>
    <w:p>
      <w:pPr>
        <w:spacing w:after="0" w:line="270" w:lineRule="exact"/>
        <w:rPr>
          <w:sz w:val="20"/>
          <w:szCs w:val="20"/>
          <w:color w:val="auto"/>
        </w:rPr>
      </w:pPr>
    </w:p>
    <w:p>
      <w:pPr>
        <w:jc w:val="both"/>
        <w:ind w:left="380" w:right="359" w:firstLine="647"/>
        <w:spacing w:after="0" w:line="278" w:lineRule="auto"/>
        <w:rPr>
          <w:sz w:val="20"/>
          <w:szCs w:val="20"/>
          <w:color w:val="auto"/>
        </w:rPr>
      </w:pPr>
      <w:r>
        <w:rPr>
          <w:rFonts w:ascii="Times New Roman" w:cs="Times New Roman" w:eastAsia="Times New Roman" w:hAnsi="Times New Roman"/>
          <w:sz w:val="18"/>
          <w:szCs w:val="18"/>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employee or a director has Inside Information or is otherwise not permitted to trade in Company securities, the Company prohibits employees and directors from pledging Company securities in any circumstance, including by purchasing Company securities on margin or holding Company securities in a margin account.</w:t>
      </w:r>
    </w:p>
    <w:p>
      <w:pPr>
        <w:spacing w:after="0" w:line="164" w:lineRule="exact"/>
        <w:rPr>
          <w:sz w:val="20"/>
          <w:szCs w:val="20"/>
          <w:color w:val="auto"/>
        </w:rPr>
      </w:pPr>
    </w:p>
    <w:p>
      <w:pPr>
        <w:ind w:left="1000" w:hanging="620"/>
        <w:spacing w:after="0"/>
        <w:tabs>
          <w:tab w:leader="none" w:pos="1000" w:val="left"/>
        </w:tabs>
        <w:numPr>
          <w:ilvl w:val="0"/>
          <w:numId w:val="1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Guidelines</w:t>
      </w:r>
    </w:p>
    <w:p>
      <w:pPr>
        <w:spacing w:after="0" w:line="270" w:lineRule="exact"/>
        <w:rPr>
          <w:sz w:val="20"/>
          <w:szCs w:val="20"/>
          <w:color w:val="auto"/>
        </w:rPr>
      </w:pPr>
    </w:p>
    <w:p>
      <w:pPr>
        <w:ind w:left="360" w:right="359" w:firstLine="647"/>
        <w:spacing w:after="0" w:line="297" w:lineRule="auto"/>
        <w:rPr>
          <w:sz w:val="20"/>
          <w:szCs w:val="20"/>
          <w:color w:val="auto"/>
        </w:rPr>
      </w:pPr>
      <w:r>
        <w:rPr>
          <w:rFonts w:ascii="Times New Roman" w:cs="Times New Roman" w:eastAsia="Times New Roman" w:hAnsi="Times New Roman"/>
          <w:sz w:val="18"/>
          <w:szCs w:val="18"/>
          <w:color w:val="auto"/>
        </w:rPr>
        <w:t>The following guidelines should be followed to ensure compliance with applicable insider trading laws and with the Company’s policies:</w:t>
      </w:r>
    </w:p>
    <w:p>
      <w:pPr>
        <w:spacing w:after="0" w:line="149" w:lineRule="exact"/>
        <w:rPr>
          <w:sz w:val="20"/>
          <w:szCs w:val="20"/>
          <w:color w:val="auto"/>
        </w:rPr>
      </w:pPr>
    </w:p>
    <w:p>
      <w:pPr>
        <w:ind w:left="880" w:right="359" w:hanging="325"/>
        <w:spacing w:after="0" w:line="282" w:lineRule="auto"/>
        <w:tabs>
          <w:tab w:leader="none" w:pos="8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obligation</w:t>
      </w:r>
      <w:r>
        <w:rPr>
          <w:rFonts w:ascii="Times New Roman" w:cs="Times New Roman" w:eastAsia="Times New Roman" w:hAnsi="Times New Roman"/>
          <w:sz w:val="18"/>
          <w:szCs w:val="18"/>
          <w:color w:val="auto"/>
        </w:rPr>
        <w:t>. Inside Information must not be disclosed to anyone, except to persons within the Company whose positions require them to know it.</w:t>
      </w:r>
    </w:p>
    <w:p>
      <w:pPr>
        <w:spacing w:after="0" w:line="161" w:lineRule="exact"/>
        <w:rPr>
          <w:rFonts w:ascii="Times New Roman" w:cs="Times New Roman" w:eastAsia="Times New Roman" w:hAnsi="Times New Roman"/>
          <w:sz w:val="18"/>
          <w:szCs w:val="18"/>
          <w:color w:val="auto"/>
        </w:rPr>
      </w:pPr>
    </w:p>
    <w:p>
      <w:pPr>
        <w:jc w:val="both"/>
        <w:ind w:left="860" w:right="359" w:hanging="305"/>
        <w:spacing w:after="0" w:line="254" w:lineRule="auto"/>
        <w:tabs>
          <w:tab w:leader="none" w:pos="8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in Company securities</w:t>
      </w:r>
      <w:r>
        <w:rPr>
          <w:rFonts w:ascii="Times New Roman" w:cs="Times New Roman" w:eastAsia="Times New Roman" w:hAnsi="Times New Roman"/>
          <w:sz w:val="18"/>
          <w:szCs w:val="18"/>
          <w:color w:val="auto"/>
        </w:rPr>
        <w:t xml:space="preserve">. No employee or director should place a purchase or sale order or recommend that another person place a purchase or sale order in the Company’s securities when he or she has knowledge of material information concerning the Company that has not been disclosed to the public. The exercise of employee options is not subject to this policy. However, common shares that were acquired upon exercise of an employee option will be treated like any other shares and may not be sold by an employee who is in possession of Inside Information. Any employee or director who possesses Inside Information should wait until the start of the </w:t>
      </w:r>
      <w:r>
        <w:rPr>
          <w:rFonts w:ascii="Times New Roman" w:cs="Times New Roman" w:eastAsia="Times New Roman" w:hAnsi="Times New Roman"/>
          <w:sz w:val="18"/>
          <w:szCs w:val="18"/>
          <w:b w:val="1"/>
          <w:bCs w:val="1"/>
          <w:color w:val="auto"/>
        </w:rPr>
        <w:t>second business day after</w:t>
      </w:r>
      <w:r>
        <w:rPr>
          <w:rFonts w:ascii="Times New Roman" w:cs="Times New Roman" w:eastAsia="Times New Roman" w:hAnsi="Times New Roman"/>
          <w:sz w:val="18"/>
          <w:szCs w:val="18"/>
          <w:color w:val="auto"/>
        </w:rPr>
        <w:t xml:space="preserve"> the information has been publicly released before trading Company securities.</w:t>
      </w:r>
    </w:p>
    <w:p>
      <w:pPr>
        <w:spacing w:after="0" w:line="191" w:lineRule="exact"/>
        <w:rPr>
          <w:rFonts w:ascii="Times New Roman" w:cs="Times New Roman" w:eastAsia="Times New Roman" w:hAnsi="Times New Roman"/>
          <w:sz w:val="18"/>
          <w:szCs w:val="18"/>
          <w:color w:val="auto"/>
        </w:rPr>
      </w:pPr>
    </w:p>
    <w:p>
      <w:pPr>
        <w:jc w:val="both"/>
        <w:ind w:left="880" w:right="359" w:hanging="325"/>
        <w:spacing w:after="0" w:line="255" w:lineRule="auto"/>
        <w:tabs>
          <w:tab w:leader="none" w:pos="8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Avoid frequent trading</w:t>
      </w:r>
      <w:r>
        <w:rPr>
          <w:rFonts w:ascii="Times New Roman" w:cs="Times New Roman" w:eastAsia="Times New Roman" w:hAnsi="Times New Roman"/>
          <w:sz w:val="18"/>
          <w:szCs w:val="18"/>
          <w:color w:val="auto"/>
        </w:rPr>
        <w:t>. Investing in the Company’s common shares provides an opportunity to share in the future growth of the Company. But investment in the Company and sharing in the growth of the Company does not mean short range speculation based on fluctuations in the market. Such activities put the personal gain of the employee or director in conflict with the best interests of the Company and its shareholders. Although this policy does not mean that employees or directors may never sell shares, the Company encourages employees and directors to avoid frequent trading in Company shares. Speculating in Company shares is not part of the Company culture.</w:t>
      </w:r>
    </w:p>
    <w:p>
      <w:pPr>
        <w:sectPr>
          <w:pgSz w:w="11900" w:h="16838" w:orient="portrait"/>
          <w:cols w:equalWidth="0" w:num="1">
            <w:col w:w="9019"/>
          </w:cols>
          <w:pgMar w:left="1440" w:top="684" w:right="1440"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364490</wp:posOffset>
            </wp:positionV>
            <wp:extent cx="541782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5417820" cy="2540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type w:val="continuous"/>
        </w:sectPr>
      </w:pPr>
    </w:p>
    <w:bookmarkStart w:id="234" w:name="page235"/>
    <w:bookmarkEnd w:id="234"/>
    <w:p>
      <w:pPr>
        <w:jc w:val="both"/>
        <w:ind w:left="880" w:right="359" w:hanging="325"/>
        <w:spacing w:after="0" w:line="255" w:lineRule="auto"/>
        <w:tabs>
          <w:tab w:leader="none" w:pos="8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in other securities</w:t>
      </w:r>
      <w:r>
        <w:rPr>
          <w:rFonts w:ascii="Times New Roman" w:cs="Times New Roman" w:eastAsia="Times New Roman" w:hAnsi="Times New Roman"/>
          <w:sz w:val="18"/>
          <w:szCs w:val="18"/>
          <w:color w:val="auto"/>
        </w:rPr>
        <w:t>. No employee or director should place a purchase or sale order or recommend that another person place a purchase or sale order, in the securities of another corporation, if the employee or director learns in the course of his or her employment Inside Information about the other corporation. For example, it would be a violation of the securities laws if an employee or director learned through Company sources that the Company intended to purchase assets from another company, and then placed an order to buy or sell shares in that other company because of the likely increase or decrease in the value of its securities.</w:t>
      </w:r>
    </w:p>
    <w:p>
      <w:pPr>
        <w:spacing w:after="0" w:line="188" w:lineRule="exact"/>
        <w:rPr>
          <w:rFonts w:ascii="Times New Roman" w:cs="Times New Roman" w:eastAsia="Times New Roman" w:hAnsi="Times New Roman"/>
          <w:sz w:val="18"/>
          <w:szCs w:val="18"/>
          <w:color w:val="auto"/>
        </w:rPr>
      </w:pPr>
    </w:p>
    <w:p>
      <w:pPr>
        <w:jc w:val="both"/>
        <w:ind w:left="880" w:right="359" w:hanging="325"/>
        <w:spacing w:after="0" w:line="261" w:lineRule="auto"/>
        <w:tabs>
          <w:tab w:leader="none" w:pos="8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 and trading in derivatives:</w:t>
      </w:r>
      <w:r>
        <w:rPr>
          <w:rFonts w:ascii="Times New Roman" w:cs="Times New Roman" w:eastAsia="Times New Roman" w:hAnsi="Times New Roman"/>
          <w:sz w:val="18"/>
          <w:szCs w:val="18"/>
          <w:color w:val="auto"/>
        </w:rPr>
        <w:t xml:space="preserve"> Employees and directors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the Company’s equity securities.</w:t>
      </w:r>
    </w:p>
    <w:p>
      <w:pPr>
        <w:spacing w:after="0" w:line="179" w:lineRule="exact"/>
        <w:rPr>
          <w:rFonts w:ascii="Times New Roman" w:cs="Times New Roman" w:eastAsia="Times New Roman" w:hAnsi="Times New Roman"/>
          <w:sz w:val="18"/>
          <w:szCs w:val="18"/>
          <w:color w:val="auto"/>
        </w:rPr>
      </w:pPr>
    </w:p>
    <w:p>
      <w:pPr>
        <w:jc w:val="both"/>
        <w:ind w:left="880" w:right="33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options or other derivatives is generally highly speculative and very risky. People who buy options are betting that the share price will move rapidly. For that reason, when a person trades in options in his or her employer’s shares, it will arouse suspicion in the eyes of the SEC that the person was trading based on Inside Information, particularly where the trading occurs before a company announcement or major event. It is difficult for an employee or director to prove that he or she did not know about the announcement or event.</w:t>
      </w:r>
    </w:p>
    <w:p>
      <w:pPr>
        <w:spacing w:after="0" w:line="187" w:lineRule="exact"/>
        <w:rPr>
          <w:rFonts w:ascii="Times New Roman" w:cs="Times New Roman" w:eastAsia="Times New Roman" w:hAnsi="Times New Roman"/>
          <w:sz w:val="18"/>
          <w:szCs w:val="18"/>
          <w:color w:val="auto"/>
        </w:rPr>
      </w:pPr>
    </w:p>
    <w:p>
      <w:pPr>
        <w:jc w:val="both"/>
        <w:ind w:left="880" w:right="3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 or the stock exchanges were to notice active options trading by one or more employees or directors of the Company prior to an announcement, they would investigate. Such an investigation could negatively impact the Company's reputation (as well as be expensive) and could result in severe penalties and expenses for the persons involved. For all these reasons, the Company prohibits its employees and directors from trading in options or other securities involving the Company’s common shares. This policy does not pertain to employee options granted by the Company. Employee options cannot be traded.</w:t>
      </w:r>
    </w:p>
    <w:p>
      <w:pPr>
        <w:spacing w:after="0" w:line="183" w:lineRule="exact"/>
        <w:rPr>
          <w:rFonts w:ascii="Times New Roman" w:cs="Times New Roman" w:eastAsia="Times New Roman" w:hAnsi="Times New Roman"/>
          <w:sz w:val="18"/>
          <w:szCs w:val="18"/>
          <w:color w:val="auto"/>
        </w:rPr>
      </w:pPr>
    </w:p>
    <w:p>
      <w:pPr>
        <w:ind w:left="1020" w:right="5979" w:hanging="640"/>
        <w:spacing w:after="0" w:line="530" w:lineRule="auto"/>
        <w:tabs>
          <w:tab w:leader="none" w:pos="1010" w:val="left"/>
        </w:tabs>
        <w:numPr>
          <w:ilvl w:val="0"/>
          <w:numId w:val="16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Trading Restrictions </w:t>
      </w:r>
      <w:r>
        <w:rPr>
          <w:rFonts w:ascii="Times New Roman" w:cs="Times New Roman" w:eastAsia="Times New Roman" w:hAnsi="Times New Roman"/>
          <w:sz w:val="17"/>
          <w:szCs w:val="17"/>
          <w:i w:val="1"/>
          <w:iCs w:val="1"/>
          <w:color w:val="auto"/>
        </w:rPr>
        <w:t>Regular Trading Restriction</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Company has regular trading restrictions for the following window group (the “</w:t>
      </w:r>
      <w:r>
        <w:rPr>
          <w:rFonts w:ascii="Times New Roman" w:cs="Times New Roman" w:eastAsia="Times New Roman" w:hAnsi="Times New Roman"/>
          <w:sz w:val="18"/>
          <w:szCs w:val="18"/>
          <w:b w:val="1"/>
          <w:bCs w:val="1"/>
          <w:color w:val="auto"/>
        </w:rPr>
        <w:t>Regular Window</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640" w:hanging="639"/>
        <w:spacing w:after="0"/>
        <w:tabs>
          <w:tab w:leader="none" w:pos="1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executive officers of the Company and their assistants and household members;</w:t>
      </w:r>
    </w:p>
    <w:p>
      <w:pPr>
        <w:spacing w:after="0" w:line="225" w:lineRule="exact"/>
        <w:rPr>
          <w:rFonts w:ascii="Times New Roman" w:cs="Times New Roman" w:eastAsia="Times New Roman" w:hAnsi="Times New Roman"/>
          <w:sz w:val="18"/>
          <w:szCs w:val="18"/>
          <w:color w:val="auto"/>
        </w:rPr>
      </w:pPr>
    </w:p>
    <w:p>
      <w:pPr>
        <w:jc w:val="both"/>
        <w:ind w:left="1640" w:right="359" w:hanging="639"/>
        <w:spacing w:after="0" w:line="266" w:lineRule="auto"/>
        <w:tabs>
          <w:tab w:leader="none" w:pos="1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Company’s Disclosure Committee, project leaders of the Company’s R&amp;D projects, members of the Clinical function, the Finance, Business Development, Investor Relations and Legal team; and,</w:t>
      </w:r>
    </w:p>
    <w:p>
      <w:pPr>
        <w:spacing w:after="0" w:line="175" w:lineRule="exact"/>
        <w:rPr>
          <w:rFonts w:ascii="Times New Roman" w:cs="Times New Roman" w:eastAsia="Times New Roman" w:hAnsi="Times New Roman"/>
          <w:sz w:val="18"/>
          <w:szCs w:val="18"/>
          <w:color w:val="auto"/>
        </w:rPr>
      </w:pPr>
    </w:p>
    <w:p>
      <w:pPr>
        <w:ind w:left="1640" w:hanging="639"/>
        <w:spacing w:after="0"/>
        <w:tabs>
          <w:tab w:leader="none" w:pos="1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groups of persons as may be designated from time to time by the Company.</w:t>
      </w:r>
    </w:p>
    <w:p>
      <w:pPr>
        <w:spacing w:after="0" w:line="225" w:lineRule="exact"/>
        <w:rPr>
          <w:sz w:val="20"/>
          <w:szCs w:val="20"/>
          <w:color w:val="auto"/>
        </w:rPr>
      </w:pPr>
    </w:p>
    <w:p>
      <w:pPr>
        <w:jc w:val="both"/>
        <w:ind w:left="240" w:right="239" w:firstLine="766"/>
        <w:spacing w:after="0" w:line="266" w:lineRule="auto"/>
        <w:rPr>
          <w:sz w:val="20"/>
          <w:szCs w:val="20"/>
          <w:color w:val="auto"/>
        </w:rPr>
      </w:pPr>
      <w:r>
        <w:rPr>
          <w:rFonts w:ascii="Times New Roman" w:cs="Times New Roman" w:eastAsia="Times New Roman" w:hAnsi="Times New Roman"/>
          <w:sz w:val="18"/>
          <w:szCs w:val="18"/>
          <w:color w:val="auto"/>
        </w:rPr>
        <w:t>If there is any doubt about whether you belong to the Regular Window Group, please check with the Chief Financial Officer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and General Counsel, or in their absence, the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before proceeding with trading.</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Regular Window Group is subject to the following restrictions on trading in Company securities:</w:t>
      </w:r>
    </w:p>
    <w:p>
      <w:pPr>
        <w:spacing w:after="0" w:line="225" w:lineRule="exact"/>
        <w:rPr>
          <w:sz w:val="20"/>
          <w:szCs w:val="20"/>
          <w:color w:val="auto"/>
        </w:rPr>
      </w:pPr>
    </w:p>
    <w:p>
      <w:pPr>
        <w:jc w:val="both"/>
        <w:ind w:left="1640" w:right="259" w:hanging="639"/>
        <w:spacing w:after="0" w:line="266" w:lineRule="auto"/>
        <w:tabs>
          <w:tab w:leader="none" w:pos="1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is permitted from the start of the second business day following an earnings release with respect to the preceding fiscal period until the last calendar day of the last month of the then current fiscal quarter (the “</w:t>
      </w:r>
      <w:r>
        <w:rPr>
          <w:rFonts w:ascii="Times New Roman" w:cs="Times New Roman" w:eastAsia="Times New Roman" w:hAnsi="Times New Roman"/>
          <w:sz w:val="18"/>
          <w:szCs w:val="18"/>
          <w:b w:val="1"/>
          <w:bCs w:val="1"/>
          <w:color w:val="auto"/>
        </w:rPr>
        <w:t>Regular Window</w:t>
      </w:r>
      <w:r>
        <w:rPr>
          <w:rFonts w:ascii="Times New Roman" w:cs="Times New Roman" w:eastAsia="Times New Roman" w:hAnsi="Times New Roman"/>
          <w:sz w:val="18"/>
          <w:szCs w:val="18"/>
          <w:color w:val="auto"/>
        </w:rPr>
        <w:t>”), subject to the restrictions below;</w:t>
      </w:r>
    </w:p>
    <w:p>
      <w:pPr>
        <w:spacing w:after="0" w:line="175" w:lineRule="exact"/>
        <w:rPr>
          <w:rFonts w:ascii="Times New Roman" w:cs="Times New Roman" w:eastAsia="Times New Roman" w:hAnsi="Times New Roman"/>
          <w:sz w:val="18"/>
          <w:szCs w:val="18"/>
          <w:color w:val="auto"/>
        </w:rPr>
      </w:pPr>
    </w:p>
    <w:p>
      <w:pPr>
        <w:ind w:left="1640" w:hanging="639"/>
        <w:spacing w:after="0"/>
        <w:tabs>
          <w:tab w:leader="none" w:pos="1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trading requests are subject to prior review;</w:t>
      </w:r>
    </w:p>
    <w:p>
      <w:pPr>
        <w:spacing w:after="0" w:line="225" w:lineRule="exact"/>
        <w:rPr>
          <w:rFonts w:ascii="Times New Roman" w:cs="Times New Roman" w:eastAsia="Times New Roman" w:hAnsi="Times New Roman"/>
          <w:sz w:val="18"/>
          <w:szCs w:val="18"/>
          <w:color w:val="auto"/>
        </w:rPr>
      </w:pPr>
    </w:p>
    <w:p>
      <w:pPr>
        <w:jc w:val="both"/>
        <w:ind w:left="1640" w:right="239" w:hanging="639"/>
        <w:spacing w:after="0" w:line="258" w:lineRule="auto"/>
        <w:tabs>
          <w:tab w:leader="none" w:pos="1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for all trades must be obtained from the CFO and General Counsel (or in their absence the CEO); or, in the case of trades by the CFO, clearance must be obtained from the CEO; or, in the case of trades by the CEO, clearance must be obtained from the chair of the Company’s Audit &amp; Finance Committee (or in his/her absence another member of the Audit &amp; Finance Committee); and</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364490</wp:posOffset>
            </wp:positionV>
            <wp:extent cx="54178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54178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235" w:name="page236"/>
    <w:bookmarkEnd w:id="235"/>
    <w:p>
      <w:pPr>
        <w:jc w:val="both"/>
        <w:ind w:left="1640" w:right="239" w:hanging="653"/>
        <w:spacing w:after="0" w:line="256" w:lineRule="auto"/>
        <w:tabs>
          <w:tab w:leader="none" w:pos="1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trading is permitted outside the Regular Window except for reasons of exceptional personal hardship and subject to prior review by the CEO (or in his/her absence the CFO); or, if the CFO wishes to trade outside the Regular Window, it shall be subject to prior review by the CEO; or, if the CEO wishes to trade outside the Regular Window, it shall be subject to prior review by the chair of the Audit &amp; Finance Committee (or in his/her absence another member of the Audit &amp; Finance Committee).</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Special Trading Restrictions</w:t>
      </w:r>
    </w:p>
    <w:p>
      <w:pPr>
        <w:spacing w:after="0" w:line="227" w:lineRule="exact"/>
        <w:rPr>
          <w:sz w:val="20"/>
          <w:szCs w:val="20"/>
          <w:color w:val="auto"/>
        </w:rPr>
      </w:pPr>
    </w:p>
    <w:p>
      <w:pPr>
        <w:jc w:val="both"/>
        <w:ind w:left="240" w:right="239" w:firstLine="766"/>
        <w:spacing w:after="0" w:line="282" w:lineRule="auto"/>
        <w:rPr>
          <w:sz w:val="20"/>
          <w:szCs w:val="20"/>
          <w:color w:val="auto"/>
        </w:rPr>
      </w:pPr>
      <w:r>
        <w:rPr>
          <w:rFonts w:ascii="Times New Roman" w:cs="Times New Roman" w:eastAsia="Times New Roman" w:hAnsi="Times New Roman"/>
          <w:sz w:val="18"/>
          <w:szCs w:val="18"/>
          <w:color w:val="auto"/>
        </w:rPr>
        <w:t>Special trading restrictions may be constituted in the context of special events, such as, but not limited to, material transactions, clinical readouts, management changes or significant litigation or regulatory proceedings.</w:t>
      </w:r>
    </w:p>
    <w:p>
      <w:pPr>
        <w:spacing w:after="0" w:line="162" w:lineRule="exact"/>
        <w:rPr>
          <w:sz w:val="20"/>
          <w:szCs w:val="20"/>
          <w:color w:val="auto"/>
        </w:rPr>
      </w:pPr>
    </w:p>
    <w:p>
      <w:pPr>
        <w:jc w:val="both"/>
        <w:ind w:left="240" w:right="239" w:firstLine="766"/>
        <w:spacing w:after="0" w:line="266" w:lineRule="auto"/>
        <w:rPr>
          <w:sz w:val="20"/>
          <w:szCs w:val="20"/>
          <w:color w:val="auto"/>
        </w:rPr>
      </w:pPr>
      <w:r>
        <w:rPr>
          <w:rFonts w:ascii="Times New Roman" w:cs="Times New Roman" w:eastAsia="Times New Roman" w:hAnsi="Times New Roman"/>
          <w:sz w:val="18"/>
          <w:szCs w:val="18"/>
          <w:color w:val="auto"/>
        </w:rPr>
        <w:t>In case of such special events, a list of persons to be included will be created and communicated to said persons. All persons subject to the special trading restrictions will be informed on the specific dates (“</w:t>
      </w:r>
      <w:r>
        <w:rPr>
          <w:rFonts w:ascii="Times New Roman" w:cs="Times New Roman" w:eastAsia="Times New Roman" w:hAnsi="Times New Roman"/>
          <w:sz w:val="18"/>
          <w:szCs w:val="18"/>
          <w:b w:val="1"/>
          <w:bCs w:val="1"/>
          <w:color w:val="auto"/>
        </w:rPr>
        <w:t>Specific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Window</w:t>
      </w:r>
      <w:r>
        <w:rPr>
          <w:rFonts w:ascii="Times New Roman" w:cs="Times New Roman" w:eastAsia="Times New Roman" w:hAnsi="Times New Roman"/>
          <w:sz w:val="18"/>
          <w:szCs w:val="18"/>
          <w:color w:val="auto"/>
        </w:rPr>
        <w:t>” and together with the Regular Window, each a “</w:t>
      </w:r>
      <w:r>
        <w:rPr>
          <w:rFonts w:ascii="Times New Roman" w:cs="Times New Roman" w:eastAsia="Times New Roman" w:hAnsi="Times New Roman"/>
          <w:sz w:val="18"/>
          <w:szCs w:val="18"/>
          <w:b w:val="1"/>
          <w:bCs w:val="1"/>
          <w:color w:val="auto"/>
        </w:rPr>
        <w:t>Window</w:t>
      </w:r>
      <w:r>
        <w:rPr>
          <w:rFonts w:ascii="Times New Roman" w:cs="Times New Roman" w:eastAsia="Times New Roman" w:hAnsi="Times New Roman"/>
          <w:sz w:val="18"/>
          <w:szCs w:val="18"/>
          <w:color w:val="auto"/>
        </w:rPr>
        <w:t>”), the involved persons and the restrictions.</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Exceptions</w:t>
      </w:r>
    </w:p>
    <w:p>
      <w:pPr>
        <w:spacing w:after="0" w:line="227" w:lineRule="exact"/>
        <w:rPr>
          <w:sz w:val="20"/>
          <w:szCs w:val="20"/>
          <w:color w:val="auto"/>
        </w:rPr>
      </w:pPr>
    </w:p>
    <w:p>
      <w:pPr>
        <w:jc w:val="both"/>
        <w:ind w:left="240" w:right="239" w:firstLine="638"/>
        <w:spacing w:after="0" w:line="266" w:lineRule="auto"/>
        <w:rPr>
          <w:sz w:val="20"/>
          <w:szCs w:val="20"/>
          <w:color w:val="auto"/>
        </w:rPr>
      </w:pPr>
      <w:r>
        <w:rPr>
          <w:rFonts w:ascii="Times New Roman" w:cs="Times New Roman" w:eastAsia="Times New Roman" w:hAnsi="Times New Roman"/>
          <w:sz w:val="18"/>
          <w:szCs w:val="18"/>
          <w:color w:val="auto"/>
        </w:rPr>
        <w:t>Note that at times the CFO and General Counsel may determine that no trades may occur even during the Window. No reasons may be provided and the closing of the Window itself may constitute Inside Information that should not be communicated.</w:t>
      </w:r>
    </w:p>
    <w:p>
      <w:pPr>
        <w:spacing w:after="0" w:line="176" w:lineRule="exact"/>
        <w:rPr>
          <w:sz w:val="20"/>
          <w:szCs w:val="20"/>
          <w:color w:val="auto"/>
        </w:rPr>
      </w:pPr>
    </w:p>
    <w:p>
      <w:pPr>
        <w:jc w:val="both"/>
        <w:ind w:left="240" w:right="239" w:firstLine="638"/>
        <w:spacing w:after="0" w:line="254" w:lineRule="auto"/>
        <w:rPr>
          <w:sz w:val="20"/>
          <w:szCs w:val="20"/>
          <w:color w:val="auto"/>
        </w:rPr>
      </w:pPr>
      <w:r>
        <w:rPr>
          <w:rFonts w:ascii="Times New Roman" w:cs="Times New Roman" w:eastAsia="Times New Roman" w:hAnsi="Times New Roman"/>
          <w:sz w:val="18"/>
          <w:szCs w:val="18"/>
          <w:color w:val="auto"/>
        </w:rPr>
        <w:t>The foregoing restrictions do not apply to transactions pursuant to written plans for trading securities that comply with Rule 10b5-1 under the Exchange Act (“</w:t>
      </w:r>
      <w:r>
        <w:rPr>
          <w:rFonts w:ascii="Times New Roman" w:cs="Times New Roman" w:eastAsia="Times New Roman" w:hAnsi="Times New Roman"/>
          <w:sz w:val="18"/>
          <w:szCs w:val="18"/>
          <w:b w:val="1"/>
          <w:bCs w:val="1"/>
          <w:color w:val="auto"/>
        </w:rPr>
        <w:t>10b5-1 Plans</w:t>
      </w:r>
      <w:r>
        <w:rPr>
          <w:rFonts w:ascii="Times New Roman" w:cs="Times New Roman" w:eastAsia="Times New Roman" w:hAnsi="Times New Roman"/>
          <w:sz w:val="18"/>
          <w:szCs w:val="18"/>
          <w:color w:val="auto"/>
        </w:rPr>
        <w:t>”). However, persons subject to trading restrictions must obtain prior clearance before entering into a 10b5-1 Plan from the CEO (or in his/her absence the CFO); or, if the CFO wishes to enter into a 10b5-1 Plan, it shall be subject to prior review by the CEO; or, if the CEO wishes to enter into a 10b5-1 Plan, it shall be subject to prior review by the chair of the Audit &amp; Finance Committee (or in his/her absence another member of the Audit &amp; Finance Committee). In addition, persons subject to trading restrictions may not amend or terminate a 10b5-1 Plan without the prior approval of the chair of the Audit &amp; Finance Committee, which will generally only be given during a Regular Window period.</w:t>
      </w: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Adopted by the Board of Directors on December 6, 2024</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349885</wp:posOffset>
            </wp:positionV>
            <wp:extent cx="541782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541782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Andrea Pfeifer, certify that:</w:t>
      </w:r>
    </w:p>
    <w:p>
      <w:pPr>
        <w:spacing w:after="0" w:line="225" w:lineRule="exact"/>
        <w:rPr>
          <w:sz w:val="20"/>
          <w:szCs w:val="20"/>
          <w:color w:val="auto"/>
        </w:rPr>
      </w:pPr>
    </w:p>
    <w:p>
      <w:pPr>
        <w:ind w:left="180" w:hanging="172"/>
        <w:spacing w:after="0"/>
        <w:tabs>
          <w:tab w:leader="none" w:pos="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AC Immune SA;</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60" w:firstLine="8"/>
        <w:spacing w:after="0" w:line="276" w:lineRule="auto"/>
        <w:tabs>
          <w:tab w:leader="none" w:pos="18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company and have:</w:t>
      </w:r>
    </w:p>
    <w:p>
      <w:pPr>
        <w:spacing w:after="0" w:line="207" w:lineRule="exact"/>
        <w:rPr>
          <w:sz w:val="20"/>
          <w:szCs w:val="20"/>
          <w:color w:val="auto"/>
        </w:rPr>
      </w:pPr>
    </w:p>
    <w:p>
      <w:pPr>
        <w:ind w:right="120" w:firstLine="8"/>
        <w:spacing w:after="0" w:line="266" w:lineRule="auto"/>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right="160" w:firstLine="8"/>
        <w:spacing w:after="0" w:line="266" w:lineRule="auto"/>
        <w:tabs>
          <w:tab w:leader="none" w:pos="1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right="180" w:firstLine="8"/>
        <w:spacing w:after="0" w:line="282" w:lineRule="auto"/>
        <w:tabs>
          <w:tab w:leader="none" w:pos="24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25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Andrea Pfeifer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Andrea Pfeifer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Roberts, certify that:</w:t>
      </w:r>
    </w:p>
    <w:p>
      <w:pPr>
        <w:spacing w:after="0" w:line="225" w:lineRule="exact"/>
        <w:rPr>
          <w:sz w:val="20"/>
          <w:szCs w:val="20"/>
          <w:color w:val="auto"/>
        </w:rPr>
      </w:pPr>
    </w:p>
    <w:p>
      <w:pPr>
        <w:ind w:left="180" w:hanging="172"/>
        <w:spacing w:after="0"/>
        <w:tabs>
          <w:tab w:leader="none" w:pos="1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AC Immune SA;</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60" w:firstLine="8"/>
        <w:spacing w:after="0" w:line="276" w:lineRule="auto"/>
        <w:tabs>
          <w:tab w:leader="none" w:pos="18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company and have:</w:t>
      </w:r>
    </w:p>
    <w:p>
      <w:pPr>
        <w:spacing w:after="0" w:line="207" w:lineRule="exact"/>
        <w:rPr>
          <w:sz w:val="20"/>
          <w:szCs w:val="20"/>
          <w:color w:val="auto"/>
        </w:rPr>
      </w:pPr>
    </w:p>
    <w:p>
      <w:pPr>
        <w:ind w:right="120" w:firstLine="8"/>
        <w:spacing w:after="0" w:line="266" w:lineRule="auto"/>
        <w:tabs>
          <w:tab w:leader="none" w:pos="24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4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right="160" w:firstLine="8"/>
        <w:spacing w:after="0" w:line="266" w:lineRule="auto"/>
        <w:tabs>
          <w:tab w:leader="none" w:pos="1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right="180" w:firstLine="8"/>
        <w:spacing w:after="0" w:line="282" w:lineRule="auto"/>
        <w:tabs>
          <w:tab w:leader="none" w:pos="24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25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Roberts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Christopher Roberts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AC Immune SA’s annual report on Form 20-F for the year ended December 31, 2024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Andrea Pfeifer, the Chief Executive Officer of AC Immune SA, certifies that, to the best of her knowledge:</w:t>
      </w:r>
    </w:p>
    <w:p>
      <w:pPr>
        <w:spacing w:after="0" w:line="225" w:lineRule="exact"/>
        <w:rPr>
          <w:sz w:val="20"/>
          <w:szCs w:val="20"/>
          <w:color w:val="auto"/>
        </w:rPr>
      </w:pPr>
    </w:p>
    <w:p>
      <w:pPr>
        <w:ind w:left="180" w:hanging="172"/>
        <w:spacing w:after="0"/>
        <w:tabs>
          <w:tab w:leader="none" w:pos="1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right="100" w:firstLine="8"/>
        <w:spacing w:after="0" w:line="282" w:lineRule="auto"/>
        <w:tabs>
          <w:tab w:leader="none" w:pos="1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AC Immune SA.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2025</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Andrea Pfeifer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AC Immune SA’s annual report on Form 20-F for the year ended December 31, 2024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Roberts, the Chief Financial Officer of AC Immune SA, certifies that, to the best of his knowledge:</w:t>
      </w:r>
    </w:p>
    <w:p>
      <w:pPr>
        <w:spacing w:after="0" w:line="225" w:lineRule="exact"/>
        <w:rPr>
          <w:sz w:val="20"/>
          <w:szCs w:val="20"/>
          <w:color w:val="auto"/>
        </w:rPr>
      </w:pPr>
    </w:p>
    <w:p>
      <w:pPr>
        <w:ind w:left="180" w:hanging="172"/>
        <w:spacing w:after="0"/>
        <w:tabs>
          <w:tab w:leader="none" w:pos="1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right="100" w:firstLine="8"/>
        <w:spacing w:after="0" w:line="282" w:lineRule="auto"/>
        <w:tabs>
          <w:tab w:leader="none" w:pos="1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AC Immune SA.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Roberts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F-3 (No. 333-277940) and on Form S-8 (No. 333-216539, No. 333-213865 and No. 333-233019) of AC Immune SA of our report dated March 13, 2025 relating to the financial statements and the effectiveness of internal control over financial reporting, which appears in this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Pully, 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691515</wp:posOffset>
            </wp:positionV>
            <wp:extent cx="629221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lvl w:ilvl="1">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1."/>
      <w:numFmt w:val="upperLetter"/>
      <w:start w:val="1"/>
    </w:lvl>
  </w:abstractNum>
  <w:abstractNum w:abstractNumId="12">
    <w:nsid w:val="60EF0119"/>
    <w:multiLevelType w:val="hybridMultilevel"/>
    <w:lvl w:ilvl="0">
      <w:lvlJc w:val="left"/>
      <w:lvlText w:val="%1."/>
      <w:numFmt w:val="upperLetter"/>
      <w:start w:val="1"/>
    </w:lvl>
  </w:abstractNum>
  <w:abstractNum w:abstractNumId="13">
    <w:nsid w:val="26F324BA"/>
    <w:multiLevelType w:val="hybridMultilevel"/>
    <w:lvl w:ilvl="0">
      <w:lvlJc w:val="left"/>
      <w:lvlText w:val="%1."/>
      <w:numFmt w:val="upperLetter"/>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lvl w:ilvl="1">
      <w:lvlJc w:val="left"/>
      <w:lvlText w:val="%2."/>
      <w:numFmt w:val="lowerLetter"/>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
      <w:numFmt w:val="bullet"/>
      <w:start w:val="1"/>
    </w:lvl>
  </w:abstractNum>
  <w:abstractNum w:abstractNumId="23">
    <w:nsid w:val="6FC75AF8"/>
    <w:multiLevelType w:val="hybridMultilevel"/>
    <w:lvl w:ilvl="0">
      <w:lvlJc w:val="left"/>
      <w:lvlText w:val="●"/>
      <w:numFmt w:val="bullet"/>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
      <w:numFmt w:val="bullet"/>
      <w:start w:val="1"/>
    </w:lvl>
  </w:abstractNum>
  <w:abstractNum w:abstractNumId="26">
    <w:nsid w:val="5F3534A4"/>
    <w:multiLevelType w:val="hybridMultilevel"/>
    <w:lvl w:ilvl="0">
      <w:lvlJc w:val="left"/>
      <w:lvlText w:val="●"/>
      <w:numFmt w:val="bullet"/>
      <w:start w:val="1"/>
    </w:lvl>
  </w:abstractNum>
  <w:abstractNum w:abstractNumId="27">
    <w:nsid w:val="73A1821B"/>
    <w:multiLevelType w:val="hybridMultilevel"/>
    <w:lvl w:ilvl="0">
      <w:lvlJc w:val="left"/>
      <w:lvlText w:val="●"/>
      <w:numFmt w:val="bullet"/>
      <w:start w:val="1"/>
    </w:lvl>
  </w:abstractNum>
  <w:abstractNum w:abstractNumId="28">
    <w:nsid w:val="7DE67713"/>
    <w:multiLevelType w:val="hybridMultilevel"/>
    <w:lvl w:ilvl="0">
      <w:lvlJc w:val="left"/>
      <w:lvlText w:val="(%1)"/>
      <w:numFmt w:val="lowerRoman"/>
      <w:start w:val="2"/>
    </w:lvl>
  </w:abstractNum>
  <w:abstractNum w:abstractNumId="29">
    <w:nsid w:val="555C55B5"/>
    <w:multiLevelType w:val="hybridMultilevel"/>
    <w:lvl w:ilvl="0">
      <w:lvlJc w:val="left"/>
      <w:lvlText w:val="(%1)"/>
      <w:numFmt w:val="lowerRoman"/>
      <w:start w:val="4"/>
    </w:lvl>
  </w:abstractNum>
  <w:abstractNum w:abstractNumId="30">
    <w:nsid w:val="3FA62ACA"/>
    <w:multiLevelType w:val="hybridMultilevel"/>
    <w:lvl w:ilvl="0">
      <w:lvlJc w:val="left"/>
      <w:lvlText w:val="●"/>
      <w:numFmt w:val="bullet"/>
      <w:start w:val="1"/>
    </w:lvl>
  </w:abstractNum>
  <w:abstractNum w:abstractNumId="31">
    <w:nsid w:val="14FCE74E"/>
    <w:multiLevelType w:val="hybridMultilevel"/>
    <w:lvl w:ilvl="0">
      <w:lvlJc w:val="left"/>
      <w:lvlText w:val="●"/>
      <w:numFmt w:val="bullet"/>
      <w:start w:val="1"/>
    </w:lvl>
  </w:abstractNum>
  <w:abstractNum w:abstractNumId="32">
    <w:nsid w:val="6A3DD3E8"/>
    <w:multiLevelType w:val="hybridMultilevel"/>
    <w:lvl w:ilvl="0">
      <w:lvlJc w:val="left"/>
      <w:lvlText w:val="●"/>
      <w:numFmt w:val="bullet"/>
      <w:start w:val="1"/>
    </w:lvl>
  </w:abstractNum>
  <w:abstractNum w:abstractNumId="33">
    <w:nsid w:val="71C91298"/>
    <w:multiLevelType w:val="hybridMultilevel"/>
    <w:lvl w:ilvl="0">
      <w:lvlJc w:val="left"/>
      <w:lvlText w:val="●"/>
      <w:numFmt w:val="bullet"/>
      <w:start w:val="1"/>
    </w:lvl>
  </w:abstractNum>
  <w:abstractNum w:abstractNumId="34">
    <w:nsid w:val="9DAF632"/>
    <w:multiLevelType w:val="hybridMultilevel"/>
    <w:lvl w:ilvl="0">
      <w:lvlJc w:val="left"/>
      <w:lvlText w:val="●"/>
      <w:numFmt w:val="bullet"/>
      <w:start w:val="1"/>
    </w:lvl>
  </w:abstractNum>
  <w:abstractNum w:abstractNumId="35">
    <w:nsid w:val="53299938"/>
    <w:multiLevelType w:val="hybridMultilevel"/>
    <w:lvl w:ilvl="0">
      <w:lvlJc w:val="left"/>
      <w:lvlText w:val="●"/>
      <w:numFmt w:val="bullet"/>
      <w:start w:val="1"/>
    </w:lvl>
  </w:abstractNum>
  <w:abstractNum w:abstractNumId="36">
    <w:nsid w:val="1FBFE8E0"/>
    <w:multiLevelType w:val="hybridMultilevel"/>
    <w:lvl w:ilvl="0">
      <w:lvlJc w:val="left"/>
      <w:lvlText w:val="●"/>
      <w:numFmt w:val="bullet"/>
      <w:start w:val="1"/>
    </w:lvl>
  </w:abstractNum>
  <w:abstractNum w:abstractNumId="37">
    <w:nsid w:val="5092CA79"/>
    <w:multiLevelType w:val="hybridMultilevel"/>
    <w:lvl w:ilvl="0">
      <w:lvlJc w:val="left"/>
      <w:lvlText w:val="●"/>
      <w:numFmt w:val="bullet"/>
      <w:start w:val="1"/>
    </w:lvl>
  </w:abstractNum>
  <w:abstractNum w:abstractNumId="38">
    <w:nsid w:val="1D545C4D"/>
    <w:multiLevelType w:val="hybridMultilevel"/>
    <w:lvl w:ilvl="0">
      <w:lvlJc w:val="left"/>
      <w:lvlText w:val="●"/>
      <w:numFmt w:val="bullet"/>
      <w:start w:val="1"/>
    </w:lvl>
  </w:abstractNum>
  <w:abstractNum w:abstractNumId="39">
    <w:nsid w:val="59ADEA3D"/>
    <w:multiLevelType w:val="hybridMultilevel"/>
    <w:lvl w:ilvl="0">
      <w:lvlJc w:val="left"/>
      <w:lvlText w:val="●"/>
      <w:numFmt w:val="bullet"/>
      <w:start w:val="1"/>
    </w:lvl>
  </w:abstractNum>
  <w:abstractNum w:abstractNumId="40">
    <w:nsid w:val="288F1A34"/>
    <w:multiLevelType w:val="hybridMultilevel"/>
    <w:lvl w:ilvl="0">
      <w:lvlJc w:val="left"/>
      <w:lvlText w:val="●"/>
      <w:numFmt w:val="bullet"/>
      <w:start w:val="1"/>
    </w:lvl>
  </w:abstractNum>
  <w:abstractNum w:abstractNumId="41">
    <w:nsid w:val="2A155DBC"/>
    <w:multiLevelType w:val="hybridMultilevel"/>
    <w:lvl w:ilvl="0">
      <w:lvlJc w:val="left"/>
      <w:lvlText w:val="●"/>
      <w:numFmt w:val="bullet"/>
      <w:start w:val="1"/>
    </w:lvl>
  </w:abstractNum>
  <w:abstractNum w:abstractNumId="42">
    <w:nsid w:val="1D9F6E5F"/>
    <w:multiLevelType w:val="hybridMultilevel"/>
    <w:lvl w:ilvl="0">
      <w:lvlJc w:val="left"/>
      <w:lvlText w:val="●"/>
      <w:numFmt w:val="bullet"/>
      <w:start w:val="1"/>
    </w:lvl>
  </w:abstractNum>
  <w:abstractNum w:abstractNumId="43">
    <w:nsid w:val="97E1B4E"/>
    <w:multiLevelType w:val="hybridMultilevel"/>
    <w:lvl w:ilvl="0">
      <w:lvlJc w:val="left"/>
      <w:lvlText w:val="●"/>
      <w:numFmt w:val="bullet"/>
      <w:start w:val="1"/>
    </w:lvl>
  </w:abstractNum>
  <w:abstractNum w:abstractNumId="44">
    <w:nsid w:val="51088277"/>
    <w:multiLevelType w:val="hybridMultilevel"/>
    <w:lvl w:ilvl="0">
      <w:lvlJc w:val="left"/>
      <w:lvlText w:val="●"/>
      <w:numFmt w:val="bullet"/>
      <w:start w:val="1"/>
    </w:lvl>
  </w:abstractNum>
  <w:abstractNum w:abstractNumId="45">
    <w:nsid w:val="1CA0C5FA"/>
    <w:multiLevelType w:val="hybridMultilevel"/>
    <w:lvl w:ilvl="0">
      <w:lvlJc w:val="left"/>
      <w:lvlText w:val="●"/>
      <w:numFmt w:val="bullet"/>
      <w:start w:val="1"/>
    </w:lvl>
  </w:abstractNum>
  <w:abstractNum w:abstractNumId="46">
    <w:nsid w:val="53584BCB"/>
    <w:multiLevelType w:val="hybridMultilevel"/>
    <w:lvl w:ilvl="0">
      <w:lvlJc w:val="left"/>
      <w:lvlText w:val="●"/>
      <w:numFmt w:val="bullet"/>
      <w:start w:val="1"/>
    </w:lvl>
  </w:abstractNum>
  <w:abstractNum w:abstractNumId="47">
    <w:nsid w:val="415E286C"/>
    <w:multiLevelType w:val="hybridMultilevel"/>
    <w:lvl w:ilvl="0">
      <w:lvlJc w:val="left"/>
      <w:lvlText w:val="●"/>
      <w:numFmt w:val="bullet"/>
      <w:start w:val="1"/>
    </w:lvl>
  </w:abstractNum>
  <w:abstractNum w:abstractNumId="48">
    <w:nsid w:val="7C58FD05"/>
    <w:multiLevelType w:val="hybridMultilevel"/>
    <w:lvl w:ilvl="0">
      <w:lvlJc w:val="left"/>
      <w:lvlText w:val="(%1)"/>
      <w:numFmt w:val="decimal"/>
      <w:start w:val="1"/>
    </w:lvl>
  </w:abstractNum>
  <w:abstractNum w:abstractNumId="49">
    <w:nsid w:val="23D86AAC"/>
    <w:multiLevelType w:val="hybridMultilevel"/>
    <w:lvl w:ilvl="0">
      <w:lvlJc w:val="left"/>
      <w:lvlText w:val="(%1)"/>
      <w:numFmt w:val="lowerRoman"/>
      <w:start w:val="2"/>
    </w:lvl>
  </w:abstractNum>
  <w:abstractNum w:abstractNumId="50">
    <w:nsid w:val="45E6D486"/>
    <w:multiLevelType w:val="hybridMultilevel"/>
    <w:lvl w:ilvl="0">
      <w:lvlJc w:val="left"/>
      <w:lvlText w:val="%1."/>
      <w:numFmt w:val="decimal"/>
      <w:start w:val="1"/>
    </w:lvl>
  </w:abstractNum>
  <w:abstractNum w:abstractNumId="51">
    <w:nsid w:val="5C10FE21"/>
    <w:multiLevelType w:val="hybridMultilevel"/>
    <w:lvl w:ilvl="0">
      <w:lvlJc w:val="left"/>
      <w:lvlText w:val="(%1)"/>
      <w:numFmt w:val="decimal"/>
      <w:start w:val="1"/>
    </w:lvl>
  </w:abstractNum>
  <w:abstractNum w:abstractNumId="52">
    <w:nsid w:val="E7FFA2B"/>
    <w:multiLevelType w:val="hybridMultilevel"/>
    <w:lvl w:ilvl="0">
      <w:lvlJc w:val="left"/>
      <w:lvlText w:val="●"/>
      <w:numFmt w:val="bullet"/>
      <w:start w:val="1"/>
    </w:lvl>
  </w:abstractNum>
  <w:abstractNum w:abstractNumId="53">
    <w:nsid w:val="3C5991AA"/>
    <w:multiLevelType w:val="hybridMultilevel"/>
    <w:lvl w:ilvl="0">
      <w:lvlJc w:val="left"/>
      <w:lvlText w:val="●"/>
      <w:numFmt w:val="bullet"/>
      <w:start w:val="1"/>
    </w:lvl>
  </w:abstractNum>
  <w:abstractNum w:abstractNumId="54">
    <w:nsid w:val="4BD8591A"/>
    <w:multiLevelType w:val="hybridMultilevel"/>
    <w:lvl w:ilvl="0">
      <w:lvlJc w:val="left"/>
      <w:lvlText w:val="●"/>
      <w:numFmt w:val="bullet"/>
      <w:start w:val="1"/>
    </w:lvl>
  </w:abstractNum>
  <w:abstractNum w:abstractNumId="55">
    <w:nsid w:val="78DF6A55"/>
    <w:multiLevelType w:val="hybridMultilevel"/>
    <w:lvl w:ilvl="0">
      <w:lvlJc w:val="left"/>
      <w:lvlText w:val="●"/>
      <w:numFmt w:val="bullet"/>
      <w:start w:val="1"/>
    </w:lvl>
  </w:abstractNum>
  <w:abstractNum w:abstractNumId="56">
    <w:nsid w:val="39B7AAA2"/>
    <w:multiLevelType w:val="hybridMultilevel"/>
    <w:lvl w:ilvl="0">
      <w:lvlJc w:val="left"/>
      <w:lvlText w:val="%1."/>
      <w:numFmt w:val="decimal"/>
      <w:start w:val="2"/>
    </w:lvl>
  </w:abstractNum>
  <w:abstractNum w:abstractNumId="57">
    <w:nsid w:val="2B0D8DBE"/>
    <w:multiLevelType w:val="hybridMultilevel"/>
    <w:lvl w:ilvl="0">
      <w:lvlJc w:val="left"/>
      <w:lvlText w:val="(%1)"/>
      <w:numFmt w:val="decimal"/>
      <w:start w:val="1"/>
    </w:lvl>
    <w:lvl w:ilvl="1">
      <w:lvlJc w:val="left"/>
      <w:lvlText w:val="%2"/>
      <w:numFmt w:val="decimal"/>
      <w:start w:val="1"/>
    </w:lvl>
  </w:abstractNum>
  <w:abstractNum w:abstractNumId="58">
    <w:nsid w:val="6C80EC70"/>
    <w:multiLevelType w:val="hybridMultilevel"/>
    <w:lvl w:ilvl="0">
      <w:lvlJc w:val="left"/>
      <w:lvlText w:val="(%1)"/>
      <w:numFmt w:val="decimal"/>
      <w:start w:val="8"/>
    </w:lvl>
    <w:lvl w:ilvl="1">
      <w:lvlJc w:val="left"/>
      <w:lvlText w:val="%2."/>
      <w:numFmt w:val="decimal"/>
      <w:start w:val="3"/>
    </w:lvl>
  </w:abstractNum>
  <w:abstractNum w:abstractNumId="59">
    <w:nsid w:val="379E21B5"/>
    <w:multiLevelType w:val="hybridMultilevel"/>
    <w:lvl w:ilvl="0">
      <w:lvlJc w:val="left"/>
      <w:lvlText w:val="(%1)"/>
      <w:numFmt w:val="decimal"/>
      <w:start w:val="1"/>
    </w:lvl>
  </w:abstractNum>
  <w:abstractNum w:abstractNumId="60">
    <w:nsid w:val="69E373"/>
    <w:multiLevelType w:val="hybridMultilevel"/>
    <w:lvl w:ilvl="0">
      <w:lvlJc w:val="left"/>
      <w:lvlText w:val="%1."/>
      <w:numFmt w:val="decimal"/>
      <w:start w:val="4"/>
    </w:lvl>
  </w:abstractNum>
  <w:abstractNum w:abstractNumId="61">
    <w:nsid w:val="2C27173B"/>
    <w:multiLevelType w:val="hybridMultilevel"/>
    <w:lvl w:ilvl="0">
      <w:lvlJc w:val="left"/>
      <w:lvlText w:val="(%1)"/>
      <w:numFmt w:val="decimal"/>
      <w:start w:val="1"/>
    </w:lvl>
  </w:abstractNum>
  <w:abstractNum w:abstractNumId="62">
    <w:nsid w:val="4C9B0904"/>
    <w:multiLevelType w:val="hybridMultilevel"/>
    <w:lvl w:ilvl="0">
      <w:lvlJc w:val="left"/>
      <w:lvlText w:val="(%1)"/>
      <w:numFmt w:val="decimal"/>
      <w:start w:val="4"/>
    </w:lvl>
  </w:abstractNum>
  <w:abstractNum w:abstractNumId="63">
    <w:nsid w:val="6AA7B75C"/>
    <w:multiLevelType w:val="hybridMultilevel"/>
    <w:lvl w:ilvl="0">
      <w:lvlJc w:val="left"/>
      <w:lvlText w:val="●"/>
      <w:numFmt w:val="bullet"/>
      <w:start w:val="1"/>
    </w:lvl>
  </w:abstractNum>
  <w:abstractNum w:abstractNumId="64">
    <w:nsid w:val="1DF029D3"/>
    <w:multiLevelType w:val="hybridMultilevel"/>
    <w:lvl w:ilvl="0">
      <w:lvlJc w:val="left"/>
      <w:lvlText w:val="●"/>
      <w:numFmt w:val="bullet"/>
      <w:start w:val="1"/>
    </w:lvl>
  </w:abstractNum>
  <w:abstractNum w:abstractNumId="65">
    <w:nsid w:val="5675FF36"/>
    <w:multiLevelType w:val="hybridMultilevel"/>
    <w:lvl w:ilvl="0">
      <w:lvlJc w:val="left"/>
      <w:lvlText w:val="●"/>
      <w:numFmt w:val="bullet"/>
      <w:start w:val="1"/>
    </w:lvl>
  </w:abstractNum>
  <w:abstractNum w:abstractNumId="66">
    <w:nsid w:val="3DD15094"/>
    <w:multiLevelType w:val="hybridMultilevel"/>
    <w:lvl w:ilvl="0">
      <w:lvlJc w:val="left"/>
      <w:lvlText w:val="(%1)"/>
      <w:numFmt w:val="decimal"/>
      <w:start w:val="1"/>
    </w:lvl>
  </w:abstractNum>
  <w:abstractNum w:abstractNumId="67">
    <w:nsid w:val="3DB012B3"/>
    <w:multiLevelType w:val="hybridMultilevel"/>
    <w:lvl w:ilvl="0">
      <w:lvlJc w:val="left"/>
      <w:lvlText w:val="●"/>
      <w:numFmt w:val="bullet"/>
      <w:start w:val="1"/>
    </w:lvl>
  </w:abstractNum>
  <w:abstractNum w:abstractNumId="68">
    <w:nsid w:val="2708C9AF"/>
    <w:multiLevelType w:val="hybridMultilevel"/>
    <w:lvl w:ilvl="0">
      <w:lvlJc w:val="left"/>
      <w:lvlText w:val="●"/>
      <w:numFmt w:val="bullet"/>
      <w:start w:val="1"/>
    </w:lvl>
  </w:abstractNum>
  <w:abstractNum w:abstractNumId="69">
    <w:nsid w:val="5B25ACE2"/>
    <w:multiLevelType w:val="hybridMultilevel"/>
    <w:lvl w:ilvl="0">
      <w:lvlJc w:val="left"/>
      <w:lvlText w:val="●"/>
      <w:numFmt w:val="bullet"/>
      <w:start w:val="1"/>
    </w:lvl>
  </w:abstractNum>
  <w:abstractNum w:abstractNumId="70">
    <w:nsid w:val="175DFCF0"/>
    <w:multiLevelType w:val="hybridMultilevel"/>
    <w:lvl w:ilvl="0">
      <w:lvlJc w:val="left"/>
      <w:lvlText w:val="(%1)"/>
      <w:numFmt w:val="decimal"/>
      <w:start w:val="1"/>
    </w:lvl>
  </w:abstractNum>
  <w:abstractNum w:abstractNumId="71">
    <w:nsid w:val="4F97E3E4"/>
    <w:multiLevelType w:val="hybridMultilevel"/>
    <w:lvl w:ilvl="0">
      <w:lvlJc w:val="left"/>
      <w:lvlText w:val="%1)"/>
      <w:numFmt w:val="decimal"/>
      <w:start w:val="181"/>
    </w:lvl>
  </w:abstractNum>
  <w:abstractNum w:abstractNumId="72">
    <w:nsid w:val="53B0A9E"/>
    <w:multiLevelType w:val="hybridMultilevel"/>
    <w:lvl w:ilvl="0">
      <w:lvlJc w:val="left"/>
      <w:lvlText w:val="(%1)"/>
      <w:numFmt w:val="decimal"/>
      <w:start w:val="1"/>
    </w:lvl>
  </w:abstractNum>
  <w:abstractNum w:abstractNumId="73">
    <w:nsid w:val="34FD6B4F"/>
    <w:multiLevelType w:val="hybridMultilevel"/>
    <w:lvl w:ilvl="0">
      <w:lvlJc w:val="left"/>
      <w:lvlText w:val="(%1)"/>
      <w:numFmt w:val="decimal"/>
      <w:start w:val="1"/>
    </w:lvl>
  </w:abstractNum>
  <w:abstractNum w:abstractNumId="74">
    <w:nsid w:val="5915FF32"/>
    <w:multiLevelType w:val="hybridMultilevel"/>
    <w:lvl w:ilvl="0">
      <w:lvlJc w:val="left"/>
      <w:lvlText w:val="(%1)"/>
      <w:numFmt w:val="decimal"/>
      <w:start w:val="9"/>
    </w:lvl>
  </w:abstractNum>
  <w:abstractNum w:abstractNumId="75">
    <w:nsid w:val="56438D15"/>
    <w:multiLevelType w:val="hybridMultilevel"/>
    <w:lvl w:ilvl="0">
      <w:lvlJc w:val="left"/>
      <w:lvlText w:val="●"/>
      <w:numFmt w:val="bullet"/>
      <w:start w:val="1"/>
    </w:lvl>
  </w:abstractNum>
  <w:abstractNum w:abstractNumId="76">
    <w:nsid w:val="519E3149"/>
    <w:multiLevelType w:val="hybridMultilevel"/>
    <w:lvl w:ilvl="0">
      <w:lvlJc w:val="left"/>
      <w:lvlText w:val="(%1)"/>
      <w:numFmt w:val="lowerRoman"/>
      <w:start w:val="4"/>
    </w:lvl>
  </w:abstractNum>
  <w:abstractNum w:abstractNumId="77">
    <w:nsid w:val="2C6E4AFD"/>
    <w:multiLevelType w:val="hybridMultilevel"/>
    <w:lvl w:ilvl="0">
      <w:lvlJc w:val="left"/>
      <w:lvlText w:val="●"/>
      <w:numFmt w:val="bullet"/>
      <w:start w:val="1"/>
    </w:lvl>
  </w:abstractNum>
  <w:abstractNum w:abstractNumId="78">
    <w:nsid w:val="17A1B582"/>
    <w:multiLevelType w:val="hybridMultilevel"/>
    <w:lvl w:ilvl="0">
      <w:lvlJc w:val="left"/>
      <w:lvlText w:val="●"/>
      <w:numFmt w:val="bullet"/>
      <w:start w:val="1"/>
    </w:lvl>
  </w:abstractNum>
  <w:abstractNum w:abstractNumId="79">
    <w:nsid w:val="4DF72E4E"/>
    <w:multiLevelType w:val="hybridMultilevel"/>
    <w:lvl w:ilvl="0">
      <w:lvlJc w:val="left"/>
      <w:lvlText w:val="●"/>
      <w:numFmt w:val="bullet"/>
      <w:start w:val="1"/>
    </w:lvl>
  </w:abstractNum>
  <w:abstractNum w:abstractNumId="80">
    <w:nsid w:val="5046B5A9"/>
    <w:multiLevelType w:val="hybridMultilevel"/>
    <w:lvl w:ilvl="0">
      <w:lvlJc w:val="left"/>
      <w:lvlText w:val="●"/>
      <w:numFmt w:val="bullet"/>
      <w:start w:val="1"/>
    </w:lvl>
  </w:abstractNum>
  <w:abstractNum w:abstractNumId="81">
    <w:nsid w:val="5D888A08"/>
    <w:multiLevelType w:val="hybridMultilevel"/>
    <w:lvl w:ilvl="0">
      <w:lvlJc w:val="left"/>
      <w:lvlText w:val="●"/>
      <w:numFmt w:val="bullet"/>
      <w:start w:val="1"/>
    </w:lvl>
  </w:abstractNum>
  <w:abstractNum w:abstractNumId="82">
    <w:nsid w:val="2A082C70"/>
    <w:multiLevelType w:val="hybridMultilevel"/>
    <w:lvl w:ilvl="0">
      <w:lvlJc w:val="left"/>
      <w:lvlText w:val="(%1)"/>
      <w:numFmt w:val="decimal"/>
      <w:start w:val="2"/>
    </w:lvl>
  </w:abstractNum>
  <w:abstractNum w:abstractNumId="83">
    <w:nsid w:val="5EC6AFD4"/>
    <w:multiLevelType w:val="hybridMultilevel"/>
    <w:lvl w:ilvl="0">
      <w:lvlJc w:val="left"/>
      <w:lvlText w:val="●"/>
      <w:numFmt w:val="bullet"/>
      <w:start w:val="1"/>
    </w:lvl>
  </w:abstractNum>
  <w:abstractNum w:abstractNumId="84">
    <w:nsid w:val="19E21BB2"/>
    <w:multiLevelType w:val="hybridMultilevel"/>
    <w:lvl w:ilvl="0">
      <w:lvlJc w:val="left"/>
      <w:lvlText w:val="●"/>
      <w:numFmt w:val="bullet"/>
      <w:start w:val="1"/>
    </w:lvl>
  </w:abstractNum>
  <w:abstractNum w:abstractNumId="85">
    <w:nsid w:val="75E0858A"/>
    <w:multiLevelType w:val="hybridMultilevel"/>
    <w:lvl w:ilvl="0">
      <w:lvlJc w:val="left"/>
      <w:lvlText w:val="●"/>
      <w:numFmt w:val="bullet"/>
      <w:start w:val="1"/>
    </w:lvl>
  </w:abstractNum>
  <w:abstractNum w:abstractNumId="86">
    <w:nsid w:val="57A61A29"/>
    <w:multiLevelType w:val="hybridMultilevel"/>
    <w:lvl w:ilvl="0">
      <w:lvlJc w:val="left"/>
      <w:lvlText w:val="●"/>
      <w:numFmt w:val="bullet"/>
      <w:start w:val="1"/>
    </w:lvl>
  </w:abstractNum>
  <w:abstractNum w:abstractNumId="87">
    <w:nsid w:val="5399C654"/>
    <w:multiLevelType w:val="hybridMultilevel"/>
    <w:lvl w:ilvl="0">
      <w:lvlJc w:val="left"/>
      <w:lvlText w:val="%1."/>
      <w:numFmt w:val="upperLetter"/>
      <w:start w:val="1"/>
    </w:lvl>
  </w:abstractNum>
  <w:abstractNum w:abstractNumId="88">
    <w:nsid w:val="20EE1348"/>
    <w:multiLevelType w:val="hybridMultilevel"/>
    <w:lvl w:ilvl="0">
      <w:lvlJc w:val="left"/>
      <w:lvlText w:val="●"/>
      <w:numFmt w:val="bullet"/>
      <w:start w:val="1"/>
    </w:lvl>
  </w:abstractNum>
  <w:abstractNum w:abstractNumId="89">
    <w:nsid w:val="4427069A"/>
    <w:multiLevelType w:val="hybridMultilevel"/>
    <w:lvl w:ilvl="0">
      <w:lvlJc w:val="left"/>
      <w:lvlText w:val="●"/>
      <w:numFmt w:val="bullet"/>
      <w:start w:val="1"/>
    </w:lvl>
  </w:abstractNum>
  <w:abstractNum w:abstractNumId="90">
    <w:nsid w:val="B37E80A"/>
    <w:multiLevelType w:val="hybridMultilevel"/>
    <w:lvl w:ilvl="0">
      <w:lvlJc w:val="left"/>
      <w:lvlText w:val="●"/>
      <w:numFmt w:val="bullet"/>
      <w:start w:val="1"/>
    </w:lvl>
  </w:abstractNum>
  <w:abstractNum w:abstractNumId="91">
    <w:nsid w:val="2157F6BC"/>
    <w:multiLevelType w:val="hybridMultilevel"/>
    <w:lvl w:ilvl="0">
      <w:lvlJc w:val="left"/>
      <w:lvlText w:val="●"/>
      <w:numFmt w:val="bullet"/>
      <w:start w:val="1"/>
    </w:lvl>
  </w:abstractNum>
  <w:abstractNum w:abstractNumId="92">
    <w:nsid w:val="704E1DD5"/>
    <w:multiLevelType w:val="hybridMultilevel"/>
    <w:lvl w:ilvl="0">
      <w:lvlJc w:val="left"/>
      <w:lvlText w:val="●"/>
      <w:numFmt w:val="bullet"/>
      <w:start w:val="1"/>
    </w:lvl>
  </w:abstractNum>
  <w:abstractNum w:abstractNumId="93">
    <w:nsid w:val="57D2F10E"/>
    <w:multiLevelType w:val="hybridMultilevel"/>
    <w:lvl w:ilvl="0">
      <w:lvlJc w:val="left"/>
      <w:lvlText w:val="●"/>
      <w:numFmt w:val="bullet"/>
      <w:start w:val="1"/>
    </w:lvl>
  </w:abstractNum>
  <w:abstractNum w:abstractNumId="94">
    <w:nsid w:val="BFFAE18"/>
    <w:multiLevelType w:val="hybridMultilevel"/>
    <w:lvl w:ilvl="0">
      <w:lvlJc w:val="left"/>
      <w:lvlText w:val="●"/>
      <w:numFmt w:val="bullet"/>
      <w:start w:val="1"/>
    </w:lvl>
  </w:abstractNum>
  <w:abstractNum w:abstractNumId="95">
    <w:nsid w:val="E3E47A8"/>
    <w:multiLevelType w:val="hybridMultilevel"/>
    <w:lvl w:ilvl="0">
      <w:lvlJc w:val="left"/>
      <w:lvlText w:val="●"/>
      <w:numFmt w:val="bullet"/>
      <w:start w:val="1"/>
    </w:lvl>
  </w:abstractNum>
  <w:abstractNum w:abstractNumId="96">
    <w:nsid w:val="2E48F044"/>
    <w:multiLevelType w:val="hybridMultilevel"/>
    <w:lvl w:ilvl="0">
      <w:lvlJc w:val="left"/>
      <w:lvlText w:val="(%1)"/>
      <w:numFmt w:val="lowerRoman"/>
      <w:start w:val="1"/>
    </w:lvl>
  </w:abstractNum>
  <w:abstractNum w:abstractNumId="97">
    <w:nsid w:val="49D0FEAC"/>
    <w:multiLevelType w:val="hybridMultilevel"/>
    <w:lvl w:ilvl="0">
      <w:lvlJc w:val="left"/>
      <w:lvlText w:val="●"/>
      <w:numFmt w:val="bullet"/>
      <w:start w:val="1"/>
    </w:lvl>
  </w:abstractNum>
  <w:abstractNum w:abstractNumId="98">
    <w:nsid w:val="4BEE5A5B"/>
    <w:multiLevelType w:val="hybridMultilevel"/>
    <w:lvl w:ilvl="0">
      <w:lvlJc w:val="left"/>
      <w:lvlText w:val="(%1)"/>
      <w:numFmt w:val="lowerRoman"/>
      <w:start w:val="2"/>
    </w:lvl>
  </w:abstractNum>
  <w:abstractNum w:abstractNumId="99">
    <w:nsid w:val="5551B9F3"/>
    <w:multiLevelType w:val="hybridMultilevel"/>
    <w:lvl w:ilvl="0">
      <w:lvlJc w:val="left"/>
      <w:lvlText w:val="●"/>
      <w:numFmt w:val="bullet"/>
      <w:start w:val="1"/>
    </w:lvl>
  </w:abstractNum>
  <w:abstractNum w:abstractNumId="100">
    <w:nsid w:val="24F6AB8E"/>
    <w:multiLevelType w:val="hybridMultilevel"/>
    <w:lvl w:ilvl="0">
      <w:lvlJc w:val="left"/>
      <w:lvlText w:val="●"/>
      <w:numFmt w:val="bullet"/>
      <w:start w:val="1"/>
    </w:lvl>
  </w:abstractNum>
  <w:abstractNum w:abstractNumId="101">
    <w:nsid w:val="634C574C"/>
    <w:multiLevelType w:val="hybridMultilevel"/>
    <w:lvl w:ilvl="0">
      <w:lvlJc w:val="left"/>
      <w:lvlText w:val="●"/>
      <w:numFmt w:val="bullet"/>
      <w:start w:val="1"/>
    </w:lvl>
  </w:abstractNum>
  <w:abstractNum w:abstractNumId="102">
    <w:nsid w:val="24E99DD7"/>
    <w:multiLevelType w:val="hybridMultilevel"/>
    <w:lvl w:ilvl="0">
      <w:lvlJc w:val="left"/>
      <w:lvlText w:val="●"/>
      <w:numFmt w:val="bullet"/>
      <w:start w:val="1"/>
    </w:lvl>
  </w:abstractNum>
  <w:abstractNum w:abstractNumId="103">
    <w:nsid w:val="2A31B62D"/>
    <w:multiLevelType w:val="hybridMultilevel"/>
    <w:lvl w:ilvl="0">
      <w:lvlJc w:val="left"/>
      <w:lvlText w:val="·"/>
      <w:numFmt w:val="bullet"/>
      <w:start w:val="1"/>
    </w:lvl>
  </w:abstractNum>
  <w:abstractNum w:abstractNumId="104">
    <w:nsid w:val="1849C29B"/>
    <w:multiLevelType w:val="hybridMultilevel"/>
    <w:lvl w:ilvl="0">
      <w:lvlJc w:val="left"/>
      <w:lvlText w:val="%1."/>
      <w:numFmt w:val="upperLetter"/>
      <w:start w:val="4"/>
    </w:lvl>
  </w:abstractNum>
  <w:abstractNum w:abstractNumId="105">
    <w:nsid w:val="7DFF9D09"/>
    <w:multiLevelType w:val="hybridMultilevel"/>
    <w:lvl w:ilvl="0">
      <w:lvlJc w:val="left"/>
      <w:lvlText w:val="%1."/>
      <w:numFmt w:val="upperLetter"/>
      <w:start w:val="3"/>
    </w:lvl>
  </w:abstractNum>
  <w:abstractNum w:abstractNumId="106">
    <w:nsid w:val="754342"/>
    <w:multiLevelType w:val="hybridMultilevel"/>
    <w:lvl w:ilvl="0">
      <w:lvlJc w:val="left"/>
      <w:lvlText w:val="●"/>
      <w:numFmt w:val="bullet"/>
      <w:start w:val="1"/>
    </w:lvl>
  </w:abstractNum>
  <w:abstractNum w:abstractNumId="107">
    <w:nsid w:val="69E7F3E5"/>
    <w:multiLevelType w:val="hybridMultilevel"/>
    <w:lvl w:ilvl="0">
      <w:lvlJc w:val="left"/>
      <w:lvlText w:val="●"/>
      <w:numFmt w:val="bullet"/>
      <w:start w:val="1"/>
    </w:lvl>
  </w:abstractNum>
  <w:abstractNum w:abstractNumId="108">
    <w:nsid w:val="2A6DE806"/>
    <w:multiLevelType w:val="hybridMultilevel"/>
    <w:lvl w:ilvl="0">
      <w:lvlJc w:val="left"/>
      <w:lvlText w:val="●"/>
      <w:numFmt w:val="bullet"/>
      <w:start w:val="1"/>
    </w:lvl>
  </w:abstractNum>
  <w:abstractNum w:abstractNumId="109">
    <w:nsid w:val="1816F8C4"/>
    <w:multiLevelType w:val="hybridMultilevel"/>
    <w:lvl w:ilvl="0">
      <w:lvlJc w:val="left"/>
      <w:lvlText w:val="%1."/>
      <w:numFmt w:val="upperLetter"/>
      <w:start w:val="5"/>
    </w:lvl>
  </w:abstractNum>
  <w:abstractNum w:abstractNumId="110">
    <w:nsid w:val="37DF2233"/>
    <w:multiLevelType w:val="hybridMultilevel"/>
    <w:lvl w:ilvl="0">
      <w:lvlJc w:val="left"/>
      <w:lvlText w:val="●"/>
      <w:numFmt w:val="bullet"/>
      <w:start w:val="1"/>
    </w:lvl>
  </w:abstractNum>
  <w:abstractNum w:abstractNumId="111">
    <w:nsid w:val="7AB49DAF"/>
    <w:multiLevelType w:val="hybridMultilevel"/>
    <w:lvl w:ilvl="0">
      <w:lvlJc w:val="left"/>
      <w:lvlText w:val="*"/>
      <w:numFmt w:val="bullet"/>
      <w:start w:val="1"/>
    </w:lvl>
  </w:abstractNum>
  <w:abstractNum w:abstractNumId="112">
    <w:nsid w:val="759F82CD"/>
    <w:multiLevelType w:val="hybridMultilevel"/>
    <w:lvl w:ilvl="0">
      <w:lvlJc w:val="left"/>
      <w:lvlText w:val="%1."/>
      <w:numFmt w:val="upperLetter"/>
      <w:start w:val="2"/>
    </w:lvl>
  </w:abstractNum>
  <w:abstractNum w:abstractNumId="113">
    <w:nsid w:val="61E74EA3"/>
    <w:multiLevelType w:val="hybridMultilevel"/>
    <w:lvl w:ilvl="0">
      <w:lvlJc w:val="left"/>
      <w:lvlText w:val="%1."/>
      <w:numFmt w:val="upperLetter"/>
      <w:start w:val="1"/>
    </w:lvl>
  </w:abstractNum>
  <w:abstractNum w:abstractNumId="114">
    <w:nsid w:val="597B4D84"/>
    <w:multiLevelType w:val="hybridMultilevel"/>
    <w:lvl w:ilvl="0">
      <w:lvlJc w:val="left"/>
      <w:lvlText w:val="%1."/>
      <w:numFmt w:val="upperLetter"/>
      <w:start w:val="1"/>
    </w:lvl>
  </w:abstractNum>
  <w:abstractNum w:abstractNumId="115">
    <w:nsid w:val="F819E7F"/>
    <w:multiLevelType w:val="hybridMultilevel"/>
    <w:lvl w:ilvl="0">
      <w:lvlJc w:val="left"/>
      <w:lvlText w:val="%1."/>
      <w:numFmt w:val="upperLetter"/>
      <w:start w:val="1"/>
    </w:lvl>
  </w:abstractNum>
  <w:abstractNum w:abstractNumId="116">
    <w:nsid w:val="57C7D42D"/>
    <w:multiLevelType w:val="hybridMultilevel"/>
    <w:lvl w:ilvl="0">
      <w:lvlJc w:val="left"/>
      <w:lvlText w:val="●"/>
      <w:numFmt w:val="bullet"/>
      <w:start w:val="1"/>
    </w:lvl>
  </w:abstractNum>
  <w:abstractNum w:abstractNumId="117">
    <w:nsid w:val="312167AD"/>
    <w:multiLevelType w:val="hybridMultilevel"/>
    <w:lvl w:ilvl="0">
      <w:lvlJc w:val="left"/>
      <w:lvlText w:val="●"/>
      <w:numFmt w:val="bullet"/>
      <w:start w:val="1"/>
    </w:lvl>
  </w:abstractNum>
  <w:abstractNum w:abstractNumId="118">
    <w:nsid w:val="631B64D4"/>
    <w:multiLevelType w:val="hybridMultilevel"/>
    <w:lvl w:ilvl="0">
      <w:lvlJc w:val="left"/>
      <w:lvlText w:val="(%1)"/>
      <w:numFmt w:val="lowerRoman"/>
      <w:start w:val="1"/>
    </w:lvl>
  </w:abstractNum>
  <w:abstractNum w:abstractNumId="119">
    <w:nsid w:val="78B5E776"/>
    <w:multiLevelType w:val="hybridMultilevel"/>
    <w:lvl w:ilvl="0">
      <w:lvlJc w:val="left"/>
      <w:lvlText w:val="%1."/>
      <w:numFmt w:val="upperLetter"/>
      <w:start w:val="6"/>
    </w:lvl>
  </w:abstractNum>
  <w:abstractNum w:abstractNumId="120">
    <w:nsid w:val="75486E47"/>
    <w:multiLevelType w:val="hybridMultilevel"/>
    <w:lvl w:ilvl="0">
      <w:lvlJc w:val="left"/>
      <w:lvlText w:val="%1."/>
      <w:numFmt w:val="upperLetter"/>
      <w:start w:val="9"/>
    </w:lvl>
  </w:abstractNum>
  <w:abstractNum w:abstractNumId="121">
    <w:nsid w:val="6E534CDE"/>
    <w:multiLevelType w:val="hybridMultilevel"/>
    <w:lvl w:ilvl="0">
      <w:lvlJc w:val="left"/>
      <w:lvlText w:val="%1."/>
      <w:numFmt w:val="upperLetter"/>
      <w:start w:val="1"/>
    </w:lvl>
  </w:abstractNum>
  <w:abstractNum w:abstractNumId="122">
    <w:nsid w:val="1A0DDE32"/>
    <w:multiLevelType w:val="hybridMultilevel"/>
    <w:lvl w:ilvl="0">
      <w:lvlJc w:val="left"/>
      <w:lvlText w:val="%1."/>
      <w:numFmt w:val="upperLetter"/>
      <w:start w:val="3"/>
    </w:lvl>
  </w:abstractNum>
  <w:abstractNum w:abstractNumId="123">
    <w:nsid w:val="65968C1C"/>
    <w:multiLevelType w:val="hybridMultilevel"/>
    <w:lvl w:ilvl="0">
      <w:lvlJc w:val="left"/>
      <w:lvlText w:val="%1."/>
      <w:numFmt w:val="upperLetter"/>
      <w:start w:val="1"/>
    </w:lvl>
  </w:abstractNum>
  <w:abstractNum w:abstractNumId="124">
    <w:nsid w:val="46263DEC"/>
    <w:multiLevelType w:val="hybridMultilevel"/>
    <w:lvl w:ilvl="0">
      <w:lvlJc w:val="left"/>
      <w:lvlText w:val="*"/>
      <w:numFmt w:val="bullet"/>
      <w:start w:val="1"/>
    </w:lvl>
    <w:lvl w:ilvl="1">
      <w:lvlJc w:val="left"/>
      <w:lvlText w:val="(%2)"/>
      <w:numFmt w:val="lowerLetter"/>
      <w:start w:val="2"/>
    </w:lvl>
  </w:abstractNum>
  <w:abstractNum w:abstractNumId="125">
    <w:nsid w:val="260D8C4A"/>
    <w:multiLevelType w:val="hybridMultilevel"/>
    <w:lvl w:ilvl="0">
      <w:lvlJc w:val="left"/>
      <w:lvlText w:val="(%1)"/>
      <w:numFmt w:val="lowerRoman"/>
      <w:start w:val="2"/>
    </w:lvl>
  </w:abstractNum>
  <w:abstractNum w:abstractNumId="126">
    <w:nsid w:val="73D4D3C4"/>
    <w:multiLevelType w:val="hybridMultilevel"/>
    <w:lvl w:ilvl="0">
      <w:lvlJc w:val="left"/>
      <w:lvlText w:val="%1."/>
      <w:numFmt w:val="decimal"/>
      <w:start w:val="1"/>
    </w:lvl>
  </w:abstractNum>
  <w:abstractNum w:abstractNumId="127">
    <w:nsid w:val="746F2E30"/>
    <w:multiLevelType w:val="hybridMultilevel"/>
    <w:lvl w:ilvl="0">
      <w:lvlJc w:val="left"/>
      <w:lvlText w:val="%1."/>
      <w:numFmt w:val="decimal"/>
      <w:start w:val="2"/>
    </w:lvl>
  </w:abstractNum>
  <w:abstractNum w:abstractNumId="128">
    <w:nsid w:val="6FDE8AF6"/>
    <w:multiLevelType w:val="hybridMultilevel"/>
    <w:lvl w:ilvl="0">
      <w:lvlJc w:val="left"/>
      <w:lvlText w:val="(%1)"/>
      <w:numFmt w:val="lowerRoman"/>
      <w:start w:val="3"/>
    </w:lvl>
  </w:abstractNum>
  <w:abstractNum w:abstractNumId="129">
    <w:nsid w:val="3FC32E20"/>
    <w:multiLevelType w:val="hybridMultilevel"/>
    <w:lvl w:ilvl="0">
      <w:lvlJc w:val="left"/>
      <w:lvlText w:val="(%1)"/>
      <w:numFmt w:val="lowerRoman"/>
      <w:start w:val="5"/>
    </w:lvl>
  </w:abstractNum>
  <w:abstractNum w:abstractNumId="130">
    <w:nsid w:val="49C0E823"/>
    <w:multiLevelType w:val="hybridMultilevel"/>
    <w:lvl w:ilvl="0">
      <w:lvlJc w:val="left"/>
      <w:lvlText w:val="%1."/>
      <w:numFmt w:val="decimal"/>
      <w:start w:val="3"/>
    </w:lvl>
  </w:abstractNum>
  <w:abstractNum w:abstractNumId="131">
    <w:nsid w:val="14D53685"/>
    <w:multiLevelType w:val="hybridMultilevel"/>
    <w:lvl w:ilvl="0">
      <w:lvlJc w:val="left"/>
      <w:lvlText w:val="%1."/>
      <w:numFmt w:val="lowerRoman"/>
      <w:start w:val="1"/>
    </w:lvl>
  </w:abstractNum>
  <w:abstractNum w:abstractNumId="132">
    <w:nsid w:val="230F856C"/>
    <w:multiLevelType w:val="hybridMultilevel"/>
    <w:lvl w:ilvl="0">
      <w:lvlJc w:val="left"/>
      <w:lvlText w:val="●"/>
      <w:numFmt w:val="bullet"/>
      <w:start w:val="1"/>
    </w:lvl>
  </w:abstractNum>
  <w:abstractNum w:abstractNumId="133">
    <w:nsid w:val="6EAA85FB"/>
    <w:multiLevelType w:val="hybridMultilevel"/>
    <w:lvl w:ilvl="0">
      <w:lvlJc w:val="left"/>
      <w:lvlText w:val="(%1)"/>
      <w:numFmt w:val="lowerRoman"/>
      <w:start w:val="5"/>
    </w:lvl>
  </w:abstractNum>
  <w:abstractNum w:abstractNumId="134">
    <w:nsid w:val="3F06ECB2"/>
    <w:multiLevelType w:val="hybridMultilevel"/>
    <w:lvl w:ilvl="0">
      <w:lvlJc w:val="left"/>
      <w:lvlText w:val="%1."/>
      <w:numFmt w:val="decimal"/>
      <w:start w:val="4"/>
    </w:lvl>
  </w:abstractNum>
  <w:abstractNum w:abstractNumId="135">
    <w:nsid w:val="3B594807"/>
    <w:multiLevelType w:val="hybridMultilevel"/>
    <w:lvl w:ilvl="0">
      <w:lvlJc w:val="left"/>
      <w:lvlText w:val="%1."/>
      <w:numFmt w:val="decimal"/>
      <w:start w:val="5"/>
    </w:lvl>
  </w:abstractNum>
  <w:abstractNum w:abstractNumId="136">
    <w:nsid w:val="6CAA2304"/>
    <w:multiLevelType w:val="hybridMultilevel"/>
    <w:lvl w:ilvl="0">
      <w:lvlJc w:val="left"/>
      <w:lvlText w:val="%1."/>
      <w:numFmt w:val="decimal"/>
      <w:start w:val="6"/>
    </w:lvl>
  </w:abstractNum>
  <w:abstractNum w:abstractNumId="137">
    <w:nsid w:val="3F7C2FF4"/>
    <w:multiLevelType w:val="hybridMultilevel"/>
    <w:lvl w:ilvl="0">
      <w:lvlJc w:val="left"/>
      <w:lvlText w:val="●"/>
      <w:numFmt w:val="bullet"/>
      <w:start w:val="1"/>
    </w:lvl>
  </w:abstractNum>
  <w:abstractNum w:abstractNumId="138">
    <w:nsid w:val="25413BEC"/>
    <w:multiLevelType w:val="hybridMultilevel"/>
    <w:lvl w:ilvl="0">
      <w:lvlJc w:val="left"/>
      <w:lvlText w:val="%1."/>
      <w:numFmt w:val="decimal"/>
      <w:start w:val="7"/>
    </w:lvl>
  </w:abstractNum>
  <w:abstractNum w:abstractNumId="139">
    <w:nsid w:val="17180B0B"/>
    <w:multiLevelType w:val="hybridMultilevel"/>
    <w:lvl w:ilvl="0">
      <w:lvlJc w:val="left"/>
      <w:lvlText w:val="%1."/>
      <w:numFmt w:val="decimal"/>
      <w:start w:val="9"/>
    </w:lvl>
  </w:abstractNum>
  <w:abstractNum w:abstractNumId="140">
    <w:nsid w:val="579328B9"/>
    <w:multiLevelType w:val="hybridMultilevel"/>
    <w:lvl w:ilvl="0">
      <w:lvlJc w:val="left"/>
      <w:lvlText w:val="(%1)"/>
      <w:numFmt w:val="lowerRoman"/>
      <w:start w:val="2"/>
    </w:lvl>
  </w:abstractNum>
  <w:abstractNum w:abstractNumId="141">
    <w:nsid w:val="5D205E20"/>
    <w:multiLevelType w:val="hybridMultilevel"/>
    <w:lvl w:ilvl="0">
      <w:lvlJc w:val="left"/>
      <w:lvlText w:val="(%1)"/>
      <w:numFmt w:val="lowerRoman"/>
      <w:start w:val="3"/>
    </w:lvl>
  </w:abstractNum>
  <w:abstractNum w:abstractNumId="142">
    <w:nsid w:val="11CCA8BA"/>
    <w:multiLevelType w:val="hybridMultilevel"/>
    <w:lvl w:ilvl="0">
      <w:lvlJc w:val="left"/>
      <w:lvlText w:val="%1."/>
      <w:numFmt w:val="decimal"/>
      <w:start w:val="18"/>
    </w:lvl>
  </w:abstractNum>
  <w:abstractNum w:abstractNumId="143">
    <w:nsid w:val="4D32AB86"/>
    <w:multiLevelType w:val="hybridMultilevel"/>
    <w:lvl w:ilvl="0">
      <w:lvlJc w:val="left"/>
      <w:lvlText w:val="●"/>
      <w:numFmt w:val="bullet"/>
      <w:start w:val="1"/>
    </w:lvl>
  </w:abstractNum>
  <w:abstractNum w:abstractNumId="144">
    <w:nsid w:val="3F07ACC3"/>
    <w:multiLevelType w:val="hybridMultilevel"/>
    <w:lvl w:ilvl="0">
      <w:lvlJc w:val="left"/>
      <w:lvlText w:val="●"/>
      <w:numFmt w:val="bullet"/>
      <w:start w:val="1"/>
    </w:lvl>
  </w:abstractNum>
  <w:abstractNum w:abstractNumId="145">
    <w:nsid w:val="6B47F63E"/>
    <w:multiLevelType w:val="hybridMultilevel"/>
    <w:lvl w:ilvl="0">
      <w:lvlJc w:val="left"/>
      <w:lvlText w:val="●"/>
      <w:numFmt w:val="bullet"/>
      <w:start w:val="1"/>
    </w:lvl>
  </w:abstractNum>
  <w:abstractNum w:abstractNumId="146">
    <w:nsid w:val="5CB44A05"/>
    <w:multiLevelType w:val="hybridMultilevel"/>
    <w:lvl w:ilvl="0">
      <w:lvlJc w:val="left"/>
      <w:lvlText w:val="●"/>
      <w:numFmt w:val="bullet"/>
      <w:start w:val="1"/>
    </w:lvl>
  </w:abstractNum>
  <w:abstractNum w:abstractNumId="147">
    <w:nsid w:val="16CF80F1"/>
    <w:multiLevelType w:val="hybridMultilevel"/>
    <w:lvl w:ilvl="0">
      <w:lvlJc w:val="left"/>
      <w:lvlText w:val="●"/>
      <w:numFmt w:val="bullet"/>
      <w:start w:val="1"/>
    </w:lvl>
  </w:abstractNum>
  <w:abstractNum w:abstractNumId="148">
    <w:nsid w:val="1C695DEC"/>
    <w:multiLevelType w:val="hybridMultilevel"/>
    <w:lvl w:ilvl="0">
      <w:lvlJc w:val="left"/>
      <w:lvlText w:val="●"/>
      <w:numFmt w:val="bullet"/>
      <w:start w:val="1"/>
    </w:lvl>
  </w:abstractNum>
  <w:abstractNum w:abstractNumId="149">
    <w:nsid w:val="3FCFAED9"/>
    <w:multiLevelType w:val="hybridMultilevel"/>
    <w:lvl w:ilvl="0">
      <w:lvlJc w:val="left"/>
      <w:lvlText w:val="●"/>
      <w:numFmt w:val="bullet"/>
      <w:start w:val="1"/>
    </w:lvl>
  </w:abstractNum>
  <w:abstractNum w:abstractNumId="150">
    <w:nsid w:val="F856867"/>
    <w:multiLevelType w:val="hybridMultilevel"/>
    <w:lvl w:ilvl="0">
      <w:lvlJc w:val="left"/>
      <w:lvlText w:val="●"/>
      <w:numFmt w:val="bullet"/>
      <w:start w:val="1"/>
    </w:lvl>
  </w:abstractNum>
  <w:abstractNum w:abstractNumId="151">
    <w:nsid w:val="11B1CC33"/>
    <w:multiLevelType w:val="hybridMultilevel"/>
    <w:lvl w:ilvl="0">
      <w:lvlJc w:val="left"/>
      <w:lvlText w:val="●"/>
      <w:numFmt w:val="bullet"/>
      <w:start w:val="1"/>
    </w:lvl>
  </w:abstractNum>
  <w:abstractNum w:abstractNumId="152">
    <w:nsid w:val="2E22FBB7"/>
    <w:multiLevelType w:val="hybridMultilevel"/>
    <w:lvl w:ilvl="0">
      <w:lvlJc w:val="left"/>
      <w:lvlText w:val="%1."/>
      <w:numFmt w:val="upperLetter"/>
      <w:start w:val="1"/>
    </w:lvl>
  </w:abstractNum>
  <w:abstractNum w:abstractNumId="153">
    <w:nsid w:val="29934699"/>
    <w:multiLevelType w:val="hybridMultilevel"/>
    <w:lvl w:ilvl="0">
      <w:lvlJc w:val="left"/>
      <w:lvlText w:val="%1."/>
      <w:numFmt w:val="upperLetter"/>
      <w:start w:val="2"/>
    </w:lvl>
  </w:abstractNum>
  <w:abstractNum w:abstractNumId="154">
    <w:nsid w:val="77485850"/>
    <w:multiLevelType w:val="hybridMultilevel"/>
    <w:lvl w:ilvl="0">
      <w:lvlJc w:val="left"/>
      <w:lvlText w:val="%1."/>
      <w:numFmt w:val="upperLetter"/>
      <w:start w:val="3"/>
    </w:lvl>
  </w:abstractNum>
  <w:abstractNum w:abstractNumId="155">
    <w:nsid w:val="744939A3"/>
    <w:multiLevelType w:val="hybridMultilevel"/>
    <w:lvl w:ilvl="0">
      <w:lvlJc w:val="left"/>
      <w:lvlText w:val="%1."/>
      <w:numFmt w:val="upperLetter"/>
      <w:start w:val="4"/>
    </w:lvl>
  </w:abstractNum>
  <w:abstractNum w:abstractNumId="156">
    <w:nsid w:val="4FA0D2E3"/>
    <w:multiLevelType w:val="hybridMultilevel"/>
    <w:lvl w:ilvl="0">
      <w:lvlJc w:val="left"/>
      <w:lvlText w:val="%1."/>
      <w:numFmt w:val="upperLetter"/>
      <w:start w:val="5"/>
    </w:lvl>
  </w:abstractNum>
  <w:abstractNum w:abstractNumId="157">
    <w:nsid w:val="6B1D2C14"/>
    <w:multiLevelType w:val="hybridMultilevel"/>
    <w:lvl w:ilvl="0">
      <w:lvlJc w:val="left"/>
      <w:lvlText w:val="%1."/>
      <w:numFmt w:val="upperLetter"/>
      <w:start w:val="6"/>
    </w:lvl>
  </w:abstractNum>
  <w:abstractNum w:abstractNumId="158">
    <w:nsid w:val="68B867D3"/>
    <w:multiLevelType w:val="hybridMultilevel"/>
    <w:lvl w:ilvl="0">
      <w:lvlJc w:val="left"/>
      <w:lvlText w:val="%1."/>
      <w:numFmt w:val="upperLetter"/>
      <w:start w:val="7"/>
    </w:lvl>
  </w:abstractNum>
  <w:abstractNum w:abstractNumId="159">
    <w:nsid w:val="3F7F5DD9"/>
    <w:multiLevelType w:val="hybridMultilevel"/>
    <w:lvl w:ilvl="0">
      <w:lvlJc w:val="left"/>
      <w:lvlText w:val="%1."/>
      <w:numFmt w:val="decimal"/>
      <w:start w:val="1"/>
    </w:lvl>
  </w:abstractNum>
  <w:abstractNum w:abstractNumId="160">
    <w:nsid w:val="2AE05A34"/>
    <w:multiLevelType w:val="hybridMultilevel"/>
    <w:lvl w:ilvl="0">
      <w:lvlJc w:val="left"/>
      <w:lvlText w:val="%1"/>
      <w:numFmt w:val="upperLetter"/>
      <w:start w:val="1"/>
    </w:lvl>
    <w:lvl w:ilvl="1">
      <w:lvlJc w:val="left"/>
      <w:lvlText w:val="%2."/>
      <w:numFmt w:val="decimal"/>
      <w:start w:val="4"/>
    </w:lvl>
  </w:abstractNum>
  <w:abstractNum w:abstractNumId="161">
    <w:nsid w:val="32794FF7"/>
    <w:multiLevelType w:val="hybridMultilevel"/>
    <w:lvl w:ilvl="0">
      <w:lvlJc w:val="left"/>
      <w:lvlText w:val="%1."/>
      <w:numFmt w:val="upperLetter"/>
      <w:start w:val="8"/>
    </w:lvl>
    <w:lvl w:ilvl="1">
      <w:lvlJc w:val="left"/>
      <w:lvlText w:val="%2"/>
      <w:numFmt w:val="decimal"/>
      <w:start w:val="1"/>
    </w:lvl>
  </w:abstractNum>
  <w:abstractNum w:abstractNumId="162">
    <w:nsid w:val="5454945E"/>
    <w:multiLevelType w:val="hybridMultilevel"/>
    <w:lvl w:ilvl="0">
      <w:lvlJc w:val="left"/>
      <w:lvlText w:val="(%1)"/>
      <w:numFmt w:val="lowerRoman"/>
      <w:start w:val="1"/>
    </w:lvl>
  </w:abstractNum>
  <w:abstractNum w:abstractNumId="163">
    <w:nsid w:val="4DEFDFA0"/>
    <w:multiLevelType w:val="hybridMultilevel"/>
    <w:lvl w:ilvl="0">
      <w:lvlJc w:val="left"/>
      <w:lvlText w:val="(%1)"/>
      <w:numFmt w:val="lowerRoman"/>
      <w:start w:val="1"/>
    </w:lvl>
  </w:abstractNum>
  <w:abstractNum w:abstractNumId="164">
    <w:nsid w:val="2123D5F2"/>
    <w:multiLevelType w:val="hybridMultilevel"/>
    <w:lvl w:ilvl="0">
      <w:lvlJc w:val="left"/>
      <w:lvlText w:val="(%1)"/>
      <w:numFmt w:val="lowerRoman"/>
      <w:start w:val="4"/>
    </w:lvl>
  </w:abstractNum>
  <w:abstractNum w:abstractNumId="165">
    <w:nsid w:val="135B8110"/>
    <w:multiLevelType w:val="hybridMultilevel"/>
    <w:lvl w:ilvl="0">
      <w:lvlJc w:val="left"/>
      <w:lvlText w:val="%1."/>
      <w:numFmt w:val="decimal"/>
      <w:start w:val="1"/>
    </w:lvl>
  </w:abstractNum>
  <w:abstractNum w:abstractNumId="166">
    <w:nsid w:val="94927A8"/>
    <w:multiLevelType w:val="hybridMultilevel"/>
    <w:lvl w:ilvl="0">
      <w:lvlJc w:val="left"/>
      <w:lvlText w:val="(%1)"/>
      <w:numFmt w:val="lowerLetter"/>
      <w:start w:val="1"/>
    </w:lvl>
  </w:abstractNum>
  <w:abstractNum w:abstractNumId="167">
    <w:nsid w:val="DCDF8F6"/>
    <w:multiLevelType w:val="hybridMultilevel"/>
    <w:lvl w:ilvl="0">
      <w:lvlJc w:val="left"/>
      <w:lvlText w:val="%1."/>
      <w:numFmt w:val="decimal"/>
      <w:start w:val="5"/>
    </w:lvl>
  </w:abstractNum>
  <w:abstractNum w:abstractNumId="168">
    <w:nsid w:val="52D7B105"/>
    <w:multiLevelType w:val="hybridMultilevel"/>
    <w:lvl w:ilvl="0">
      <w:lvlJc w:val="left"/>
      <w:lvlText w:val="(%1)"/>
      <w:numFmt w:val="lowerLetter"/>
      <w:start w:val="1"/>
    </w:lvl>
  </w:abstractNum>
  <w:abstractNum w:abstractNumId="169">
    <w:nsid w:val="2E8A6394"/>
    <w:multiLevelType w:val="hybridMultilevel"/>
    <w:lvl w:ilvl="0">
      <w:lvlJc w:val="left"/>
      <w:lvlText w:val="%1."/>
      <w:numFmt w:val="decimal"/>
      <w:start w:val="1"/>
    </w:lvl>
  </w:abstractNum>
  <w:abstractNum w:abstractNumId="170">
    <w:nsid w:val="24E60401"/>
    <w:multiLevelType w:val="hybridMultilevel"/>
    <w:lvl w:ilvl="0">
      <w:lvlJc w:val="left"/>
      <w:lvlText w:val="(%1)"/>
      <w:numFmt w:val="lowerLetter"/>
      <w:start w:val="1"/>
    </w:lvl>
  </w:abstractNum>
  <w:abstractNum w:abstractNumId="171">
    <w:nsid w:val="2A6AD9BE"/>
    <w:multiLevelType w:val="hybridMultilevel"/>
    <w:lvl w:ilvl="0">
      <w:lvlJc w:val="left"/>
      <w:lvlText w:val="%1."/>
      <w:numFmt w:val="decimal"/>
      <w:start w:val="5"/>
    </w:lvl>
  </w:abstractNum>
  <w:abstractNum w:abstractNumId="172">
    <w:nsid w:val="BAAC1B4"/>
    <w:multiLevelType w:val="hybridMultilevel"/>
    <w:lvl w:ilvl="0">
      <w:lvlJc w:val="left"/>
      <w:lvlText w:val="(%1)"/>
      <w:numFmt w:val="lowerLetter"/>
      <w:start w:val="1"/>
    </w:lvl>
  </w:abstractNum>
  <w:abstractNum w:abstractNumId="173">
    <w:nsid w:val="36B2ACBC"/>
    <w:multiLevelType w:val="hybridMultilevel"/>
    <w:lvl w:ilvl="0">
      <w:lvlJc w:val="left"/>
      <w:lvlText w:val="%1."/>
      <w:numFmt w:val="decimal"/>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224" Type="http://schemas.openxmlformats.org/officeDocument/2006/relationships/hyperlink" Target="https://www.sec.gov/Archives/edgar/data/1651625/000095010324010895/dp215008_ex0301.htm" TargetMode="External"/><Relationship Id="rId225" Type="http://schemas.openxmlformats.org/officeDocument/2006/relationships/hyperlink" Target="https://www.sec.gov/Archives/edgar/data/1651625/000119312516607922/d16439dex101.htm" TargetMode="External"/><Relationship Id="rId226" Type="http://schemas.openxmlformats.org/officeDocument/2006/relationships/hyperlink" Target="https://www.sec.gov/Archives/edgar/data/1651625/000119312516607922/d16439dex102.htm" TargetMode="External"/><Relationship Id="rId227" Type="http://schemas.openxmlformats.org/officeDocument/2006/relationships/hyperlink" Target="https://www.sec.gov/Archives/edgar/data/1651625/000119312516607922/d16439dex103.htm" TargetMode="External"/><Relationship Id="rId228" Type="http://schemas.openxmlformats.org/officeDocument/2006/relationships/hyperlink" Target="https://www.sec.gov/Archives/edgar/data/1651625/000119312516607922/d16439dex104.htm" TargetMode="External"/><Relationship Id="rId229" Type="http://schemas.openxmlformats.org/officeDocument/2006/relationships/hyperlink" Target="https://www.sec.gov/Archives/edgar/data/1651625/000119312516607922/d16439dex105.htm" TargetMode="External"/><Relationship Id="rId230" Type="http://schemas.openxmlformats.org/officeDocument/2006/relationships/hyperlink" Target="https://www.sec.gov/Archives/edgar/data/1651625/000155837023003963/aciu-20221231xex4d6.htm" TargetMode="External"/><Relationship Id="rId231" Type="http://schemas.openxmlformats.org/officeDocument/2006/relationships/hyperlink" Target="https://www.sec.gov/Archives/edgar/data/1651625/000119312516607922/d16439dex107.htm" TargetMode="External"/><Relationship Id="rId232" Type="http://schemas.openxmlformats.org/officeDocument/2006/relationships/hyperlink" Target="https://www.sec.gov/Archives/edgar/data/1651625/000095010316017052/dp69421_ex9908.htm" TargetMode="External"/><Relationship Id="rId233" Type="http://schemas.openxmlformats.org/officeDocument/2006/relationships/hyperlink" Target="https://www.sec.gov/Archives/edgar/data/1651625/000095010319004949/dp105140_ex0414.htm" TargetMode="External"/><Relationship Id="rId234" Type="http://schemas.openxmlformats.org/officeDocument/2006/relationships/hyperlink" Target="https://www.sec.gov/Archives/edgar/data/1651625/000095010319003578/dp103711_ex0415.htm" TargetMode="External"/><Relationship Id="rId235" Type="http://schemas.openxmlformats.org/officeDocument/2006/relationships/hyperlink" Target="https://www.sec.gov/Archives/edgar/data/1651625/000095010319012523/dp112992_ex1001.htm" TargetMode="External"/><Relationship Id="rId236" Type="http://schemas.openxmlformats.org/officeDocument/2006/relationships/hyperlink" Target="https://www.sec.gov/Archives/edgar/data/1651625/000095010320005734/dp124366_ex1001.htm" TargetMode="External"/><Relationship Id="rId237" Type="http://schemas.openxmlformats.org/officeDocument/2006/relationships/hyperlink" Target="https://www.sec.gov/Archives/edgar/data/1651625/000095010321006778/dp1150581_ex0101.htm" TargetMode="External"/><Relationship Id="rId238" Type="http://schemas.openxmlformats.org/officeDocument/2006/relationships/hyperlink" Target="https://www.sec.gov/Archives/edgar/data/1651625/000095010321011884/dp155670_ex1001.htm" TargetMode="External"/><Relationship Id="rId239" Type="http://schemas.openxmlformats.org/officeDocument/2006/relationships/hyperlink" Target="https://www.sec.gov/Archives/edgar/data/1651625/000095010321011884/dp155670_ex1002.htm" TargetMode="External"/><Relationship Id="rId240" Type="http://schemas.openxmlformats.org/officeDocument/2006/relationships/hyperlink" Target="https://www.sec.gov/Archives/edgar/data/1651625/000095010321011884/dp155670_ex1003.htm" TargetMode="External"/><Relationship Id="rId241" Type="http://schemas.openxmlformats.org/officeDocument/2006/relationships/hyperlink" Target="https://www.sec.gov/Archives/edgar/data/1651625/000155837024010944/aciu-20240630xex10d1.htm" TargetMode="External"/><Relationship Id="rId242" Type="http://schemas.openxmlformats.org/officeDocument/2006/relationships/hyperlink" Target="https://www.sec.gov/Archives/edgar/data/1651625/000095010324011753/dp216020_ex0101.htm" TargetMode="External"/><Relationship Id="rId243" Type="http://schemas.openxmlformats.org/officeDocument/2006/relationships/hyperlink" Target="https://www.sec.gov/Archives/edgar/data/1651625/000155837024003164/aciu-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2025-03-13T06:43:27Z</dcterms:created>
  <dcterms:modified xsi:type="dcterms:W3CDTF">2025-03-13T06:43:27Z</dcterms:modified>
</cp:coreProperties>
</file>