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SECURITIES AND EXCHANGE COMMISSION</w:t>
      </w:r>
    </w:p>
    <w:p>
      <w:pPr>
        <w:jc w:val="center"/>
        <w:spacing w:after="0"/>
        <w:rPr>
          <w:sz w:val="20"/>
          <w:szCs w:val="20"/>
          <w:color w:val="auto"/>
        </w:rPr>
      </w:pPr>
      <w:r>
        <w:rPr>
          <w:rFonts w:ascii="Arial" w:cs="Arial" w:eastAsia="Arial" w:hAnsi="Arial"/>
          <w:sz w:val="23"/>
          <w:szCs w:val="23"/>
          <w:color w:val="auto"/>
        </w:rPr>
        <w:t>Washington, D.C. 20549</w:t>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6-K</w:t>
      </w:r>
    </w:p>
    <w:p>
      <w:pPr>
        <w:spacing w:after="0" w:line="307" w:lineRule="exact"/>
        <w:rPr>
          <w:sz w:val="24"/>
          <w:szCs w:val="24"/>
          <w:color w:val="auto"/>
        </w:rPr>
      </w:pPr>
    </w:p>
    <w:p>
      <w:pPr>
        <w:jc w:val="center"/>
        <w:spacing w:after="0" w:line="282" w:lineRule="auto"/>
        <w:rPr>
          <w:sz w:val="20"/>
          <w:szCs w:val="20"/>
          <w:color w:val="auto"/>
        </w:rPr>
      </w:pPr>
      <w:r>
        <w:rPr>
          <w:rFonts w:ascii="Arial" w:cs="Arial" w:eastAsia="Arial" w:hAnsi="Arial"/>
          <w:sz w:val="25"/>
          <w:szCs w:val="25"/>
          <w:b w:val="1"/>
          <w:bCs w:val="1"/>
          <w:color w:val="auto"/>
        </w:rPr>
        <w:t>REPORT OF FOREIGN PRIVATE ISSUER PURSUANT TO RULE 13a-16 OR 15d-16 UNDER THE SECURITIES EXCHANGE ACT OF 1934</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month of August, 2021</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001-37891</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AC IMMUNE SA</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EPFL Innovation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Building B</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1015 Lausanne, Switzerland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19" w:lineRule="exact"/>
        <w:rPr>
          <w:sz w:val="24"/>
          <w:szCs w:val="24"/>
          <w:color w:val="auto"/>
        </w:rPr>
      </w:pPr>
    </w:p>
    <w:p>
      <w:pPr>
        <w:ind w:left="3200"/>
        <w:spacing w:after="0" w:line="207" w:lineRule="exact"/>
        <w:tabs>
          <w:tab w:leader="none" w:pos="68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p>
      <w:pPr>
        <w:spacing w:after="0" w:line="219" w:lineRule="exact"/>
        <w:rPr>
          <w:sz w:val="24"/>
          <w:szCs w:val="24"/>
          <w:color w:val="auto"/>
        </w:rPr>
      </w:pPr>
    </w:p>
    <w:p>
      <w:pPr>
        <w:ind w:left="3440"/>
        <w:spacing w:after="0" w:line="207" w:lineRule="exact"/>
        <w:tabs>
          <w:tab w:leader="none" w:pos="71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p>
      <w:pPr>
        <w:spacing w:after="0" w:line="219" w:lineRule="exact"/>
        <w:rPr>
          <w:sz w:val="24"/>
          <w:szCs w:val="24"/>
          <w:color w:val="auto"/>
        </w:rPr>
      </w:pPr>
    </w:p>
    <w:p>
      <w:pPr>
        <w:ind w:left="3440"/>
        <w:spacing w:after="0" w:line="207" w:lineRule="exact"/>
        <w:tabs>
          <w:tab w:leader="none" w:pos="71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-70485</wp:posOffset>
            </wp:positionH>
            <wp:positionV relativeFrom="paragraph">
              <wp:posOffset>181610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198755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438785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440" w:top="906" w:right="459" w:bottom="1440" w:gutter="0" w:footer="0" w:header="0"/>
        </w:sectPr>
      </w:pPr>
    </w:p>
    <w:bookmarkStart w:id="1" w:name="page2"/>
    <w:bookmarkEnd w:id="1"/>
    <w:p>
      <w:pPr>
        <w:ind w:firstLine="324"/>
        <w:spacing w:after="0" w:line="277" w:lineRule="auto"/>
        <w:rPr>
          <w:sz w:val="20"/>
          <w:szCs w:val="20"/>
          <w:color w:val="auto"/>
        </w:rPr>
      </w:pPr>
      <w:r>
        <w:rPr>
          <w:rFonts w:ascii="Arial" w:cs="Arial" w:eastAsia="Arial" w:hAnsi="Arial"/>
          <w:sz w:val="18"/>
          <w:szCs w:val="18"/>
          <w:color w:val="auto"/>
        </w:rPr>
        <w:t>This Report on Form 6-K (excluding Exhibit 99.3 herewith) is incorporated by reference into the Registrant's registration statement on Form F-3 (File Nos. 333-227016, 333-249655 and 333-255576) and Form S-8 (File No. 333-233019).</w:t>
      </w:r>
    </w:p>
    <w:p>
      <w:pPr>
        <w:spacing w:after="0" w:line="2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544" w:right="459" w:bottom="1440" w:gutter="0" w:footer="0" w:header="0"/>
        </w:sectPr>
      </w:pPr>
    </w:p>
    <w:bookmarkStart w:id="2" w:name="page3"/>
    <w:bookmarkEnd w:id="2"/>
    <w:p>
      <w:pPr>
        <w:jc w:val="center"/>
        <w:ind w:right="-6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AC IMMUNE SA</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Andrea Pfeifer</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81"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Joerg Hornstein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Joerg Hornstein</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August 4, 2021</w:t>
      </w:r>
    </w:p>
    <w:p>
      <w:pPr>
        <w:spacing w:after="0" w:line="33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540" w:right="9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0220" w:type="dxa"/>
            <w:vAlign w:val="bottom"/>
          </w:tcPr>
          <w:p>
            <w:pPr>
              <w:ind w:left="390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Exhibit</w:t>
            </w:r>
          </w:p>
        </w:tc>
        <w:tc>
          <w:tcPr>
            <w:tcW w:w="10220" w:type="dxa"/>
            <w:vAlign w:val="bottom"/>
          </w:tcPr>
          <w:p>
            <w:pPr>
              <w:spacing w:after="0"/>
              <w:rPr>
                <w:sz w:val="24"/>
                <w:szCs w:val="24"/>
                <w:color w:val="auto"/>
              </w:rPr>
            </w:pPr>
          </w:p>
        </w:tc>
      </w:tr>
      <w:tr>
        <w:trPr>
          <w:trHeight w:val="234"/>
        </w:trPr>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Number</w:t>
            </w:r>
          </w:p>
        </w:tc>
        <w:tc>
          <w:tcPr>
            <w:tcW w:w="10220" w:type="dxa"/>
            <w:vAlign w:val="bottom"/>
            <w:tcBorders>
              <w:bottom w:val="single" w:sz="8" w:color="auto"/>
            </w:tcBorders>
          </w:tcPr>
          <w:p>
            <w:pPr>
              <w:ind w:left="472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1020" w:type="dxa"/>
            <w:vAlign w:val="bottom"/>
          </w:tcPr>
          <w:p>
            <w:pPr>
              <w:jc w:val="right"/>
              <w:ind w:right="610"/>
              <w:spacing w:after="0" w:line="195" w:lineRule="exact"/>
              <w:rPr>
                <w:sz w:val="20"/>
                <w:szCs w:val="20"/>
                <w:color w:val="auto"/>
              </w:rPr>
            </w:pPr>
            <w:r>
              <w:rPr>
                <w:rFonts w:ascii="Arial" w:cs="Arial" w:eastAsia="Arial" w:hAnsi="Arial"/>
                <w:sz w:val="18"/>
                <w:szCs w:val="18"/>
                <w:color w:val="auto"/>
                <w:w w:val="85"/>
              </w:rPr>
              <w:t>10.1</w:t>
            </w:r>
          </w:p>
        </w:tc>
        <w:tc>
          <w:tcPr>
            <w:tcW w:w="10220" w:type="dxa"/>
            <w:vAlign w:val="bottom"/>
          </w:tcPr>
          <w:p>
            <w:pPr>
              <w:ind w:left="120"/>
              <w:spacing w:after="0" w:line="195" w:lineRule="exact"/>
              <w:rPr>
                <w:sz w:val="20"/>
                <w:szCs w:val="20"/>
                <w:color w:val="auto"/>
              </w:rPr>
            </w:pPr>
            <w:r>
              <w:rPr>
                <w:rFonts w:ascii="Arial" w:cs="Arial" w:eastAsia="Arial" w:hAnsi="Arial"/>
                <w:sz w:val="18"/>
                <w:szCs w:val="18"/>
                <w:color w:val="auto"/>
              </w:rPr>
              <w:t>Asset Purchase and Contribution in Kind Agreement*</w:t>
            </w:r>
          </w:p>
        </w:tc>
      </w:tr>
      <w:tr>
        <w:trPr>
          <w:trHeight w:val="216"/>
        </w:trPr>
        <w:tc>
          <w:tcPr>
            <w:tcW w:w="1020" w:type="dxa"/>
            <w:vAlign w:val="bottom"/>
          </w:tcPr>
          <w:p>
            <w:pPr>
              <w:jc w:val="right"/>
              <w:ind w:right="610"/>
              <w:spacing w:after="0"/>
              <w:rPr>
                <w:sz w:val="20"/>
                <w:szCs w:val="20"/>
                <w:color w:val="auto"/>
              </w:rPr>
            </w:pPr>
            <w:r>
              <w:rPr>
                <w:rFonts w:ascii="Arial" w:cs="Arial" w:eastAsia="Arial" w:hAnsi="Arial"/>
                <w:sz w:val="18"/>
                <w:szCs w:val="18"/>
                <w:color w:val="auto"/>
                <w:w w:val="85"/>
              </w:rPr>
              <w:t>10.2</w:t>
            </w:r>
          </w:p>
        </w:tc>
        <w:tc>
          <w:tcPr>
            <w:tcW w:w="10220" w:type="dxa"/>
            <w:vAlign w:val="bottom"/>
          </w:tcPr>
          <w:p>
            <w:pPr>
              <w:ind w:left="120"/>
              <w:spacing w:after="0"/>
              <w:rPr>
                <w:sz w:val="20"/>
                <w:szCs w:val="20"/>
                <w:color w:val="auto"/>
              </w:rPr>
            </w:pPr>
            <w:r>
              <w:rPr>
                <w:rFonts w:ascii="Arial" w:cs="Arial" w:eastAsia="Arial" w:hAnsi="Arial"/>
                <w:sz w:val="18"/>
                <w:szCs w:val="18"/>
                <w:color w:val="auto"/>
              </w:rPr>
              <w:t>Convertible Note Agreement with Santo Venture GmbH*</w:t>
            </w:r>
          </w:p>
        </w:tc>
      </w:tr>
      <w:tr>
        <w:trPr>
          <w:trHeight w:val="216"/>
        </w:trPr>
        <w:tc>
          <w:tcPr>
            <w:tcW w:w="1020" w:type="dxa"/>
            <w:vAlign w:val="bottom"/>
          </w:tcPr>
          <w:p>
            <w:pPr>
              <w:jc w:val="right"/>
              <w:ind w:right="610"/>
              <w:spacing w:after="0"/>
              <w:rPr>
                <w:sz w:val="20"/>
                <w:szCs w:val="20"/>
                <w:color w:val="auto"/>
              </w:rPr>
            </w:pPr>
            <w:r>
              <w:rPr>
                <w:rFonts w:ascii="Arial" w:cs="Arial" w:eastAsia="Arial" w:hAnsi="Arial"/>
                <w:sz w:val="18"/>
                <w:szCs w:val="18"/>
                <w:color w:val="auto"/>
                <w:w w:val="85"/>
              </w:rPr>
              <w:t>10.3</w:t>
            </w:r>
          </w:p>
        </w:tc>
        <w:tc>
          <w:tcPr>
            <w:tcW w:w="10220" w:type="dxa"/>
            <w:vAlign w:val="bottom"/>
          </w:tcPr>
          <w:p>
            <w:pPr>
              <w:ind w:left="120"/>
              <w:spacing w:after="0"/>
              <w:rPr>
                <w:sz w:val="20"/>
                <w:szCs w:val="20"/>
                <w:color w:val="auto"/>
              </w:rPr>
            </w:pPr>
            <w:r>
              <w:rPr>
                <w:rFonts w:ascii="Arial" w:cs="Arial" w:eastAsia="Arial" w:hAnsi="Arial"/>
                <w:sz w:val="18"/>
                <w:szCs w:val="18"/>
                <w:color w:val="auto"/>
              </w:rPr>
              <w:t>Convertible Note Agreement with FCPB Affi GmbH*</w:t>
            </w:r>
          </w:p>
        </w:tc>
      </w:tr>
      <w:tr>
        <w:trPr>
          <w:trHeight w:val="216"/>
        </w:trPr>
        <w:tc>
          <w:tcPr>
            <w:tcW w:w="1020" w:type="dxa"/>
            <w:vAlign w:val="bottom"/>
          </w:tcPr>
          <w:p>
            <w:pPr>
              <w:jc w:val="right"/>
              <w:ind w:right="610"/>
              <w:spacing w:after="0"/>
              <w:rPr>
                <w:sz w:val="20"/>
                <w:szCs w:val="20"/>
                <w:color w:val="auto"/>
              </w:rPr>
            </w:pPr>
            <w:r>
              <w:rPr>
                <w:rFonts w:ascii="Arial" w:cs="Arial" w:eastAsia="Arial" w:hAnsi="Arial"/>
                <w:sz w:val="18"/>
                <w:szCs w:val="18"/>
                <w:color w:val="auto"/>
                <w:w w:val="85"/>
              </w:rPr>
              <w:t>99.1</w:t>
            </w:r>
          </w:p>
        </w:tc>
        <w:tc>
          <w:tcPr>
            <w:tcW w:w="10220" w:type="dxa"/>
            <w:vAlign w:val="bottom"/>
          </w:tcPr>
          <w:p>
            <w:pPr>
              <w:ind w:left="120"/>
              <w:spacing w:after="0"/>
              <w:rPr>
                <w:sz w:val="20"/>
                <w:szCs w:val="20"/>
                <w:color w:val="auto"/>
              </w:rPr>
            </w:pPr>
            <w:r>
              <w:rPr>
                <w:rFonts w:ascii="Arial" w:cs="Arial" w:eastAsia="Arial" w:hAnsi="Arial"/>
                <w:sz w:val="18"/>
                <w:szCs w:val="18"/>
                <w:color w:val="auto"/>
                <w:w w:val="93"/>
              </w:rPr>
              <w:t>Interim Condensed Consolidated Financial Statements (Unaudited) (IFRS) as of and for the three and six months ended June 30, 2021</w:t>
            </w:r>
          </w:p>
        </w:tc>
      </w:tr>
      <w:tr>
        <w:trPr>
          <w:trHeight w:val="216"/>
        </w:trPr>
        <w:tc>
          <w:tcPr>
            <w:tcW w:w="1020" w:type="dxa"/>
            <w:vAlign w:val="bottom"/>
          </w:tcPr>
          <w:p>
            <w:pPr>
              <w:jc w:val="right"/>
              <w:ind w:right="610"/>
              <w:spacing w:after="0"/>
              <w:rPr>
                <w:sz w:val="20"/>
                <w:szCs w:val="20"/>
                <w:color w:val="auto"/>
              </w:rPr>
            </w:pPr>
            <w:r>
              <w:rPr>
                <w:rFonts w:ascii="Arial" w:cs="Arial" w:eastAsia="Arial" w:hAnsi="Arial"/>
                <w:sz w:val="18"/>
                <w:szCs w:val="18"/>
                <w:color w:val="auto"/>
                <w:w w:val="85"/>
              </w:rPr>
              <w:t>99.2</w:t>
            </w:r>
          </w:p>
        </w:tc>
        <w:tc>
          <w:tcPr>
            <w:tcW w:w="10220" w:type="dxa"/>
            <w:vAlign w:val="bottom"/>
          </w:tcPr>
          <w:p>
            <w:pPr>
              <w:ind w:left="1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r>
      <w:tr>
        <w:trPr>
          <w:trHeight w:val="230"/>
        </w:trPr>
        <w:tc>
          <w:tcPr>
            <w:tcW w:w="1020" w:type="dxa"/>
            <w:vAlign w:val="bottom"/>
          </w:tcPr>
          <w:p>
            <w:pPr>
              <w:jc w:val="right"/>
              <w:ind w:right="610"/>
              <w:spacing w:after="0"/>
              <w:rPr>
                <w:sz w:val="20"/>
                <w:szCs w:val="20"/>
                <w:color w:val="auto"/>
              </w:rPr>
            </w:pPr>
            <w:r>
              <w:rPr>
                <w:rFonts w:ascii="Arial" w:cs="Arial" w:eastAsia="Arial" w:hAnsi="Arial"/>
                <w:sz w:val="18"/>
                <w:szCs w:val="18"/>
                <w:color w:val="auto"/>
                <w:w w:val="85"/>
              </w:rPr>
              <w:t>99.3</w:t>
            </w:r>
          </w:p>
        </w:tc>
        <w:tc>
          <w:tcPr>
            <w:tcW w:w="10220" w:type="dxa"/>
            <w:vAlign w:val="bottom"/>
          </w:tcPr>
          <w:p>
            <w:pPr>
              <w:ind w:left="120"/>
              <w:spacing w:after="0"/>
              <w:rPr>
                <w:sz w:val="20"/>
                <w:szCs w:val="20"/>
                <w:color w:val="auto"/>
              </w:rPr>
            </w:pPr>
            <w:r>
              <w:rPr>
                <w:rFonts w:ascii="Arial" w:cs="Arial" w:eastAsia="Arial" w:hAnsi="Arial"/>
                <w:sz w:val="18"/>
                <w:szCs w:val="18"/>
                <w:color w:val="auto"/>
              </w:rPr>
              <w:t>Press Release dated August 4,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37" w:lineRule="exact"/>
        <w:rPr>
          <w:sz w:val="20"/>
          <w:szCs w:val="20"/>
          <w:color w:val="auto"/>
        </w:rPr>
      </w:pPr>
    </w:p>
    <w:p>
      <w:pPr>
        <w:jc w:val="both"/>
        <w:ind w:right="300" w:firstLine="8"/>
        <w:spacing w:after="0"/>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Portions of this exhibit are redacted pursuant to Item 601(b)(2)(ii) or Item 601(b)(10)(iv) of Regulation S-K as the Company has determined that the omitted information (i) is not material and (ii) would likely cause competitive harm to the Company if publicly disclosed.</w:t>
      </w: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CERTAIN CONFIDENTIAL PORTIONS HAVE BEEN REDACTED FROM THIS EXHIBIT BECAUSE THEY ARE BOTH (i) NOT MATERIAL AND (ii) IS THE TYPE THAT THE COMPANY TREATS AS PRIVATE OR CONFIDENTIAL. INFORMATION THAT HAS BEEN OMITTED HAD BEEN IDENTIFIED IN THIS DOCUMENT WITH A PLACEHOLDER IDENTIFIED BY THE MARK “[*****]”.</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Asset Purchase and Contribution in Kind Agreement dated 26 July 2021</w:t>
      </w:r>
    </w:p>
    <w:p>
      <w:pPr>
        <w:spacing w:after="0" w:line="168" w:lineRule="exact"/>
        <w:rPr>
          <w:sz w:val="20"/>
          <w:szCs w:val="20"/>
          <w:color w:val="auto"/>
        </w:rPr>
      </w:pPr>
    </w:p>
    <w:p>
      <w:pPr>
        <w:ind w:left="1700"/>
        <w:spacing w:after="0"/>
        <w:rPr>
          <w:sz w:val="20"/>
          <w:szCs w:val="20"/>
          <w:color w:val="auto"/>
        </w:rPr>
      </w:pPr>
      <w:r>
        <w:rPr>
          <w:rFonts w:ascii="Arial" w:cs="Arial" w:eastAsia="Arial" w:hAnsi="Arial"/>
          <w:sz w:val="25"/>
          <w:szCs w:val="25"/>
          <w:b w:val="1"/>
          <w:bCs w:val="1"/>
          <w:color w:val="auto"/>
        </w:rPr>
        <w:t>Asset Purchase and Contribution in Kind Agreement</w:t>
      </w:r>
    </w:p>
    <w:p>
      <w:pPr>
        <w:spacing w:after="0" w:line="200" w:lineRule="exact"/>
        <w:rPr>
          <w:sz w:val="20"/>
          <w:szCs w:val="20"/>
          <w:color w:val="auto"/>
        </w:rPr>
      </w:pPr>
    </w:p>
    <w:p>
      <w:pPr>
        <w:spacing w:after="0" w:line="244" w:lineRule="exact"/>
        <w:rPr>
          <w:sz w:val="20"/>
          <w:szCs w:val="20"/>
          <w:color w:val="auto"/>
        </w:rPr>
      </w:pPr>
    </w:p>
    <w:p>
      <w:pPr>
        <w:ind w:left="700"/>
        <w:spacing w:after="0"/>
        <w:tabs>
          <w:tab w:leader="none" w:pos="16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26 July 2021</w:t>
      </w:r>
    </w:p>
    <w:p>
      <w:pPr>
        <w:spacing w:after="0" w:line="379" w:lineRule="exact"/>
        <w:rPr>
          <w:sz w:val="20"/>
          <w:szCs w:val="20"/>
          <w:color w:val="auto"/>
        </w:rPr>
      </w:pPr>
    </w:p>
    <w:p>
      <w:pPr>
        <w:ind w:left="460"/>
        <w:spacing w:after="0"/>
        <w:tabs>
          <w:tab w:leader="none" w:pos="1680" w:val="left"/>
        </w:tabs>
        <w:rPr>
          <w:sz w:val="20"/>
          <w:szCs w:val="20"/>
          <w:color w:val="auto"/>
        </w:rPr>
      </w:pPr>
      <w:r>
        <w:rPr>
          <w:rFonts w:ascii="Arial" w:cs="Arial" w:eastAsia="Arial" w:hAnsi="Arial"/>
          <w:sz w:val="18"/>
          <w:szCs w:val="18"/>
          <w:color w:val="auto"/>
        </w:rPr>
        <w:t>between</w:t>
      </w:r>
      <w:r>
        <w:rPr>
          <w:sz w:val="20"/>
          <w:szCs w:val="20"/>
          <w:color w:val="auto"/>
        </w:rPr>
        <w:tab/>
      </w:r>
      <w:r>
        <w:rPr>
          <w:rFonts w:ascii="Arial" w:cs="Arial" w:eastAsia="Arial" w:hAnsi="Arial"/>
          <w:sz w:val="18"/>
          <w:szCs w:val="18"/>
          <w:b w:val="1"/>
          <w:bCs w:val="1"/>
          <w:color w:val="auto"/>
        </w:rPr>
        <w:t>AC Immune SA</w:t>
      </w:r>
    </w:p>
    <w:p>
      <w:pPr>
        <w:spacing w:after="0" w:line="200" w:lineRule="exact"/>
        <w:rPr>
          <w:sz w:val="20"/>
          <w:szCs w:val="20"/>
          <w:color w:val="auto"/>
        </w:rPr>
      </w:pPr>
    </w:p>
    <w:p>
      <w:pPr>
        <w:spacing w:after="0" w:line="218"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EPFL Innovation Park, bâtiment B</w:t>
      </w:r>
    </w:p>
    <w:p>
      <w:pPr>
        <w:ind w:left="1700"/>
        <w:spacing w:after="0" w:line="234" w:lineRule="auto"/>
        <w:rPr>
          <w:sz w:val="20"/>
          <w:szCs w:val="20"/>
          <w:color w:val="auto"/>
        </w:rPr>
      </w:pPr>
      <w:r>
        <w:rPr>
          <w:rFonts w:ascii="Arial" w:cs="Arial" w:eastAsia="Arial" w:hAnsi="Arial"/>
          <w:sz w:val="18"/>
          <w:szCs w:val="18"/>
          <w:color w:val="auto"/>
        </w:rPr>
        <w:t>1015 Lausanne</w:t>
      </w:r>
    </w:p>
    <w:p>
      <w:pPr>
        <w:spacing w:after="0" w:line="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Switzerland</w:t>
      </w:r>
    </w:p>
    <w:p>
      <w:pPr>
        <w:spacing w:after="0" w:line="37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hereinafter: "</w:t>
      </w:r>
      <w:r>
        <w:rPr>
          <w:rFonts w:ascii="Arial" w:cs="Arial" w:eastAsia="Arial" w:hAnsi="Arial"/>
          <w:sz w:val="18"/>
          <w:szCs w:val="18"/>
          <w:b w:val="1"/>
          <w:bCs w:val="1"/>
          <w:color w:val="auto"/>
        </w:rPr>
        <w:t>ACIU</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ind w:left="840"/>
        <w:spacing w:after="0"/>
        <w:tabs>
          <w:tab w:leader="none" w:pos="1680" w:val="left"/>
        </w:tabs>
        <w:rPr>
          <w:sz w:val="20"/>
          <w:szCs w:val="20"/>
          <w:color w:val="auto"/>
        </w:rPr>
      </w:pPr>
      <w:r>
        <w:rPr>
          <w:rFonts w:ascii="Arial" w:cs="Arial" w:eastAsia="Arial" w:hAnsi="Arial"/>
          <w:sz w:val="18"/>
          <w:szCs w:val="18"/>
          <w:color w:val="auto"/>
        </w:rPr>
        <w:t>and</w:t>
      </w:r>
      <w:r>
        <w:rPr>
          <w:sz w:val="20"/>
          <w:szCs w:val="20"/>
          <w:color w:val="auto"/>
        </w:rPr>
        <w:tab/>
      </w:r>
      <w:r>
        <w:rPr>
          <w:rFonts w:ascii="Arial" w:cs="Arial" w:eastAsia="Arial" w:hAnsi="Arial"/>
          <w:sz w:val="18"/>
          <w:szCs w:val="18"/>
          <w:b w:val="1"/>
          <w:bCs w:val="1"/>
          <w:color w:val="auto"/>
        </w:rPr>
        <w:t>Affiris AG</w:t>
      </w:r>
    </w:p>
    <w:p>
      <w:pPr>
        <w:spacing w:after="0" w:line="200" w:lineRule="exact"/>
        <w:rPr>
          <w:sz w:val="20"/>
          <w:szCs w:val="20"/>
          <w:color w:val="auto"/>
        </w:rPr>
      </w:pPr>
    </w:p>
    <w:p>
      <w:pPr>
        <w:spacing w:after="0" w:line="218"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Karl-Farkas-Gasse 22</w:t>
      </w:r>
    </w:p>
    <w:p>
      <w:pPr>
        <w:ind w:left="1700"/>
        <w:spacing w:after="0" w:line="234" w:lineRule="auto"/>
        <w:rPr>
          <w:sz w:val="20"/>
          <w:szCs w:val="20"/>
          <w:color w:val="auto"/>
        </w:rPr>
      </w:pPr>
      <w:r>
        <w:rPr>
          <w:rFonts w:ascii="Arial" w:cs="Arial" w:eastAsia="Arial" w:hAnsi="Arial"/>
          <w:sz w:val="18"/>
          <w:szCs w:val="18"/>
          <w:color w:val="auto"/>
        </w:rPr>
        <w:t>1030 Vienna</w:t>
      </w:r>
    </w:p>
    <w:p>
      <w:pPr>
        <w:spacing w:after="0" w:line="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Austria</w:t>
      </w:r>
    </w:p>
    <w:p>
      <w:pPr>
        <w:spacing w:after="0" w:line="37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hereinafter: "</w:t>
      </w:r>
      <w:r>
        <w:rPr>
          <w:rFonts w:ascii="Arial" w:cs="Arial" w:eastAsia="Arial" w:hAnsi="Arial"/>
          <w:sz w:val="18"/>
          <w:szCs w:val="18"/>
          <w:b w:val="1"/>
          <w:bCs w:val="1"/>
          <w:color w:val="auto"/>
        </w:rPr>
        <w:t>A</w:t>
      </w:r>
      <w:r>
        <w:rPr>
          <w:rFonts w:ascii="Arial" w:cs="Arial" w:eastAsia="Arial" w:hAnsi="Arial"/>
          <w:sz w:val="12"/>
          <w:szCs w:val="12"/>
          <w:b w:val="1"/>
          <w:bCs w:val="1"/>
          <w:color w:val="auto"/>
        </w:rPr>
        <w:t>FFIRIS</w:t>
      </w:r>
      <w:r>
        <w:rPr>
          <w:rFonts w:ascii="Arial" w:cs="Arial" w:eastAsia="Arial" w:hAnsi="Arial"/>
          <w:sz w:val="18"/>
          <w:szCs w:val="18"/>
          <w:color w:val="auto"/>
        </w:rPr>
        <w:t>";</w:t>
      </w:r>
    </w:p>
    <w:p>
      <w:pPr>
        <w:spacing w:after="0" w:line="220"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ACIU and A</w:t>
      </w:r>
      <w:r>
        <w:rPr>
          <w:rFonts w:ascii="Arial" w:cs="Arial" w:eastAsia="Arial" w:hAnsi="Arial"/>
          <w:sz w:val="12"/>
          <w:szCs w:val="12"/>
          <w:color w:val="auto"/>
        </w:rPr>
        <w:t>FFIRIS</w:t>
      </w:r>
      <w:r>
        <w:rPr>
          <w:rFonts w:ascii="Arial" w:cs="Arial" w:eastAsia="Arial" w:hAnsi="Arial"/>
          <w:sz w:val="18"/>
          <w:szCs w:val="18"/>
          <w:color w:val="auto"/>
        </w:rPr>
        <w:t xml:space="preserve"> together the P</w:t>
      </w:r>
      <w:r>
        <w:rPr>
          <w:rFonts w:ascii="Arial" w:cs="Arial" w:eastAsia="Arial" w:hAnsi="Arial"/>
          <w:sz w:val="12"/>
          <w:szCs w:val="12"/>
          <w:color w:val="auto"/>
        </w:rPr>
        <w:t>ARTIES</w:t>
      </w:r>
      <w:r>
        <w:rPr>
          <w:rFonts w:ascii="Arial" w:cs="Arial" w:eastAsia="Arial" w:hAnsi="Arial"/>
          <w:sz w:val="18"/>
          <w:szCs w:val="18"/>
          <w:color w:val="auto"/>
        </w:rPr>
        <w:t xml:space="preserve"> and each a P</w:t>
      </w:r>
      <w:r>
        <w:rPr>
          <w:rFonts w:ascii="Arial" w:cs="Arial" w:eastAsia="Arial" w:hAnsi="Arial"/>
          <w:sz w:val="12"/>
          <w:szCs w:val="12"/>
          <w:color w:val="auto"/>
        </w:rPr>
        <w:t>ARTY</w:t>
      </w:r>
    </w:p>
    <w:p>
      <w:pPr>
        <w:spacing w:after="0" w:line="200" w:lineRule="exact"/>
        <w:rPr>
          <w:sz w:val="20"/>
          <w:szCs w:val="20"/>
          <w:color w:val="auto"/>
        </w:rPr>
      </w:pPr>
    </w:p>
    <w:p>
      <w:pPr>
        <w:spacing w:after="0" w:line="201" w:lineRule="exact"/>
        <w:rPr>
          <w:sz w:val="20"/>
          <w:szCs w:val="20"/>
          <w:color w:val="auto"/>
        </w:rPr>
      </w:pPr>
    </w:p>
    <w:p>
      <w:pPr>
        <w:ind w:left="260"/>
        <w:spacing w:after="0"/>
        <w:tabs>
          <w:tab w:leader="none" w:pos="1680" w:val="left"/>
        </w:tabs>
        <w:rPr>
          <w:sz w:val="20"/>
          <w:szCs w:val="20"/>
          <w:color w:val="auto"/>
        </w:rPr>
      </w:pPr>
      <w:r>
        <w:rPr>
          <w:rFonts w:ascii="Arial" w:cs="Arial" w:eastAsia="Arial" w:hAnsi="Arial"/>
          <w:sz w:val="18"/>
          <w:szCs w:val="18"/>
          <w:color w:val="auto"/>
        </w:rPr>
        <w:t>concerning</w:t>
      </w:r>
      <w:r>
        <w:rPr>
          <w:sz w:val="20"/>
          <w:szCs w:val="20"/>
          <w:color w:val="auto"/>
        </w:rPr>
        <w:tab/>
      </w:r>
      <w:r>
        <w:rPr>
          <w:rFonts w:ascii="Arial" w:cs="Arial" w:eastAsia="Arial" w:hAnsi="Arial"/>
          <w:sz w:val="18"/>
          <w:szCs w:val="18"/>
          <w:color w:val="auto"/>
        </w:rPr>
        <w:t>the acquisition of the P</w:t>
      </w:r>
      <w:r>
        <w:rPr>
          <w:rFonts w:ascii="Arial" w:cs="Arial" w:eastAsia="Arial" w:hAnsi="Arial"/>
          <w:sz w:val="12"/>
          <w:szCs w:val="12"/>
          <w:color w:val="auto"/>
        </w:rPr>
        <w:t>ROGRAMS</w:t>
      </w:r>
      <w:r>
        <w:rPr>
          <w:rFonts w:ascii="Arial" w:cs="Arial" w:eastAsia="Arial" w:hAnsi="Arial"/>
          <w:sz w:val="18"/>
          <w:szCs w:val="18"/>
          <w:color w:val="auto"/>
        </w:rPr>
        <w:t xml:space="preserve"> (as defined below) by ACIU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9"/>
        </w:trPr>
        <w:tc>
          <w:tcPr>
            <w:tcW w:w="9140" w:type="dxa"/>
            <w:vAlign w:val="bottom"/>
            <w:gridSpan w:val="3"/>
          </w:tcPr>
          <w:p>
            <w:pPr>
              <w:spacing w:after="0"/>
              <w:rPr>
                <w:sz w:val="20"/>
                <w:szCs w:val="20"/>
                <w:color w:val="auto"/>
              </w:rPr>
            </w:pPr>
            <w:r>
              <w:rPr>
                <w:rFonts w:ascii="Arial" w:cs="Arial" w:eastAsia="Arial" w:hAnsi="Arial"/>
                <w:sz w:val="18"/>
                <w:szCs w:val="18"/>
                <w:b w:val="1"/>
                <w:bCs w:val="1"/>
                <w:color w:val="auto"/>
              </w:rPr>
              <w:t>Table of Contents</w:t>
            </w:r>
          </w:p>
        </w:tc>
        <w:tc>
          <w:tcPr>
            <w:tcW w:w="2100" w:type="dxa"/>
            <w:vAlign w:val="bottom"/>
          </w:tcPr>
          <w:p>
            <w:pPr>
              <w:spacing w:after="0"/>
              <w:rPr>
                <w:sz w:val="20"/>
                <w:szCs w:val="20"/>
                <w:color w:val="auto"/>
              </w:rPr>
            </w:pPr>
          </w:p>
        </w:tc>
      </w:tr>
      <w:tr>
        <w:trPr>
          <w:trHeight w:val="593"/>
        </w:trPr>
        <w:tc>
          <w:tcPr>
            <w:tcW w:w="9140" w:type="dxa"/>
            <w:vAlign w:val="bottom"/>
            <w:gridSpan w:val="3"/>
          </w:tcPr>
          <w:p>
            <w:pPr>
              <w:spacing w:after="0"/>
              <w:rPr>
                <w:sz w:val="20"/>
                <w:szCs w:val="20"/>
                <w:color w:val="auto"/>
              </w:rPr>
            </w:pPr>
            <w:r>
              <w:rPr>
                <w:rFonts w:ascii="Arial" w:cs="Arial" w:eastAsia="Arial" w:hAnsi="Arial"/>
                <w:sz w:val="18"/>
                <w:szCs w:val="18"/>
                <w:color w:val="auto"/>
              </w:rPr>
              <w:t>Table of Annexes</w:t>
            </w:r>
          </w:p>
        </w:tc>
        <w:tc>
          <w:tcPr>
            <w:tcW w:w="21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3"/>
        </w:trPr>
        <w:tc>
          <w:tcPr>
            <w:tcW w:w="920" w:type="dxa"/>
            <w:vAlign w:val="bottom"/>
            <w:gridSpan w:val="2"/>
          </w:tcPr>
          <w:p>
            <w:pPr>
              <w:spacing w:after="0" w:line="202" w:lineRule="exact"/>
              <w:rPr>
                <w:sz w:val="20"/>
                <w:szCs w:val="20"/>
                <w:color w:val="auto"/>
              </w:rPr>
            </w:pPr>
            <w:r>
              <w:rPr>
                <w:rFonts w:ascii="Arial" w:cs="Arial" w:eastAsia="Arial" w:hAnsi="Arial"/>
                <w:sz w:val="18"/>
                <w:szCs w:val="18"/>
                <w:color w:val="auto"/>
              </w:rPr>
              <w:t>Recitals</w:t>
            </w:r>
          </w:p>
        </w:tc>
        <w:tc>
          <w:tcPr>
            <w:tcW w:w="8220" w:type="dxa"/>
            <w:vAlign w:val="bottom"/>
          </w:tcPr>
          <w:p>
            <w:pPr>
              <w:spacing w:after="0"/>
              <w:rPr>
                <w:sz w:val="17"/>
                <w:szCs w:val="17"/>
                <w:color w:val="auto"/>
              </w:rPr>
            </w:pP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340" w:type="dxa"/>
            <w:vAlign w:val="bottom"/>
          </w:tcPr>
          <w:p>
            <w:pPr>
              <w:spacing w:after="0" w:line="202" w:lineRule="exact"/>
              <w:rPr>
                <w:sz w:val="20"/>
                <w:szCs w:val="20"/>
                <w:color w:val="auto"/>
              </w:rPr>
            </w:pPr>
            <w:r>
              <w:rPr>
                <w:rFonts w:ascii="Arial" w:cs="Arial" w:eastAsia="Arial" w:hAnsi="Arial"/>
                <w:sz w:val="18"/>
                <w:szCs w:val="18"/>
                <w:color w:val="auto"/>
              </w:rPr>
              <w:t>1</w:t>
            </w:r>
          </w:p>
        </w:tc>
        <w:tc>
          <w:tcPr>
            <w:tcW w:w="88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Definitions</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3"/>
        </w:trPr>
        <w:tc>
          <w:tcPr>
            <w:tcW w:w="340" w:type="dxa"/>
            <w:vAlign w:val="bottom"/>
          </w:tcPr>
          <w:p>
            <w:pPr>
              <w:spacing w:after="0" w:line="202" w:lineRule="exact"/>
              <w:rPr>
                <w:sz w:val="20"/>
                <w:szCs w:val="20"/>
                <w:color w:val="auto"/>
              </w:rPr>
            </w:pPr>
            <w:r>
              <w:rPr>
                <w:rFonts w:ascii="Arial" w:cs="Arial" w:eastAsia="Arial" w:hAnsi="Arial"/>
                <w:sz w:val="18"/>
                <w:szCs w:val="18"/>
                <w:color w:val="auto"/>
              </w:rPr>
              <w:t>2</w:t>
            </w:r>
          </w:p>
        </w:tc>
        <w:tc>
          <w:tcPr>
            <w:tcW w:w="88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Construction</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r>
      <w:tr>
        <w:trPr>
          <w:trHeight w:val="203"/>
        </w:trPr>
        <w:tc>
          <w:tcPr>
            <w:tcW w:w="340" w:type="dxa"/>
            <w:vAlign w:val="bottom"/>
          </w:tcPr>
          <w:p>
            <w:pPr>
              <w:spacing w:after="0" w:line="202" w:lineRule="exact"/>
              <w:rPr>
                <w:sz w:val="20"/>
                <w:szCs w:val="20"/>
                <w:color w:val="auto"/>
              </w:rPr>
            </w:pPr>
            <w:r>
              <w:rPr>
                <w:rFonts w:ascii="Arial" w:cs="Arial" w:eastAsia="Arial" w:hAnsi="Arial"/>
                <w:sz w:val="18"/>
                <w:szCs w:val="18"/>
                <w:color w:val="auto"/>
              </w:rPr>
              <w:t>3</w:t>
            </w:r>
          </w:p>
        </w:tc>
        <w:tc>
          <w:tcPr>
            <w:tcW w:w="88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Object of Purchase: Transfer of the PROGRAMS</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r>
      <w:tr>
        <w:trPr>
          <w:trHeight w:val="203"/>
        </w:trPr>
        <w:tc>
          <w:tcPr>
            <w:tcW w:w="34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3.1</w:t>
            </w:r>
          </w:p>
        </w:tc>
        <w:tc>
          <w:tcPr>
            <w:tcW w:w="8220" w:type="dxa"/>
            <w:vAlign w:val="bottom"/>
          </w:tcPr>
          <w:p>
            <w:pPr>
              <w:ind w:left="120"/>
              <w:spacing w:after="0" w:line="202" w:lineRule="exact"/>
              <w:rPr>
                <w:sz w:val="20"/>
                <w:szCs w:val="20"/>
                <w:color w:val="auto"/>
              </w:rPr>
            </w:pPr>
            <w:r>
              <w:rPr>
                <w:rFonts w:ascii="Arial" w:cs="Arial" w:eastAsia="Arial" w:hAnsi="Arial"/>
                <w:sz w:val="18"/>
                <w:szCs w:val="18"/>
                <w:color w:val="auto"/>
              </w:rPr>
              <w:t>General provision</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r>
      <w:tr>
        <w:trPr>
          <w:trHeight w:val="203"/>
        </w:trPr>
        <w:tc>
          <w:tcPr>
            <w:tcW w:w="34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3.2</w:t>
            </w:r>
          </w:p>
        </w:tc>
        <w:tc>
          <w:tcPr>
            <w:tcW w:w="8220" w:type="dxa"/>
            <w:vAlign w:val="bottom"/>
          </w:tcPr>
          <w:p>
            <w:pPr>
              <w:ind w:left="120"/>
              <w:spacing w:after="0" w:line="202" w:lineRule="exact"/>
              <w:rPr>
                <w:sz w:val="20"/>
                <w:szCs w:val="20"/>
                <w:color w:val="auto"/>
              </w:rPr>
            </w:pPr>
            <w:r>
              <w:rPr>
                <w:rFonts w:ascii="Arial" w:cs="Arial" w:eastAsia="Arial" w:hAnsi="Arial"/>
                <w:sz w:val="18"/>
                <w:szCs w:val="18"/>
                <w:color w:val="auto"/>
              </w:rPr>
              <w:t>Transfer of Assets</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r>
      <w:tr>
        <w:trPr>
          <w:trHeight w:val="202"/>
        </w:trPr>
        <w:tc>
          <w:tcPr>
            <w:tcW w:w="34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3.3</w:t>
            </w:r>
          </w:p>
        </w:tc>
        <w:tc>
          <w:tcPr>
            <w:tcW w:w="8220" w:type="dxa"/>
            <w:vAlign w:val="bottom"/>
          </w:tcPr>
          <w:p>
            <w:pPr>
              <w:ind w:left="120"/>
              <w:spacing w:after="0" w:line="202" w:lineRule="exact"/>
              <w:rPr>
                <w:sz w:val="20"/>
                <w:szCs w:val="20"/>
                <w:color w:val="auto"/>
              </w:rPr>
            </w:pPr>
            <w:r>
              <w:rPr>
                <w:rFonts w:ascii="Arial" w:cs="Arial" w:eastAsia="Arial" w:hAnsi="Arial"/>
                <w:sz w:val="18"/>
                <w:szCs w:val="18"/>
                <w:color w:val="auto"/>
              </w:rPr>
              <w:t>Benefit and Risk</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03"/>
        </w:trPr>
        <w:tc>
          <w:tcPr>
            <w:tcW w:w="340" w:type="dxa"/>
            <w:vAlign w:val="bottom"/>
          </w:tcPr>
          <w:p>
            <w:pPr>
              <w:spacing w:after="0" w:line="202" w:lineRule="exact"/>
              <w:rPr>
                <w:sz w:val="20"/>
                <w:szCs w:val="20"/>
                <w:color w:val="auto"/>
              </w:rPr>
            </w:pPr>
            <w:r>
              <w:rPr>
                <w:rFonts w:ascii="Arial" w:cs="Arial" w:eastAsia="Arial" w:hAnsi="Arial"/>
                <w:sz w:val="18"/>
                <w:szCs w:val="18"/>
                <w:color w:val="auto"/>
              </w:rPr>
              <w:t>4</w:t>
            </w:r>
          </w:p>
        </w:tc>
        <w:tc>
          <w:tcPr>
            <w:tcW w:w="88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Purchase Price</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03"/>
        </w:trPr>
        <w:tc>
          <w:tcPr>
            <w:tcW w:w="340" w:type="dxa"/>
            <w:vAlign w:val="bottom"/>
          </w:tcPr>
          <w:p>
            <w:pPr>
              <w:spacing w:after="0" w:line="202" w:lineRule="exact"/>
              <w:rPr>
                <w:sz w:val="20"/>
                <w:szCs w:val="20"/>
                <w:color w:val="auto"/>
              </w:rPr>
            </w:pPr>
            <w:r>
              <w:rPr>
                <w:rFonts w:ascii="Arial" w:cs="Arial" w:eastAsia="Arial" w:hAnsi="Arial"/>
                <w:sz w:val="18"/>
                <w:szCs w:val="18"/>
                <w:color w:val="auto"/>
              </w:rPr>
              <w:t>5</w:t>
            </w:r>
          </w:p>
        </w:tc>
        <w:tc>
          <w:tcPr>
            <w:tcW w:w="88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Payment of PURCHASE PRICE</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03"/>
        </w:trPr>
        <w:tc>
          <w:tcPr>
            <w:tcW w:w="340" w:type="dxa"/>
            <w:vAlign w:val="bottom"/>
          </w:tcPr>
          <w:p>
            <w:pPr>
              <w:spacing w:after="0" w:line="202" w:lineRule="exact"/>
              <w:rPr>
                <w:sz w:val="20"/>
                <w:szCs w:val="20"/>
                <w:color w:val="auto"/>
              </w:rPr>
            </w:pPr>
            <w:r>
              <w:rPr>
                <w:rFonts w:ascii="Arial" w:cs="Arial" w:eastAsia="Arial" w:hAnsi="Arial"/>
                <w:sz w:val="18"/>
                <w:szCs w:val="18"/>
                <w:color w:val="auto"/>
              </w:rPr>
              <w:t>6</w:t>
            </w:r>
          </w:p>
        </w:tc>
        <w:tc>
          <w:tcPr>
            <w:tcW w:w="88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Actions Prior to Closing</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r>
      <w:tr>
        <w:trPr>
          <w:trHeight w:val="203"/>
        </w:trPr>
        <w:tc>
          <w:tcPr>
            <w:tcW w:w="34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6.1</w:t>
            </w:r>
          </w:p>
        </w:tc>
        <w:tc>
          <w:tcPr>
            <w:tcW w:w="8220" w:type="dxa"/>
            <w:vAlign w:val="bottom"/>
          </w:tcPr>
          <w:p>
            <w:pPr>
              <w:ind w:left="120"/>
              <w:spacing w:after="0" w:line="202" w:lineRule="exact"/>
              <w:rPr>
                <w:sz w:val="20"/>
                <w:szCs w:val="20"/>
                <w:color w:val="auto"/>
              </w:rPr>
            </w:pPr>
            <w:r>
              <w:rPr>
                <w:rFonts w:ascii="Arial" w:cs="Arial" w:eastAsia="Arial" w:hAnsi="Arial"/>
                <w:sz w:val="18"/>
                <w:szCs w:val="18"/>
                <w:color w:val="auto"/>
              </w:rPr>
              <w:t>Duty to Cooperate</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r>
      <w:tr>
        <w:trPr>
          <w:trHeight w:val="203"/>
        </w:trPr>
        <w:tc>
          <w:tcPr>
            <w:tcW w:w="34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6.2</w:t>
            </w:r>
          </w:p>
        </w:tc>
        <w:tc>
          <w:tcPr>
            <w:tcW w:w="8220" w:type="dxa"/>
            <w:vAlign w:val="bottom"/>
          </w:tcPr>
          <w:p>
            <w:pPr>
              <w:ind w:left="120"/>
              <w:spacing w:after="0" w:line="202" w:lineRule="exact"/>
              <w:rPr>
                <w:sz w:val="20"/>
                <w:szCs w:val="20"/>
                <w:color w:val="auto"/>
              </w:rPr>
            </w:pPr>
            <w:r>
              <w:rPr>
                <w:rFonts w:ascii="Arial" w:cs="Arial" w:eastAsia="Arial" w:hAnsi="Arial"/>
                <w:sz w:val="18"/>
                <w:szCs w:val="18"/>
                <w:color w:val="auto"/>
              </w:rPr>
              <w:t>Approval</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r>
      <w:tr>
        <w:trPr>
          <w:trHeight w:val="203"/>
        </w:trPr>
        <w:tc>
          <w:tcPr>
            <w:tcW w:w="34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6.3</w:t>
            </w:r>
          </w:p>
        </w:tc>
        <w:tc>
          <w:tcPr>
            <w:tcW w:w="8220" w:type="dxa"/>
            <w:vAlign w:val="bottom"/>
          </w:tcPr>
          <w:p>
            <w:pPr>
              <w:ind w:left="120"/>
              <w:spacing w:after="0" w:line="202" w:lineRule="exact"/>
              <w:rPr>
                <w:sz w:val="20"/>
                <w:szCs w:val="20"/>
                <w:color w:val="auto"/>
              </w:rPr>
            </w:pPr>
            <w:r>
              <w:rPr>
                <w:rFonts w:ascii="Arial" w:cs="Arial" w:eastAsia="Arial" w:hAnsi="Arial"/>
                <w:sz w:val="18"/>
                <w:szCs w:val="18"/>
                <w:color w:val="auto"/>
              </w:rPr>
              <w:t>Necessary Action by AFFIRIS between signing and CLOSING</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r>
      <w:tr>
        <w:trPr>
          <w:trHeight w:val="203"/>
        </w:trPr>
        <w:tc>
          <w:tcPr>
            <w:tcW w:w="340" w:type="dxa"/>
            <w:vAlign w:val="bottom"/>
          </w:tcPr>
          <w:p>
            <w:pPr>
              <w:spacing w:after="0" w:line="202" w:lineRule="exact"/>
              <w:rPr>
                <w:sz w:val="20"/>
                <w:szCs w:val="20"/>
                <w:color w:val="auto"/>
              </w:rPr>
            </w:pPr>
            <w:r>
              <w:rPr>
                <w:rFonts w:ascii="Arial" w:cs="Arial" w:eastAsia="Arial" w:hAnsi="Arial"/>
                <w:sz w:val="18"/>
                <w:szCs w:val="18"/>
                <w:color w:val="auto"/>
              </w:rPr>
              <w:t>7</w:t>
            </w:r>
          </w:p>
        </w:tc>
        <w:tc>
          <w:tcPr>
            <w:tcW w:w="88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Conditions Precedent to Closing</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r>
      <w:tr>
        <w:trPr>
          <w:trHeight w:val="203"/>
        </w:trPr>
        <w:tc>
          <w:tcPr>
            <w:tcW w:w="34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7.1</w:t>
            </w:r>
          </w:p>
        </w:tc>
        <w:tc>
          <w:tcPr>
            <w:tcW w:w="8220" w:type="dxa"/>
            <w:vAlign w:val="bottom"/>
          </w:tcPr>
          <w:p>
            <w:pPr>
              <w:ind w:left="120"/>
              <w:spacing w:after="0" w:line="202" w:lineRule="exact"/>
              <w:rPr>
                <w:sz w:val="20"/>
                <w:szCs w:val="20"/>
                <w:color w:val="auto"/>
              </w:rPr>
            </w:pPr>
            <w:r>
              <w:rPr>
                <w:rFonts w:ascii="Arial" w:cs="Arial" w:eastAsia="Arial" w:hAnsi="Arial"/>
                <w:sz w:val="18"/>
                <w:szCs w:val="18"/>
                <w:color w:val="auto"/>
              </w:rPr>
              <w:t>Conditions Precedent</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r>
      <w:tr>
        <w:trPr>
          <w:trHeight w:val="203"/>
        </w:trPr>
        <w:tc>
          <w:tcPr>
            <w:tcW w:w="34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7.2</w:t>
            </w:r>
          </w:p>
        </w:tc>
        <w:tc>
          <w:tcPr>
            <w:tcW w:w="8220" w:type="dxa"/>
            <w:vAlign w:val="bottom"/>
          </w:tcPr>
          <w:p>
            <w:pPr>
              <w:ind w:left="120"/>
              <w:spacing w:after="0" w:line="202" w:lineRule="exact"/>
              <w:rPr>
                <w:sz w:val="20"/>
                <w:szCs w:val="20"/>
                <w:color w:val="auto"/>
              </w:rPr>
            </w:pPr>
            <w:r>
              <w:rPr>
                <w:rFonts w:ascii="Arial" w:cs="Arial" w:eastAsia="Arial" w:hAnsi="Arial"/>
                <w:sz w:val="18"/>
                <w:szCs w:val="18"/>
                <w:color w:val="auto"/>
              </w:rPr>
              <w:t>Efforts to fulfil the CONDITIONS PRECEDENT</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r>
      <w:tr>
        <w:trPr>
          <w:trHeight w:val="203"/>
        </w:trPr>
        <w:tc>
          <w:tcPr>
            <w:tcW w:w="34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7.3</w:t>
            </w:r>
          </w:p>
        </w:tc>
        <w:tc>
          <w:tcPr>
            <w:tcW w:w="8220" w:type="dxa"/>
            <w:vAlign w:val="bottom"/>
          </w:tcPr>
          <w:p>
            <w:pPr>
              <w:ind w:left="120"/>
              <w:spacing w:after="0" w:line="202" w:lineRule="exact"/>
              <w:rPr>
                <w:sz w:val="20"/>
                <w:szCs w:val="20"/>
                <w:color w:val="auto"/>
              </w:rPr>
            </w:pPr>
            <w:r>
              <w:rPr>
                <w:rFonts w:ascii="Arial" w:cs="Arial" w:eastAsia="Arial" w:hAnsi="Arial"/>
                <w:sz w:val="18"/>
                <w:szCs w:val="18"/>
                <w:color w:val="auto"/>
              </w:rPr>
              <w:t>Information relating to the satisfaction of the CONDITIONS PRECEDENT</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r>
      <w:tr>
        <w:trPr>
          <w:trHeight w:val="203"/>
        </w:trPr>
        <w:tc>
          <w:tcPr>
            <w:tcW w:w="340" w:type="dxa"/>
            <w:vAlign w:val="bottom"/>
          </w:tcPr>
          <w:p>
            <w:pPr>
              <w:spacing w:after="0" w:line="202" w:lineRule="exact"/>
              <w:rPr>
                <w:sz w:val="20"/>
                <w:szCs w:val="20"/>
                <w:color w:val="auto"/>
              </w:rPr>
            </w:pPr>
            <w:r>
              <w:rPr>
                <w:rFonts w:ascii="Arial" w:cs="Arial" w:eastAsia="Arial" w:hAnsi="Arial"/>
                <w:sz w:val="18"/>
                <w:szCs w:val="18"/>
                <w:color w:val="auto"/>
              </w:rPr>
              <w:t>8</w:t>
            </w:r>
          </w:p>
        </w:tc>
        <w:tc>
          <w:tcPr>
            <w:tcW w:w="88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Closing</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r>
      <w:tr>
        <w:trPr>
          <w:trHeight w:val="203"/>
        </w:trPr>
        <w:tc>
          <w:tcPr>
            <w:tcW w:w="34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8.1</w:t>
            </w:r>
          </w:p>
        </w:tc>
        <w:tc>
          <w:tcPr>
            <w:tcW w:w="8220" w:type="dxa"/>
            <w:vAlign w:val="bottom"/>
          </w:tcPr>
          <w:p>
            <w:pPr>
              <w:ind w:left="120"/>
              <w:spacing w:after="0" w:line="202" w:lineRule="exact"/>
              <w:rPr>
                <w:sz w:val="20"/>
                <w:szCs w:val="20"/>
                <w:color w:val="auto"/>
              </w:rPr>
            </w:pPr>
            <w:r>
              <w:rPr>
                <w:rFonts w:ascii="Arial" w:cs="Arial" w:eastAsia="Arial" w:hAnsi="Arial"/>
                <w:sz w:val="18"/>
                <w:szCs w:val="18"/>
                <w:color w:val="auto"/>
              </w:rPr>
              <w:t>In general</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r>
      <w:tr>
        <w:trPr>
          <w:trHeight w:val="203"/>
        </w:trPr>
        <w:tc>
          <w:tcPr>
            <w:tcW w:w="34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8.2</w:t>
            </w:r>
          </w:p>
        </w:tc>
        <w:tc>
          <w:tcPr>
            <w:tcW w:w="8220" w:type="dxa"/>
            <w:vAlign w:val="bottom"/>
          </w:tcPr>
          <w:p>
            <w:pPr>
              <w:ind w:left="120"/>
              <w:spacing w:after="0" w:line="202" w:lineRule="exact"/>
              <w:rPr>
                <w:sz w:val="20"/>
                <w:szCs w:val="20"/>
                <w:color w:val="auto"/>
              </w:rPr>
            </w:pPr>
            <w:r>
              <w:rPr>
                <w:rFonts w:ascii="Arial" w:cs="Arial" w:eastAsia="Arial" w:hAnsi="Arial"/>
                <w:sz w:val="18"/>
                <w:szCs w:val="18"/>
                <w:color w:val="auto"/>
              </w:rPr>
              <w:t>Closing actions</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r>
      <w:tr>
        <w:trPr>
          <w:trHeight w:val="203"/>
        </w:trPr>
        <w:tc>
          <w:tcPr>
            <w:tcW w:w="34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8.3</w:t>
            </w:r>
          </w:p>
        </w:tc>
        <w:tc>
          <w:tcPr>
            <w:tcW w:w="8220" w:type="dxa"/>
            <w:vAlign w:val="bottom"/>
          </w:tcPr>
          <w:p>
            <w:pPr>
              <w:ind w:left="120"/>
              <w:spacing w:after="0" w:line="202" w:lineRule="exact"/>
              <w:rPr>
                <w:sz w:val="20"/>
                <w:szCs w:val="20"/>
                <w:color w:val="auto"/>
              </w:rPr>
            </w:pPr>
            <w:r>
              <w:rPr>
                <w:rFonts w:ascii="Arial" w:cs="Arial" w:eastAsia="Arial" w:hAnsi="Arial"/>
                <w:sz w:val="18"/>
                <w:szCs w:val="18"/>
                <w:color w:val="auto"/>
              </w:rPr>
              <w:t>Closing Memorandum</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r>
      <w:tr>
        <w:trPr>
          <w:trHeight w:val="203"/>
        </w:trPr>
        <w:tc>
          <w:tcPr>
            <w:tcW w:w="34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8.4</w:t>
            </w:r>
          </w:p>
        </w:tc>
        <w:tc>
          <w:tcPr>
            <w:tcW w:w="8220" w:type="dxa"/>
            <w:vAlign w:val="bottom"/>
          </w:tcPr>
          <w:p>
            <w:pPr>
              <w:ind w:left="120"/>
              <w:spacing w:after="0" w:line="202" w:lineRule="exact"/>
              <w:rPr>
                <w:sz w:val="20"/>
                <w:szCs w:val="20"/>
                <w:color w:val="auto"/>
              </w:rPr>
            </w:pPr>
            <w:r>
              <w:rPr>
                <w:rFonts w:ascii="Arial" w:cs="Arial" w:eastAsia="Arial" w:hAnsi="Arial"/>
                <w:sz w:val="18"/>
                <w:szCs w:val="18"/>
                <w:color w:val="auto"/>
              </w:rPr>
              <w:t>Termination Right</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r>
      <w:tr>
        <w:trPr>
          <w:trHeight w:val="203"/>
        </w:trPr>
        <w:tc>
          <w:tcPr>
            <w:tcW w:w="34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8.5</w:t>
            </w:r>
          </w:p>
        </w:tc>
        <w:tc>
          <w:tcPr>
            <w:tcW w:w="8220" w:type="dxa"/>
            <w:vAlign w:val="bottom"/>
          </w:tcPr>
          <w:p>
            <w:pPr>
              <w:ind w:left="120"/>
              <w:spacing w:after="0" w:line="202" w:lineRule="exact"/>
              <w:rPr>
                <w:sz w:val="20"/>
                <w:szCs w:val="20"/>
                <w:color w:val="auto"/>
              </w:rPr>
            </w:pPr>
            <w:r>
              <w:rPr>
                <w:rFonts w:ascii="Arial" w:cs="Arial" w:eastAsia="Arial" w:hAnsi="Arial"/>
                <w:sz w:val="18"/>
                <w:szCs w:val="18"/>
                <w:color w:val="auto"/>
              </w:rPr>
              <w:t>Post-closing Actions</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r>
      <w:tr>
        <w:trPr>
          <w:trHeight w:val="203"/>
        </w:trPr>
        <w:tc>
          <w:tcPr>
            <w:tcW w:w="340" w:type="dxa"/>
            <w:vAlign w:val="bottom"/>
          </w:tcPr>
          <w:p>
            <w:pPr>
              <w:spacing w:after="0" w:line="202" w:lineRule="exact"/>
              <w:rPr>
                <w:sz w:val="20"/>
                <w:szCs w:val="20"/>
                <w:color w:val="auto"/>
              </w:rPr>
            </w:pPr>
            <w:r>
              <w:rPr>
                <w:rFonts w:ascii="Arial" w:cs="Arial" w:eastAsia="Arial" w:hAnsi="Arial"/>
                <w:sz w:val="18"/>
                <w:szCs w:val="18"/>
                <w:color w:val="auto"/>
              </w:rPr>
              <w:t>9</w:t>
            </w:r>
          </w:p>
        </w:tc>
        <w:tc>
          <w:tcPr>
            <w:tcW w:w="88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Fiduciary solution</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r>
      <w:tr>
        <w:trPr>
          <w:trHeight w:val="203"/>
        </w:trPr>
        <w:tc>
          <w:tcPr>
            <w:tcW w:w="340" w:type="dxa"/>
            <w:vAlign w:val="bottom"/>
          </w:tcPr>
          <w:p>
            <w:pPr>
              <w:spacing w:after="0" w:line="202" w:lineRule="exact"/>
              <w:rPr>
                <w:sz w:val="20"/>
                <w:szCs w:val="20"/>
                <w:color w:val="auto"/>
              </w:rPr>
            </w:pPr>
            <w:r>
              <w:rPr>
                <w:rFonts w:ascii="Arial" w:cs="Arial" w:eastAsia="Arial" w:hAnsi="Arial"/>
                <w:sz w:val="18"/>
                <w:szCs w:val="18"/>
                <w:color w:val="auto"/>
              </w:rPr>
              <w:t>10</w:t>
            </w:r>
          </w:p>
        </w:tc>
        <w:tc>
          <w:tcPr>
            <w:tcW w:w="88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Relationship to Contribution in Kind Agreement</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r>
      <w:tr>
        <w:trPr>
          <w:trHeight w:val="203"/>
        </w:trPr>
        <w:tc>
          <w:tcPr>
            <w:tcW w:w="340" w:type="dxa"/>
            <w:vAlign w:val="bottom"/>
          </w:tcPr>
          <w:p>
            <w:pPr>
              <w:spacing w:after="0" w:line="202" w:lineRule="exact"/>
              <w:rPr>
                <w:sz w:val="20"/>
                <w:szCs w:val="20"/>
                <w:color w:val="auto"/>
              </w:rPr>
            </w:pPr>
            <w:r>
              <w:rPr>
                <w:rFonts w:ascii="Arial" w:cs="Arial" w:eastAsia="Arial" w:hAnsi="Arial"/>
                <w:sz w:val="18"/>
                <w:szCs w:val="18"/>
                <w:color w:val="auto"/>
              </w:rPr>
              <w:t>11</w:t>
            </w:r>
          </w:p>
        </w:tc>
        <w:tc>
          <w:tcPr>
            <w:tcW w:w="88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Representations and Warranties</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r>
      <w:tr>
        <w:trPr>
          <w:trHeight w:val="203"/>
        </w:trPr>
        <w:tc>
          <w:tcPr>
            <w:tcW w:w="34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11.1</w:t>
            </w:r>
          </w:p>
        </w:tc>
        <w:tc>
          <w:tcPr>
            <w:tcW w:w="8220" w:type="dxa"/>
            <w:vAlign w:val="bottom"/>
          </w:tcPr>
          <w:p>
            <w:pPr>
              <w:ind w:left="120"/>
              <w:spacing w:after="0" w:line="202" w:lineRule="exact"/>
              <w:rPr>
                <w:sz w:val="20"/>
                <w:szCs w:val="20"/>
                <w:color w:val="auto"/>
              </w:rPr>
            </w:pPr>
            <w:r>
              <w:rPr>
                <w:rFonts w:ascii="Arial" w:cs="Arial" w:eastAsia="Arial" w:hAnsi="Arial"/>
                <w:sz w:val="18"/>
                <w:szCs w:val="18"/>
                <w:color w:val="auto"/>
              </w:rPr>
              <w:t>Representations and Warranties of AFFIRIS</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r>
      <w:tr>
        <w:trPr>
          <w:trHeight w:val="203"/>
        </w:trPr>
        <w:tc>
          <w:tcPr>
            <w:tcW w:w="34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11.2</w:t>
            </w:r>
          </w:p>
        </w:tc>
        <w:tc>
          <w:tcPr>
            <w:tcW w:w="8220" w:type="dxa"/>
            <w:vAlign w:val="bottom"/>
          </w:tcPr>
          <w:p>
            <w:pPr>
              <w:ind w:left="120"/>
              <w:spacing w:after="0" w:line="202" w:lineRule="exact"/>
              <w:rPr>
                <w:sz w:val="20"/>
                <w:szCs w:val="20"/>
                <w:color w:val="auto"/>
              </w:rPr>
            </w:pPr>
            <w:r>
              <w:rPr>
                <w:rFonts w:ascii="Arial" w:cs="Arial" w:eastAsia="Arial" w:hAnsi="Arial"/>
                <w:sz w:val="18"/>
                <w:szCs w:val="18"/>
                <w:color w:val="auto"/>
              </w:rPr>
              <w:t>Representations and Warranties of ACIU</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r>
      <w:tr>
        <w:trPr>
          <w:trHeight w:val="203"/>
        </w:trPr>
        <w:tc>
          <w:tcPr>
            <w:tcW w:w="340" w:type="dxa"/>
            <w:vAlign w:val="bottom"/>
          </w:tcPr>
          <w:p>
            <w:pPr>
              <w:spacing w:after="0" w:line="202" w:lineRule="exact"/>
              <w:rPr>
                <w:sz w:val="20"/>
                <w:szCs w:val="20"/>
                <w:color w:val="auto"/>
              </w:rPr>
            </w:pPr>
            <w:r>
              <w:rPr>
                <w:rFonts w:ascii="Arial" w:cs="Arial" w:eastAsia="Arial" w:hAnsi="Arial"/>
                <w:sz w:val="18"/>
                <w:szCs w:val="18"/>
                <w:color w:val="auto"/>
              </w:rPr>
              <w:t>12</w:t>
            </w:r>
          </w:p>
        </w:tc>
        <w:tc>
          <w:tcPr>
            <w:tcW w:w="88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Remedies</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r>
      <w:tr>
        <w:trPr>
          <w:trHeight w:val="203"/>
        </w:trPr>
        <w:tc>
          <w:tcPr>
            <w:tcW w:w="34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12.1</w:t>
            </w:r>
          </w:p>
        </w:tc>
        <w:tc>
          <w:tcPr>
            <w:tcW w:w="8220" w:type="dxa"/>
            <w:vAlign w:val="bottom"/>
          </w:tcPr>
          <w:p>
            <w:pPr>
              <w:ind w:left="120"/>
              <w:spacing w:after="0" w:line="202" w:lineRule="exact"/>
              <w:rPr>
                <w:sz w:val="20"/>
                <w:szCs w:val="20"/>
                <w:color w:val="auto"/>
              </w:rPr>
            </w:pPr>
            <w:r>
              <w:rPr>
                <w:rFonts w:ascii="Arial" w:cs="Arial" w:eastAsia="Arial" w:hAnsi="Arial"/>
                <w:sz w:val="18"/>
                <w:szCs w:val="18"/>
                <w:color w:val="auto"/>
              </w:rPr>
              <w:t>Notice of Breach (Rügefrist)</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r>
      <w:tr>
        <w:trPr>
          <w:trHeight w:val="203"/>
        </w:trPr>
        <w:tc>
          <w:tcPr>
            <w:tcW w:w="34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12.2</w:t>
            </w:r>
          </w:p>
        </w:tc>
        <w:tc>
          <w:tcPr>
            <w:tcW w:w="8220" w:type="dxa"/>
            <w:vAlign w:val="bottom"/>
          </w:tcPr>
          <w:p>
            <w:pPr>
              <w:ind w:left="120"/>
              <w:spacing w:after="0" w:line="202" w:lineRule="exact"/>
              <w:rPr>
                <w:sz w:val="20"/>
                <w:szCs w:val="20"/>
                <w:color w:val="auto"/>
              </w:rPr>
            </w:pPr>
            <w:r>
              <w:rPr>
                <w:rFonts w:ascii="Arial" w:cs="Arial" w:eastAsia="Arial" w:hAnsi="Arial"/>
                <w:sz w:val="18"/>
                <w:szCs w:val="18"/>
                <w:color w:val="auto"/>
              </w:rPr>
              <w:t>AFFIRIS' Right to Cure and AFFIRIS' Liability</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r>
      <w:tr>
        <w:trPr>
          <w:trHeight w:val="203"/>
        </w:trPr>
        <w:tc>
          <w:tcPr>
            <w:tcW w:w="34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12.3</w:t>
            </w:r>
          </w:p>
        </w:tc>
        <w:tc>
          <w:tcPr>
            <w:tcW w:w="8220" w:type="dxa"/>
            <w:vAlign w:val="bottom"/>
          </w:tcPr>
          <w:p>
            <w:pPr>
              <w:ind w:left="120"/>
              <w:spacing w:after="0" w:line="202" w:lineRule="exact"/>
              <w:rPr>
                <w:sz w:val="20"/>
                <w:szCs w:val="20"/>
                <w:color w:val="auto"/>
              </w:rPr>
            </w:pPr>
            <w:r>
              <w:rPr>
                <w:rFonts w:ascii="Arial" w:cs="Arial" w:eastAsia="Arial" w:hAnsi="Arial"/>
                <w:sz w:val="18"/>
                <w:szCs w:val="18"/>
                <w:color w:val="auto"/>
              </w:rPr>
              <w:t>Term of Representations and Warranties</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r>
      <w:tr>
        <w:trPr>
          <w:trHeight w:val="203"/>
        </w:trPr>
        <w:tc>
          <w:tcPr>
            <w:tcW w:w="34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12.4</w:t>
            </w:r>
          </w:p>
        </w:tc>
        <w:tc>
          <w:tcPr>
            <w:tcW w:w="8220" w:type="dxa"/>
            <w:vAlign w:val="bottom"/>
          </w:tcPr>
          <w:p>
            <w:pPr>
              <w:ind w:left="120"/>
              <w:spacing w:after="0" w:line="202" w:lineRule="exact"/>
              <w:rPr>
                <w:sz w:val="20"/>
                <w:szCs w:val="20"/>
                <w:color w:val="auto"/>
              </w:rPr>
            </w:pPr>
            <w:r>
              <w:rPr>
                <w:rFonts w:ascii="Arial" w:cs="Arial" w:eastAsia="Arial" w:hAnsi="Arial"/>
                <w:sz w:val="18"/>
                <w:szCs w:val="18"/>
                <w:color w:val="auto"/>
              </w:rPr>
              <w:t>Limitations on AFFIRIS' Liability for Misrepresentation and Breach of Warranty</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r>
      <w:tr>
        <w:trPr>
          <w:trHeight w:val="203"/>
        </w:trPr>
        <w:tc>
          <w:tcPr>
            <w:tcW w:w="34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12.5</w:t>
            </w:r>
          </w:p>
        </w:tc>
        <w:tc>
          <w:tcPr>
            <w:tcW w:w="8220" w:type="dxa"/>
            <w:vAlign w:val="bottom"/>
          </w:tcPr>
          <w:p>
            <w:pPr>
              <w:ind w:left="120"/>
              <w:spacing w:after="0" w:line="202" w:lineRule="exact"/>
              <w:rPr>
                <w:sz w:val="20"/>
                <w:szCs w:val="20"/>
                <w:color w:val="auto"/>
              </w:rPr>
            </w:pPr>
            <w:r>
              <w:rPr>
                <w:rFonts w:ascii="Arial" w:cs="Arial" w:eastAsia="Arial" w:hAnsi="Arial"/>
                <w:sz w:val="18"/>
                <w:szCs w:val="18"/>
                <w:color w:val="auto"/>
              </w:rPr>
              <w:t>Remedies of AFFIRIS</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r>
      <w:tr>
        <w:trPr>
          <w:trHeight w:val="203"/>
        </w:trPr>
        <w:tc>
          <w:tcPr>
            <w:tcW w:w="34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12.6</w:t>
            </w:r>
          </w:p>
        </w:tc>
        <w:tc>
          <w:tcPr>
            <w:tcW w:w="8220" w:type="dxa"/>
            <w:vAlign w:val="bottom"/>
          </w:tcPr>
          <w:p>
            <w:pPr>
              <w:ind w:left="120"/>
              <w:spacing w:after="0" w:line="202" w:lineRule="exact"/>
              <w:rPr>
                <w:sz w:val="20"/>
                <w:szCs w:val="20"/>
                <w:color w:val="auto"/>
              </w:rPr>
            </w:pPr>
            <w:r>
              <w:rPr>
                <w:rFonts w:ascii="Arial" w:cs="Arial" w:eastAsia="Arial" w:hAnsi="Arial"/>
                <w:sz w:val="18"/>
                <w:szCs w:val="18"/>
                <w:color w:val="auto"/>
              </w:rPr>
              <w:t>Remedies Exclusive</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r>
      <w:tr>
        <w:trPr>
          <w:trHeight w:val="203"/>
        </w:trPr>
        <w:tc>
          <w:tcPr>
            <w:tcW w:w="340" w:type="dxa"/>
            <w:vAlign w:val="bottom"/>
          </w:tcPr>
          <w:p>
            <w:pPr>
              <w:spacing w:after="0" w:line="202" w:lineRule="exact"/>
              <w:rPr>
                <w:sz w:val="20"/>
                <w:szCs w:val="20"/>
                <w:color w:val="auto"/>
              </w:rPr>
            </w:pPr>
            <w:r>
              <w:rPr>
                <w:rFonts w:ascii="Arial" w:cs="Arial" w:eastAsia="Arial" w:hAnsi="Arial"/>
                <w:sz w:val="18"/>
                <w:szCs w:val="18"/>
                <w:color w:val="auto"/>
              </w:rPr>
              <w:t>13</w:t>
            </w:r>
          </w:p>
        </w:tc>
        <w:tc>
          <w:tcPr>
            <w:tcW w:w="88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Indemnities</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r>
      <w:tr>
        <w:trPr>
          <w:trHeight w:val="203"/>
        </w:trPr>
        <w:tc>
          <w:tcPr>
            <w:tcW w:w="34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13.1</w:t>
            </w:r>
          </w:p>
        </w:tc>
        <w:tc>
          <w:tcPr>
            <w:tcW w:w="8220" w:type="dxa"/>
            <w:vAlign w:val="bottom"/>
          </w:tcPr>
          <w:p>
            <w:pPr>
              <w:ind w:left="120"/>
              <w:spacing w:after="0" w:line="202" w:lineRule="exact"/>
              <w:rPr>
                <w:sz w:val="20"/>
                <w:szCs w:val="20"/>
                <w:color w:val="auto"/>
              </w:rPr>
            </w:pPr>
            <w:r>
              <w:rPr>
                <w:rFonts w:ascii="Arial" w:cs="Arial" w:eastAsia="Arial" w:hAnsi="Arial"/>
                <w:sz w:val="18"/>
                <w:szCs w:val="18"/>
                <w:color w:val="auto"/>
              </w:rPr>
              <w:t>Indemnities by AFFIRIS</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r>
      <w:tr>
        <w:trPr>
          <w:trHeight w:val="203"/>
        </w:trPr>
        <w:tc>
          <w:tcPr>
            <w:tcW w:w="34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13.2</w:t>
            </w:r>
          </w:p>
        </w:tc>
        <w:tc>
          <w:tcPr>
            <w:tcW w:w="8220" w:type="dxa"/>
            <w:vAlign w:val="bottom"/>
          </w:tcPr>
          <w:p>
            <w:pPr>
              <w:ind w:left="120"/>
              <w:spacing w:after="0" w:line="202" w:lineRule="exact"/>
              <w:rPr>
                <w:sz w:val="20"/>
                <w:szCs w:val="20"/>
                <w:color w:val="auto"/>
              </w:rPr>
            </w:pPr>
            <w:r>
              <w:rPr>
                <w:rFonts w:ascii="Arial" w:cs="Arial" w:eastAsia="Arial" w:hAnsi="Arial"/>
                <w:sz w:val="18"/>
                <w:szCs w:val="18"/>
                <w:color w:val="auto"/>
              </w:rPr>
              <w:t>Indemnities by ACIU</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r>
      <w:tr>
        <w:trPr>
          <w:trHeight w:val="203"/>
        </w:trPr>
        <w:tc>
          <w:tcPr>
            <w:tcW w:w="340" w:type="dxa"/>
            <w:vAlign w:val="bottom"/>
          </w:tcPr>
          <w:p>
            <w:pPr>
              <w:spacing w:after="0" w:line="202" w:lineRule="exact"/>
              <w:rPr>
                <w:sz w:val="20"/>
                <w:szCs w:val="20"/>
                <w:color w:val="auto"/>
              </w:rPr>
            </w:pPr>
            <w:r>
              <w:rPr>
                <w:rFonts w:ascii="Arial" w:cs="Arial" w:eastAsia="Arial" w:hAnsi="Arial"/>
                <w:sz w:val="18"/>
                <w:szCs w:val="18"/>
                <w:color w:val="auto"/>
              </w:rPr>
              <w:t>14</w:t>
            </w:r>
          </w:p>
        </w:tc>
        <w:tc>
          <w:tcPr>
            <w:tcW w:w="88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Covenants</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r>
      <w:tr>
        <w:trPr>
          <w:trHeight w:val="203"/>
        </w:trPr>
        <w:tc>
          <w:tcPr>
            <w:tcW w:w="34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14.1</w:t>
            </w:r>
          </w:p>
        </w:tc>
        <w:tc>
          <w:tcPr>
            <w:tcW w:w="8220" w:type="dxa"/>
            <w:vAlign w:val="bottom"/>
          </w:tcPr>
          <w:p>
            <w:pPr>
              <w:ind w:left="120"/>
              <w:spacing w:after="0" w:line="202" w:lineRule="exact"/>
              <w:rPr>
                <w:sz w:val="20"/>
                <w:szCs w:val="20"/>
                <w:color w:val="auto"/>
              </w:rPr>
            </w:pPr>
            <w:r>
              <w:rPr>
                <w:rFonts w:ascii="Arial" w:cs="Arial" w:eastAsia="Arial" w:hAnsi="Arial"/>
                <w:sz w:val="18"/>
                <w:szCs w:val="18"/>
                <w:color w:val="auto"/>
              </w:rPr>
              <w:t>PIPE Agreement</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r>
      <w:tr>
        <w:trPr>
          <w:trHeight w:val="203"/>
        </w:trPr>
        <w:tc>
          <w:tcPr>
            <w:tcW w:w="34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14.2</w:t>
            </w:r>
          </w:p>
        </w:tc>
        <w:tc>
          <w:tcPr>
            <w:tcW w:w="8220" w:type="dxa"/>
            <w:vAlign w:val="bottom"/>
          </w:tcPr>
          <w:p>
            <w:pPr>
              <w:ind w:left="120"/>
              <w:spacing w:after="0" w:line="202" w:lineRule="exact"/>
              <w:rPr>
                <w:sz w:val="20"/>
                <w:szCs w:val="20"/>
                <w:color w:val="auto"/>
              </w:rPr>
            </w:pPr>
            <w:r>
              <w:rPr>
                <w:rFonts w:ascii="Arial" w:cs="Arial" w:eastAsia="Arial" w:hAnsi="Arial"/>
                <w:sz w:val="18"/>
                <w:szCs w:val="18"/>
                <w:color w:val="auto"/>
              </w:rPr>
              <w:t>Agreements with NECESSARY VENDORS</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r>
      <w:tr>
        <w:trPr>
          <w:trHeight w:val="203"/>
        </w:trPr>
        <w:tc>
          <w:tcPr>
            <w:tcW w:w="34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14.3</w:t>
            </w:r>
          </w:p>
        </w:tc>
        <w:tc>
          <w:tcPr>
            <w:tcW w:w="8220" w:type="dxa"/>
            <w:vAlign w:val="bottom"/>
          </w:tcPr>
          <w:p>
            <w:pPr>
              <w:ind w:left="120"/>
              <w:spacing w:after="0" w:line="202" w:lineRule="exact"/>
              <w:rPr>
                <w:sz w:val="20"/>
                <w:szCs w:val="20"/>
                <w:color w:val="auto"/>
              </w:rPr>
            </w:pPr>
            <w:r>
              <w:rPr>
                <w:rFonts w:ascii="Arial" w:cs="Arial" w:eastAsia="Arial" w:hAnsi="Arial"/>
                <w:sz w:val="18"/>
                <w:szCs w:val="18"/>
                <w:color w:val="auto"/>
              </w:rPr>
              <w:t>Licenses for AFFIRIS</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r>
      <w:tr>
        <w:trPr>
          <w:trHeight w:val="203"/>
        </w:trPr>
        <w:tc>
          <w:tcPr>
            <w:tcW w:w="34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14.4</w:t>
            </w:r>
          </w:p>
        </w:tc>
        <w:tc>
          <w:tcPr>
            <w:tcW w:w="8220" w:type="dxa"/>
            <w:vAlign w:val="bottom"/>
          </w:tcPr>
          <w:p>
            <w:pPr>
              <w:ind w:left="120"/>
              <w:spacing w:after="0" w:line="202" w:lineRule="exact"/>
              <w:rPr>
                <w:sz w:val="20"/>
                <w:szCs w:val="20"/>
                <w:color w:val="auto"/>
              </w:rPr>
            </w:pPr>
            <w:r>
              <w:rPr>
                <w:rFonts w:ascii="Arial" w:cs="Arial" w:eastAsia="Arial" w:hAnsi="Arial"/>
                <w:sz w:val="18"/>
                <w:szCs w:val="18"/>
                <w:color w:val="auto"/>
              </w:rPr>
              <w:t>Covenant of AFFIRIS regarding ACIU SHARES</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r>
      <w:tr>
        <w:trPr>
          <w:trHeight w:val="203"/>
        </w:trPr>
        <w:tc>
          <w:tcPr>
            <w:tcW w:w="34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14.5</w:t>
            </w:r>
          </w:p>
        </w:tc>
        <w:tc>
          <w:tcPr>
            <w:tcW w:w="8220" w:type="dxa"/>
            <w:vAlign w:val="bottom"/>
          </w:tcPr>
          <w:p>
            <w:pPr>
              <w:ind w:left="120"/>
              <w:spacing w:after="0" w:line="202" w:lineRule="exact"/>
              <w:rPr>
                <w:sz w:val="20"/>
                <w:szCs w:val="20"/>
                <w:color w:val="auto"/>
              </w:rPr>
            </w:pPr>
            <w:r>
              <w:rPr>
                <w:rFonts w:ascii="Arial" w:cs="Arial" w:eastAsia="Arial" w:hAnsi="Arial"/>
                <w:sz w:val="18"/>
                <w:szCs w:val="18"/>
                <w:color w:val="auto"/>
              </w:rPr>
              <w:t>Non-Competition / Non-Solicitation</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r>
      <w:tr>
        <w:trPr>
          <w:trHeight w:val="203"/>
        </w:trPr>
        <w:tc>
          <w:tcPr>
            <w:tcW w:w="340" w:type="dxa"/>
            <w:vAlign w:val="bottom"/>
          </w:tcPr>
          <w:p>
            <w:pPr>
              <w:spacing w:after="0" w:line="202" w:lineRule="exact"/>
              <w:rPr>
                <w:sz w:val="20"/>
                <w:szCs w:val="20"/>
                <w:color w:val="auto"/>
              </w:rPr>
            </w:pPr>
            <w:r>
              <w:rPr>
                <w:rFonts w:ascii="Arial" w:cs="Arial" w:eastAsia="Arial" w:hAnsi="Arial"/>
                <w:sz w:val="18"/>
                <w:szCs w:val="18"/>
                <w:color w:val="auto"/>
              </w:rPr>
              <w:t>15</w:t>
            </w:r>
          </w:p>
        </w:tc>
        <w:tc>
          <w:tcPr>
            <w:tcW w:w="88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Procedure for THIRD PARTY claims</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r>
      <w:tr>
        <w:trPr>
          <w:trHeight w:val="203"/>
        </w:trPr>
        <w:tc>
          <w:tcPr>
            <w:tcW w:w="340" w:type="dxa"/>
            <w:vAlign w:val="bottom"/>
          </w:tcPr>
          <w:p>
            <w:pPr>
              <w:spacing w:after="0" w:line="202" w:lineRule="exact"/>
              <w:rPr>
                <w:sz w:val="20"/>
                <w:szCs w:val="20"/>
                <w:color w:val="auto"/>
              </w:rPr>
            </w:pPr>
            <w:r>
              <w:rPr>
                <w:rFonts w:ascii="Arial" w:cs="Arial" w:eastAsia="Arial" w:hAnsi="Arial"/>
                <w:sz w:val="18"/>
                <w:szCs w:val="18"/>
                <w:color w:val="auto"/>
              </w:rPr>
              <w:t>16</w:t>
            </w:r>
          </w:p>
        </w:tc>
        <w:tc>
          <w:tcPr>
            <w:tcW w:w="88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Miscellaneous provisions</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r>
      <w:tr>
        <w:trPr>
          <w:trHeight w:val="202"/>
        </w:trPr>
        <w:tc>
          <w:tcPr>
            <w:tcW w:w="34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16.1</w:t>
            </w:r>
          </w:p>
        </w:tc>
        <w:tc>
          <w:tcPr>
            <w:tcW w:w="8220" w:type="dxa"/>
            <w:vAlign w:val="bottom"/>
          </w:tcPr>
          <w:p>
            <w:pPr>
              <w:ind w:left="120"/>
              <w:spacing w:after="0" w:line="202" w:lineRule="exact"/>
              <w:rPr>
                <w:sz w:val="20"/>
                <w:szCs w:val="20"/>
                <w:color w:val="auto"/>
              </w:rPr>
            </w:pPr>
            <w:r>
              <w:rPr>
                <w:rFonts w:ascii="Arial" w:cs="Arial" w:eastAsia="Arial" w:hAnsi="Arial"/>
                <w:sz w:val="18"/>
                <w:szCs w:val="18"/>
                <w:color w:val="auto"/>
              </w:rPr>
              <w:t>Announcements</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r>
      <w:tr>
        <w:trPr>
          <w:trHeight w:val="203"/>
        </w:trPr>
        <w:tc>
          <w:tcPr>
            <w:tcW w:w="34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16.2</w:t>
            </w:r>
          </w:p>
        </w:tc>
        <w:tc>
          <w:tcPr>
            <w:tcW w:w="8220" w:type="dxa"/>
            <w:vAlign w:val="bottom"/>
          </w:tcPr>
          <w:p>
            <w:pPr>
              <w:ind w:left="120"/>
              <w:spacing w:after="0" w:line="202" w:lineRule="exact"/>
              <w:rPr>
                <w:sz w:val="20"/>
                <w:szCs w:val="20"/>
                <w:color w:val="auto"/>
              </w:rPr>
            </w:pPr>
            <w:r>
              <w:rPr>
                <w:rFonts w:ascii="Arial" w:cs="Arial" w:eastAsia="Arial" w:hAnsi="Arial"/>
                <w:sz w:val="18"/>
                <w:szCs w:val="18"/>
                <w:color w:val="auto"/>
              </w:rPr>
              <w:t>Costs</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r>
      <w:tr>
        <w:trPr>
          <w:trHeight w:val="203"/>
        </w:trPr>
        <w:tc>
          <w:tcPr>
            <w:tcW w:w="34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16.3</w:t>
            </w:r>
          </w:p>
        </w:tc>
        <w:tc>
          <w:tcPr>
            <w:tcW w:w="8220" w:type="dxa"/>
            <w:vAlign w:val="bottom"/>
          </w:tcPr>
          <w:p>
            <w:pPr>
              <w:ind w:left="120"/>
              <w:spacing w:after="0" w:line="202" w:lineRule="exact"/>
              <w:rPr>
                <w:sz w:val="20"/>
                <w:szCs w:val="20"/>
                <w:color w:val="auto"/>
              </w:rPr>
            </w:pPr>
            <w:r>
              <w:rPr>
                <w:rFonts w:ascii="Arial" w:cs="Arial" w:eastAsia="Arial" w:hAnsi="Arial"/>
                <w:sz w:val="18"/>
                <w:szCs w:val="18"/>
                <w:color w:val="auto"/>
              </w:rPr>
              <w:t>Taxes</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r>
      <w:tr>
        <w:trPr>
          <w:trHeight w:val="203"/>
        </w:trPr>
        <w:tc>
          <w:tcPr>
            <w:tcW w:w="34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16.4</w:t>
            </w:r>
          </w:p>
        </w:tc>
        <w:tc>
          <w:tcPr>
            <w:tcW w:w="8220" w:type="dxa"/>
            <w:vAlign w:val="bottom"/>
          </w:tcPr>
          <w:p>
            <w:pPr>
              <w:ind w:left="120"/>
              <w:spacing w:after="0" w:line="202" w:lineRule="exact"/>
              <w:rPr>
                <w:sz w:val="20"/>
                <w:szCs w:val="20"/>
                <w:color w:val="auto"/>
              </w:rPr>
            </w:pPr>
            <w:r>
              <w:rPr>
                <w:rFonts w:ascii="Arial" w:cs="Arial" w:eastAsia="Arial" w:hAnsi="Arial"/>
                <w:sz w:val="18"/>
                <w:szCs w:val="18"/>
                <w:color w:val="auto"/>
              </w:rPr>
              <w:t>Amendments and modifications</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r>
      <w:tr>
        <w:trPr>
          <w:trHeight w:val="203"/>
        </w:trPr>
        <w:tc>
          <w:tcPr>
            <w:tcW w:w="34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16.5</w:t>
            </w:r>
          </w:p>
        </w:tc>
        <w:tc>
          <w:tcPr>
            <w:tcW w:w="8220" w:type="dxa"/>
            <w:vAlign w:val="bottom"/>
          </w:tcPr>
          <w:p>
            <w:pPr>
              <w:ind w:left="120"/>
              <w:spacing w:after="0" w:line="202" w:lineRule="exact"/>
              <w:rPr>
                <w:sz w:val="20"/>
                <w:szCs w:val="20"/>
                <w:color w:val="auto"/>
              </w:rPr>
            </w:pPr>
            <w:r>
              <w:rPr>
                <w:rFonts w:ascii="Arial" w:cs="Arial" w:eastAsia="Arial" w:hAnsi="Arial"/>
                <w:sz w:val="18"/>
                <w:szCs w:val="18"/>
                <w:color w:val="auto"/>
              </w:rPr>
              <w:t>Entire Agreement</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r>
      <w:tr>
        <w:trPr>
          <w:trHeight w:val="203"/>
        </w:trPr>
        <w:tc>
          <w:tcPr>
            <w:tcW w:w="34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16.6</w:t>
            </w:r>
          </w:p>
        </w:tc>
        <w:tc>
          <w:tcPr>
            <w:tcW w:w="8220" w:type="dxa"/>
            <w:vAlign w:val="bottom"/>
          </w:tcPr>
          <w:p>
            <w:pPr>
              <w:ind w:left="120"/>
              <w:spacing w:after="0" w:line="202" w:lineRule="exact"/>
              <w:rPr>
                <w:sz w:val="20"/>
                <w:szCs w:val="20"/>
                <w:color w:val="auto"/>
              </w:rPr>
            </w:pPr>
            <w:r>
              <w:rPr>
                <w:rFonts w:ascii="Arial" w:cs="Arial" w:eastAsia="Arial" w:hAnsi="Arial"/>
                <w:sz w:val="18"/>
                <w:szCs w:val="18"/>
                <w:color w:val="auto"/>
              </w:rPr>
              <w:t>Transfer and assignment</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r>
      <w:tr>
        <w:trPr>
          <w:trHeight w:val="203"/>
        </w:trPr>
        <w:tc>
          <w:tcPr>
            <w:tcW w:w="34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16.7</w:t>
            </w:r>
          </w:p>
        </w:tc>
        <w:tc>
          <w:tcPr>
            <w:tcW w:w="8220" w:type="dxa"/>
            <w:vAlign w:val="bottom"/>
          </w:tcPr>
          <w:p>
            <w:pPr>
              <w:ind w:left="120"/>
              <w:spacing w:after="0" w:line="202" w:lineRule="exact"/>
              <w:rPr>
                <w:sz w:val="20"/>
                <w:szCs w:val="20"/>
                <w:color w:val="auto"/>
              </w:rPr>
            </w:pPr>
            <w:r>
              <w:rPr>
                <w:rFonts w:ascii="Arial" w:cs="Arial" w:eastAsia="Arial" w:hAnsi="Arial"/>
                <w:sz w:val="18"/>
                <w:szCs w:val="18"/>
                <w:color w:val="auto"/>
              </w:rPr>
              <w:t>Severability</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r>
      <w:tr>
        <w:trPr>
          <w:trHeight w:val="202"/>
        </w:trPr>
        <w:tc>
          <w:tcPr>
            <w:tcW w:w="34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16.8</w:t>
            </w:r>
          </w:p>
        </w:tc>
        <w:tc>
          <w:tcPr>
            <w:tcW w:w="8220" w:type="dxa"/>
            <w:vAlign w:val="bottom"/>
          </w:tcPr>
          <w:p>
            <w:pPr>
              <w:ind w:left="120"/>
              <w:spacing w:after="0" w:line="202" w:lineRule="exact"/>
              <w:rPr>
                <w:sz w:val="20"/>
                <w:szCs w:val="20"/>
                <w:color w:val="auto"/>
              </w:rPr>
            </w:pPr>
            <w:r>
              <w:rPr>
                <w:rFonts w:ascii="Arial" w:cs="Arial" w:eastAsia="Arial" w:hAnsi="Arial"/>
                <w:sz w:val="18"/>
                <w:szCs w:val="18"/>
                <w:color w:val="auto"/>
              </w:rPr>
              <w:t>Notices</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r>
      <w:tr>
        <w:trPr>
          <w:trHeight w:val="203"/>
        </w:trPr>
        <w:tc>
          <w:tcPr>
            <w:tcW w:w="340" w:type="dxa"/>
            <w:vAlign w:val="bottom"/>
          </w:tcPr>
          <w:p>
            <w:pPr>
              <w:spacing w:after="0" w:line="202" w:lineRule="exact"/>
              <w:rPr>
                <w:sz w:val="20"/>
                <w:szCs w:val="20"/>
                <w:color w:val="auto"/>
              </w:rPr>
            </w:pPr>
            <w:r>
              <w:rPr>
                <w:rFonts w:ascii="Arial" w:cs="Arial" w:eastAsia="Arial" w:hAnsi="Arial"/>
                <w:sz w:val="18"/>
                <w:szCs w:val="18"/>
                <w:color w:val="auto"/>
              </w:rPr>
              <w:t>17</w:t>
            </w:r>
          </w:p>
        </w:tc>
        <w:tc>
          <w:tcPr>
            <w:tcW w:w="88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Governing Law and Jurisdiction</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r>
      <w:tr>
        <w:trPr>
          <w:trHeight w:val="203"/>
        </w:trPr>
        <w:tc>
          <w:tcPr>
            <w:tcW w:w="34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17.1</w:t>
            </w:r>
          </w:p>
        </w:tc>
        <w:tc>
          <w:tcPr>
            <w:tcW w:w="8220" w:type="dxa"/>
            <w:vAlign w:val="bottom"/>
          </w:tcPr>
          <w:p>
            <w:pPr>
              <w:ind w:left="120"/>
              <w:spacing w:after="0" w:line="202" w:lineRule="exact"/>
              <w:rPr>
                <w:sz w:val="20"/>
                <w:szCs w:val="20"/>
                <w:color w:val="auto"/>
              </w:rPr>
            </w:pPr>
            <w:r>
              <w:rPr>
                <w:rFonts w:ascii="Arial" w:cs="Arial" w:eastAsia="Arial" w:hAnsi="Arial"/>
                <w:sz w:val="18"/>
                <w:szCs w:val="18"/>
                <w:color w:val="auto"/>
              </w:rPr>
              <w:t>Governing law</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r>
      <w:tr>
        <w:trPr>
          <w:trHeight w:val="217"/>
        </w:trPr>
        <w:tc>
          <w:tcPr>
            <w:tcW w:w="340" w:type="dxa"/>
            <w:vAlign w:val="bottom"/>
          </w:tcPr>
          <w:p>
            <w:pPr>
              <w:spacing w:after="0"/>
              <w:rPr>
                <w:sz w:val="18"/>
                <w:szCs w:val="18"/>
                <w:color w:val="auto"/>
              </w:rPr>
            </w:pPr>
          </w:p>
        </w:tc>
        <w:tc>
          <w:tcPr>
            <w:tcW w:w="580" w:type="dxa"/>
            <w:vAlign w:val="bottom"/>
          </w:tcPr>
          <w:p>
            <w:pPr>
              <w:ind w:left="120"/>
              <w:spacing w:after="0"/>
              <w:rPr>
                <w:sz w:val="20"/>
                <w:szCs w:val="20"/>
                <w:color w:val="auto"/>
              </w:rPr>
            </w:pPr>
            <w:r>
              <w:rPr>
                <w:rFonts w:ascii="Arial" w:cs="Arial" w:eastAsia="Arial" w:hAnsi="Arial"/>
                <w:sz w:val="18"/>
                <w:szCs w:val="18"/>
                <w:color w:val="auto"/>
              </w:rPr>
              <w:t>17.2</w:t>
            </w:r>
          </w:p>
        </w:tc>
        <w:tc>
          <w:tcPr>
            <w:tcW w:w="8220" w:type="dxa"/>
            <w:vAlign w:val="bottom"/>
          </w:tcPr>
          <w:p>
            <w:pPr>
              <w:ind w:left="120"/>
              <w:spacing w:after="0"/>
              <w:rPr>
                <w:sz w:val="20"/>
                <w:szCs w:val="20"/>
                <w:color w:val="auto"/>
              </w:rPr>
            </w:pPr>
            <w:r>
              <w:rPr>
                <w:rFonts w:ascii="Arial" w:cs="Arial" w:eastAsia="Arial" w:hAnsi="Arial"/>
                <w:sz w:val="18"/>
                <w:szCs w:val="18"/>
                <w:color w:val="auto"/>
              </w:rPr>
              <w:t>Jurisdiction</w:t>
            </w:r>
          </w:p>
        </w:tc>
        <w:tc>
          <w:tcPr>
            <w:tcW w:w="21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99"/>
        </w:trPr>
        <w:tc>
          <w:tcPr>
            <w:tcW w:w="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220" w:type="dxa"/>
            <w:vAlign w:val="bottom"/>
            <w:tcBorders>
              <w:bottom w:val="single" w:sz="8" w:color="auto"/>
            </w:tcBorders>
          </w:tcPr>
          <w:p>
            <w:pPr>
              <w:ind w:left="4620"/>
              <w:spacing w:after="0"/>
              <w:rPr>
                <w:sz w:val="20"/>
                <w:szCs w:val="20"/>
                <w:color w:val="auto"/>
              </w:rPr>
            </w:pPr>
            <w:r>
              <w:rPr>
                <w:rFonts w:ascii="Arial" w:cs="Arial" w:eastAsia="Arial" w:hAnsi="Arial"/>
                <w:sz w:val="18"/>
                <w:szCs w:val="18"/>
                <w:color w:val="auto"/>
              </w:rPr>
              <w:t>2</w:t>
            </w:r>
          </w:p>
        </w:tc>
        <w:tc>
          <w:tcPr>
            <w:tcW w:w="2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5"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ind w:left="460"/>
              <w:spacing w:after="0"/>
              <w:rPr>
                <w:sz w:val="20"/>
                <w:szCs w:val="20"/>
                <w:color w:val="auto"/>
              </w:rPr>
            </w:pPr>
            <w:r>
              <w:rPr>
                <w:rFonts w:ascii="Arial" w:cs="Arial" w:eastAsia="Arial" w:hAnsi="Arial"/>
                <w:sz w:val="18"/>
                <w:szCs w:val="18"/>
                <w:color w:val="auto"/>
              </w:rPr>
              <w:t>17.2</w:t>
            </w:r>
          </w:p>
        </w:tc>
        <w:tc>
          <w:tcPr>
            <w:tcW w:w="8200" w:type="dxa"/>
            <w:vAlign w:val="bottom"/>
          </w:tcPr>
          <w:p>
            <w:pPr>
              <w:ind w:left="120"/>
              <w:spacing w:after="0"/>
              <w:rPr>
                <w:sz w:val="20"/>
                <w:szCs w:val="20"/>
                <w:color w:val="auto"/>
              </w:rPr>
            </w:pPr>
            <w:r>
              <w:rPr>
                <w:rFonts w:ascii="Arial" w:cs="Arial" w:eastAsia="Arial" w:hAnsi="Arial"/>
                <w:sz w:val="18"/>
                <w:szCs w:val="18"/>
                <w:color w:val="auto"/>
              </w:rPr>
              <w:t>Jurisdiction</w:t>
            </w:r>
          </w:p>
        </w:tc>
        <w:tc>
          <w:tcPr>
            <w:tcW w:w="21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Annex 1</w:t>
            </w:r>
          </w:p>
        </w:tc>
        <w:tc>
          <w:tcPr>
            <w:tcW w:w="8200" w:type="dxa"/>
            <w:vAlign w:val="bottom"/>
          </w:tcPr>
          <w:p>
            <w:pPr>
              <w:spacing w:after="0"/>
              <w:rPr>
                <w:sz w:val="17"/>
                <w:szCs w:val="17"/>
                <w:color w:val="auto"/>
              </w:rPr>
            </w:pPr>
          </w:p>
        </w:tc>
        <w:tc>
          <w:tcPr>
            <w:tcW w:w="212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Annex 2</w:t>
            </w:r>
          </w:p>
        </w:tc>
        <w:tc>
          <w:tcPr>
            <w:tcW w:w="8200" w:type="dxa"/>
            <w:vAlign w:val="bottom"/>
          </w:tcPr>
          <w:p>
            <w:pPr>
              <w:spacing w:after="0"/>
              <w:rPr>
                <w:sz w:val="17"/>
                <w:szCs w:val="17"/>
                <w:color w:val="auto"/>
              </w:rPr>
            </w:pPr>
          </w:p>
        </w:tc>
        <w:tc>
          <w:tcPr>
            <w:tcW w:w="212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Annex 3</w:t>
            </w:r>
          </w:p>
        </w:tc>
        <w:tc>
          <w:tcPr>
            <w:tcW w:w="8200" w:type="dxa"/>
            <w:vAlign w:val="bottom"/>
          </w:tcPr>
          <w:p>
            <w:pPr>
              <w:spacing w:after="0"/>
              <w:rPr>
                <w:sz w:val="17"/>
                <w:szCs w:val="17"/>
                <w:color w:val="auto"/>
              </w:rPr>
            </w:pPr>
          </w:p>
        </w:tc>
        <w:tc>
          <w:tcPr>
            <w:tcW w:w="2120" w:type="dxa"/>
            <w:vAlign w:val="bottom"/>
          </w:tcPr>
          <w:p>
            <w:pPr>
              <w:jc w:val="right"/>
              <w:spacing w:after="0" w:line="202" w:lineRule="exact"/>
              <w:rPr>
                <w:sz w:val="20"/>
                <w:szCs w:val="20"/>
                <w:color w:val="auto"/>
              </w:rPr>
            </w:pPr>
            <w:r>
              <w:rPr>
                <w:rFonts w:ascii="Arial" w:cs="Arial" w:eastAsia="Arial" w:hAnsi="Arial"/>
                <w:sz w:val="18"/>
                <w:szCs w:val="18"/>
                <w:color w:val="auto"/>
              </w:rPr>
              <w:t>49</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Annex 4</w:t>
            </w:r>
          </w:p>
        </w:tc>
        <w:tc>
          <w:tcPr>
            <w:tcW w:w="8200" w:type="dxa"/>
            <w:vAlign w:val="bottom"/>
          </w:tcPr>
          <w:p>
            <w:pPr>
              <w:spacing w:after="0"/>
              <w:rPr>
                <w:sz w:val="17"/>
                <w:szCs w:val="17"/>
                <w:color w:val="auto"/>
              </w:rPr>
            </w:pPr>
          </w:p>
        </w:tc>
        <w:tc>
          <w:tcPr>
            <w:tcW w:w="212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Annex 5</w:t>
            </w:r>
          </w:p>
        </w:tc>
        <w:tc>
          <w:tcPr>
            <w:tcW w:w="8200" w:type="dxa"/>
            <w:vAlign w:val="bottom"/>
          </w:tcPr>
          <w:p>
            <w:pPr>
              <w:spacing w:after="0"/>
              <w:rPr>
                <w:sz w:val="17"/>
                <w:szCs w:val="17"/>
                <w:color w:val="auto"/>
              </w:rPr>
            </w:pPr>
          </w:p>
        </w:tc>
        <w:tc>
          <w:tcPr>
            <w:tcW w:w="212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Annex 6</w:t>
            </w:r>
          </w:p>
        </w:tc>
        <w:tc>
          <w:tcPr>
            <w:tcW w:w="8200" w:type="dxa"/>
            <w:vAlign w:val="bottom"/>
          </w:tcPr>
          <w:p>
            <w:pPr>
              <w:spacing w:after="0"/>
              <w:rPr>
                <w:sz w:val="17"/>
                <w:szCs w:val="17"/>
                <w:color w:val="auto"/>
              </w:rPr>
            </w:pPr>
          </w:p>
        </w:tc>
        <w:tc>
          <w:tcPr>
            <w:tcW w:w="2120" w:type="dxa"/>
            <w:vAlign w:val="bottom"/>
          </w:tcPr>
          <w:p>
            <w:pPr>
              <w:jc w:val="right"/>
              <w:spacing w:after="0" w:line="202" w:lineRule="exact"/>
              <w:rPr>
                <w:sz w:val="20"/>
                <w:szCs w:val="20"/>
                <w:color w:val="auto"/>
              </w:rPr>
            </w:pPr>
            <w:r>
              <w:rPr>
                <w:rFonts w:ascii="Arial" w:cs="Arial" w:eastAsia="Arial" w:hAnsi="Arial"/>
                <w:sz w:val="18"/>
                <w:szCs w:val="18"/>
                <w:color w:val="auto"/>
              </w:rPr>
              <w:t>52</w:t>
            </w:r>
          </w:p>
        </w:tc>
      </w:tr>
      <w:tr>
        <w:trPr>
          <w:trHeight w:val="217"/>
        </w:trPr>
        <w:tc>
          <w:tcPr>
            <w:tcW w:w="920" w:type="dxa"/>
            <w:vAlign w:val="bottom"/>
          </w:tcPr>
          <w:p>
            <w:pPr>
              <w:spacing w:after="0"/>
              <w:rPr>
                <w:sz w:val="20"/>
                <w:szCs w:val="20"/>
                <w:color w:val="auto"/>
              </w:rPr>
            </w:pPr>
            <w:r>
              <w:rPr>
                <w:rFonts w:ascii="Arial" w:cs="Arial" w:eastAsia="Arial" w:hAnsi="Arial"/>
                <w:sz w:val="18"/>
                <w:szCs w:val="18"/>
                <w:color w:val="auto"/>
              </w:rPr>
              <w:t>Annex E</w:t>
            </w:r>
          </w:p>
        </w:tc>
        <w:tc>
          <w:tcPr>
            <w:tcW w:w="82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05"/>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Table of Annexes</w:t>
            </w:r>
          </w:p>
        </w:tc>
        <w:tc>
          <w:tcPr>
            <w:tcW w:w="2120" w:type="dxa"/>
            <w:vAlign w:val="bottom"/>
          </w:tcPr>
          <w:p>
            <w:pPr>
              <w:spacing w:after="0"/>
              <w:rPr>
                <w:sz w:val="24"/>
                <w:szCs w:val="24"/>
                <w:color w:val="auto"/>
              </w:rPr>
            </w:pPr>
          </w:p>
        </w:tc>
      </w:tr>
      <w:tr>
        <w:trPr>
          <w:trHeight w:val="473"/>
        </w:trPr>
        <w:tc>
          <w:tcPr>
            <w:tcW w:w="920" w:type="dxa"/>
            <w:vAlign w:val="bottom"/>
          </w:tcPr>
          <w:p>
            <w:pPr>
              <w:spacing w:after="0"/>
              <w:rPr>
                <w:sz w:val="20"/>
                <w:szCs w:val="20"/>
                <w:color w:val="auto"/>
              </w:rPr>
            </w:pPr>
            <w:r>
              <w:rPr>
                <w:rFonts w:ascii="Arial" w:cs="Arial" w:eastAsia="Arial" w:hAnsi="Arial"/>
                <w:sz w:val="18"/>
                <w:szCs w:val="18"/>
                <w:color w:val="auto"/>
              </w:rPr>
              <w:t>Annex 1</w:t>
            </w:r>
          </w:p>
        </w:tc>
        <w:tc>
          <w:tcPr>
            <w:tcW w:w="8200" w:type="dxa"/>
            <w:vAlign w:val="bottom"/>
          </w:tcPr>
          <w:p>
            <w:pPr>
              <w:ind w:left="34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ROGRAMS</w:t>
            </w:r>
            <w:r>
              <w:rPr>
                <w:rFonts w:ascii="Arial" w:cs="Arial" w:eastAsia="Arial" w:hAnsi="Arial"/>
                <w:sz w:val="18"/>
                <w:szCs w:val="18"/>
                <w:color w:val="auto"/>
              </w:rPr>
              <w:t xml:space="preserve"> IP</w:t>
            </w:r>
          </w:p>
        </w:tc>
        <w:tc>
          <w:tcPr>
            <w:tcW w:w="2120" w:type="dxa"/>
            <w:vAlign w:val="bottom"/>
          </w:tcPr>
          <w:p>
            <w:pPr>
              <w:spacing w:after="0"/>
              <w:rPr>
                <w:sz w:val="24"/>
                <w:szCs w:val="24"/>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Annex 2</w:t>
            </w:r>
          </w:p>
        </w:tc>
        <w:tc>
          <w:tcPr>
            <w:tcW w:w="8200" w:type="dxa"/>
            <w:vAlign w:val="bottom"/>
          </w:tcPr>
          <w:p>
            <w:pPr>
              <w:ind w:left="340"/>
              <w:spacing w:after="0"/>
              <w:rPr>
                <w:sz w:val="20"/>
                <w:szCs w:val="20"/>
                <w:color w:val="auto"/>
              </w:rPr>
            </w:pPr>
            <w:r>
              <w:rPr>
                <w:rFonts w:ascii="Arial" w:cs="Arial" w:eastAsia="Arial" w:hAnsi="Arial"/>
                <w:sz w:val="18"/>
                <w:szCs w:val="18"/>
                <w:color w:val="auto"/>
              </w:rPr>
              <w:t>List of Data, Documents, Information and Materials related to the P</w:t>
            </w:r>
            <w:r>
              <w:rPr>
                <w:rFonts w:ascii="Arial" w:cs="Arial" w:eastAsia="Arial" w:hAnsi="Arial"/>
                <w:sz w:val="12"/>
                <w:szCs w:val="12"/>
                <w:color w:val="auto"/>
              </w:rPr>
              <w:t>ROGRAMS</w:t>
            </w:r>
          </w:p>
        </w:tc>
        <w:tc>
          <w:tcPr>
            <w:tcW w:w="2120" w:type="dxa"/>
            <w:vAlign w:val="bottom"/>
          </w:tcPr>
          <w:p>
            <w:pPr>
              <w:spacing w:after="0"/>
              <w:rPr>
                <w:sz w:val="24"/>
                <w:szCs w:val="24"/>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Annex 3</w:t>
            </w:r>
          </w:p>
        </w:tc>
        <w:tc>
          <w:tcPr>
            <w:tcW w:w="8200" w:type="dxa"/>
            <w:vAlign w:val="bottom"/>
          </w:tcPr>
          <w:p>
            <w:pPr>
              <w:ind w:left="340"/>
              <w:spacing w:after="0"/>
              <w:rPr>
                <w:sz w:val="20"/>
                <w:szCs w:val="20"/>
                <w:color w:val="auto"/>
              </w:rPr>
            </w:pPr>
            <w:r>
              <w:rPr>
                <w:rFonts w:ascii="Arial" w:cs="Arial" w:eastAsia="Arial" w:hAnsi="Arial"/>
                <w:sz w:val="18"/>
                <w:szCs w:val="18"/>
                <w:color w:val="auto"/>
              </w:rPr>
              <w:t>Contribution in Kind Agreement</w:t>
            </w:r>
          </w:p>
        </w:tc>
        <w:tc>
          <w:tcPr>
            <w:tcW w:w="2120" w:type="dxa"/>
            <w:vAlign w:val="bottom"/>
          </w:tcPr>
          <w:p>
            <w:pPr>
              <w:spacing w:after="0"/>
              <w:rPr>
                <w:sz w:val="24"/>
                <w:szCs w:val="24"/>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Annex 4</w:t>
            </w:r>
          </w:p>
        </w:tc>
        <w:tc>
          <w:tcPr>
            <w:tcW w:w="8200" w:type="dxa"/>
            <w:vAlign w:val="bottom"/>
          </w:tcPr>
          <w:p>
            <w:pPr>
              <w:ind w:left="340"/>
              <w:spacing w:after="0"/>
              <w:rPr>
                <w:sz w:val="20"/>
                <w:szCs w:val="20"/>
                <w:color w:val="auto"/>
              </w:rPr>
            </w:pPr>
            <w:r>
              <w:rPr>
                <w:rFonts w:ascii="Arial" w:cs="Arial" w:eastAsia="Arial" w:hAnsi="Arial"/>
                <w:sz w:val="18"/>
                <w:szCs w:val="18"/>
                <w:color w:val="auto"/>
              </w:rPr>
              <w:t>PIPE Agreement</w:t>
            </w:r>
          </w:p>
        </w:tc>
        <w:tc>
          <w:tcPr>
            <w:tcW w:w="2120" w:type="dxa"/>
            <w:vAlign w:val="bottom"/>
          </w:tcPr>
          <w:p>
            <w:pPr>
              <w:spacing w:after="0"/>
              <w:rPr>
                <w:sz w:val="24"/>
                <w:szCs w:val="24"/>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Annex 5</w:t>
            </w:r>
          </w:p>
        </w:tc>
        <w:tc>
          <w:tcPr>
            <w:tcW w:w="8200" w:type="dxa"/>
            <w:vAlign w:val="bottom"/>
          </w:tcPr>
          <w:p>
            <w:pPr>
              <w:ind w:left="340"/>
              <w:spacing w:after="0"/>
              <w:rPr>
                <w:sz w:val="20"/>
                <w:szCs w:val="20"/>
                <w:color w:val="auto"/>
              </w:rPr>
            </w:pPr>
            <w:r>
              <w:rPr>
                <w:rFonts w:ascii="Arial" w:cs="Arial" w:eastAsia="Arial" w:hAnsi="Arial"/>
                <w:sz w:val="18"/>
                <w:szCs w:val="18"/>
                <w:color w:val="auto"/>
              </w:rPr>
              <w:t>List of N</w:t>
            </w:r>
            <w:r>
              <w:rPr>
                <w:rFonts w:ascii="Arial" w:cs="Arial" w:eastAsia="Arial" w:hAnsi="Arial"/>
                <w:sz w:val="12"/>
                <w:szCs w:val="12"/>
                <w:color w:val="auto"/>
              </w:rPr>
              <w:t>ECESSARY</w:t>
            </w:r>
            <w:r>
              <w:rPr>
                <w:rFonts w:ascii="Arial" w:cs="Arial" w:eastAsia="Arial" w:hAnsi="Arial"/>
                <w:sz w:val="18"/>
                <w:szCs w:val="18"/>
                <w:color w:val="auto"/>
              </w:rPr>
              <w:t xml:space="preserve"> V</w:t>
            </w:r>
            <w:r>
              <w:rPr>
                <w:rFonts w:ascii="Arial" w:cs="Arial" w:eastAsia="Arial" w:hAnsi="Arial"/>
                <w:sz w:val="12"/>
                <w:szCs w:val="12"/>
                <w:color w:val="auto"/>
              </w:rPr>
              <w:t>ENDORS</w:t>
            </w:r>
          </w:p>
        </w:tc>
        <w:tc>
          <w:tcPr>
            <w:tcW w:w="2120" w:type="dxa"/>
            <w:vAlign w:val="bottom"/>
          </w:tcPr>
          <w:p>
            <w:pPr>
              <w:spacing w:after="0"/>
              <w:rPr>
                <w:sz w:val="24"/>
                <w:szCs w:val="24"/>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Annex 6</w:t>
            </w:r>
          </w:p>
        </w:tc>
        <w:tc>
          <w:tcPr>
            <w:tcW w:w="8200" w:type="dxa"/>
            <w:vAlign w:val="bottom"/>
          </w:tcPr>
          <w:p>
            <w:pPr>
              <w:ind w:left="340"/>
              <w:spacing w:after="0"/>
              <w:rPr>
                <w:sz w:val="20"/>
                <w:szCs w:val="20"/>
                <w:color w:val="auto"/>
              </w:rPr>
            </w:pPr>
            <w:r>
              <w:rPr>
                <w:rFonts w:ascii="Arial" w:cs="Arial" w:eastAsia="Arial" w:hAnsi="Arial"/>
                <w:sz w:val="18"/>
                <w:szCs w:val="18"/>
                <w:color w:val="auto"/>
              </w:rPr>
              <w:t>Press Releases</w:t>
            </w:r>
          </w:p>
        </w:tc>
        <w:tc>
          <w:tcPr>
            <w:tcW w:w="2120" w:type="dxa"/>
            <w:vAlign w:val="bottom"/>
          </w:tcPr>
          <w:p>
            <w:pPr>
              <w:spacing w:after="0"/>
              <w:rPr>
                <w:sz w:val="24"/>
                <w:szCs w:val="24"/>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Annex E</w:t>
            </w:r>
          </w:p>
        </w:tc>
        <w:tc>
          <w:tcPr>
            <w:tcW w:w="8200" w:type="dxa"/>
            <w:vAlign w:val="bottom"/>
          </w:tcPr>
          <w:p>
            <w:pPr>
              <w:ind w:left="340"/>
              <w:spacing w:after="0"/>
              <w:rPr>
                <w:sz w:val="20"/>
                <w:szCs w:val="20"/>
                <w:color w:val="auto"/>
              </w:rPr>
            </w:pPr>
            <w:r>
              <w:rPr>
                <w:rFonts w:ascii="Arial" w:cs="Arial" w:eastAsia="Arial" w:hAnsi="Arial"/>
                <w:sz w:val="18"/>
                <w:szCs w:val="18"/>
                <w:color w:val="auto"/>
              </w:rPr>
              <w:t>Form of Agreement with certain A</w:t>
            </w:r>
            <w:r>
              <w:rPr>
                <w:rFonts w:ascii="Arial" w:cs="Arial" w:eastAsia="Arial" w:hAnsi="Arial"/>
                <w:sz w:val="12"/>
                <w:szCs w:val="12"/>
                <w:color w:val="auto"/>
              </w:rPr>
              <w:t>FFIRIS SHAREHOLDERS</w:t>
            </w:r>
          </w:p>
        </w:tc>
        <w:tc>
          <w:tcPr>
            <w:tcW w:w="2120" w:type="dxa"/>
            <w:vAlign w:val="bottom"/>
          </w:tcPr>
          <w:p>
            <w:pPr>
              <w:spacing w:after="0"/>
              <w:rPr>
                <w:sz w:val="24"/>
                <w:szCs w:val="24"/>
                <w:color w:val="auto"/>
              </w:rPr>
            </w:pPr>
          </w:p>
        </w:tc>
      </w:tr>
      <w:tr>
        <w:trPr>
          <w:trHeight w:val="364"/>
        </w:trPr>
        <w:tc>
          <w:tcPr>
            <w:tcW w:w="92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ind w:left="4620"/>
              <w:spacing w:after="0"/>
              <w:rPr>
                <w:sz w:val="20"/>
                <w:szCs w:val="20"/>
                <w:color w:val="auto"/>
              </w:rPr>
            </w:pPr>
            <w:r>
              <w:rPr>
                <w:rFonts w:ascii="Arial" w:cs="Arial" w:eastAsia="Arial" w:hAnsi="Arial"/>
                <w:sz w:val="18"/>
                <w:szCs w:val="18"/>
                <w:color w:val="auto"/>
              </w:rPr>
              <w:t>3</w:t>
            </w:r>
          </w:p>
        </w:tc>
        <w:tc>
          <w:tcPr>
            <w:tcW w:w="2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7" w:name="page8"/>
    <w:bookmarkEnd w:id="7"/>
    <w:p>
      <w:pPr>
        <w:ind w:left="660"/>
        <w:spacing w:after="0"/>
        <w:rPr>
          <w:sz w:val="20"/>
          <w:szCs w:val="20"/>
          <w:color w:val="auto"/>
        </w:rPr>
      </w:pPr>
      <w:r>
        <w:rPr>
          <w:rFonts w:ascii="Arial" w:cs="Arial" w:eastAsia="Arial" w:hAnsi="Arial"/>
          <w:sz w:val="18"/>
          <w:szCs w:val="18"/>
          <w:b w:val="1"/>
          <w:bCs w:val="1"/>
          <w:color w:val="auto"/>
        </w:rPr>
        <w:t>Recitals</w:t>
      </w:r>
    </w:p>
    <w:p>
      <w:pPr>
        <w:spacing w:after="0" w:line="198" w:lineRule="exact"/>
        <w:rPr>
          <w:sz w:val="20"/>
          <w:szCs w:val="20"/>
          <w:color w:val="auto"/>
        </w:rPr>
      </w:pPr>
    </w:p>
    <w:p>
      <w:pPr>
        <w:jc w:val="both"/>
        <w:ind w:left="660" w:hanging="652"/>
        <w:spacing w:after="0" w:line="25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Affiris AG ("</w:t>
      </w:r>
      <w:r>
        <w:rPr>
          <w:rFonts w:ascii="Arial" w:cs="Arial" w:eastAsia="Arial" w:hAnsi="Arial"/>
          <w:sz w:val="18"/>
          <w:szCs w:val="18"/>
          <w:b w:val="1"/>
          <w:bCs w:val="1"/>
          <w:color w:val="auto"/>
        </w:rPr>
        <w:t>A</w:t>
      </w:r>
      <w:r>
        <w:rPr>
          <w:rFonts w:ascii="Arial" w:cs="Arial" w:eastAsia="Arial" w:hAnsi="Arial"/>
          <w:sz w:val="12"/>
          <w:szCs w:val="12"/>
          <w:b w:val="1"/>
          <w:bCs w:val="1"/>
          <w:color w:val="auto"/>
        </w:rPr>
        <w:t>FFIRIS</w:t>
      </w:r>
      <w:r>
        <w:rPr>
          <w:rFonts w:ascii="Arial" w:cs="Arial" w:eastAsia="Arial" w:hAnsi="Arial"/>
          <w:sz w:val="18"/>
          <w:szCs w:val="18"/>
          <w:color w:val="auto"/>
        </w:rPr>
        <w:t>") is a stock corporation incorporated under the laws of Austria, registered under no. FN 240538 h in the commercial register of Austria (</w:t>
      </w:r>
      <w:r>
        <w:rPr>
          <w:rFonts w:ascii="Arial" w:cs="Arial" w:eastAsia="Arial" w:hAnsi="Arial"/>
          <w:sz w:val="18"/>
          <w:szCs w:val="18"/>
          <w:i w:val="1"/>
          <w:iCs w:val="1"/>
          <w:color w:val="auto"/>
        </w:rPr>
        <w:t>Firmenbuch der Republik Österreich</w:t>
      </w:r>
      <w:r>
        <w:rPr>
          <w:rFonts w:ascii="Arial" w:cs="Arial" w:eastAsia="Arial" w:hAnsi="Arial"/>
          <w:sz w:val="18"/>
          <w:szCs w:val="18"/>
          <w:color w:val="auto"/>
        </w:rPr>
        <w:t>), with its registered office at Karl-Farkas-Gasse 22, 1030 Vienna, Austria, with a fully paid in share capital of EUR 461'391.00 divided into 461'391 unit shares (</w:t>
      </w:r>
      <w:r>
        <w:rPr>
          <w:rFonts w:ascii="Arial" w:cs="Arial" w:eastAsia="Arial" w:hAnsi="Arial"/>
          <w:sz w:val="18"/>
          <w:szCs w:val="18"/>
          <w:i w:val="1"/>
          <w:iCs w:val="1"/>
          <w:color w:val="auto"/>
        </w:rPr>
        <w:t>Stückaktien</w:t>
      </w:r>
      <w:r>
        <w:rPr>
          <w:rFonts w:ascii="Arial" w:cs="Arial" w:eastAsia="Arial" w:hAnsi="Arial"/>
          <w:sz w:val="18"/>
          <w:szCs w:val="18"/>
          <w:color w:val="auto"/>
        </w:rPr>
        <w:t>).</w:t>
      </w:r>
    </w:p>
    <w:p>
      <w:pPr>
        <w:spacing w:after="0" w:line="155" w:lineRule="exact"/>
        <w:rPr>
          <w:rFonts w:ascii="Arial" w:cs="Arial" w:eastAsia="Arial" w:hAnsi="Arial"/>
          <w:sz w:val="18"/>
          <w:szCs w:val="18"/>
          <w:color w:val="auto"/>
        </w:rPr>
      </w:pPr>
    </w:p>
    <w:p>
      <w:pPr>
        <w:jc w:val="both"/>
        <w:ind w:left="660" w:hanging="652"/>
        <w:spacing w:after="0" w:line="25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 Immune SA ("</w:t>
      </w:r>
      <w:r>
        <w:rPr>
          <w:rFonts w:ascii="Arial" w:cs="Arial" w:eastAsia="Arial" w:hAnsi="Arial"/>
          <w:sz w:val="18"/>
          <w:szCs w:val="18"/>
          <w:b w:val="1"/>
          <w:bCs w:val="1"/>
          <w:color w:val="auto"/>
        </w:rPr>
        <w:t>ACIU</w:t>
      </w:r>
      <w:r>
        <w:rPr>
          <w:rFonts w:ascii="Arial" w:cs="Arial" w:eastAsia="Arial" w:hAnsi="Arial"/>
          <w:sz w:val="18"/>
          <w:szCs w:val="18"/>
          <w:color w:val="auto"/>
        </w:rPr>
        <w:t>") is a stock corporation incorporated under the laws of Switzerland, registered under CHE-109.878.825 in the commercial register of the Canton of Vaud, with its seat in Ecublens (VD), with a fully paid in share capital of CHF 1'537'748.98 divided into 76'887'449 registered shares.</w:t>
      </w:r>
    </w:p>
    <w:p>
      <w:pPr>
        <w:spacing w:after="0" w:line="177"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ACIU intends to acquire from A</w:t>
      </w:r>
      <w:r>
        <w:rPr>
          <w:rFonts w:ascii="Arial" w:cs="Arial" w:eastAsia="Arial" w:hAnsi="Arial"/>
          <w:sz w:val="12"/>
          <w:szCs w:val="12"/>
          <w:color w:val="auto"/>
        </w:rPr>
        <w:t>FFIRIS</w:t>
      </w:r>
      <w:r>
        <w:rPr>
          <w:rFonts w:ascii="Arial" w:cs="Arial" w:eastAsia="Arial" w:hAnsi="Arial"/>
          <w:sz w:val="18"/>
          <w:szCs w:val="18"/>
          <w:color w:val="auto"/>
        </w:rPr>
        <w:t xml:space="preserve"> the P</w:t>
      </w:r>
      <w:r>
        <w:rPr>
          <w:rFonts w:ascii="Arial" w:cs="Arial" w:eastAsia="Arial" w:hAnsi="Arial"/>
          <w:sz w:val="12"/>
          <w:szCs w:val="12"/>
          <w:color w:val="auto"/>
        </w:rPr>
        <w:t>ROGRAMS</w:t>
      </w:r>
      <w:r>
        <w:rPr>
          <w:rFonts w:ascii="Arial" w:cs="Arial" w:eastAsia="Arial" w:hAnsi="Arial"/>
          <w:sz w:val="18"/>
          <w:szCs w:val="18"/>
          <w:color w:val="auto"/>
        </w:rPr>
        <w:t xml:space="preserve"> (as defined below) and A</w:t>
      </w:r>
      <w:r>
        <w:rPr>
          <w:rFonts w:ascii="Arial" w:cs="Arial" w:eastAsia="Arial" w:hAnsi="Arial"/>
          <w:sz w:val="12"/>
          <w:szCs w:val="12"/>
          <w:color w:val="auto"/>
        </w:rPr>
        <w:t>FFIRIS</w:t>
      </w:r>
      <w:r>
        <w:rPr>
          <w:rFonts w:ascii="Arial" w:cs="Arial" w:eastAsia="Arial" w:hAnsi="Arial"/>
          <w:sz w:val="18"/>
          <w:szCs w:val="18"/>
          <w:color w:val="auto"/>
        </w:rPr>
        <w:t xml:space="preserve"> intends to sell the P</w:t>
      </w:r>
      <w:r>
        <w:rPr>
          <w:rFonts w:ascii="Arial" w:cs="Arial" w:eastAsia="Arial" w:hAnsi="Arial"/>
          <w:sz w:val="12"/>
          <w:szCs w:val="12"/>
          <w:color w:val="auto"/>
        </w:rPr>
        <w:t>ROGRAMS</w:t>
      </w:r>
      <w:r>
        <w:rPr>
          <w:rFonts w:ascii="Arial" w:cs="Arial" w:eastAsia="Arial" w:hAnsi="Arial"/>
          <w:sz w:val="18"/>
          <w:szCs w:val="18"/>
          <w:color w:val="auto"/>
        </w:rPr>
        <w:t xml:space="preserve"> to ACIU.</w:t>
      </w:r>
    </w:p>
    <w:p>
      <w:pPr>
        <w:spacing w:after="0" w:line="198"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Concurrently with the signing of this </w:t>
      </w:r>
      <w:r>
        <w:rPr>
          <w:rFonts w:ascii="Arial" w:cs="Arial" w:eastAsia="Arial" w:hAnsi="Arial"/>
          <w:sz w:val="12"/>
          <w:szCs w:val="12"/>
          <w:color w:val="auto"/>
        </w:rPr>
        <w:t>AGREEMENT</w:t>
      </w:r>
      <w:r>
        <w:rPr>
          <w:rFonts w:ascii="Arial" w:cs="Arial" w:eastAsia="Arial" w:hAnsi="Arial"/>
          <w:sz w:val="18"/>
          <w:szCs w:val="18"/>
          <w:color w:val="auto"/>
        </w:rPr>
        <w:t>, some of the shareholders of A</w:t>
      </w:r>
      <w:r>
        <w:rPr>
          <w:rFonts w:ascii="Arial" w:cs="Arial" w:eastAsia="Arial" w:hAnsi="Arial"/>
          <w:sz w:val="12"/>
          <w:szCs w:val="12"/>
          <w:color w:val="auto"/>
        </w:rPr>
        <w:t>FFIRIS</w:t>
      </w:r>
      <w:r>
        <w:rPr>
          <w:rFonts w:ascii="Arial" w:cs="Arial" w:eastAsia="Arial" w:hAnsi="Arial"/>
          <w:sz w:val="18"/>
          <w:szCs w:val="18"/>
          <w:color w:val="auto"/>
        </w:rPr>
        <w:t>, namely Santo Venture Capital GmbH and FCPB Affi GmbH acting through First Capital Partner GmbH (collectively, the "</w:t>
      </w:r>
      <w:r>
        <w:rPr>
          <w:rFonts w:ascii="Arial" w:cs="Arial" w:eastAsia="Arial" w:hAnsi="Arial"/>
          <w:sz w:val="18"/>
          <w:szCs w:val="18"/>
          <w:b w:val="1"/>
          <w:bCs w:val="1"/>
          <w:color w:val="auto"/>
        </w:rPr>
        <w:t>PIPE S</w:t>
      </w:r>
      <w:r>
        <w:rPr>
          <w:rFonts w:ascii="Arial" w:cs="Arial" w:eastAsia="Arial" w:hAnsi="Arial"/>
          <w:sz w:val="12"/>
          <w:szCs w:val="12"/>
          <w:b w:val="1"/>
          <w:bCs w:val="1"/>
          <w:color w:val="auto"/>
        </w:rPr>
        <w:t>UBSCRIBERS</w:t>
      </w:r>
      <w:r>
        <w:rPr>
          <w:rFonts w:ascii="Arial" w:cs="Arial" w:eastAsia="Arial" w:hAnsi="Arial"/>
          <w:sz w:val="18"/>
          <w:szCs w:val="18"/>
          <w:color w:val="auto"/>
        </w:rPr>
        <w:t>") shall enter into an agreement in the form of A</w:t>
      </w:r>
      <w:r>
        <w:rPr>
          <w:rFonts w:ascii="Arial" w:cs="Arial" w:eastAsia="Arial" w:hAnsi="Arial"/>
          <w:sz w:val="12"/>
          <w:szCs w:val="12"/>
          <w:color w:val="auto"/>
        </w:rPr>
        <w:t>NNEX</w:t>
      </w:r>
      <w:r>
        <w:rPr>
          <w:rFonts w:ascii="Arial" w:cs="Arial" w:eastAsia="Arial" w:hAnsi="Arial"/>
          <w:sz w:val="18"/>
          <w:szCs w:val="18"/>
          <w:color w:val="auto"/>
        </w:rPr>
        <w:t xml:space="preserve"> 4 hereto (the "</w:t>
      </w:r>
      <w:r>
        <w:rPr>
          <w:rFonts w:ascii="Arial" w:cs="Arial" w:eastAsia="Arial" w:hAnsi="Arial"/>
          <w:sz w:val="18"/>
          <w:szCs w:val="18"/>
          <w:b w:val="1"/>
          <w:bCs w:val="1"/>
          <w:color w:val="auto"/>
        </w:rPr>
        <w:t>PIPE A</w:t>
      </w:r>
      <w:r>
        <w:rPr>
          <w:rFonts w:ascii="Arial" w:cs="Arial" w:eastAsia="Arial" w:hAnsi="Arial"/>
          <w:sz w:val="12"/>
          <w:szCs w:val="12"/>
          <w:b w:val="1"/>
          <w:bCs w:val="1"/>
          <w:color w:val="auto"/>
        </w:rPr>
        <w:t>GREEMENT</w:t>
      </w:r>
      <w:r>
        <w:rPr>
          <w:rFonts w:ascii="Arial" w:cs="Arial" w:eastAsia="Arial" w:hAnsi="Arial"/>
          <w:sz w:val="18"/>
          <w:szCs w:val="18"/>
          <w:color w:val="auto"/>
        </w:rPr>
        <w:t>") providing for the P</w:t>
      </w:r>
      <w:r>
        <w:rPr>
          <w:rFonts w:ascii="Arial" w:cs="Arial" w:eastAsia="Arial" w:hAnsi="Arial"/>
          <w:sz w:val="12"/>
          <w:szCs w:val="12"/>
          <w:color w:val="auto"/>
        </w:rPr>
        <w:t>IPE</w:t>
      </w:r>
      <w:r>
        <w:rPr>
          <w:rFonts w:ascii="Arial" w:cs="Arial" w:eastAsia="Arial" w:hAnsi="Arial"/>
          <w:sz w:val="18"/>
          <w:szCs w:val="18"/>
          <w:color w:val="auto"/>
        </w:rPr>
        <w:t xml:space="preserve"> S</w:t>
      </w:r>
      <w:r>
        <w:rPr>
          <w:rFonts w:ascii="Arial" w:cs="Arial" w:eastAsia="Arial" w:hAnsi="Arial"/>
          <w:sz w:val="12"/>
          <w:szCs w:val="12"/>
          <w:color w:val="auto"/>
        </w:rPr>
        <w:t>UBSCRIBERS</w:t>
      </w:r>
      <w:r>
        <w:rPr>
          <w:rFonts w:ascii="Arial" w:cs="Arial" w:eastAsia="Arial" w:hAnsi="Arial"/>
          <w:sz w:val="18"/>
          <w:szCs w:val="18"/>
          <w:color w:val="auto"/>
        </w:rPr>
        <w:t xml:space="preserve"> to acquire a convertible note issued by ACIU and convertible into ACIU shares upon the terms and conditions set out in the PIPE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PIPE S</w:t>
      </w:r>
      <w:r>
        <w:rPr>
          <w:rFonts w:ascii="Arial" w:cs="Arial" w:eastAsia="Arial" w:hAnsi="Arial"/>
          <w:sz w:val="12"/>
          <w:szCs w:val="12"/>
          <w:color w:val="auto"/>
        </w:rPr>
        <w:t>UBSCRIBERS</w:t>
      </w:r>
      <w:r>
        <w:rPr>
          <w:rFonts w:ascii="Arial" w:cs="Arial" w:eastAsia="Arial" w:hAnsi="Arial"/>
          <w:sz w:val="18"/>
          <w:szCs w:val="18"/>
          <w:color w:val="auto"/>
        </w:rPr>
        <w:t xml:space="preserve"> plus MIG GmbH &amp; Co. Fonds 15 geschlossene Investment-KG, MIG Asset Trust GmbH, MIG GmbH &amp; Co. Fonds 4 KG, MIG GmbH &amp; Co. Fonds 5 KG i.L., MIG GmbH &amp; Co. Fonds 7 KG i.L., MIG GmbH &amp; Co. Fonds 11 KG i.L., MIG GmbH &amp; Co. Fonds 12 geschlossene Investment-KG, MIG GmbH &amp; Co. Fonds 13 geschlossene Investment-KG (together with the P</w:t>
      </w:r>
      <w:r>
        <w:rPr>
          <w:rFonts w:ascii="Arial" w:cs="Arial" w:eastAsia="Arial" w:hAnsi="Arial"/>
          <w:sz w:val="12"/>
          <w:szCs w:val="12"/>
          <w:color w:val="auto"/>
        </w:rPr>
        <w:t>IPE</w:t>
      </w:r>
      <w:r>
        <w:rPr>
          <w:rFonts w:ascii="Arial" w:cs="Arial" w:eastAsia="Arial" w:hAnsi="Arial"/>
          <w:sz w:val="18"/>
          <w:szCs w:val="18"/>
          <w:color w:val="auto"/>
        </w:rPr>
        <w:t xml:space="preserve"> S</w:t>
      </w:r>
      <w:r>
        <w:rPr>
          <w:rFonts w:ascii="Arial" w:cs="Arial" w:eastAsia="Arial" w:hAnsi="Arial"/>
          <w:sz w:val="12"/>
          <w:szCs w:val="12"/>
          <w:color w:val="auto"/>
        </w:rPr>
        <w:t>UBSCRIBERS</w:t>
      </w:r>
      <w:r>
        <w:rPr>
          <w:rFonts w:ascii="Arial" w:cs="Arial" w:eastAsia="Arial" w:hAnsi="Arial"/>
          <w:sz w:val="18"/>
          <w:szCs w:val="18"/>
          <w:color w:val="auto"/>
        </w:rPr>
        <w:t>, the "</w:t>
      </w:r>
      <w:r>
        <w:rPr>
          <w:rFonts w:ascii="Arial" w:cs="Arial" w:eastAsia="Arial" w:hAnsi="Arial"/>
          <w:sz w:val="18"/>
          <w:szCs w:val="18"/>
          <w:b w:val="1"/>
          <w:bCs w:val="1"/>
          <w:color w:val="auto"/>
        </w:rPr>
        <w:t>A</w:t>
      </w:r>
      <w:r>
        <w:rPr>
          <w:rFonts w:ascii="Arial" w:cs="Arial" w:eastAsia="Arial" w:hAnsi="Arial"/>
          <w:sz w:val="12"/>
          <w:szCs w:val="12"/>
          <w:b w:val="1"/>
          <w:bCs w:val="1"/>
          <w:color w:val="auto"/>
        </w:rPr>
        <w:t>FFIRIS</w:t>
      </w:r>
      <w:r>
        <w:rPr>
          <w:rFonts w:ascii="Arial" w:cs="Arial" w:eastAsia="Arial" w:hAnsi="Arial"/>
          <w:sz w:val="18"/>
          <w:szCs w:val="18"/>
          <w:color w:val="auto"/>
        </w:rPr>
        <w:t xml:space="preserve"> </w:t>
      </w:r>
      <w:r>
        <w:rPr>
          <w:rFonts w:ascii="Arial" w:cs="Arial" w:eastAsia="Arial" w:hAnsi="Arial"/>
          <w:sz w:val="18"/>
          <w:szCs w:val="18"/>
          <w:b w:val="1"/>
          <w:bCs w:val="1"/>
          <w:color w:val="auto"/>
        </w:rPr>
        <w:t>S</w:t>
      </w:r>
      <w:r>
        <w:rPr>
          <w:rFonts w:ascii="Arial" w:cs="Arial" w:eastAsia="Arial" w:hAnsi="Arial"/>
          <w:sz w:val="12"/>
          <w:szCs w:val="12"/>
          <w:b w:val="1"/>
          <w:bCs w:val="1"/>
          <w:color w:val="auto"/>
        </w:rPr>
        <w:t>HAREHOLDERS</w:t>
      </w:r>
      <w:r>
        <w:rPr>
          <w:rFonts w:ascii="Arial" w:cs="Arial" w:eastAsia="Arial" w:hAnsi="Arial"/>
          <w:sz w:val="18"/>
          <w:szCs w:val="18"/>
          <w:color w:val="auto"/>
        </w:rPr>
        <w:t>") enter concurrently with the signing of this A</w:t>
      </w:r>
      <w:r>
        <w:rPr>
          <w:rFonts w:ascii="Arial" w:cs="Arial" w:eastAsia="Arial" w:hAnsi="Arial"/>
          <w:sz w:val="12"/>
          <w:szCs w:val="12"/>
          <w:color w:val="auto"/>
        </w:rPr>
        <w:t>GREEMENT</w:t>
      </w:r>
      <w:r>
        <w:rPr>
          <w:rFonts w:ascii="Arial" w:cs="Arial" w:eastAsia="Arial" w:hAnsi="Arial"/>
          <w:sz w:val="18"/>
          <w:szCs w:val="18"/>
          <w:color w:val="auto"/>
        </w:rPr>
        <w:t xml:space="preserve"> into an agreement with ACIU in the form of A</w:t>
      </w:r>
      <w:r>
        <w:rPr>
          <w:rFonts w:ascii="Arial" w:cs="Arial" w:eastAsia="Arial" w:hAnsi="Arial"/>
          <w:sz w:val="12"/>
          <w:szCs w:val="12"/>
          <w:color w:val="auto"/>
        </w:rPr>
        <w:t>NNEX</w:t>
      </w:r>
      <w:r>
        <w:rPr>
          <w:rFonts w:ascii="Arial" w:cs="Arial" w:eastAsia="Arial" w:hAnsi="Arial"/>
          <w:sz w:val="18"/>
          <w:szCs w:val="18"/>
          <w:color w:val="auto"/>
        </w:rPr>
        <w:t xml:space="preserve"> 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Based on the above Recitals, which form an integral part of this , the P</w:t>
      </w:r>
      <w:r>
        <w:rPr>
          <w:rFonts w:ascii="Arial" w:cs="Arial" w:eastAsia="Arial" w:hAnsi="Arial"/>
          <w:sz w:val="12"/>
          <w:szCs w:val="12"/>
          <w:color w:val="auto"/>
        </w:rPr>
        <w:t>ARTIES</w:t>
      </w:r>
      <w:r>
        <w:rPr>
          <w:rFonts w:ascii="Arial" w:cs="Arial" w:eastAsia="Arial" w:hAnsi="Arial"/>
          <w:sz w:val="18"/>
          <w:szCs w:val="18"/>
          <w:color w:val="auto"/>
        </w:rPr>
        <w:t xml:space="preserve"> hereto agree as follows:</w:t>
      </w:r>
    </w:p>
    <w:p>
      <w:pPr>
        <w:spacing w:after="0" w:line="30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8" w:name="page9"/>
    <w:bookmarkEnd w:id="8"/>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0" w:lineRule="exact"/>
        <w:rPr>
          <w:rFonts w:ascii="Arial" w:cs="Arial" w:eastAsia="Arial" w:hAnsi="Arial"/>
          <w:sz w:val="18"/>
          <w:szCs w:val="18"/>
          <w:b w:val="1"/>
          <w:bCs w:val="1"/>
          <w:color w:val="auto"/>
        </w:rPr>
      </w:pPr>
    </w:p>
    <w:p>
      <w:pPr>
        <w:ind w:left="660" w:right="2020"/>
        <w:spacing w:after="0" w:line="456" w:lineRule="auto"/>
        <w:rPr>
          <w:rFonts w:ascii="Arial" w:cs="Arial" w:eastAsia="Arial" w:hAnsi="Arial"/>
          <w:sz w:val="18"/>
          <w:szCs w:val="18"/>
          <w:b w:val="1"/>
          <w:bCs w:val="1"/>
          <w:color w:val="auto"/>
        </w:rPr>
      </w:pPr>
      <w:r>
        <w:rPr>
          <w:rFonts w:ascii="Arial" w:cs="Arial" w:eastAsia="Arial" w:hAnsi="Arial"/>
          <w:sz w:val="18"/>
          <w:szCs w:val="18"/>
          <w:color w:val="auto"/>
        </w:rPr>
        <w:t xml:space="preserve">When used in this Agreement in </w:t>
      </w:r>
      <w:r>
        <w:rPr>
          <w:rFonts w:ascii="Arial" w:cs="Arial" w:eastAsia="Arial" w:hAnsi="Arial"/>
          <w:sz w:val="12"/>
          <w:szCs w:val="12"/>
          <w:color w:val="auto"/>
        </w:rPr>
        <w:t>SMALL CAPS</w:t>
      </w:r>
      <w:r>
        <w:rPr>
          <w:rFonts w:ascii="Arial" w:cs="Arial" w:eastAsia="Arial" w:hAnsi="Arial"/>
          <w:sz w:val="18"/>
          <w:szCs w:val="18"/>
          <w:color w:val="auto"/>
        </w:rPr>
        <w:t xml:space="preserve"> form, the terms set forth below shall have the following meaning: "</w:t>
      </w:r>
      <w:r>
        <w:rPr>
          <w:rFonts w:ascii="Arial" w:cs="Arial" w:eastAsia="Arial" w:hAnsi="Arial"/>
          <w:sz w:val="18"/>
          <w:szCs w:val="18"/>
          <w:b w:val="1"/>
          <w:bCs w:val="1"/>
          <w:color w:val="auto"/>
        </w:rPr>
        <w:t>ACIU</w:t>
      </w:r>
      <w:r>
        <w:rPr>
          <w:rFonts w:ascii="Arial" w:cs="Arial" w:eastAsia="Arial" w:hAnsi="Arial"/>
          <w:sz w:val="18"/>
          <w:szCs w:val="18"/>
          <w:color w:val="auto"/>
        </w:rPr>
        <w:t>" has the meaning given to it in Recital B).</w:t>
      </w:r>
    </w:p>
    <w:p>
      <w:pPr>
        <w:spacing w:after="0" w:line="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A</w:t>
      </w:r>
      <w:r>
        <w:rPr>
          <w:rFonts w:ascii="Arial" w:cs="Arial" w:eastAsia="Arial" w:hAnsi="Arial"/>
          <w:sz w:val="12"/>
          <w:szCs w:val="12"/>
          <w:b w:val="1"/>
          <w:bCs w:val="1"/>
          <w:color w:val="auto"/>
        </w:rPr>
        <w:t>CIU</w:t>
      </w:r>
      <w:r>
        <w:rPr>
          <w:rFonts w:ascii="Arial" w:cs="Arial" w:eastAsia="Arial" w:hAnsi="Arial"/>
          <w:sz w:val="18"/>
          <w:szCs w:val="18"/>
          <w:color w:val="auto"/>
        </w:rPr>
        <w:t xml:space="preserve"> </w:t>
      </w:r>
      <w:r>
        <w:rPr>
          <w:rFonts w:ascii="Arial" w:cs="Arial" w:eastAsia="Arial" w:hAnsi="Arial"/>
          <w:sz w:val="18"/>
          <w:szCs w:val="18"/>
          <w:b w:val="1"/>
          <w:bCs w:val="1"/>
          <w:color w:val="auto"/>
        </w:rPr>
        <w:t>S</w:t>
      </w:r>
      <w:r>
        <w:rPr>
          <w:rFonts w:ascii="Arial" w:cs="Arial" w:eastAsia="Arial" w:hAnsi="Arial"/>
          <w:sz w:val="12"/>
          <w:szCs w:val="12"/>
          <w:b w:val="1"/>
          <w:bCs w:val="1"/>
          <w:color w:val="auto"/>
        </w:rPr>
        <w:t>HARES</w:t>
      </w:r>
      <w:r>
        <w:rPr>
          <w:rFonts w:ascii="Arial" w:cs="Arial" w:eastAsia="Arial" w:hAnsi="Arial"/>
          <w:sz w:val="18"/>
          <w:szCs w:val="18"/>
          <w:color w:val="auto"/>
        </w:rPr>
        <w:t>" has the meaning given to this term in S</w:t>
      </w:r>
      <w:r>
        <w:rPr>
          <w:rFonts w:ascii="Arial" w:cs="Arial" w:eastAsia="Arial" w:hAnsi="Arial"/>
          <w:sz w:val="12"/>
          <w:szCs w:val="12"/>
          <w:color w:val="auto"/>
        </w:rPr>
        <w:t>ECTION</w:t>
      </w:r>
      <w:r>
        <w:rPr>
          <w:rFonts w:ascii="Arial" w:cs="Arial" w:eastAsia="Arial" w:hAnsi="Arial"/>
          <w:sz w:val="18"/>
          <w:szCs w:val="18"/>
          <w:color w:val="auto"/>
        </w:rPr>
        <w:t xml:space="preserve"> 4.</w:t>
      </w:r>
    </w:p>
    <w:p>
      <w:pPr>
        <w:spacing w:after="0" w:line="19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A</w:t>
      </w:r>
      <w:r>
        <w:rPr>
          <w:rFonts w:ascii="Arial" w:cs="Arial" w:eastAsia="Arial" w:hAnsi="Arial"/>
          <w:sz w:val="12"/>
          <w:szCs w:val="12"/>
          <w:b w:val="1"/>
          <w:bCs w:val="1"/>
          <w:color w:val="auto"/>
        </w:rPr>
        <w:t>DJUSTED</w:t>
      </w:r>
      <w:r>
        <w:rPr>
          <w:rFonts w:ascii="Arial" w:cs="Arial" w:eastAsia="Arial" w:hAnsi="Arial"/>
          <w:sz w:val="18"/>
          <w:szCs w:val="18"/>
          <w:color w:val="auto"/>
        </w:rPr>
        <w:t xml:space="preserve"> </w:t>
      </w:r>
      <w:r>
        <w:rPr>
          <w:rFonts w:ascii="Arial" w:cs="Arial" w:eastAsia="Arial" w:hAnsi="Arial"/>
          <w:sz w:val="18"/>
          <w:szCs w:val="18"/>
          <w:b w:val="1"/>
          <w:bCs w:val="1"/>
          <w:color w:val="auto"/>
        </w:rPr>
        <w:t>S</w:t>
      </w:r>
      <w:r>
        <w:rPr>
          <w:rFonts w:ascii="Arial" w:cs="Arial" w:eastAsia="Arial" w:hAnsi="Arial"/>
          <w:sz w:val="12"/>
          <w:szCs w:val="12"/>
          <w:b w:val="1"/>
          <w:bCs w:val="1"/>
          <w:color w:val="auto"/>
        </w:rPr>
        <w:t>HARE</w:t>
      </w:r>
      <w:r>
        <w:rPr>
          <w:rFonts w:ascii="Arial" w:cs="Arial" w:eastAsia="Arial" w:hAnsi="Arial"/>
          <w:sz w:val="18"/>
          <w:szCs w:val="18"/>
          <w:color w:val="auto"/>
        </w:rPr>
        <w:t xml:space="preserve"> </w:t>
      </w:r>
      <w:r>
        <w:rPr>
          <w:rFonts w:ascii="Arial" w:cs="Arial" w:eastAsia="Arial" w:hAnsi="Arial"/>
          <w:sz w:val="18"/>
          <w:szCs w:val="18"/>
          <w:b w:val="1"/>
          <w:bCs w:val="1"/>
          <w:color w:val="auto"/>
        </w:rPr>
        <w:t>V</w:t>
      </w:r>
      <w:r>
        <w:rPr>
          <w:rFonts w:ascii="Arial" w:cs="Arial" w:eastAsia="Arial" w:hAnsi="Arial"/>
          <w:sz w:val="12"/>
          <w:szCs w:val="12"/>
          <w:b w:val="1"/>
          <w:bCs w:val="1"/>
          <w:color w:val="auto"/>
        </w:rPr>
        <w:t>ALUE</w:t>
      </w:r>
      <w:r>
        <w:rPr>
          <w:rFonts w:ascii="Arial" w:cs="Arial" w:eastAsia="Arial" w:hAnsi="Arial"/>
          <w:sz w:val="18"/>
          <w:szCs w:val="18"/>
          <w:color w:val="auto"/>
        </w:rPr>
        <w:t>" has the meaning given to this term in S</w:t>
      </w:r>
      <w:r>
        <w:rPr>
          <w:rFonts w:ascii="Arial" w:cs="Arial" w:eastAsia="Arial" w:hAnsi="Arial"/>
          <w:sz w:val="12"/>
          <w:szCs w:val="12"/>
          <w:color w:val="auto"/>
        </w:rPr>
        <w:t>ECTION</w:t>
      </w:r>
      <w:r>
        <w:rPr>
          <w:rFonts w:ascii="Arial" w:cs="Arial" w:eastAsia="Arial" w:hAnsi="Arial"/>
          <w:sz w:val="18"/>
          <w:szCs w:val="18"/>
          <w:color w:val="auto"/>
        </w:rPr>
        <w:t xml:space="preserve"> 4.</w:t>
      </w:r>
    </w:p>
    <w:p>
      <w:pPr>
        <w:spacing w:after="0" w:line="198" w:lineRule="exact"/>
        <w:rPr>
          <w:rFonts w:ascii="Arial" w:cs="Arial" w:eastAsia="Arial" w:hAnsi="Arial"/>
          <w:sz w:val="18"/>
          <w:szCs w:val="18"/>
          <w:b w:val="1"/>
          <w:bCs w:val="1"/>
          <w:color w:val="auto"/>
        </w:rPr>
      </w:pPr>
    </w:p>
    <w:p>
      <w:pPr>
        <w:jc w:val="both"/>
        <w:ind w:left="66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A</w:t>
      </w:r>
      <w:r>
        <w:rPr>
          <w:rFonts w:ascii="Arial" w:cs="Arial" w:eastAsia="Arial" w:hAnsi="Arial"/>
          <w:sz w:val="12"/>
          <w:szCs w:val="12"/>
          <w:b w:val="1"/>
          <w:bCs w:val="1"/>
          <w:color w:val="auto"/>
        </w:rPr>
        <w:t>FFILIATE</w:t>
      </w:r>
      <w:r>
        <w:rPr>
          <w:rFonts w:ascii="Arial" w:cs="Arial" w:eastAsia="Arial" w:hAnsi="Arial"/>
          <w:sz w:val="18"/>
          <w:szCs w:val="18"/>
          <w:color w:val="auto"/>
        </w:rPr>
        <w:t>" means any person that directly or indirectly controls, is controlled by or is under common control with the person in question. For purposes of this definition, control of a person means the power, direct or indirect, to direct the management and policies of such person, whether by contract or otherwise; in any case control by a person is given if it holds more than 50% of the voting rights of another person.</w:t>
      </w:r>
    </w:p>
    <w:p>
      <w:pPr>
        <w:spacing w:after="0" w:line="16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A</w:t>
      </w:r>
      <w:r>
        <w:rPr>
          <w:rFonts w:ascii="Arial" w:cs="Arial" w:eastAsia="Arial" w:hAnsi="Arial"/>
          <w:sz w:val="12"/>
          <w:szCs w:val="12"/>
          <w:b w:val="1"/>
          <w:bCs w:val="1"/>
          <w:color w:val="auto"/>
        </w:rPr>
        <w:t>FFIRIS</w:t>
      </w:r>
      <w:r>
        <w:rPr>
          <w:rFonts w:ascii="Arial" w:cs="Arial" w:eastAsia="Arial" w:hAnsi="Arial"/>
          <w:sz w:val="18"/>
          <w:szCs w:val="18"/>
          <w:color w:val="auto"/>
        </w:rPr>
        <w:t>" has the meaning given to it in Recital A).</w:t>
      </w:r>
    </w:p>
    <w:p>
      <w:pPr>
        <w:spacing w:after="0" w:line="198" w:lineRule="exact"/>
        <w:rPr>
          <w:rFonts w:ascii="Arial" w:cs="Arial" w:eastAsia="Arial" w:hAnsi="Arial"/>
          <w:sz w:val="18"/>
          <w:szCs w:val="18"/>
          <w:b w:val="1"/>
          <w:bCs w:val="1"/>
          <w:color w:val="auto"/>
        </w:rPr>
      </w:pPr>
    </w:p>
    <w:p>
      <w:pPr>
        <w:ind w:left="660" w:right="5060"/>
        <w:spacing w:after="0" w:line="469" w:lineRule="auto"/>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A</w:t>
      </w:r>
      <w:r>
        <w:rPr>
          <w:rFonts w:ascii="Arial" w:cs="Arial" w:eastAsia="Arial" w:hAnsi="Arial"/>
          <w:sz w:val="12"/>
          <w:szCs w:val="12"/>
          <w:b w:val="1"/>
          <w:bCs w:val="1"/>
          <w:color w:val="auto"/>
        </w:rPr>
        <w:t>FFIRIS</w:t>
      </w:r>
      <w:r>
        <w:rPr>
          <w:rFonts w:ascii="Arial" w:cs="Arial" w:eastAsia="Arial" w:hAnsi="Arial"/>
          <w:sz w:val="18"/>
          <w:szCs w:val="18"/>
          <w:color w:val="auto"/>
        </w:rPr>
        <w:t xml:space="preserve"> </w:t>
      </w:r>
      <w:r>
        <w:rPr>
          <w:rFonts w:ascii="Arial" w:cs="Arial" w:eastAsia="Arial" w:hAnsi="Arial"/>
          <w:sz w:val="18"/>
          <w:szCs w:val="18"/>
          <w:b w:val="1"/>
          <w:bCs w:val="1"/>
          <w:color w:val="auto"/>
        </w:rPr>
        <w:t>P</w:t>
      </w:r>
      <w:r>
        <w:rPr>
          <w:rFonts w:ascii="Arial" w:cs="Arial" w:eastAsia="Arial" w:hAnsi="Arial"/>
          <w:sz w:val="12"/>
          <w:szCs w:val="12"/>
          <w:b w:val="1"/>
          <w:bCs w:val="1"/>
          <w:color w:val="auto"/>
        </w:rPr>
        <w:t>ROGRAMS</w:t>
      </w:r>
      <w:r>
        <w:rPr>
          <w:rFonts w:ascii="Arial" w:cs="Arial" w:eastAsia="Arial" w:hAnsi="Arial"/>
          <w:sz w:val="18"/>
          <w:szCs w:val="18"/>
          <w:color w:val="auto"/>
        </w:rPr>
        <w:t>" has the meaning given to this term in S</w:t>
      </w:r>
      <w:r>
        <w:rPr>
          <w:rFonts w:ascii="Arial" w:cs="Arial" w:eastAsia="Arial" w:hAnsi="Arial"/>
          <w:sz w:val="12"/>
          <w:szCs w:val="12"/>
          <w:color w:val="auto"/>
        </w:rPr>
        <w:t>ECTION</w:t>
      </w:r>
      <w:r>
        <w:rPr>
          <w:rFonts w:ascii="Arial" w:cs="Arial" w:eastAsia="Arial" w:hAnsi="Arial"/>
          <w:sz w:val="18"/>
          <w:szCs w:val="18"/>
          <w:color w:val="auto"/>
        </w:rPr>
        <w:t xml:space="preserve"> 14.3. "</w:t>
      </w:r>
      <w:r>
        <w:rPr>
          <w:rFonts w:ascii="Arial" w:cs="Arial" w:eastAsia="Arial" w:hAnsi="Arial"/>
          <w:sz w:val="18"/>
          <w:szCs w:val="18"/>
          <w:b w:val="1"/>
          <w:bCs w:val="1"/>
          <w:color w:val="auto"/>
        </w:rPr>
        <w:t>A</w:t>
      </w:r>
      <w:r>
        <w:rPr>
          <w:rFonts w:ascii="Arial" w:cs="Arial" w:eastAsia="Arial" w:hAnsi="Arial"/>
          <w:sz w:val="12"/>
          <w:szCs w:val="12"/>
          <w:b w:val="1"/>
          <w:bCs w:val="1"/>
          <w:color w:val="auto"/>
        </w:rPr>
        <w:t>FFIRIS</w:t>
      </w:r>
      <w:r>
        <w:rPr>
          <w:rFonts w:ascii="Arial" w:cs="Arial" w:eastAsia="Arial" w:hAnsi="Arial"/>
          <w:sz w:val="18"/>
          <w:szCs w:val="18"/>
          <w:color w:val="auto"/>
        </w:rPr>
        <w:t xml:space="preserve"> </w:t>
      </w:r>
      <w:r>
        <w:rPr>
          <w:rFonts w:ascii="Arial" w:cs="Arial" w:eastAsia="Arial" w:hAnsi="Arial"/>
          <w:sz w:val="18"/>
          <w:szCs w:val="18"/>
          <w:b w:val="1"/>
          <w:bCs w:val="1"/>
          <w:color w:val="auto"/>
        </w:rPr>
        <w:t>S</w:t>
      </w:r>
      <w:r>
        <w:rPr>
          <w:rFonts w:ascii="Arial" w:cs="Arial" w:eastAsia="Arial" w:hAnsi="Arial"/>
          <w:sz w:val="12"/>
          <w:szCs w:val="12"/>
          <w:b w:val="1"/>
          <w:bCs w:val="1"/>
          <w:color w:val="auto"/>
        </w:rPr>
        <w:t>HAREHOLDERS</w:t>
      </w:r>
      <w:r>
        <w:rPr>
          <w:rFonts w:ascii="Arial" w:cs="Arial" w:eastAsia="Arial" w:hAnsi="Arial"/>
          <w:sz w:val="18"/>
          <w:szCs w:val="18"/>
          <w:color w:val="auto"/>
        </w:rPr>
        <w:t>" has the meaning given to it in Recital E).</w:t>
      </w:r>
    </w:p>
    <w:p>
      <w:pPr>
        <w:spacing w:after="0" w:line="1" w:lineRule="exact"/>
        <w:rPr>
          <w:rFonts w:ascii="Arial" w:cs="Arial" w:eastAsia="Arial" w:hAnsi="Arial"/>
          <w:sz w:val="18"/>
          <w:szCs w:val="18"/>
          <w:b w:val="1"/>
          <w:bCs w:val="1"/>
          <w:color w:val="auto"/>
        </w:rPr>
      </w:pPr>
    </w:p>
    <w:p>
      <w:pPr>
        <w:ind w:left="660" w:right="2940"/>
        <w:spacing w:after="0" w:line="469" w:lineRule="auto"/>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A</w:t>
      </w:r>
      <w:r>
        <w:rPr>
          <w:rFonts w:ascii="Arial" w:cs="Arial" w:eastAsia="Arial" w:hAnsi="Arial"/>
          <w:sz w:val="12"/>
          <w:szCs w:val="12"/>
          <w:b w:val="1"/>
          <w:bCs w:val="1"/>
          <w:color w:val="auto"/>
        </w:rPr>
        <w:t>GREEMENT</w:t>
      </w:r>
      <w:r>
        <w:rPr>
          <w:rFonts w:ascii="Arial" w:cs="Arial" w:eastAsia="Arial" w:hAnsi="Arial"/>
          <w:sz w:val="18"/>
          <w:szCs w:val="18"/>
          <w:color w:val="auto"/>
        </w:rPr>
        <w:t>" means this asset transfer and contribution in kind agreement (including its A</w:t>
      </w:r>
      <w:r>
        <w:rPr>
          <w:rFonts w:ascii="Arial" w:cs="Arial" w:eastAsia="Arial" w:hAnsi="Arial"/>
          <w:sz w:val="12"/>
          <w:szCs w:val="12"/>
          <w:color w:val="auto"/>
        </w:rPr>
        <w:t>NNEXES</w:t>
      </w:r>
      <w:r>
        <w:rPr>
          <w:rFonts w:ascii="Arial" w:cs="Arial" w:eastAsia="Arial" w:hAnsi="Arial"/>
          <w:sz w:val="18"/>
          <w:szCs w:val="18"/>
          <w:color w:val="auto"/>
        </w:rPr>
        <w:t>). "</w:t>
      </w:r>
      <w:r>
        <w:rPr>
          <w:rFonts w:ascii="Arial" w:cs="Arial" w:eastAsia="Arial" w:hAnsi="Arial"/>
          <w:sz w:val="18"/>
          <w:szCs w:val="18"/>
          <w:b w:val="1"/>
          <w:bCs w:val="1"/>
          <w:color w:val="auto"/>
        </w:rPr>
        <w:t>A</w:t>
      </w:r>
      <w:r>
        <w:rPr>
          <w:rFonts w:ascii="Arial" w:cs="Arial" w:eastAsia="Arial" w:hAnsi="Arial"/>
          <w:sz w:val="12"/>
          <w:szCs w:val="12"/>
          <w:b w:val="1"/>
          <w:bCs w:val="1"/>
          <w:color w:val="auto"/>
        </w:rPr>
        <w:t>NNEX</w:t>
      </w:r>
      <w:r>
        <w:rPr>
          <w:rFonts w:ascii="Arial" w:cs="Arial" w:eastAsia="Arial" w:hAnsi="Arial"/>
          <w:sz w:val="18"/>
          <w:szCs w:val="18"/>
          <w:color w:val="auto"/>
        </w:rPr>
        <w:t>" means an Annex to this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1" w:lineRule="exact"/>
        <w:rPr>
          <w:rFonts w:ascii="Arial" w:cs="Arial" w:eastAsia="Arial" w:hAnsi="Arial"/>
          <w:sz w:val="18"/>
          <w:szCs w:val="18"/>
          <w:b w:val="1"/>
          <w:bCs w:val="1"/>
          <w:color w:val="auto"/>
        </w:rPr>
      </w:pPr>
    </w:p>
    <w:p>
      <w:pPr>
        <w:ind w:left="66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A</w:t>
      </w:r>
      <w:r>
        <w:rPr>
          <w:rFonts w:ascii="Arial" w:cs="Arial" w:eastAsia="Arial" w:hAnsi="Arial"/>
          <w:sz w:val="12"/>
          <w:szCs w:val="12"/>
          <w:b w:val="1"/>
          <w:bCs w:val="1"/>
          <w:color w:val="auto"/>
        </w:rPr>
        <w:t>NTIBODY</w:t>
      </w:r>
      <w:r>
        <w:rPr>
          <w:rFonts w:ascii="Arial" w:cs="Arial" w:eastAsia="Arial" w:hAnsi="Arial"/>
          <w:sz w:val="18"/>
          <w:szCs w:val="18"/>
          <w:color w:val="auto"/>
        </w:rPr>
        <w:t>" means any antibody protein, including variants, modifications, fragments or derivatives thereof, including vectorized antibodies, that binds to and interacts with or modulates T</w:t>
      </w:r>
      <w:r>
        <w:rPr>
          <w:rFonts w:ascii="Arial" w:cs="Arial" w:eastAsia="Arial" w:hAnsi="Arial"/>
          <w:sz w:val="12"/>
          <w:szCs w:val="12"/>
          <w:color w:val="auto"/>
        </w:rPr>
        <w:t>ARGETS</w:t>
      </w:r>
      <w:r>
        <w:rPr>
          <w:rFonts w:ascii="Arial" w:cs="Arial" w:eastAsia="Arial" w:hAnsi="Arial"/>
          <w:sz w:val="18"/>
          <w:szCs w:val="18"/>
          <w:color w:val="auto"/>
        </w:rPr>
        <w:t xml:space="preserve"> or variants, modifications, derivatives or fragments of T</w:t>
      </w:r>
      <w:r>
        <w:rPr>
          <w:rFonts w:ascii="Arial" w:cs="Arial" w:eastAsia="Arial" w:hAnsi="Arial"/>
          <w:sz w:val="12"/>
          <w:szCs w:val="12"/>
          <w:color w:val="auto"/>
        </w:rPr>
        <w:t>ARGETS</w:t>
      </w:r>
      <w:r>
        <w:rPr>
          <w:rFonts w:ascii="Arial" w:cs="Arial" w:eastAsia="Arial" w:hAnsi="Arial"/>
          <w:sz w:val="18"/>
          <w:szCs w:val="18"/>
          <w:color w:val="auto"/>
        </w:rPr>
        <w:t>.</w:t>
      </w:r>
    </w:p>
    <w:p>
      <w:pPr>
        <w:spacing w:after="0" w:line="140" w:lineRule="exact"/>
        <w:rPr>
          <w:rFonts w:ascii="Arial" w:cs="Arial" w:eastAsia="Arial" w:hAnsi="Arial"/>
          <w:sz w:val="18"/>
          <w:szCs w:val="18"/>
          <w:b w:val="1"/>
          <w:bCs w:val="1"/>
          <w:color w:val="auto"/>
        </w:rPr>
      </w:pPr>
    </w:p>
    <w:p>
      <w:pPr>
        <w:ind w:left="66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B</w:t>
      </w:r>
      <w:r>
        <w:rPr>
          <w:rFonts w:ascii="Arial" w:cs="Arial" w:eastAsia="Arial" w:hAnsi="Arial"/>
          <w:sz w:val="12"/>
          <w:szCs w:val="12"/>
          <w:b w:val="1"/>
          <w:bCs w:val="1"/>
          <w:color w:val="auto"/>
        </w:rPr>
        <w:t>USINESS</w:t>
      </w:r>
      <w:r>
        <w:rPr>
          <w:rFonts w:ascii="Arial" w:cs="Arial" w:eastAsia="Arial" w:hAnsi="Arial"/>
          <w:sz w:val="18"/>
          <w:szCs w:val="18"/>
          <w:color w:val="auto"/>
        </w:rPr>
        <w:t xml:space="preserve"> </w:t>
      </w:r>
      <w:r>
        <w:rPr>
          <w:rFonts w:ascii="Arial" w:cs="Arial" w:eastAsia="Arial" w:hAnsi="Arial"/>
          <w:sz w:val="18"/>
          <w:szCs w:val="18"/>
          <w:b w:val="1"/>
          <w:bCs w:val="1"/>
          <w:color w:val="auto"/>
        </w:rPr>
        <w:t>D</w:t>
      </w:r>
      <w:r>
        <w:rPr>
          <w:rFonts w:ascii="Arial" w:cs="Arial" w:eastAsia="Arial" w:hAnsi="Arial"/>
          <w:sz w:val="12"/>
          <w:szCs w:val="12"/>
          <w:b w:val="1"/>
          <w:bCs w:val="1"/>
          <w:color w:val="auto"/>
        </w:rPr>
        <w:t>AY</w:t>
      </w:r>
      <w:r>
        <w:rPr>
          <w:rFonts w:ascii="Arial" w:cs="Arial" w:eastAsia="Arial" w:hAnsi="Arial"/>
          <w:sz w:val="18"/>
          <w:szCs w:val="18"/>
          <w:color w:val="auto"/>
        </w:rPr>
        <w:t>" means any day (other than a Saturday or Sunday) on which banks are open for general business in Lausanne and Vienna.</w:t>
      </w:r>
    </w:p>
    <w:p>
      <w:pPr>
        <w:spacing w:after="0" w:line="140" w:lineRule="exact"/>
        <w:rPr>
          <w:rFonts w:ascii="Arial" w:cs="Arial" w:eastAsia="Arial" w:hAnsi="Arial"/>
          <w:sz w:val="18"/>
          <w:szCs w:val="18"/>
          <w:b w:val="1"/>
          <w:bCs w:val="1"/>
          <w:color w:val="auto"/>
        </w:rPr>
      </w:pPr>
    </w:p>
    <w:p>
      <w:pPr>
        <w:ind w:left="660" w:right="5940"/>
        <w:spacing w:after="0" w:line="497" w:lineRule="auto"/>
        <w:rPr>
          <w:rFonts w:ascii="Arial" w:cs="Arial" w:eastAsia="Arial" w:hAnsi="Arial"/>
          <w:sz w:val="18"/>
          <w:szCs w:val="18"/>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C</w:t>
      </w:r>
      <w:r>
        <w:rPr>
          <w:rFonts w:ascii="Arial" w:cs="Arial" w:eastAsia="Arial" w:hAnsi="Arial"/>
          <w:sz w:val="11"/>
          <w:szCs w:val="11"/>
          <w:b w:val="1"/>
          <w:bCs w:val="1"/>
          <w:color w:val="auto"/>
        </w:rPr>
        <w:t>ASH</w:t>
      </w:r>
      <w:r>
        <w:rPr>
          <w:rFonts w:ascii="Arial" w:cs="Arial" w:eastAsia="Arial" w:hAnsi="Arial"/>
          <w:sz w:val="17"/>
          <w:szCs w:val="17"/>
          <w:color w:val="auto"/>
        </w:rPr>
        <w:t>" has the meaning given to this term in S</w:t>
      </w:r>
      <w:r>
        <w:rPr>
          <w:rFonts w:ascii="Arial" w:cs="Arial" w:eastAsia="Arial" w:hAnsi="Arial"/>
          <w:sz w:val="11"/>
          <w:szCs w:val="11"/>
          <w:color w:val="auto"/>
        </w:rPr>
        <w:t>ECTION</w:t>
      </w:r>
      <w:r>
        <w:rPr>
          <w:rFonts w:ascii="Arial" w:cs="Arial" w:eastAsia="Arial" w:hAnsi="Arial"/>
          <w:sz w:val="17"/>
          <w:szCs w:val="17"/>
          <w:color w:val="auto"/>
        </w:rPr>
        <w:t xml:space="preserve"> 3.1. "</w:t>
      </w:r>
      <w:r>
        <w:rPr>
          <w:rFonts w:ascii="Arial" w:cs="Arial" w:eastAsia="Arial" w:hAnsi="Arial"/>
          <w:sz w:val="17"/>
          <w:szCs w:val="17"/>
          <w:b w:val="1"/>
          <w:bCs w:val="1"/>
          <w:color w:val="auto"/>
        </w:rPr>
        <w:t>C</w:t>
      </w:r>
      <w:r>
        <w:rPr>
          <w:rFonts w:ascii="Arial" w:cs="Arial" w:eastAsia="Arial" w:hAnsi="Arial"/>
          <w:sz w:val="11"/>
          <w:szCs w:val="11"/>
          <w:b w:val="1"/>
          <w:bCs w:val="1"/>
          <w:color w:val="auto"/>
        </w:rPr>
        <w:t>AP</w:t>
      </w:r>
      <w:r>
        <w:rPr>
          <w:rFonts w:ascii="Arial" w:cs="Arial" w:eastAsia="Arial" w:hAnsi="Arial"/>
          <w:sz w:val="17"/>
          <w:szCs w:val="17"/>
          <w:color w:val="auto"/>
        </w:rPr>
        <w:t>" has the meaning given to this term in S</w:t>
      </w:r>
      <w:r>
        <w:rPr>
          <w:rFonts w:ascii="Arial" w:cs="Arial" w:eastAsia="Arial" w:hAnsi="Arial"/>
          <w:sz w:val="11"/>
          <w:szCs w:val="11"/>
          <w:color w:val="auto"/>
        </w:rPr>
        <w:t>ECTION</w:t>
      </w:r>
      <w:r>
        <w:rPr>
          <w:rFonts w:ascii="Arial" w:cs="Arial" w:eastAsia="Arial" w:hAnsi="Arial"/>
          <w:sz w:val="17"/>
          <w:szCs w:val="17"/>
          <w:color w:val="auto"/>
        </w:rPr>
        <w:t xml:space="preserve"> 12.4.2.</w:t>
      </w:r>
    </w:p>
    <w:p>
      <w:pPr>
        <w:ind w:left="660" w:right="3660"/>
        <w:spacing w:after="0" w:line="469" w:lineRule="auto"/>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C</w:t>
      </w:r>
      <w:r>
        <w:rPr>
          <w:rFonts w:ascii="Arial" w:cs="Arial" w:eastAsia="Arial" w:hAnsi="Arial"/>
          <w:sz w:val="12"/>
          <w:szCs w:val="12"/>
          <w:b w:val="1"/>
          <w:bCs w:val="1"/>
          <w:color w:val="auto"/>
        </w:rPr>
        <w:t>LOSING</w:t>
      </w:r>
      <w:r>
        <w:rPr>
          <w:rFonts w:ascii="Arial" w:cs="Arial" w:eastAsia="Arial" w:hAnsi="Arial"/>
          <w:sz w:val="18"/>
          <w:szCs w:val="18"/>
          <w:color w:val="auto"/>
        </w:rPr>
        <w:t>" means the consummation of the T</w:t>
      </w:r>
      <w:r>
        <w:rPr>
          <w:rFonts w:ascii="Arial" w:cs="Arial" w:eastAsia="Arial" w:hAnsi="Arial"/>
          <w:sz w:val="12"/>
          <w:szCs w:val="12"/>
          <w:color w:val="auto"/>
        </w:rPr>
        <w:t>RANSFER</w:t>
      </w:r>
      <w:r>
        <w:rPr>
          <w:rFonts w:ascii="Arial" w:cs="Arial" w:eastAsia="Arial" w:hAnsi="Arial"/>
          <w:sz w:val="18"/>
          <w:szCs w:val="18"/>
          <w:color w:val="auto"/>
        </w:rPr>
        <w:t>, as further described in S</w:t>
      </w:r>
      <w:r>
        <w:rPr>
          <w:rFonts w:ascii="Arial" w:cs="Arial" w:eastAsia="Arial" w:hAnsi="Arial"/>
          <w:sz w:val="12"/>
          <w:szCs w:val="12"/>
          <w:color w:val="auto"/>
        </w:rPr>
        <w:t>ECTION</w:t>
      </w:r>
      <w:r>
        <w:rPr>
          <w:rFonts w:ascii="Arial" w:cs="Arial" w:eastAsia="Arial" w:hAnsi="Arial"/>
          <w:sz w:val="18"/>
          <w:szCs w:val="18"/>
          <w:color w:val="auto"/>
        </w:rPr>
        <w:t xml:space="preserve"> 8. "</w:t>
      </w:r>
      <w:r>
        <w:rPr>
          <w:rFonts w:ascii="Arial" w:cs="Arial" w:eastAsia="Arial" w:hAnsi="Arial"/>
          <w:sz w:val="18"/>
          <w:szCs w:val="18"/>
          <w:b w:val="1"/>
          <w:bCs w:val="1"/>
          <w:color w:val="auto"/>
        </w:rPr>
        <w:t>C</w:t>
      </w:r>
      <w:r>
        <w:rPr>
          <w:rFonts w:ascii="Arial" w:cs="Arial" w:eastAsia="Arial" w:hAnsi="Arial"/>
          <w:sz w:val="12"/>
          <w:szCs w:val="12"/>
          <w:b w:val="1"/>
          <w:bCs w:val="1"/>
          <w:color w:val="auto"/>
        </w:rPr>
        <w:t>LOSING</w:t>
      </w:r>
      <w:r>
        <w:rPr>
          <w:rFonts w:ascii="Arial" w:cs="Arial" w:eastAsia="Arial" w:hAnsi="Arial"/>
          <w:sz w:val="18"/>
          <w:szCs w:val="18"/>
          <w:color w:val="auto"/>
        </w:rPr>
        <w:t xml:space="preserve"> </w:t>
      </w:r>
      <w:r>
        <w:rPr>
          <w:rFonts w:ascii="Arial" w:cs="Arial" w:eastAsia="Arial" w:hAnsi="Arial"/>
          <w:sz w:val="18"/>
          <w:szCs w:val="18"/>
          <w:b w:val="1"/>
          <w:bCs w:val="1"/>
          <w:color w:val="auto"/>
        </w:rPr>
        <w:t>D</w:t>
      </w:r>
      <w:r>
        <w:rPr>
          <w:rFonts w:ascii="Arial" w:cs="Arial" w:eastAsia="Arial" w:hAnsi="Arial"/>
          <w:sz w:val="12"/>
          <w:szCs w:val="12"/>
          <w:b w:val="1"/>
          <w:bCs w:val="1"/>
          <w:color w:val="auto"/>
        </w:rPr>
        <w:t>ATE</w:t>
      </w:r>
      <w:r>
        <w:rPr>
          <w:rFonts w:ascii="Arial" w:cs="Arial" w:eastAsia="Arial" w:hAnsi="Arial"/>
          <w:sz w:val="18"/>
          <w:szCs w:val="18"/>
          <w:color w:val="auto"/>
        </w:rPr>
        <w:t>" means the date on which the P</w:t>
      </w:r>
      <w:r>
        <w:rPr>
          <w:rFonts w:ascii="Arial" w:cs="Arial" w:eastAsia="Arial" w:hAnsi="Arial"/>
          <w:sz w:val="12"/>
          <w:szCs w:val="12"/>
          <w:color w:val="auto"/>
        </w:rPr>
        <w:t>ARTIES</w:t>
      </w:r>
      <w:r>
        <w:rPr>
          <w:rFonts w:ascii="Arial" w:cs="Arial" w:eastAsia="Arial" w:hAnsi="Arial"/>
          <w:sz w:val="18"/>
          <w:szCs w:val="18"/>
          <w:color w:val="auto"/>
        </w:rPr>
        <w:t xml:space="preserve"> actually consummate the T</w:t>
      </w:r>
      <w:r>
        <w:rPr>
          <w:rFonts w:ascii="Arial" w:cs="Arial" w:eastAsia="Arial" w:hAnsi="Arial"/>
          <w:sz w:val="12"/>
          <w:szCs w:val="12"/>
          <w:color w:val="auto"/>
        </w:rPr>
        <w:t>RANSFER</w:t>
      </w:r>
      <w:r>
        <w:rPr>
          <w:rFonts w:ascii="Arial" w:cs="Arial" w:eastAsia="Arial" w:hAnsi="Arial"/>
          <w:sz w:val="18"/>
          <w:szCs w:val="18"/>
          <w:color w:val="auto"/>
        </w:rPr>
        <w:t>. "</w:t>
      </w:r>
      <w:r>
        <w:rPr>
          <w:rFonts w:ascii="Arial" w:cs="Arial" w:eastAsia="Arial" w:hAnsi="Arial"/>
          <w:sz w:val="18"/>
          <w:szCs w:val="18"/>
          <w:b w:val="1"/>
          <w:bCs w:val="1"/>
          <w:color w:val="auto"/>
        </w:rPr>
        <w:t>C</w:t>
      </w:r>
      <w:r>
        <w:rPr>
          <w:rFonts w:ascii="Arial" w:cs="Arial" w:eastAsia="Arial" w:hAnsi="Arial"/>
          <w:sz w:val="12"/>
          <w:szCs w:val="12"/>
          <w:b w:val="1"/>
          <w:bCs w:val="1"/>
          <w:color w:val="auto"/>
        </w:rPr>
        <w:t>LOSING</w:t>
      </w:r>
      <w:r>
        <w:rPr>
          <w:rFonts w:ascii="Arial" w:cs="Arial" w:eastAsia="Arial" w:hAnsi="Arial"/>
          <w:sz w:val="18"/>
          <w:szCs w:val="18"/>
          <w:color w:val="auto"/>
        </w:rPr>
        <w:t xml:space="preserve"> </w:t>
      </w:r>
      <w:r>
        <w:rPr>
          <w:rFonts w:ascii="Arial" w:cs="Arial" w:eastAsia="Arial" w:hAnsi="Arial"/>
          <w:sz w:val="18"/>
          <w:szCs w:val="18"/>
          <w:b w:val="1"/>
          <w:bCs w:val="1"/>
          <w:color w:val="auto"/>
        </w:rPr>
        <w:t>M</w:t>
      </w:r>
      <w:r>
        <w:rPr>
          <w:rFonts w:ascii="Arial" w:cs="Arial" w:eastAsia="Arial" w:hAnsi="Arial"/>
          <w:sz w:val="12"/>
          <w:szCs w:val="12"/>
          <w:b w:val="1"/>
          <w:bCs w:val="1"/>
          <w:color w:val="auto"/>
        </w:rPr>
        <w:t>EMORANDUM</w:t>
      </w:r>
      <w:r>
        <w:rPr>
          <w:rFonts w:ascii="Arial" w:cs="Arial" w:eastAsia="Arial" w:hAnsi="Arial"/>
          <w:sz w:val="18"/>
          <w:szCs w:val="18"/>
          <w:color w:val="auto"/>
        </w:rPr>
        <w:t>" has the meaning given to this term in S</w:t>
      </w:r>
      <w:r>
        <w:rPr>
          <w:rFonts w:ascii="Arial" w:cs="Arial" w:eastAsia="Arial" w:hAnsi="Arial"/>
          <w:sz w:val="12"/>
          <w:szCs w:val="12"/>
          <w:color w:val="auto"/>
        </w:rPr>
        <w:t>ECTION</w:t>
      </w:r>
      <w:r>
        <w:rPr>
          <w:rFonts w:ascii="Arial" w:cs="Arial" w:eastAsia="Arial" w:hAnsi="Arial"/>
          <w:sz w:val="18"/>
          <w:szCs w:val="18"/>
          <w:color w:val="auto"/>
        </w:rPr>
        <w:t xml:space="preserve"> 8.3.</w:t>
      </w:r>
    </w:p>
    <w:p>
      <w:pPr>
        <w:spacing w:after="0" w:line="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CO</w:t>
      </w:r>
      <w:r>
        <w:rPr>
          <w:rFonts w:ascii="Arial" w:cs="Arial" w:eastAsia="Arial" w:hAnsi="Arial"/>
          <w:sz w:val="18"/>
          <w:szCs w:val="18"/>
          <w:color w:val="auto"/>
        </w:rPr>
        <w:t>" means the Swiss Code of Obligations dated 30 March 1911, as amended from time to time (SR 220).</w:t>
      </w:r>
    </w:p>
    <w:p>
      <w:pPr>
        <w:spacing w:after="0" w:line="19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C</w:t>
      </w:r>
      <w:r>
        <w:rPr>
          <w:rFonts w:ascii="Arial" w:cs="Arial" w:eastAsia="Arial" w:hAnsi="Arial"/>
          <w:sz w:val="12"/>
          <w:szCs w:val="12"/>
          <w:b w:val="1"/>
          <w:bCs w:val="1"/>
          <w:color w:val="auto"/>
        </w:rPr>
        <w:t>OMPOSITIONS</w:t>
      </w:r>
      <w:r>
        <w:rPr>
          <w:rFonts w:ascii="Arial" w:cs="Arial" w:eastAsia="Arial" w:hAnsi="Arial"/>
          <w:sz w:val="18"/>
          <w:szCs w:val="18"/>
          <w:color w:val="auto"/>
        </w:rPr>
        <w:t>" means the compositions of vaccines developed or used in the P</w:t>
      </w:r>
      <w:r>
        <w:rPr>
          <w:rFonts w:ascii="Arial" w:cs="Arial" w:eastAsia="Arial" w:hAnsi="Arial"/>
          <w:sz w:val="12"/>
          <w:szCs w:val="12"/>
          <w:color w:val="auto"/>
        </w:rPr>
        <w:t>ROGRAMS</w:t>
      </w:r>
      <w:r>
        <w:rPr>
          <w:rFonts w:ascii="Arial" w:cs="Arial" w:eastAsia="Arial" w:hAnsi="Arial"/>
          <w:sz w:val="18"/>
          <w:szCs w:val="18"/>
          <w:color w:val="auto"/>
        </w:rPr>
        <w:t xml:space="preserve"> as more specifically described in Section 2 of</w:t>
      </w:r>
    </w:p>
    <w:p>
      <w:pPr>
        <w:spacing w:after="0" w:line="1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w:t>
      </w:r>
      <w:r>
        <w:rPr>
          <w:rFonts w:ascii="Arial" w:cs="Arial" w:eastAsia="Arial" w:hAnsi="Arial"/>
          <w:sz w:val="12"/>
          <w:szCs w:val="12"/>
          <w:color w:val="auto"/>
        </w:rPr>
        <w:t>NNEX</w:t>
      </w:r>
      <w:r>
        <w:rPr>
          <w:rFonts w:ascii="Arial" w:cs="Arial" w:eastAsia="Arial" w:hAnsi="Arial"/>
          <w:sz w:val="18"/>
          <w:szCs w:val="18"/>
          <w:color w:val="auto"/>
        </w:rPr>
        <w:t xml:space="preserve"> 2.</w:t>
      </w:r>
    </w:p>
    <w:p>
      <w:pPr>
        <w:spacing w:after="0" w:line="30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9" w:name="page10"/>
    <w:bookmarkEnd w:id="9"/>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w:t>
      </w:r>
      <w:r>
        <w:rPr>
          <w:rFonts w:ascii="Arial" w:cs="Arial" w:eastAsia="Arial" w:hAnsi="Arial"/>
          <w:sz w:val="12"/>
          <w:szCs w:val="12"/>
          <w:b w:val="1"/>
          <w:bCs w:val="1"/>
          <w:color w:val="auto"/>
        </w:rPr>
        <w:t>ONDITIONS</w:t>
      </w:r>
      <w:r>
        <w:rPr>
          <w:rFonts w:ascii="Arial" w:cs="Arial" w:eastAsia="Arial" w:hAnsi="Arial"/>
          <w:sz w:val="18"/>
          <w:szCs w:val="18"/>
          <w:color w:val="auto"/>
        </w:rPr>
        <w:t xml:space="preserve"> </w:t>
      </w:r>
      <w:r>
        <w:rPr>
          <w:rFonts w:ascii="Arial" w:cs="Arial" w:eastAsia="Arial" w:hAnsi="Arial"/>
          <w:sz w:val="18"/>
          <w:szCs w:val="18"/>
          <w:b w:val="1"/>
          <w:bCs w:val="1"/>
          <w:color w:val="auto"/>
        </w:rPr>
        <w:t>P</w:t>
      </w:r>
      <w:r>
        <w:rPr>
          <w:rFonts w:ascii="Arial" w:cs="Arial" w:eastAsia="Arial" w:hAnsi="Arial"/>
          <w:sz w:val="12"/>
          <w:szCs w:val="12"/>
          <w:b w:val="1"/>
          <w:bCs w:val="1"/>
          <w:color w:val="auto"/>
        </w:rPr>
        <w:t>RECEDENT</w:t>
      </w:r>
      <w:r>
        <w:rPr>
          <w:rFonts w:ascii="Arial" w:cs="Arial" w:eastAsia="Arial" w:hAnsi="Arial"/>
          <w:sz w:val="18"/>
          <w:szCs w:val="18"/>
          <w:color w:val="auto"/>
        </w:rPr>
        <w:t>" has the meaning given to this term in S</w:t>
      </w:r>
      <w:r>
        <w:rPr>
          <w:rFonts w:ascii="Arial" w:cs="Arial" w:eastAsia="Arial" w:hAnsi="Arial"/>
          <w:sz w:val="12"/>
          <w:szCs w:val="12"/>
          <w:color w:val="auto"/>
        </w:rPr>
        <w:t>ECTION</w:t>
      </w:r>
      <w:r>
        <w:rPr>
          <w:rFonts w:ascii="Arial" w:cs="Arial" w:eastAsia="Arial" w:hAnsi="Arial"/>
          <w:sz w:val="18"/>
          <w:szCs w:val="18"/>
          <w:color w:val="auto"/>
        </w:rPr>
        <w:t xml:space="preserve"> 7.1.</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w:t>
      </w:r>
      <w:r>
        <w:rPr>
          <w:rFonts w:ascii="Arial" w:cs="Arial" w:eastAsia="Arial" w:hAnsi="Arial"/>
          <w:sz w:val="12"/>
          <w:szCs w:val="12"/>
          <w:b w:val="1"/>
          <w:bCs w:val="1"/>
          <w:color w:val="auto"/>
        </w:rPr>
        <w:t>ONFIDENTIAL</w:t>
      </w:r>
      <w:r>
        <w:rPr>
          <w:rFonts w:ascii="Arial" w:cs="Arial" w:eastAsia="Arial" w:hAnsi="Arial"/>
          <w:sz w:val="18"/>
          <w:szCs w:val="18"/>
          <w:color w:val="auto"/>
        </w:rPr>
        <w:t xml:space="preserve"> </w:t>
      </w:r>
      <w:r>
        <w:rPr>
          <w:rFonts w:ascii="Arial" w:cs="Arial" w:eastAsia="Arial" w:hAnsi="Arial"/>
          <w:sz w:val="18"/>
          <w:szCs w:val="18"/>
          <w:b w:val="1"/>
          <w:bCs w:val="1"/>
          <w:color w:val="auto"/>
        </w:rPr>
        <w:t>I</w:t>
      </w:r>
      <w:r>
        <w:rPr>
          <w:rFonts w:ascii="Arial" w:cs="Arial" w:eastAsia="Arial" w:hAnsi="Arial"/>
          <w:sz w:val="12"/>
          <w:szCs w:val="12"/>
          <w:b w:val="1"/>
          <w:bCs w:val="1"/>
          <w:color w:val="auto"/>
        </w:rPr>
        <w:t>NFORMATION</w:t>
      </w:r>
      <w:r>
        <w:rPr>
          <w:rFonts w:ascii="Arial" w:cs="Arial" w:eastAsia="Arial" w:hAnsi="Arial"/>
          <w:sz w:val="18"/>
          <w:szCs w:val="18"/>
          <w:color w:val="auto"/>
        </w:rPr>
        <w:t>" has the meaning given to this term in S</w:t>
      </w:r>
      <w:r>
        <w:rPr>
          <w:rFonts w:ascii="Arial" w:cs="Arial" w:eastAsia="Arial" w:hAnsi="Arial"/>
          <w:sz w:val="12"/>
          <w:szCs w:val="12"/>
          <w:color w:val="auto"/>
        </w:rPr>
        <w:t>ECTION</w:t>
      </w:r>
      <w:r>
        <w:rPr>
          <w:rFonts w:ascii="Arial" w:cs="Arial" w:eastAsia="Arial" w:hAnsi="Arial"/>
          <w:sz w:val="18"/>
          <w:szCs w:val="18"/>
          <w:color w:val="auto"/>
        </w:rPr>
        <w:t xml:space="preserve"> 8.5.3.</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w:t>
      </w:r>
      <w:r>
        <w:rPr>
          <w:rFonts w:ascii="Arial" w:cs="Arial" w:eastAsia="Arial" w:hAnsi="Arial"/>
          <w:sz w:val="12"/>
          <w:szCs w:val="12"/>
          <w:b w:val="1"/>
          <w:bCs w:val="1"/>
          <w:color w:val="auto"/>
        </w:rPr>
        <w:t>OPYRIGHT</w:t>
      </w:r>
      <w:r>
        <w:rPr>
          <w:rFonts w:ascii="Arial" w:cs="Arial" w:eastAsia="Arial" w:hAnsi="Arial"/>
          <w:sz w:val="18"/>
          <w:szCs w:val="18"/>
          <w:color w:val="auto"/>
        </w:rPr>
        <w:t>" means any works of authorship, copyrights, database rights and registrations and applications thereof.</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w:t>
      </w:r>
      <w:r>
        <w:rPr>
          <w:rFonts w:ascii="Arial" w:cs="Arial" w:eastAsia="Arial" w:hAnsi="Arial"/>
          <w:sz w:val="12"/>
          <w:szCs w:val="12"/>
          <w:b w:val="1"/>
          <w:bCs w:val="1"/>
          <w:color w:val="auto"/>
        </w:rPr>
        <w:t>E</w:t>
      </w:r>
      <w:r>
        <w:rPr>
          <w:rFonts w:ascii="Arial" w:cs="Arial" w:eastAsia="Arial" w:hAnsi="Arial"/>
          <w:sz w:val="18"/>
          <w:szCs w:val="18"/>
          <w:color w:val="auto"/>
        </w:rPr>
        <w:t xml:space="preserve"> </w:t>
      </w:r>
      <w:r>
        <w:rPr>
          <w:rFonts w:ascii="Arial" w:cs="Arial" w:eastAsia="Arial" w:hAnsi="Arial"/>
          <w:sz w:val="18"/>
          <w:szCs w:val="18"/>
          <w:b w:val="1"/>
          <w:bCs w:val="1"/>
          <w:color w:val="auto"/>
        </w:rPr>
        <w:t>M</w:t>
      </w:r>
      <w:r>
        <w:rPr>
          <w:rFonts w:ascii="Arial" w:cs="Arial" w:eastAsia="Arial" w:hAnsi="Arial"/>
          <w:sz w:val="12"/>
          <w:szCs w:val="12"/>
          <w:b w:val="1"/>
          <w:bCs w:val="1"/>
          <w:color w:val="auto"/>
        </w:rPr>
        <w:t>INIMIS</w:t>
      </w:r>
      <w:r>
        <w:rPr>
          <w:rFonts w:ascii="Arial" w:cs="Arial" w:eastAsia="Arial" w:hAnsi="Arial"/>
          <w:sz w:val="18"/>
          <w:szCs w:val="18"/>
          <w:color w:val="auto"/>
        </w:rPr>
        <w:t>" has the meaning given to this term in S</w:t>
      </w:r>
      <w:r>
        <w:rPr>
          <w:rFonts w:ascii="Arial" w:cs="Arial" w:eastAsia="Arial" w:hAnsi="Arial"/>
          <w:sz w:val="12"/>
          <w:szCs w:val="12"/>
          <w:color w:val="auto"/>
        </w:rPr>
        <w:t>ECTION</w:t>
      </w:r>
      <w:r>
        <w:rPr>
          <w:rFonts w:ascii="Arial" w:cs="Arial" w:eastAsia="Arial" w:hAnsi="Arial"/>
          <w:sz w:val="18"/>
          <w:szCs w:val="18"/>
          <w:color w:val="auto"/>
        </w:rPr>
        <w:t xml:space="preserve"> 12.4.1.</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w:t>
      </w:r>
      <w:r>
        <w:rPr>
          <w:rFonts w:ascii="Arial" w:cs="Arial" w:eastAsia="Arial" w:hAnsi="Arial"/>
          <w:sz w:val="12"/>
          <w:szCs w:val="12"/>
          <w:b w:val="1"/>
          <w:bCs w:val="1"/>
          <w:color w:val="auto"/>
        </w:rPr>
        <w:t>FFECTIVE</w:t>
      </w:r>
      <w:r>
        <w:rPr>
          <w:rFonts w:ascii="Arial" w:cs="Arial" w:eastAsia="Arial" w:hAnsi="Arial"/>
          <w:sz w:val="18"/>
          <w:szCs w:val="18"/>
          <w:color w:val="auto"/>
        </w:rPr>
        <w:t xml:space="preserve"> </w:t>
      </w:r>
      <w:r>
        <w:rPr>
          <w:rFonts w:ascii="Arial" w:cs="Arial" w:eastAsia="Arial" w:hAnsi="Arial"/>
          <w:sz w:val="18"/>
          <w:szCs w:val="18"/>
          <w:b w:val="1"/>
          <w:bCs w:val="1"/>
          <w:color w:val="auto"/>
        </w:rPr>
        <w:t>D</w:t>
      </w:r>
      <w:r>
        <w:rPr>
          <w:rFonts w:ascii="Arial" w:cs="Arial" w:eastAsia="Arial" w:hAnsi="Arial"/>
          <w:sz w:val="12"/>
          <w:szCs w:val="12"/>
          <w:b w:val="1"/>
          <w:bCs w:val="1"/>
          <w:color w:val="auto"/>
        </w:rPr>
        <w:t>ATE</w:t>
      </w:r>
      <w:r>
        <w:rPr>
          <w:rFonts w:ascii="Arial" w:cs="Arial" w:eastAsia="Arial" w:hAnsi="Arial"/>
          <w:sz w:val="18"/>
          <w:szCs w:val="18"/>
          <w:color w:val="auto"/>
        </w:rPr>
        <w:t>" means the date on the title page of this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198" w:lineRule="exact"/>
        <w:rPr>
          <w:sz w:val="20"/>
          <w:szCs w:val="20"/>
          <w:color w:val="auto"/>
        </w:rPr>
      </w:pPr>
    </w:p>
    <w:p>
      <w:pPr>
        <w:jc w:val="both"/>
        <w:ind w:left="4"/>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w:t>
      </w:r>
      <w:r>
        <w:rPr>
          <w:rFonts w:ascii="Arial" w:cs="Arial" w:eastAsia="Arial" w:hAnsi="Arial"/>
          <w:sz w:val="12"/>
          <w:szCs w:val="12"/>
          <w:b w:val="1"/>
          <w:bCs w:val="1"/>
          <w:color w:val="auto"/>
        </w:rPr>
        <w:t>AIRLY</w:t>
      </w:r>
      <w:r>
        <w:rPr>
          <w:rFonts w:ascii="Arial" w:cs="Arial" w:eastAsia="Arial" w:hAnsi="Arial"/>
          <w:sz w:val="18"/>
          <w:szCs w:val="18"/>
          <w:color w:val="auto"/>
        </w:rPr>
        <w:t xml:space="preserve"> </w:t>
      </w:r>
      <w:r>
        <w:rPr>
          <w:rFonts w:ascii="Arial" w:cs="Arial" w:eastAsia="Arial" w:hAnsi="Arial"/>
          <w:sz w:val="18"/>
          <w:szCs w:val="18"/>
          <w:b w:val="1"/>
          <w:bCs w:val="1"/>
          <w:color w:val="auto"/>
        </w:rPr>
        <w:t>D</w:t>
      </w:r>
      <w:r>
        <w:rPr>
          <w:rFonts w:ascii="Arial" w:cs="Arial" w:eastAsia="Arial" w:hAnsi="Arial"/>
          <w:sz w:val="12"/>
          <w:szCs w:val="12"/>
          <w:b w:val="1"/>
          <w:bCs w:val="1"/>
          <w:color w:val="auto"/>
        </w:rPr>
        <w:t>ISCLOSED</w:t>
      </w:r>
      <w:r>
        <w:rPr>
          <w:rFonts w:ascii="Arial" w:cs="Arial" w:eastAsia="Arial" w:hAnsi="Arial"/>
          <w:sz w:val="18"/>
          <w:szCs w:val="18"/>
          <w:b w:val="1"/>
          <w:bCs w:val="1"/>
          <w:color w:val="auto"/>
        </w:rPr>
        <w:t>"</w:t>
      </w:r>
      <w:r>
        <w:rPr>
          <w:rFonts w:ascii="Arial" w:cs="Arial" w:eastAsia="Arial" w:hAnsi="Arial"/>
          <w:sz w:val="18"/>
          <w:szCs w:val="18"/>
          <w:color w:val="auto"/>
        </w:rPr>
        <w:t xml:space="preserve"> means a matter being disclosed in a fair and non-misleading way that it is readily discernible, without performing factual or additional inquires (but considering the Q&amp;A process in the virtual data room provided by Brainloop that was part of the due diligence by ACIU), by a prudent buyer who is familiar with the business of A</w:t>
      </w:r>
      <w:r>
        <w:rPr>
          <w:rFonts w:ascii="Arial" w:cs="Arial" w:eastAsia="Arial" w:hAnsi="Arial"/>
          <w:sz w:val="12"/>
          <w:szCs w:val="12"/>
          <w:color w:val="auto"/>
        </w:rPr>
        <w:t>FFIRIS</w:t>
      </w:r>
      <w:r>
        <w:rPr>
          <w:rFonts w:ascii="Arial" w:cs="Arial" w:eastAsia="Arial" w:hAnsi="Arial"/>
          <w:sz w:val="18"/>
          <w:szCs w:val="18"/>
          <w:color w:val="auto"/>
        </w:rPr>
        <w:t xml:space="preserve"> or such buyer's legal, financial, tax, technical or other professional advisers usually hired for the evaluation of transactions, assets and companies of the type as contemplated under this A</w:t>
      </w:r>
      <w:r>
        <w:rPr>
          <w:rFonts w:ascii="Arial" w:cs="Arial" w:eastAsia="Arial" w:hAnsi="Arial"/>
          <w:sz w:val="12"/>
          <w:szCs w:val="12"/>
          <w:color w:val="auto"/>
        </w:rPr>
        <w:t>GREEMENT</w:t>
      </w:r>
      <w:r>
        <w:rPr>
          <w:rFonts w:ascii="Arial" w:cs="Arial" w:eastAsia="Arial" w:hAnsi="Arial"/>
          <w:sz w:val="18"/>
          <w:szCs w:val="18"/>
          <w:color w:val="auto"/>
        </w:rPr>
        <w:t xml:space="preserve"> and who are familiar with the business of A</w:t>
      </w:r>
      <w:r>
        <w:rPr>
          <w:rFonts w:ascii="Arial" w:cs="Arial" w:eastAsia="Arial" w:hAnsi="Arial"/>
          <w:sz w:val="12"/>
          <w:szCs w:val="12"/>
          <w:color w:val="auto"/>
        </w:rPr>
        <w:t>FFIRIS</w:t>
      </w:r>
      <w:r>
        <w:rPr>
          <w:rFonts w:ascii="Arial" w:cs="Arial" w:eastAsia="Arial" w:hAnsi="Arial"/>
          <w:sz w:val="18"/>
          <w:szCs w:val="18"/>
          <w:color w:val="auto"/>
        </w:rPr>
        <w:t>. The concept of fair disclosure as defined herein shall supersede article 200 CO.</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w:t>
      </w:r>
      <w:r>
        <w:rPr>
          <w:rFonts w:ascii="Arial" w:cs="Arial" w:eastAsia="Arial" w:hAnsi="Arial"/>
          <w:sz w:val="12"/>
          <w:szCs w:val="12"/>
          <w:b w:val="1"/>
          <w:bCs w:val="1"/>
          <w:color w:val="auto"/>
        </w:rPr>
        <w:t>NDEMNIFIED</w:t>
      </w:r>
      <w:r>
        <w:rPr>
          <w:rFonts w:ascii="Arial" w:cs="Arial" w:eastAsia="Arial" w:hAnsi="Arial"/>
          <w:sz w:val="18"/>
          <w:szCs w:val="18"/>
          <w:color w:val="auto"/>
        </w:rPr>
        <w:t xml:space="preserve"> </w:t>
      </w:r>
      <w:r>
        <w:rPr>
          <w:rFonts w:ascii="Arial" w:cs="Arial" w:eastAsia="Arial" w:hAnsi="Arial"/>
          <w:sz w:val="18"/>
          <w:szCs w:val="18"/>
          <w:b w:val="1"/>
          <w:bCs w:val="1"/>
          <w:color w:val="auto"/>
        </w:rPr>
        <w:t>P</w:t>
      </w:r>
      <w:r>
        <w:rPr>
          <w:rFonts w:ascii="Arial" w:cs="Arial" w:eastAsia="Arial" w:hAnsi="Arial"/>
          <w:sz w:val="12"/>
          <w:szCs w:val="12"/>
          <w:b w:val="1"/>
          <w:bCs w:val="1"/>
          <w:color w:val="auto"/>
        </w:rPr>
        <w:t>ARTY</w:t>
      </w:r>
      <w:r>
        <w:rPr>
          <w:rFonts w:ascii="Arial" w:cs="Arial" w:eastAsia="Arial" w:hAnsi="Arial"/>
          <w:sz w:val="18"/>
          <w:szCs w:val="18"/>
          <w:color w:val="auto"/>
        </w:rPr>
        <w:t>" has the meaning given to that term in S</w:t>
      </w:r>
      <w:r>
        <w:rPr>
          <w:rFonts w:ascii="Arial" w:cs="Arial" w:eastAsia="Arial" w:hAnsi="Arial"/>
          <w:sz w:val="12"/>
          <w:szCs w:val="12"/>
          <w:color w:val="auto"/>
        </w:rPr>
        <w:t>ECTION</w:t>
      </w:r>
      <w:r>
        <w:rPr>
          <w:rFonts w:ascii="Arial" w:cs="Arial" w:eastAsia="Arial" w:hAnsi="Arial"/>
          <w:sz w:val="18"/>
          <w:szCs w:val="18"/>
          <w:color w:val="auto"/>
        </w:rPr>
        <w:t xml:space="preserve"> 15.</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w:t>
      </w:r>
      <w:r>
        <w:rPr>
          <w:rFonts w:ascii="Arial" w:cs="Arial" w:eastAsia="Arial" w:hAnsi="Arial"/>
          <w:sz w:val="12"/>
          <w:szCs w:val="12"/>
          <w:b w:val="1"/>
          <w:bCs w:val="1"/>
          <w:color w:val="auto"/>
        </w:rPr>
        <w:t>NTELLECTUAL</w:t>
      </w:r>
      <w:r>
        <w:rPr>
          <w:rFonts w:ascii="Arial" w:cs="Arial" w:eastAsia="Arial" w:hAnsi="Arial"/>
          <w:sz w:val="18"/>
          <w:szCs w:val="18"/>
          <w:color w:val="auto"/>
        </w:rPr>
        <w:t xml:space="preserve"> </w:t>
      </w:r>
      <w:r>
        <w:rPr>
          <w:rFonts w:ascii="Arial" w:cs="Arial" w:eastAsia="Arial" w:hAnsi="Arial"/>
          <w:sz w:val="18"/>
          <w:szCs w:val="18"/>
          <w:b w:val="1"/>
          <w:bCs w:val="1"/>
          <w:color w:val="auto"/>
        </w:rPr>
        <w:t>P</w:t>
      </w:r>
      <w:r>
        <w:rPr>
          <w:rFonts w:ascii="Arial" w:cs="Arial" w:eastAsia="Arial" w:hAnsi="Arial"/>
          <w:sz w:val="12"/>
          <w:szCs w:val="12"/>
          <w:b w:val="1"/>
          <w:bCs w:val="1"/>
          <w:color w:val="auto"/>
        </w:rPr>
        <w:t>ROPERTY</w:t>
      </w:r>
      <w:r>
        <w:rPr>
          <w:rFonts w:ascii="Arial" w:cs="Arial" w:eastAsia="Arial" w:hAnsi="Arial"/>
          <w:sz w:val="18"/>
          <w:szCs w:val="18"/>
          <w:color w:val="auto"/>
        </w:rPr>
        <w:t xml:space="preserve"> </w:t>
      </w:r>
      <w:r>
        <w:rPr>
          <w:rFonts w:ascii="Arial" w:cs="Arial" w:eastAsia="Arial" w:hAnsi="Arial"/>
          <w:sz w:val="18"/>
          <w:szCs w:val="18"/>
          <w:b w:val="1"/>
          <w:bCs w:val="1"/>
          <w:color w:val="auto"/>
        </w:rPr>
        <w:t>R</w:t>
      </w:r>
      <w:r>
        <w:rPr>
          <w:rFonts w:ascii="Arial" w:cs="Arial" w:eastAsia="Arial" w:hAnsi="Arial"/>
          <w:sz w:val="12"/>
          <w:szCs w:val="12"/>
          <w:b w:val="1"/>
          <w:bCs w:val="1"/>
          <w:color w:val="auto"/>
        </w:rPr>
        <w:t>IGHTS</w:t>
      </w:r>
      <w:r>
        <w:rPr>
          <w:rFonts w:ascii="Arial" w:cs="Arial" w:eastAsia="Arial" w:hAnsi="Arial"/>
          <w:sz w:val="18"/>
          <w:szCs w:val="18"/>
          <w:color w:val="auto"/>
        </w:rPr>
        <w:t>" means all (i) S</w:t>
      </w:r>
      <w:r>
        <w:rPr>
          <w:rFonts w:ascii="Arial" w:cs="Arial" w:eastAsia="Arial" w:hAnsi="Arial"/>
          <w:sz w:val="12"/>
          <w:szCs w:val="12"/>
          <w:color w:val="auto"/>
        </w:rPr>
        <w:t>EQUENCES</w:t>
      </w:r>
      <w:r>
        <w:rPr>
          <w:rFonts w:ascii="Arial" w:cs="Arial" w:eastAsia="Arial" w:hAnsi="Arial"/>
          <w:sz w:val="18"/>
          <w:szCs w:val="18"/>
          <w:color w:val="auto"/>
        </w:rPr>
        <w:t>; (ii) C</w:t>
      </w:r>
      <w:r>
        <w:rPr>
          <w:rFonts w:ascii="Arial" w:cs="Arial" w:eastAsia="Arial" w:hAnsi="Arial"/>
          <w:sz w:val="12"/>
          <w:szCs w:val="12"/>
          <w:color w:val="auto"/>
        </w:rPr>
        <w:t>OMPOSITIONS</w:t>
      </w:r>
      <w:r>
        <w:rPr>
          <w:rFonts w:ascii="Arial" w:cs="Arial" w:eastAsia="Arial" w:hAnsi="Arial"/>
          <w:sz w:val="18"/>
          <w:szCs w:val="18"/>
          <w:color w:val="auto"/>
        </w:rPr>
        <w:t>; (iii) A</w:t>
      </w:r>
      <w:r>
        <w:rPr>
          <w:rFonts w:ascii="Arial" w:cs="Arial" w:eastAsia="Arial" w:hAnsi="Arial"/>
          <w:sz w:val="12"/>
          <w:szCs w:val="12"/>
          <w:color w:val="auto"/>
        </w:rPr>
        <w:t>NTIBODIES</w:t>
      </w:r>
      <w:r>
        <w:rPr>
          <w:rFonts w:ascii="Arial" w:cs="Arial" w:eastAsia="Arial" w:hAnsi="Arial"/>
          <w:sz w:val="18"/>
          <w:szCs w:val="18"/>
          <w:color w:val="auto"/>
        </w:rPr>
        <w:t>; (iv) P</w:t>
      </w:r>
      <w:r>
        <w:rPr>
          <w:rFonts w:ascii="Arial" w:cs="Arial" w:eastAsia="Arial" w:hAnsi="Arial"/>
          <w:sz w:val="12"/>
          <w:szCs w:val="12"/>
          <w:color w:val="auto"/>
        </w:rPr>
        <w:t>ATENTS</w:t>
      </w:r>
      <w:r>
        <w:rPr>
          <w:rFonts w:ascii="Arial" w:cs="Arial" w:eastAsia="Arial" w:hAnsi="Arial"/>
          <w:sz w:val="18"/>
          <w:szCs w:val="18"/>
          <w:color w:val="auto"/>
        </w:rPr>
        <w:t>; (v) K</w:t>
      </w:r>
      <w:r>
        <w:rPr>
          <w:rFonts w:ascii="Arial" w:cs="Arial" w:eastAsia="Arial" w:hAnsi="Arial"/>
          <w:sz w:val="12"/>
          <w:szCs w:val="12"/>
          <w:color w:val="auto"/>
        </w:rPr>
        <w:t>NOW</w:t>
      </w:r>
      <w:r>
        <w:rPr>
          <w:rFonts w:ascii="Arial" w:cs="Arial" w:eastAsia="Arial" w:hAnsi="Arial"/>
          <w:sz w:val="18"/>
          <w:szCs w:val="18"/>
          <w:color w:val="auto"/>
        </w:rPr>
        <w:t>-</w:t>
      </w:r>
      <w:r>
        <w:rPr>
          <w:rFonts w:ascii="Arial" w:cs="Arial" w:eastAsia="Arial" w:hAnsi="Arial"/>
          <w:sz w:val="12"/>
          <w:szCs w:val="12"/>
          <w:color w:val="auto"/>
        </w:rPr>
        <w:t>HOW</w:t>
      </w:r>
      <w:r>
        <w:rPr>
          <w:rFonts w:ascii="Arial" w:cs="Arial" w:eastAsia="Arial" w:hAnsi="Arial"/>
          <w:sz w:val="18"/>
          <w:szCs w:val="18"/>
          <w:color w:val="auto"/>
        </w:rPr>
        <w:t>; (vi) C</w:t>
      </w:r>
      <w:r>
        <w:rPr>
          <w:rFonts w:ascii="Arial" w:cs="Arial" w:eastAsia="Arial" w:hAnsi="Arial"/>
          <w:sz w:val="12"/>
          <w:szCs w:val="12"/>
          <w:color w:val="auto"/>
        </w:rPr>
        <w:t>OPYRIGHTS</w:t>
      </w:r>
      <w:r>
        <w:rPr>
          <w:rFonts w:ascii="Arial" w:cs="Arial" w:eastAsia="Arial" w:hAnsi="Arial"/>
          <w:sz w:val="18"/>
          <w:szCs w:val="18"/>
          <w:color w:val="auto"/>
        </w:rPr>
        <w:t xml:space="preserve"> and</w:t>
      </w:r>
    </w:p>
    <w:p>
      <w:pPr>
        <w:spacing w:after="0" w:line="18" w:lineRule="exact"/>
        <w:rPr>
          <w:sz w:val="20"/>
          <w:szCs w:val="20"/>
          <w:color w:val="auto"/>
        </w:rPr>
      </w:pPr>
    </w:p>
    <w:p>
      <w:pPr>
        <w:ind w:left="344" w:hanging="344"/>
        <w:spacing w:after="0"/>
        <w:tabs>
          <w:tab w:leader="none" w:pos="344" w:val="left"/>
        </w:tabs>
        <w:numPr>
          <w:ilvl w:val="0"/>
          <w:numId w:val="4"/>
        </w:numPr>
        <w:rPr>
          <w:rFonts w:ascii="Arial" w:cs="Arial" w:eastAsia="Arial" w:hAnsi="Arial"/>
          <w:sz w:val="18"/>
          <w:szCs w:val="18"/>
          <w:color w:val="auto"/>
        </w:rPr>
      </w:pPr>
      <w:r>
        <w:rPr>
          <w:rFonts w:ascii="Arial" w:cs="Arial" w:eastAsia="Arial" w:hAnsi="Arial"/>
          <w:sz w:val="18"/>
          <w:szCs w:val="18"/>
          <w:color w:val="auto"/>
        </w:rPr>
        <w:t>T</w:t>
      </w:r>
      <w:r>
        <w:rPr>
          <w:rFonts w:ascii="Arial" w:cs="Arial" w:eastAsia="Arial" w:hAnsi="Arial"/>
          <w:sz w:val="12"/>
          <w:szCs w:val="12"/>
          <w:color w:val="auto"/>
        </w:rPr>
        <w:t>RADEMARKS</w:t>
      </w:r>
      <w:r>
        <w:rPr>
          <w:rFonts w:ascii="Arial" w:cs="Arial" w:eastAsia="Arial" w:hAnsi="Arial"/>
          <w:sz w:val="18"/>
          <w:szCs w:val="18"/>
          <w:color w:val="auto"/>
        </w:rPr>
        <w:t>.</w:t>
      </w:r>
    </w:p>
    <w:p>
      <w:pPr>
        <w:spacing w:after="0" w:line="176" w:lineRule="exact"/>
        <w:rPr>
          <w:sz w:val="20"/>
          <w:szCs w:val="20"/>
          <w:color w:val="auto"/>
        </w:rPr>
      </w:pPr>
    </w:p>
    <w:p>
      <w:pPr>
        <w:jc w:val="both"/>
        <w:ind w:left="4"/>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w:t>
      </w:r>
      <w:r>
        <w:rPr>
          <w:rFonts w:ascii="Arial" w:cs="Arial" w:eastAsia="Arial" w:hAnsi="Arial"/>
          <w:sz w:val="12"/>
          <w:szCs w:val="12"/>
          <w:b w:val="1"/>
          <w:bCs w:val="1"/>
          <w:color w:val="auto"/>
        </w:rPr>
        <w:t>NOW</w:t>
      </w:r>
      <w:r>
        <w:rPr>
          <w:rFonts w:ascii="Arial" w:cs="Arial" w:eastAsia="Arial" w:hAnsi="Arial"/>
          <w:sz w:val="18"/>
          <w:szCs w:val="18"/>
          <w:b w:val="1"/>
          <w:bCs w:val="1"/>
          <w:color w:val="auto"/>
        </w:rPr>
        <w:t>-H</w:t>
      </w:r>
      <w:r>
        <w:rPr>
          <w:rFonts w:ascii="Arial" w:cs="Arial" w:eastAsia="Arial" w:hAnsi="Arial"/>
          <w:sz w:val="12"/>
          <w:szCs w:val="12"/>
          <w:b w:val="1"/>
          <w:bCs w:val="1"/>
          <w:color w:val="auto"/>
        </w:rPr>
        <w:t>OW</w:t>
      </w:r>
      <w:r>
        <w:rPr>
          <w:rFonts w:ascii="Arial" w:cs="Arial" w:eastAsia="Arial" w:hAnsi="Arial"/>
          <w:sz w:val="18"/>
          <w:szCs w:val="18"/>
          <w:color w:val="auto"/>
        </w:rPr>
        <w:t>" means all existing and available technical information, know-how and data, including inventions (whether patentable or not), discoveries, trade secrets, specifications, instructions, processes and formulae, including all biological chemical and, pharmacological, biochemical, toxicological, pharmaceutical, physical, safety, quality control, preclinical and clinical data.</w:t>
      </w:r>
    </w:p>
    <w:p>
      <w:pPr>
        <w:spacing w:after="0" w:line="15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w:t>
      </w:r>
      <w:r>
        <w:rPr>
          <w:rFonts w:ascii="Arial" w:cs="Arial" w:eastAsia="Arial" w:hAnsi="Arial"/>
          <w:sz w:val="12"/>
          <w:szCs w:val="12"/>
          <w:b w:val="1"/>
          <w:bCs w:val="1"/>
          <w:color w:val="auto"/>
        </w:rPr>
        <w:t>ICENSE</w:t>
      </w:r>
      <w:r>
        <w:rPr>
          <w:rFonts w:ascii="Arial" w:cs="Arial" w:eastAsia="Arial" w:hAnsi="Arial"/>
          <w:sz w:val="18"/>
          <w:szCs w:val="18"/>
          <w:b w:val="1"/>
          <w:bCs w:val="1"/>
          <w:color w:val="auto"/>
        </w:rPr>
        <w:t>-B</w:t>
      </w:r>
      <w:r>
        <w:rPr>
          <w:rFonts w:ascii="Arial" w:cs="Arial" w:eastAsia="Arial" w:hAnsi="Arial"/>
          <w:sz w:val="12"/>
          <w:szCs w:val="12"/>
          <w:b w:val="1"/>
          <w:bCs w:val="1"/>
          <w:color w:val="auto"/>
        </w:rPr>
        <w:t>ACK</w:t>
      </w:r>
      <w:r>
        <w:rPr>
          <w:rFonts w:ascii="Arial" w:cs="Arial" w:eastAsia="Arial" w:hAnsi="Arial"/>
          <w:sz w:val="18"/>
          <w:szCs w:val="18"/>
          <w:color w:val="auto"/>
        </w:rPr>
        <w:t>" has the meaning given to that term in S</w:t>
      </w:r>
      <w:r>
        <w:rPr>
          <w:rFonts w:ascii="Arial" w:cs="Arial" w:eastAsia="Arial" w:hAnsi="Arial"/>
          <w:sz w:val="12"/>
          <w:szCs w:val="12"/>
          <w:color w:val="auto"/>
        </w:rPr>
        <w:t>ECTION</w:t>
      </w:r>
      <w:r>
        <w:rPr>
          <w:rFonts w:ascii="Arial" w:cs="Arial" w:eastAsia="Arial" w:hAnsi="Arial"/>
          <w:sz w:val="18"/>
          <w:szCs w:val="18"/>
          <w:color w:val="auto"/>
        </w:rPr>
        <w:t xml:space="preserve"> 14.3.</w:t>
      </w:r>
    </w:p>
    <w:p>
      <w:pPr>
        <w:spacing w:after="0" w:line="198" w:lineRule="exact"/>
        <w:rPr>
          <w:sz w:val="20"/>
          <w:szCs w:val="20"/>
          <w:color w:val="auto"/>
        </w:rPr>
      </w:pPr>
    </w:p>
    <w:p>
      <w:pPr>
        <w:jc w:val="both"/>
        <w:ind w:left="4"/>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w:t>
      </w:r>
      <w:r>
        <w:rPr>
          <w:rFonts w:ascii="Arial" w:cs="Arial" w:eastAsia="Arial" w:hAnsi="Arial"/>
          <w:sz w:val="12"/>
          <w:szCs w:val="12"/>
          <w:b w:val="1"/>
          <w:bCs w:val="1"/>
          <w:color w:val="auto"/>
        </w:rPr>
        <w:t>IEN</w:t>
      </w:r>
      <w:r>
        <w:rPr>
          <w:rFonts w:ascii="Arial" w:cs="Arial" w:eastAsia="Arial" w:hAnsi="Arial"/>
          <w:sz w:val="18"/>
          <w:szCs w:val="18"/>
          <w:color w:val="auto"/>
        </w:rPr>
        <w:t>" means any lien, encumbrance, security interest, retention right, usufruct, servitude, right of first refusal or pre-emption, right in rem or similar, irrespective of whether such lien arises under any agreement, other instrument, the mere operation law or by means of a judgment or decree and shall also mean any approval or consent required from a third party to the exercise or full vesting of a right or title.</w:t>
      </w:r>
    </w:p>
    <w:p>
      <w:pPr>
        <w:spacing w:after="0" w:line="16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w:t>
      </w:r>
      <w:r>
        <w:rPr>
          <w:rFonts w:ascii="Arial" w:cs="Arial" w:eastAsia="Arial" w:hAnsi="Arial"/>
          <w:sz w:val="12"/>
          <w:szCs w:val="12"/>
          <w:b w:val="1"/>
          <w:bCs w:val="1"/>
          <w:color w:val="auto"/>
        </w:rPr>
        <w:t>ONG</w:t>
      </w:r>
      <w:r>
        <w:rPr>
          <w:rFonts w:ascii="Arial" w:cs="Arial" w:eastAsia="Arial" w:hAnsi="Arial"/>
          <w:sz w:val="18"/>
          <w:szCs w:val="18"/>
          <w:color w:val="auto"/>
        </w:rPr>
        <w:t xml:space="preserve"> </w:t>
      </w:r>
      <w:r>
        <w:rPr>
          <w:rFonts w:ascii="Arial" w:cs="Arial" w:eastAsia="Arial" w:hAnsi="Arial"/>
          <w:sz w:val="18"/>
          <w:szCs w:val="18"/>
          <w:b w:val="1"/>
          <w:bCs w:val="1"/>
          <w:color w:val="auto"/>
        </w:rPr>
        <w:t>S</w:t>
      </w:r>
      <w:r>
        <w:rPr>
          <w:rFonts w:ascii="Arial" w:cs="Arial" w:eastAsia="Arial" w:hAnsi="Arial"/>
          <w:sz w:val="12"/>
          <w:szCs w:val="12"/>
          <w:b w:val="1"/>
          <w:bCs w:val="1"/>
          <w:color w:val="auto"/>
        </w:rPr>
        <w:t>TOP</w:t>
      </w:r>
      <w:r>
        <w:rPr>
          <w:rFonts w:ascii="Arial" w:cs="Arial" w:eastAsia="Arial" w:hAnsi="Arial"/>
          <w:sz w:val="18"/>
          <w:szCs w:val="18"/>
          <w:color w:val="auto"/>
        </w:rPr>
        <w:t xml:space="preserve"> </w:t>
      </w:r>
      <w:r>
        <w:rPr>
          <w:rFonts w:ascii="Arial" w:cs="Arial" w:eastAsia="Arial" w:hAnsi="Arial"/>
          <w:sz w:val="18"/>
          <w:szCs w:val="18"/>
          <w:b w:val="1"/>
          <w:bCs w:val="1"/>
          <w:color w:val="auto"/>
        </w:rPr>
        <w:t>D</w:t>
      </w:r>
      <w:r>
        <w:rPr>
          <w:rFonts w:ascii="Arial" w:cs="Arial" w:eastAsia="Arial" w:hAnsi="Arial"/>
          <w:sz w:val="12"/>
          <w:szCs w:val="12"/>
          <w:b w:val="1"/>
          <w:bCs w:val="1"/>
          <w:color w:val="auto"/>
        </w:rPr>
        <w:t>ATE</w:t>
      </w:r>
      <w:r>
        <w:rPr>
          <w:rFonts w:ascii="Arial" w:cs="Arial" w:eastAsia="Arial" w:hAnsi="Arial"/>
          <w:sz w:val="18"/>
          <w:szCs w:val="18"/>
          <w:color w:val="auto"/>
        </w:rPr>
        <w:t>" has the meaning given to that term in S</w:t>
      </w:r>
      <w:r>
        <w:rPr>
          <w:rFonts w:ascii="Arial" w:cs="Arial" w:eastAsia="Arial" w:hAnsi="Arial"/>
          <w:sz w:val="12"/>
          <w:szCs w:val="12"/>
          <w:color w:val="auto"/>
        </w:rPr>
        <w:t>ECTION</w:t>
      </w:r>
      <w:r>
        <w:rPr>
          <w:rFonts w:ascii="Arial" w:cs="Arial" w:eastAsia="Arial" w:hAnsi="Arial"/>
          <w:sz w:val="18"/>
          <w:szCs w:val="18"/>
          <w:color w:val="auto"/>
        </w:rPr>
        <w:t xml:space="preserve"> 8.4.</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w:t>
      </w:r>
      <w:r>
        <w:rPr>
          <w:rFonts w:ascii="Arial" w:cs="Arial" w:eastAsia="Arial" w:hAnsi="Arial"/>
          <w:sz w:val="12"/>
          <w:szCs w:val="12"/>
          <w:b w:val="1"/>
          <w:bCs w:val="1"/>
          <w:color w:val="auto"/>
        </w:rPr>
        <w:t>ECESSARY</w:t>
      </w:r>
      <w:r>
        <w:rPr>
          <w:rFonts w:ascii="Arial" w:cs="Arial" w:eastAsia="Arial" w:hAnsi="Arial"/>
          <w:sz w:val="18"/>
          <w:szCs w:val="18"/>
          <w:color w:val="auto"/>
        </w:rPr>
        <w:t xml:space="preserve"> </w:t>
      </w:r>
      <w:r>
        <w:rPr>
          <w:rFonts w:ascii="Arial" w:cs="Arial" w:eastAsia="Arial" w:hAnsi="Arial"/>
          <w:sz w:val="18"/>
          <w:szCs w:val="18"/>
          <w:b w:val="1"/>
          <w:bCs w:val="1"/>
          <w:color w:val="auto"/>
        </w:rPr>
        <w:t>V</w:t>
      </w:r>
      <w:r>
        <w:rPr>
          <w:rFonts w:ascii="Arial" w:cs="Arial" w:eastAsia="Arial" w:hAnsi="Arial"/>
          <w:sz w:val="12"/>
          <w:szCs w:val="12"/>
          <w:b w:val="1"/>
          <w:bCs w:val="1"/>
          <w:color w:val="auto"/>
        </w:rPr>
        <w:t>ENDORS</w:t>
      </w:r>
      <w:r>
        <w:rPr>
          <w:rFonts w:ascii="Arial" w:cs="Arial" w:eastAsia="Arial" w:hAnsi="Arial"/>
          <w:sz w:val="18"/>
          <w:szCs w:val="18"/>
          <w:color w:val="auto"/>
        </w:rPr>
        <w:t xml:space="preserve">" means those suppliers and service providers identified in </w:t>
      </w:r>
      <w:r>
        <w:rPr>
          <w:rFonts w:ascii="Arial" w:cs="Arial" w:eastAsia="Arial" w:hAnsi="Arial"/>
          <w:sz w:val="18"/>
          <w:szCs w:val="18"/>
          <w:u w:val="single" w:color="auto"/>
          <w:color w:val="auto"/>
        </w:rPr>
        <w:t>A</w:t>
      </w:r>
      <w:r>
        <w:rPr>
          <w:rFonts w:ascii="Arial" w:cs="Arial" w:eastAsia="Arial" w:hAnsi="Arial"/>
          <w:sz w:val="12"/>
          <w:szCs w:val="12"/>
          <w:u w:val="single" w:color="auto"/>
          <w:color w:val="auto"/>
        </w:rPr>
        <w:t>NNEX</w:t>
      </w:r>
      <w:r>
        <w:rPr>
          <w:rFonts w:ascii="Arial" w:cs="Arial" w:eastAsia="Arial" w:hAnsi="Arial"/>
          <w:sz w:val="18"/>
          <w:szCs w:val="18"/>
          <w:color w:val="auto"/>
        </w:rPr>
        <w:t xml:space="preserve"> </w:t>
      </w:r>
      <w:r>
        <w:rPr>
          <w:rFonts w:ascii="Arial" w:cs="Arial" w:eastAsia="Arial" w:hAnsi="Arial"/>
          <w:sz w:val="18"/>
          <w:szCs w:val="18"/>
          <w:u w:val="single" w:color="auto"/>
          <w:color w:val="auto"/>
        </w:rPr>
        <w:t>5</w:t>
      </w:r>
      <w:r>
        <w:rPr>
          <w:rFonts w:ascii="Arial" w:cs="Arial" w:eastAsia="Arial" w:hAnsi="Arial"/>
          <w:sz w:val="18"/>
          <w:szCs w:val="18"/>
          <w:color w:val="auto"/>
        </w:rPr>
        <w:t>.</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w:t>
      </w:r>
      <w:r>
        <w:rPr>
          <w:rFonts w:ascii="Arial" w:cs="Arial" w:eastAsia="Arial" w:hAnsi="Arial"/>
          <w:sz w:val="12"/>
          <w:szCs w:val="12"/>
          <w:b w:val="1"/>
          <w:bCs w:val="1"/>
          <w:color w:val="auto"/>
        </w:rPr>
        <w:t>OTICE OF</w:t>
      </w:r>
      <w:r>
        <w:rPr>
          <w:rFonts w:ascii="Arial" w:cs="Arial" w:eastAsia="Arial" w:hAnsi="Arial"/>
          <w:sz w:val="18"/>
          <w:szCs w:val="18"/>
          <w:color w:val="auto"/>
        </w:rPr>
        <w:t xml:space="preserve"> </w:t>
      </w:r>
      <w:r>
        <w:rPr>
          <w:rFonts w:ascii="Arial" w:cs="Arial" w:eastAsia="Arial" w:hAnsi="Arial"/>
          <w:sz w:val="18"/>
          <w:szCs w:val="18"/>
          <w:b w:val="1"/>
          <w:bCs w:val="1"/>
          <w:color w:val="auto"/>
        </w:rPr>
        <w:t>D</w:t>
      </w:r>
      <w:r>
        <w:rPr>
          <w:rFonts w:ascii="Arial" w:cs="Arial" w:eastAsia="Arial" w:hAnsi="Arial"/>
          <w:sz w:val="12"/>
          <w:szCs w:val="12"/>
          <w:b w:val="1"/>
          <w:bCs w:val="1"/>
          <w:color w:val="auto"/>
        </w:rPr>
        <w:t>EFENSE</w:t>
      </w:r>
      <w:r>
        <w:rPr>
          <w:rFonts w:ascii="Arial" w:cs="Arial" w:eastAsia="Arial" w:hAnsi="Arial"/>
          <w:sz w:val="18"/>
          <w:szCs w:val="18"/>
          <w:color w:val="auto"/>
        </w:rPr>
        <w:t>" has the meaning given to that term in S</w:t>
      </w:r>
      <w:r>
        <w:rPr>
          <w:rFonts w:ascii="Arial" w:cs="Arial" w:eastAsia="Arial" w:hAnsi="Arial"/>
          <w:sz w:val="12"/>
          <w:szCs w:val="12"/>
          <w:color w:val="auto"/>
        </w:rPr>
        <w:t>ECTION</w:t>
      </w:r>
      <w:r>
        <w:rPr>
          <w:rFonts w:ascii="Arial" w:cs="Arial" w:eastAsia="Arial" w:hAnsi="Arial"/>
          <w:sz w:val="18"/>
          <w:szCs w:val="18"/>
          <w:color w:val="auto"/>
        </w:rPr>
        <w:t xml:space="preserve"> 15.</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w:t>
      </w:r>
      <w:r>
        <w:rPr>
          <w:rFonts w:ascii="Arial" w:cs="Arial" w:eastAsia="Arial" w:hAnsi="Arial"/>
          <w:sz w:val="12"/>
          <w:szCs w:val="12"/>
          <w:b w:val="1"/>
          <w:bCs w:val="1"/>
          <w:color w:val="auto"/>
        </w:rPr>
        <w:t>ARTY</w:t>
      </w:r>
      <w:r>
        <w:rPr>
          <w:rFonts w:ascii="Arial" w:cs="Arial" w:eastAsia="Arial" w:hAnsi="Arial"/>
          <w:sz w:val="18"/>
          <w:szCs w:val="18"/>
          <w:color w:val="auto"/>
        </w:rPr>
        <w:t>"/"</w:t>
      </w:r>
      <w:r>
        <w:rPr>
          <w:rFonts w:ascii="Arial" w:cs="Arial" w:eastAsia="Arial" w:hAnsi="Arial"/>
          <w:sz w:val="18"/>
          <w:szCs w:val="18"/>
          <w:b w:val="1"/>
          <w:bCs w:val="1"/>
          <w:color w:val="auto"/>
        </w:rPr>
        <w:t>P</w:t>
      </w:r>
      <w:r>
        <w:rPr>
          <w:rFonts w:ascii="Arial" w:cs="Arial" w:eastAsia="Arial" w:hAnsi="Arial"/>
          <w:sz w:val="12"/>
          <w:szCs w:val="12"/>
          <w:b w:val="1"/>
          <w:bCs w:val="1"/>
          <w:color w:val="auto"/>
        </w:rPr>
        <w:t>ARTIES</w:t>
      </w:r>
      <w:r>
        <w:rPr>
          <w:rFonts w:ascii="Arial" w:cs="Arial" w:eastAsia="Arial" w:hAnsi="Arial"/>
          <w:sz w:val="18"/>
          <w:szCs w:val="18"/>
          <w:color w:val="auto"/>
        </w:rPr>
        <w:t>" means either of A</w:t>
      </w:r>
      <w:r>
        <w:rPr>
          <w:rFonts w:ascii="Arial" w:cs="Arial" w:eastAsia="Arial" w:hAnsi="Arial"/>
          <w:sz w:val="12"/>
          <w:szCs w:val="12"/>
          <w:color w:val="auto"/>
        </w:rPr>
        <w:t>FFIRIS</w:t>
      </w:r>
      <w:r>
        <w:rPr>
          <w:rFonts w:ascii="Arial" w:cs="Arial" w:eastAsia="Arial" w:hAnsi="Arial"/>
          <w:sz w:val="18"/>
          <w:szCs w:val="18"/>
          <w:color w:val="auto"/>
        </w:rPr>
        <w:t xml:space="preserve"> and ACIU (or both of them).</w:t>
      </w:r>
    </w:p>
    <w:p>
      <w:pPr>
        <w:spacing w:after="0" w:line="198" w:lineRule="exact"/>
        <w:rPr>
          <w:sz w:val="20"/>
          <w:szCs w:val="20"/>
          <w:color w:val="auto"/>
        </w:rPr>
      </w:pPr>
    </w:p>
    <w:p>
      <w:pPr>
        <w:jc w:val="both"/>
        <w:ind w:left="4"/>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w:t>
      </w:r>
      <w:r>
        <w:rPr>
          <w:rFonts w:ascii="Arial" w:cs="Arial" w:eastAsia="Arial" w:hAnsi="Arial"/>
          <w:sz w:val="12"/>
          <w:szCs w:val="12"/>
          <w:b w:val="1"/>
          <w:bCs w:val="1"/>
          <w:color w:val="auto"/>
        </w:rPr>
        <w:t>ATENT</w:t>
      </w:r>
      <w:r>
        <w:rPr>
          <w:rFonts w:ascii="Arial" w:cs="Arial" w:eastAsia="Arial" w:hAnsi="Arial"/>
          <w:sz w:val="18"/>
          <w:szCs w:val="18"/>
          <w:color w:val="auto"/>
        </w:rPr>
        <w:t>" means any patents, pending patent applications, patent disclosures, future patent applications, and any continuing, divisional, reissue, reexamination and substitute patents and applications based, in whole or in part, on any of the foregoing patents and patent applications, together with all continuations, continuations-in-part, divisions, patents of addition, reissues,</w:t>
      </w:r>
    </w:p>
    <w:p>
      <w:pPr>
        <w:spacing w:after="0" w:line="285"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-1905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535" w:right="339" w:bottom="1440" w:gutter="0" w:footer="0" w:header="0"/>
        </w:sectPr>
      </w:pPr>
    </w:p>
    <w:bookmarkStart w:id="10" w:name="page11"/>
    <w:bookmarkEnd w:id="10"/>
    <w:p>
      <w:pPr>
        <w:jc w:val="center"/>
        <w:ind w:right="120"/>
        <w:spacing w:after="0"/>
        <w:rPr>
          <w:sz w:val="20"/>
          <w:szCs w:val="20"/>
          <w:color w:val="auto"/>
        </w:rPr>
      </w:pPr>
      <w:r>
        <w:rPr>
          <w:rFonts w:ascii="Arial" w:cs="Arial" w:eastAsia="Arial" w:hAnsi="Arial"/>
          <w:sz w:val="18"/>
          <w:szCs w:val="18"/>
          <w:color w:val="auto"/>
        </w:rPr>
        <w:t>CERTAIN CONFIDENTIAL PORTIONS HAVE BEEN REDACTED FROM THIS EXHIBIT BECAUSE THEY ARE BOTH (i) NOT MATERIAL AND (ii) IS THE TYPE THAT THE COMPANY TREATS AS PRIVATE OR CONFIDENTIAL. INFORMATION THAT HAS BEEN OMITTED HAD BEEN IDENTIFIED IN THIS DOCUMENT WITH A PLACEHOLDER IDENTIFIED BY THE MARK “[*****]”.</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renewals, extensions, supplementary protection certificates and complementary protection certificates of any of the foregoing.</w:t>
      </w:r>
    </w:p>
    <w:p>
      <w:pPr>
        <w:spacing w:after="0" w:line="17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PCT A</w:t>
      </w:r>
      <w:r>
        <w:rPr>
          <w:rFonts w:ascii="Arial" w:cs="Arial" w:eastAsia="Arial" w:hAnsi="Arial"/>
          <w:sz w:val="12"/>
          <w:szCs w:val="12"/>
          <w:b w:val="1"/>
          <w:bCs w:val="1"/>
          <w:color w:val="auto"/>
        </w:rPr>
        <w:t>PPLICATION</w:t>
      </w:r>
      <w:r>
        <w:rPr>
          <w:rFonts w:ascii="Arial" w:cs="Arial" w:eastAsia="Arial" w:hAnsi="Arial"/>
          <w:sz w:val="18"/>
          <w:szCs w:val="18"/>
          <w:color w:val="auto"/>
        </w:rPr>
        <w:t>" has the meaning given to that term in S</w:t>
      </w:r>
      <w:r>
        <w:rPr>
          <w:rFonts w:ascii="Arial" w:cs="Arial" w:eastAsia="Arial" w:hAnsi="Arial"/>
          <w:sz w:val="12"/>
          <w:szCs w:val="12"/>
          <w:color w:val="auto"/>
        </w:rPr>
        <w:t>ECTION</w:t>
      </w:r>
      <w:r>
        <w:rPr>
          <w:rFonts w:ascii="Arial" w:cs="Arial" w:eastAsia="Arial" w:hAnsi="Arial"/>
          <w:sz w:val="18"/>
          <w:szCs w:val="18"/>
          <w:color w:val="auto"/>
        </w:rPr>
        <w:t xml:space="preserve"> 6.1.</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w:t>
      </w:r>
      <w:r>
        <w:rPr>
          <w:rFonts w:ascii="Arial" w:cs="Arial" w:eastAsia="Arial" w:hAnsi="Arial"/>
          <w:sz w:val="12"/>
          <w:szCs w:val="12"/>
          <w:b w:val="1"/>
          <w:bCs w:val="1"/>
          <w:color w:val="auto"/>
        </w:rPr>
        <w:t>ERMITS</w:t>
      </w:r>
      <w:r>
        <w:rPr>
          <w:rFonts w:ascii="Arial" w:cs="Arial" w:eastAsia="Arial" w:hAnsi="Arial"/>
          <w:sz w:val="18"/>
          <w:szCs w:val="18"/>
          <w:color w:val="auto"/>
        </w:rPr>
        <w:t>" has the meaning given to that term in S</w:t>
      </w:r>
      <w:r>
        <w:rPr>
          <w:rFonts w:ascii="Arial" w:cs="Arial" w:eastAsia="Arial" w:hAnsi="Arial"/>
          <w:sz w:val="12"/>
          <w:szCs w:val="12"/>
          <w:color w:val="auto"/>
        </w:rPr>
        <w:t>ECTION</w:t>
      </w:r>
      <w:r>
        <w:rPr>
          <w:rFonts w:ascii="Arial" w:cs="Arial" w:eastAsia="Arial" w:hAnsi="Arial"/>
          <w:sz w:val="18"/>
          <w:szCs w:val="18"/>
          <w:color w:val="auto"/>
        </w:rPr>
        <w:t xml:space="preserve"> 11.1.5.</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PIPE A</w:t>
      </w:r>
      <w:r>
        <w:rPr>
          <w:rFonts w:ascii="Arial" w:cs="Arial" w:eastAsia="Arial" w:hAnsi="Arial"/>
          <w:sz w:val="12"/>
          <w:szCs w:val="12"/>
          <w:b w:val="1"/>
          <w:bCs w:val="1"/>
          <w:color w:val="auto"/>
        </w:rPr>
        <w:t>GREEMENT</w:t>
      </w:r>
      <w:r>
        <w:rPr>
          <w:rFonts w:ascii="Arial" w:cs="Arial" w:eastAsia="Arial" w:hAnsi="Arial"/>
          <w:sz w:val="18"/>
          <w:szCs w:val="18"/>
          <w:color w:val="auto"/>
        </w:rPr>
        <w:t>" has the meaning given to it in Recital D).</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PIPE S</w:t>
      </w:r>
      <w:r>
        <w:rPr>
          <w:rFonts w:ascii="Arial" w:cs="Arial" w:eastAsia="Arial" w:hAnsi="Arial"/>
          <w:sz w:val="12"/>
          <w:szCs w:val="12"/>
          <w:b w:val="1"/>
          <w:bCs w:val="1"/>
          <w:color w:val="auto"/>
        </w:rPr>
        <w:t>UBSCRIBERS</w:t>
      </w:r>
      <w:r>
        <w:rPr>
          <w:rFonts w:ascii="Arial" w:cs="Arial" w:eastAsia="Arial" w:hAnsi="Arial"/>
          <w:sz w:val="18"/>
          <w:szCs w:val="18"/>
          <w:color w:val="auto"/>
        </w:rPr>
        <w:t>" has the meaning given to it in Recital D).</w:t>
      </w:r>
    </w:p>
    <w:p>
      <w:pPr>
        <w:spacing w:after="0" w:line="198" w:lineRule="exact"/>
        <w:rPr>
          <w:sz w:val="20"/>
          <w:szCs w:val="20"/>
          <w:color w:val="auto"/>
        </w:rPr>
      </w:pPr>
    </w:p>
    <w:p>
      <w:pPr>
        <w:jc w:val="both"/>
        <w:ind w:left="540"/>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w:t>
      </w:r>
      <w:r>
        <w:rPr>
          <w:rFonts w:ascii="Arial" w:cs="Arial" w:eastAsia="Arial" w:hAnsi="Arial"/>
          <w:sz w:val="12"/>
          <w:szCs w:val="12"/>
          <w:b w:val="1"/>
          <w:bCs w:val="1"/>
          <w:color w:val="auto"/>
        </w:rPr>
        <w:t>RODUCT</w:t>
      </w:r>
      <w:r>
        <w:rPr>
          <w:rFonts w:ascii="Arial" w:cs="Arial" w:eastAsia="Arial" w:hAnsi="Arial"/>
          <w:sz w:val="18"/>
          <w:szCs w:val="18"/>
          <w:color w:val="auto"/>
        </w:rPr>
        <w:t>" means any preparation, substance, formulation, form or dosage comprised, in whole or in part, of a (i) V</w:t>
      </w:r>
      <w:r>
        <w:rPr>
          <w:rFonts w:ascii="Arial" w:cs="Arial" w:eastAsia="Arial" w:hAnsi="Arial"/>
          <w:sz w:val="12"/>
          <w:szCs w:val="12"/>
          <w:color w:val="auto"/>
        </w:rPr>
        <w:t>ACCINE</w:t>
      </w:r>
      <w:r>
        <w:rPr>
          <w:rFonts w:ascii="Arial" w:cs="Arial" w:eastAsia="Arial" w:hAnsi="Arial"/>
          <w:sz w:val="18"/>
          <w:szCs w:val="18"/>
          <w:color w:val="auto"/>
        </w:rPr>
        <w:t>, or (ii) A</w:t>
      </w:r>
      <w:r>
        <w:rPr>
          <w:rFonts w:ascii="Arial" w:cs="Arial" w:eastAsia="Arial" w:hAnsi="Arial"/>
          <w:sz w:val="12"/>
          <w:szCs w:val="12"/>
          <w:color w:val="auto"/>
        </w:rPr>
        <w:t>NTIBODY</w:t>
      </w:r>
      <w:r>
        <w:rPr>
          <w:rFonts w:ascii="Arial" w:cs="Arial" w:eastAsia="Arial" w:hAnsi="Arial"/>
          <w:sz w:val="18"/>
          <w:szCs w:val="18"/>
          <w:color w:val="auto"/>
        </w:rPr>
        <w:t xml:space="preserve"> including as well as their DNA analogues, and/or (iii) any and all improvements (yielding to better properties such as better potency, efficacy with regard to immunogenicity, or manufacturability) to any of the foregoing whether patentable or not, targeting alpha-synuclein or [*****], and all combinations of alpha-synuclein and [*****]. P</w:t>
      </w:r>
      <w:r>
        <w:rPr>
          <w:rFonts w:ascii="Arial" w:cs="Arial" w:eastAsia="Arial" w:hAnsi="Arial"/>
          <w:sz w:val="12"/>
          <w:szCs w:val="12"/>
          <w:color w:val="auto"/>
        </w:rPr>
        <w:t>RODUCT</w:t>
      </w:r>
      <w:r>
        <w:rPr>
          <w:rFonts w:ascii="Arial" w:cs="Arial" w:eastAsia="Arial" w:hAnsi="Arial"/>
          <w:sz w:val="18"/>
          <w:szCs w:val="18"/>
          <w:color w:val="auto"/>
        </w:rPr>
        <w:t xml:space="preserve"> is intended for use in both the therapeutics field or diagnostic field, and for any indication.</w:t>
      </w:r>
    </w:p>
    <w:p>
      <w:pPr>
        <w:spacing w:after="0" w:line="163" w:lineRule="exact"/>
        <w:rPr>
          <w:sz w:val="20"/>
          <w:szCs w:val="20"/>
          <w:color w:val="auto"/>
        </w:rPr>
      </w:pPr>
    </w:p>
    <w:p>
      <w:pPr>
        <w:jc w:val="both"/>
        <w:ind w:left="5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w:t>
      </w:r>
      <w:r>
        <w:rPr>
          <w:rFonts w:ascii="Arial" w:cs="Arial" w:eastAsia="Arial" w:hAnsi="Arial"/>
          <w:sz w:val="12"/>
          <w:szCs w:val="12"/>
          <w:b w:val="1"/>
          <w:bCs w:val="1"/>
          <w:color w:val="auto"/>
        </w:rPr>
        <w:t>ROGRAMS</w:t>
      </w:r>
      <w:r>
        <w:rPr>
          <w:rFonts w:ascii="Arial" w:cs="Arial" w:eastAsia="Arial" w:hAnsi="Arial"/>
          <w:sz w:val="18"/>
          <w:szCs w:val="18"/>
          <w:color w:val="auto"/>
        </w:rPr>
        <w:t>" means the research and development programs conducted by or on behalf of A</w:t>
      </w:r>
      <w:r>
        <w:rPr>
          <w:rFonts w:ascii="Arial" w:cs="Arial" w:eastAsia="Arial" w:hAnsi="Arial"/>
          <w:sz w:val="12"/>
          <w:szCs w:val="12"/>
          <w:color w:val="auto"/>
        </w:rPr>
        <w:t>FFIRIS</w:t>
      </w:r>
      <w:r>
        <w:rPr>
          <w:rFonts w:ascii="Arial" w:cs="Arial" w:eastAsia="Arial" w:hAnsi="Arial"/>
          <w:sz w:val="18"/>
          <w:szCs w:val="18"/>
          <w:color w:val="auto"/>
        </w:rPr>
        <w:t xml:space="preserve"> for P</w:t>
      </w:r>
      <w:r>
        <w:rPr>
          <w:rFonts w:ascii="Arial" w:cs="Arial" w:eastAsia="Arial" w:hAnsi="Arial"/>
          <w:sz w:val="12"/>
          <w:szCs w:val="12"/>
          <w:color w:val="auto"/>
        </w:rPr>
        <w:t>RODUCTS</w:t>
      </w:r>
      <w:r>
        <w:rPr>
          <w:rFonts w:ascii="Arial" w:cs="Arial" w:eastAsia="Arial" w:hAnsi="Arial"/>
          <w:sz w:val="18"/>
          <w:szCs w:val="18"/>
          <w:color w:val="auto"/>
        </w:rPr>
        <w:t xml:space="preserve"> which constitute therapies and diagnostics including but not limiting to passive and active immunization approaches, alone or in combination against T</w:t>
      </w:r>
      <w:r>
        <w:rPr>
          <w:rFonts w:ascii="Arial" w:cs="Arial" w:eastAsia="Arial" w:hAnsi="Arial"/>
          <w:sz w:val="12"/>
          <w:szCs w:val="12"/>
          <w:color w:val="auto"/>
        </w:rPr>
        <w:t>ARGETS</w:t>
      </w:r>
      <w:r>
        <w:rPr>
          <w:rFonts w:ascii="Arial" w:cs="Arial" w:eastAsia="Arial" w:hAnsi="Arial"/>
          <w:sz w:val="18"/>
          <w:szCs w:val="18"/>
          <w:color w:val="auto"/>
        </w:rPr>
        <w:t>.</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w:t>
      </w:r>
      <w:r>
        <w:rPr>
          <w:rFonts w:ascii="Arial" w:cs="Arial" w:eastAsia="Arial" w:hAnsi="Arial"/>
          <w:sz w:val="12"/>
          <w:szCs w:val="12"/>
          <w:b w:val="1"/>
          <w:bCs w:val="1"/>
          <w:color w:val="auto"/>
        </w:rPr>
        <w:t>ROGRAMS</w:t>
      </w:r>
      <w:r>
        <w:rPr>
          <w:rFonts w:ascii="Arial" w:cs="Arial" w:eastAsia="Arial" w:hAnsi="Arial"/>
          <w:sz w:val="18"/>
          <w:szCs w:val="18"/>
          <w:color w:val="auto"/>
        </w:rPr>
        <w:t xml:space="preserve"> </w:t>
      </w:r>
      <w:r>
        <w:rPr>
          <w:rFonts w:ascii="Arial" w:cs="Arial" w:eastAsia="Arial" w:hAnsi="Arial"/>
          <w:sz w:val="18"/>
          <w:szCs w:val="18"/>
          <w:b w:val="1"/>
          <w:bCs w:val="1"/>
          <w:color w:val="auto"/>
        </w:rPr>
        <w:t>IP</w:t>
      </w:r>
      <w:r>
        <w:rPr>
          <w:rFonts w:ascii="Arial" w:cs="Arial" w:eastAsia="Arial" w:hAnsi="Arial"/>
          <w:sz w:val="18"/>
          <w:szCs w:val="18"/>
          <w:color w:val="auto"/>
        </w:rPr>
        <w:t>" means any I</w:t>
      </w:r>
      <w:r>
        <w:rPr>
          <w:rFonts w:ascii="Arial" w:cs="Arial" w:eastAsia="Arial" w:hAnsi="Arial"/>
          <w:sz w:val="12"/>
          <w:szCs w:val="12"/>
          <w:color w:val="auto"/>
        </w:rPr>
        <w:t>NTELLECTUAL</w:t>
      </w:r>
      <w:r>
        <w:rPr>
          <w:rFonts w:ascii="Arial" w:cs="Arial" w:eastAsia="Arial" w:hAnsi="Arial"/>
          <w:sz w:val="18"/>
          <w:szCs w:val="18"/>
          <w:color w:val="auto"/>
        </w:rPr>
        <w:t xml:space="preserve"> P</w:t>
      </w:r>
      <w:r>
        <w:rPr>
          <w:rFonts w:ascii="Arial" w:cs="Arial" w:eastAsia="Arial" w:hAnsi="Arial"/>
          <w:sz w:val="12"/>
          <w:szCs w:val="12"/>
          <w:color w:val="auto"/>
        </w:rPr>
        <w:t>ROPERTY</w:t>
      </w:r>
      <w:r>
        <w:rPr>
          <w:rFonts w:ascii="Arial" w:cs="Arial" w:eastAsia="Arial" w:hAnsi="Arial"/>
          <w:sz w:val="18"/>
          <w:szCs w:val="18"/>
          <w:color w:val="auto"/>
        </w:rPr>
        <w:t xml:space="preserve"> R</w:t>
      </w:r>
      <w:r>
        <w:rPr>
          <w:rFonts w:ascii="Arial" w:cs="Arial" w:eastAsia="Arial" w:hAnsi="Arial"/>
          <w:sz w:val="12"/>
          <w:szCs w:val="12"/>
          <w:color w:val="auto"/>
        </w:rPr>
        <w:t>IGHTS</w:t>
      </w:r>
      <w:r>
        <w:rPr>
          <w:rFonts w:ascii="Arial" w:cs="Arial" w:eastAsia="Arial" w:hAnsi="Arial"/>
          <w:sz w:val="18"/>
          <w:szCs w:val="18"/>
          <w:color w:val="auto"/>
        </w:rPr>
        <w:t xml:space="preserve"> pertaining to the P</w:t>
      </w:r>
      <w:r>
        <w:rPr>
          <w:rFonts w:ascii="Arial" w:cs="Arial" w:eastAsia="Arial" w:hAnsi="Arial"/>
          <w:sz w:val="12"/>
          <w:szCs w:val="12"/>
          <w:color w:val="auto"/>
        </w:rPr>
        <w:t>ROGRAMS</w:t>
      </w:r>
      <w:r>
        <w:rPr>
          <w:rFonts w:ascii="Arial" w:cs="Arial" w:eastAsia="Arial" w:hAnsi="Arial"/>
          <w:sz w:val="18"/>
          <w:szCs w:val="18"/>
          <w:color w:val="auto"/>
        </w:rPr>
        <w:t xml:space="preserve"> as categorized in A</w:t>
      </w:r>
      <w:r>
        <w:rPr>
          <w:rFonts w:ascii="Arial" w:cs="Arial" w:eastAsia="Arial" w:hAnsi="Arial"/>
          <w:sz w:val="12"/>
          <w:szCs w:val="12"/>
          <w:color w:val="auto"/>
        </w:rPr>
        <w:t>NNEX</w:t>
      </w:r>
      <w:r>
        <w:rPr>
          <w:rFonts w:ascii="Arial" w:cs="Arial" w:eastAsia="Arial" w:hAnsi="Arial"/>
          <w:sz w:val="18"/>
          <w:szCs w:val="18"/>
          <w:color w:val="auto"/>
        </w:rPr>
        <w:t xml:space="preserve"> 1 and further evidenced in</w:t>
      </w:r>
    </w:p>
    <w:p>
      <w:pPr>
        <w:spacing w:after="0" w:line="1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NNEX</w:t>
      </w:r>
      <w:r>
        <w:rPr>
          <w:rFonts w:ascii="Arial" w:cs="Arial" w:eastAsia="Arial" w:hAnsi="Arial"/>
          <w:sz w:val="18"/>
          <w:szCs w:val="18"/>
          <w:color w:val="auto"/>
        </w:rPr>
        <w:t xml:space="preserve"> 2.</w:t>
      </w:r>
    </w:p>
    <w:p>
      <w:pPr>
        <w:spacing w:after="0" w:line="17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w:t>
      </w:r>
      <w:r>
        <w:rPr>
          <w:rFonts w:ascii="Arial" w:cs="Arial" w:eastAsia="Arial" w:hAnsi="Arial"/>
          <w:sz w:val="12"/>
          <w:szCs w:val="12"/>
          <w:b w:val="1"/>
          <w:bCs w:val="1"/>
          <w:color w:val="auto"/>
        </w:rPr>
        <w:t>URCHASE</w:t>
      </w:r>
      <w:r>
        <w:rPr>
          <w:rFonts w:ascii="Arial" w:cs="Arial" w:eastAsia="Arial" w:hAnsi="Arial"/>
          <w:sz w:val="18"/>
          <w:szCs w:val="18"/>
          <w:color w:val="auto"/>
        </w:rPr>
        <w:t xml:space="preserve"> </w:t>
      </w:r>
      <w:r>
        <w:rPr>
          <w:rFonts w:ascii="Arial" w:cs="Arial" w:eastAsia="Arial" w:hAnsi="Arial"/>
          <w:sz w:val="18"/>
          <w:szCs w:val="18"/>
          <w:b w:val="1"/>
          <w:bCs w:val="1"/>
          <w:color w:val="auto"/>
        </w:rPr>
        <w:t>P</w:t>
      </w:r>
      <w:r>
        <w:rPr>
          <w:rFonts w:ascii="Arial" w:cs="Arial" w:eastAsia="Arial" w:hAnsi="Arial"/>
          <w:sz w:val="12"/>
          <w:szCs w:val="12"/>
          <w:b w:val="1"/>
          <w:bCs w:val="1"/>
          <w:color w:val="auto"/>
        </w:rPr>
        <w:t>RICE</w:t>
      </w:r>
      <w:r>
        <w:rPr>
          <w:rFonts w:ascii="Arial" w:cs="Arial" w:eastAsia="Arial" w:hAnsi="Arial"/>
          <w:sz w:val="18"/>
          <w:szCs w:val="18"/>
          <w:color w:val="auto"/>
        </w:rPr>
        <w:t>" has the meaning given to it in S</w:t>
      </w:r>
      <w:r>
        <w:rPr>
          <w:rFonts w:ascii="Arial" w:cs="Arial" w:eastAsia="Arial" w:hAnsi="Arial"/>
          <w:sz w:val="12"/>
          <w:szCs w:val="12"/>
          <w:color w:val="auto"/>
        </w:rPr>
        <w:t>ECTION</w:t>
      </w:r>
      <w:r>
        <w:rPr>
          <w:rFonts w:ascii="Arial" w:cs="Arial" w:eastAsia="Arial" w:hAnsi="Arial"/>
          <w:sz w:val="18"/>
          <w:szCs w:val="18"/>
          <w:color w:val="auto"/>
        </w:rPr>
        <w:t xml:space="preserve"> 4.</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w:t>
      </w:r>
      <w:r>
        <w:rPr>
          <w:rFonts w:ascii="Arial" w:cs="Arial" w:eastAsia="Arial" w:hAnsi="Arial"/>
          <w:sz w:val="12"/>
          <w:szCs w:val="12"/>
          <w:b w:val="1"/>
          <w:bCs w:val="1"/>
          <w:color w:val="auto"/>
        </w:rPr>
        <w:t>ECORDS</w:t>
      </w:r>
      <w:r>
        <w:rPr>
          <w:rFonts w:ascii="Arial" w:cs="Arial" w:eastAsia="Arial" w:hAnsi="Arial"/>
          <w:sz w:val="18"/>
          <w:szCs w:val="18"/>
          <w:color w:val="auto"/>
        </w:rPr>
        <w:t>" means the details of assets attached to this A</w:t>
      </w:r>
      <w:r>
        <w:rPr>
          <w:rFonts w:ascii="Arial" w:cs="Arial" w:eastAsia="Arial" w:hAnsi="Arial"/>
          <w:sz w:val="12"/>
          <w:szCs w:val="12"/>
          <w:color w:val="auto"/>
        </w:rPr>
        <w:t>GREEMENT</w:t>
      </w:r>
      <w:r>
        <w:rPr>
          <w:rFonts w:ascii="Arial" w:cs="Arial" w:eastAsia="Arial" w:hAnsi="Arial"/>
          <w:sz w:val="18"/>
          <w:szCs w:val="18"/>
          <w:color w:val="auto"/>
        </w:rPr>
        <w:t xml:space="preserve"> consisting of the:</w:t>
      </w:r>
    </w:p>
    <w:p>
      <w:pPr>
        <w:spacing w:after="0" w:line="220" w:lineRule="exact"/>
        <w:rPr>
          <w:sz w:val="20"/>
          <w:szCs w:val="20"/>
          <w:color w:val="auto"/>
        </w:rPr>
      </w:pPr>
    </w:p>
    <w:p>
      <w:pPr>
        <w:ind w:left="1180" w:hanging="644"/>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w:t>
      </w:r>
      <w:r>
        <w:rPr>
          <w:rFonts w:ascii="Arial" w:cs="Arial" w:eastAsia="Arial" w:hAnsi="Arial"/>
          <w:sz w:val="12"/>
          <w:szCs w:val="12"/>
          <w:color w:val="auto"/>
        </w:rPr>
        <w:t>ROGRAMS</w:t>
      </w:r>
      <w:r>
        <w:rPr>
          <w:rFonts w:ascii="Arial" w:cs="Arial" w:eastAsia="Arial" w:hAnsi="Arial"/>
          <w:sz w:val="18"/>
          <w:szCs w:val="18"/>
          <w:color w:val="auto"/>
        </w:rPr>
        <w:t xml:space="preserve"> IP; and</w:t>
      </w:r>
    </w:p>
    <w:p>
      <w:pPr>
        <w:spacing w:after="0" w:line="198" w:lineRule="exact"/>
        <w:rPr>
          <w:rFonts w:ascii="Arial" w:cs="Arial" w:eastAsia="Arial" w:hAnsi="Arial"/>
          <w:sz w:val="18"/>
          <w:szCs w:val="18"/>
          <w:color w:val="auto"/>
        </w:rPr>
      </w:pPr>
    </w:p>
    <w:p>
      <w:pPr>
        <w:ind w:left="540" w:right="2020" w:hanging="4"/>
        <w:spacing w:after="0" w:line="456" w:lineRule="auto"/>
        <w:tabs>
          <w:tab w:leader="none" w:pos="118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list of data, documents, information and materials related to the P</w:t>
      </w:r>
      <w:r>
        <w:rPr>
          <w:rFonts w:ascii="Arial" w:cs="Arial" w:eastAsia="Arial" w:hAnsi="Arial"/>
          <w:sz w:val="12"/>
          <w:szCs w:val="12"/>
          <w:color w:val="auto"/>
        </w:rPr>
        <w:t>ROGRAMS</w:t>
      </w:r>
      <w:r>
        <w:rPr>
          <w:rFonts w:ascii="Arial" w:cs="Arial" w:eastAsia="Arial" w:hAnsi="Arial"/>
          <w:sz w:val="18"/>
          <w:szCs w:val="18"/>
          <w:color w:val="auto"/>
        </w:rPr>
        <w:t xml:space="preserve"> contained in </w:t>
      </w:r>
      <w:r>
        <w:rPr>
          <w:rFonts w:ascii="Arial" w:cs="Arial" w:eastAsia="Arial" w:hAnsi="Arial"/>
          <w:sz w:val="18"/>
          <w:szCs w:val="18"/>
          <w:u w:val="single" w:color="auto"/>
          <w:color w:val="auto"/>
        </w:rPr>
        <w:t>A</w:t>
      </w:r>
      <w:r>
        <w:rPr>
          <w:rFonts w:ascii="Arial" w:cs="Arial" w:eastAsia="Arial" w:hAnsi="Arial"/>
          <w:sz w:val="12"/>
          <w:szCs w:val="12"/>
          <w:u w:val="single" w:color="auto"/>
          <w:color w:val="auto"/>
        </w:rPr>
        <w:t>NNEX</w:t>
      </w:r>
      <w:r>
        <w:rPr>
          <w:rFonts w:ascii="Arial" w:cs="Arial" w:eastAsia="Arial" w:hAnsi="Arial"/>
          <w:sz w:val="18"/>
          <w:szCs w:val="18"/>
          <w:color w:val="auto"/>
        </w:rPr>
        <w:t xml:space="preserve"> </w:t>
      </w:r>
      <w:r>
        <w:rPr>
          <w:rFonts w:ascii="Arial" w:cs="Arial" w:eastAsia="Arial" w:hAnsi="Arial"/>
          <w:sz w:val="18"/>
          <w:szCs w:val="18"/>
          <w:u w:val="single" w:color="auto"/>
          <w:color w:val="auto"/>
        </w:rPr>
        <w:t>2</w:t>
      </w:r>
      <w:r>
        <w:rPr>
          <w:rFonts w:ascii="Arial" w:cs="Arial" w:eastAsia="Arial" w:hAnsi="Arial"/>
          <w:sz w:val="18"/>
          <w:szCs w:val="18"/>
          <w:color w:val="auto"/>
        </w:rPr>
        <w:t>. "</w:t>
      </w:r>
      <w:r>
        <w:rPr>
          <w:rFonts w:ascii="Arial" w:cs="Arial" w:eastAsia="Arial" w:hAnsi="Arial"/>
          <w:sz w:val="18"/>
          <w:szCs w:val="18"/>
          <w:b w:val="1"/>
          <w:bCs w:val="1"/>
          <w:color w:val="auto"/>
        </w:rPr>
        <w:t>R</w:t>
      </w:r>
      <w:r>
        <w:rPr>
          <w:rFonts w:ascii="Arial" w:cs="Arial" w:eastAsia="Arial" w:hAnsi="Arial"/>
          <w:sz w:val="12"/>
          <w:szCs w:val="12"/>
          <w:b w:val="1"/>
          <w:bCs w:val="1"/>
          <w:color w:val="auto"/>
        </w:rPr>
        <w:t>EGISTRATION</w:t>
      </w:r>
      <w:r>
        <w:rPr>
          <w:rFonts w:ascii="Arial" w:cs="Arial" w:eastAsia="Arial" w:hAnsi="Arial"/>
          <w:sz w:val="18"/>
          <w:szCs w:val="18"/>
          <w:color w:val="auto"/>
        </w:rPr>
        <w:t>" has the meaning given to it in S</w:t>
      </w:r>
      <w:r>
        <w:rPr>
          <w:rFonts w:ascii="Arial" w:cs="Arial" w:eastAsia="Arial" w:hAnsi="Arial"/>
          <w:sz w:val="12"/>
          <w:szCs w:val="12"/>
          <w:color w:val="auto"/>
        </w:rPr>
        <w:t>ECTION</w:t>
      </w:r>
      <w:r>
        <w:rPr>
          <w:rFonts w:ascii="Arial" w:cs="Arial" w:eastAsia="Arial" w:hAnsi="Arial"/>
          <w:sz w:val="18"/>
          <w:szCs w:val="18"/>
          <w:color w:val="auto"/>
        </w:rPr>
        <w:t xml:space="preserve"> 5 N12.</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"SOGC</w:t>
      </w:r>
      <w:r>
        <w:rPr>
          <w:rFonts w:ascii="Arial" w:cs="Arial" w:eastAsia="Arial" w:hAnsi="Arial"/>
          <w:sz w:val="18"/>
          <w:szCs w:val="18"/>
          <w:color w:val="auto"/>
        </w:rPr>
        <w:t>" has the meaning given to it in S</w:t>
      </w:r>
      <w:r>
        <w:rPr>
          <w:rFonts w:ascii="Arial" w:cs="Arial" w:eastAsia="Arial" w:hAnsi="Arial"/>
          <w:sz w:val="12"/>
          <w:szCs w:val="12"/>
          <w:color w:val="auto"/>
        </w:rPr>
        <w:t>ECTION</w:t>
      </w:r>
      <w:r>
        <w:rPr>
          <w:rFonts w:ascii="Arial" w:cs="Arial" w:eastAsia="Arial" w:hAnsi="Arial"/>
          <w:sz w:val="18"/>
          <w:szCs w:val="18"/>
          <w:b w:val="1"/>
          <w:bCs w:val="1"/>
          <w:color w:val="auto"/>
        </w:rPr>
        <w:t xml:space="preserve"> </w:t>
      </w:r>
      <w:r>
        <w:rPr>
          <w:rFonts w:ascii="Arial" w:cs="Arial" w:eastAsia="Arial" w:hAnsi="Arial"/>
          <w:sz w:val="18"/>
          <w:szCs w:val="18"/>
          <w:color w:val="auto"/>
        </w:rPr>
        <w:t>5.</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OLE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EMEDY</w:t>
      </w:r>
      <w:r>
        <w:rPr>
          <w:rFonts w:ascii="Arial" w:cs="Arial" w:eastAsia="Arial" w:hAnsi="Arial"/>
          <w:sz w:val="18"/>
          <w:szCs w:val="18"/>
          <w:color w:val="auto"/>
        </w:rPr>
        <w:t>" has the meaning given to it in S</w:t>
      </w:r>
      <w:r>
        <w:rPr>
          <w:rFonts w:ascii="Arial" w:cs="Arial" w:eastAsia="Arial" w:hAnsi="Arial"/>
          <w:sz w:val="12"/>
          <w:szCs w:val="12"/>
          <w:color w:val="auto"/>
        </w:rPr>
        <w:t>ECTION</w:t>
      </w:r>
      <w:r>
        <w:rPr>
          <w:rFonts w:ascii="Arial" w:cs="Arial" w:eastAsia="Arial" w:hAnsi="Arial"/>
          <w:sz w:val="18"/>
          <w:szCs w:val="18"/>
          <w:b w:val="1"/>
          <w:bCs w:val="1"/>
          <w:color w:val="auto"/>
        </w:rPr>
        <w:t xml:space="preserve"> </w:t>
      </w:r>
      <w:r>
        <w:rPr>
          <w:rFonts w:ascii="Arial" w:cs="Arial" w:eastAsia="Arial" w:hAnsi="Arial"/>
          <w:sz w:val="18"/>
          <w:szCs w:val="18"/>
          <w:color w:val="auto"/>
        </w:rPr>
        <w:t>12.2.</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t>
      </w:r>
      <w:r>
        <w:rPr>
          <w:rFonts w:ascii="Arial" w:cs="Arial" w:eastAsia="Arial" w:hAnsi="Arial"/>
          <w:sz w:val="12"/>
          <w:szCs w:val="12"/>
          <w:b w:val="1"/>
          <w:bCs w:val="1"/>
          <w:color w:val="auto"/>
        </w:rPr>
        <w:t>ECTION</w:t>
      </w:r>
      <w:r>
        <w:rPr>
          <w:rFonts w:ascii="Arial" w:cs="Arial" w:eastAsia="Arial" w:hAnsi="Arial"/>
          <w:sz w:val="18"/>
          <w:szCs w:val="18"/>
          <w:color w:val="auto"/>
        </w:rPr>
        <w:t>" means a section of this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t>
      </w:r>
      <w:r>
        <w:rPr>
          <w:rFonts w:ascii="Arial" w:cs="Arial" w:eastAsia="Arial" w:hAnsi="Arial"/>
          <w:sz w:val="12"/>
          <w:szCs w:val="12"/>
          <w:b w:val="1"/>
          <w:bCs w:val="1"/>
          <w:color w:val="auto"/>
        </w:rPr>
        <w:t>ECURITIES</w:t>
      </w:r>
      <w:r>
        <w:rPr>
          <w:rFonts w:ascii="Arial" w:cs="Arial" w:eastAsia="Arial" w:hAnsi="Arial"/>
          <w:sz w:val="18"/>
          <w:szCs w:val="18"/>
          <w:color w:val="auto"/>
        </w:rPr>
        <w:t xml:space="preserve"> </w:t>
      </w:r>
      <w:r>
        <w:rPr>
          <w:rFonts w:ascii="Arial" w:cs="Arial" w:eastAsia="Arial" w:hAnsi="Arial"/>
          <w:sz w:val="18"/>
          <w:szCs w:val="18"/>
          <w:b w:val="1"/>
          <w:bCs w:val="1"/>
          <w:color w:val="auto"/>
        </w:rPr>
        <w:t>A</w:t>
      </w:r>
      <w:r>
        <w:rPr>
          <w:rFonts w:ascii="Arial" w:cs="Arial" w:eastAsia="Arial" w:hAnsi="Arial"/>
          <w:sz w:val="12"/>
          <w:szCs w:val="12"/>
          <w:b w:val="1"/>
          <w:bCs w:val="1"/>
          <w:color w:val="auto"/>
        </w:rPr>
        <w:t>CT</w:t>
      </w:r>
      <w:r>
        <w:rPr>
          <w:rFonts w:ascii="Arial" w:cs="Arial" w:eastAsia="Arial" w:hAnsi="Arial"/>
          <w:sz w:val="18"/>
          <w:szCs w:val="18"/>
          <w:color w:val="auto"/>
        </w:rPr>
        <w:t>" means the United States Securities Act of 1933, as amended.</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t>
      </w:r>
      <w:r>
        <w:rPr>
          <w:rFonts w:ascii="Arial" w:cs="Arial" w:eastAsia="Arial" w:hAnsi="Arial"/>
          <w:sz w:val="12"/>
          <w:szCs w:val="12"/>
          <w:b w:val="1"/>
          <w:bCs w:val="1"/>
          <w:color w:val="auto"/>
        </w:rPr>
        <w:t>EQUENCES</w:t>
      </w:r>
      <w:r>
        <w:rPr>
          <w:rFonts w:ascii="Arial" w:cs="Arial" w:eastAsia="Arial" w:hAnsi="Arial"/>
          <w:sz w:val="18"/>
          <w:szCs w:val="18"/>
          <w:color w:val="auto"/>
        </w:rPr>
        <w:t>" means those sequences as written in Section 1 of A</w:t>
      </w:r>
      <w:r>
        <w:rPr>
          <w:rFonts w:ascii="Arial" w:cs="Arial" w:eastAsia="Arial" w:hAnsi="Arial"/>
          <w:sz w:val="12"/>
          <w:szCs w:val="12"/>
          <w:color w:val="auto"/>
        </w:rPr>
        <w:t>NNEX</w:t>
      </w:r>
      <w:r>
        <w:rPr>
          <w:rFonts w:ascii="Arial" w:cs="Arial" w:eastAsia="Arial" w:hAnsi="Arial"/>
          <w:sz w:val="18"/>
          <w:szCs w:val="18"/>
          <w:color w:val="auto"/>
        </w:rPr>
        <w:t xml:space="preserve"> 2.</w:t>
      </w:r>
    </w:p>
    <w:p>
      <w:pPr>
        <w:spacing w:after="0" w:line="198" w:lineRule="exact"/>
        <w:rPr>
          <w:sz w:val="20"/>
          <w:szCs w:val="20"/>
          <w:color w:val="auto"/>
        </w:rPr>
      </w:pPr>
    </w:p>
    <w:p>
      <w:pPr>
        <w:ind w:left="54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w:t>
      </w:r>
      <w:r>
        <w:rPr>
          <w:rFonts w:ascii="Arial" w:cs="Arial" w:eastAsia="Arial" w:hAnsi="Arial"/>
          <w:sz w:val="12"/>
          <w:szCs w:val="12"/>
          <w:b w:val="1"/>
          <w:bCs w:val="1"/>
          <w:color w:val="auto"/>
        </w:rPr>
        <w:t>ARGETS</w:t>
      </w:r>
      <w:r>
        <w:rPr>
          <w:rFonts w:ascii="Arial" w:cs="Arial" w:eastAsia="Arial" w:hAnsi="Arial"/>
          <w:sz w:val="18"/>
          <w:szCs w:val="18"/>
          <w:color w:val="auto"/>
        </w:rPr>
        <w:t>" means alpha-synuclein and [*****] or variants, modifications, derivatives or fragments of alpha-synuclein and [*****], whether targeted directly or indirectly.</w:t>
      </w:r>
    </w:p>
    <w:p>
      <w:pPr>
        <w:spacing w:after="0" w:line="27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-1905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440" w:top="557" w:right="339" w:bottom="1440" w:gutter="0" w:footer="0" w:header="0"/>
        </w:sectPr>
      </w:pPr>
    </w:p>
    <w:bookmarkStart w:id="11" w:name="page12"/>
    <w:bookmarkEnd w:id="11"/>
    <w:p>
      <w:pPr>
        <w:jc w:val="center"/>
        <w:ind w:right="120"/>
        <w:spacing w:after="0"/>
        <w:rPr>
          <w:sz w:val="20"/>
          <w:szCs w:val="20"/>
          <w:color w:val="auto"/>
        </w:rPr>
      </w:pPr>
      <w:r>
        <w:rPr>
          <w:rFonts w:ascii="Arial" w:cs="Arial" w:eastAsia="Arial" w:hAnsi="Arial"/>
          <w:sz w:val="18"/>
          <w:szCs w:val="18"/>
          <w:color w:val="auto"/>
        </w:rPr>
        <w:t>CERTAIN CONFIDENTIAL PORTIONS HAVE BEEN REDACTED FROM THIS EXHIBIT BECAUSE THEY ARE BOTH (i) NOT MATERIAL AND (ii) IS THE TYPE THAT THE COMPANY TREATS AS PRIVATE OR CONFIDENTIAL. INFORMATION THAT HAS BEEN OMITTED HAD BEEN IDENTIFIED IN THIS DOCUMENT WITH A PLACEHOLDER IDENTIFIED BY THE MARK “[*****]”.</w:t>
      </w:r>
    </w:p>
    <w:p>
      <w:pPr>
        <w:spacing w:after="0" w:line="167" w:lineRule="exact"/>
        <w:rPr>
          <w:sz w:val="20"/>
          <w:szCs w:val="20"/>
          <w:color w:val="auto"/>
        </w:rPr>
      </w:pPr>
    </w:p>
    <w:p>
      <w:pPr>
        <w:jc w:val="both"/>
        <w:ind w:left="540"/>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w:t>
      </w:r>
      <w:r>
        <w:rPr>
          <w:rFonts w:ascii="Arial" w:cs="Arial" w:eastAsia="Arial" w:hAnsi="Arial"/>
          <w:sz w:val="12"/>
          <w:szCs w:val="12"/>
          <w:b w:val="1"/>
          <w:bCs w:val="1"/>
          <w:color w:val="auto"/>
        </w:rPr>
        <w:t>AXES</w:t>
      </w:r>
      <w:r>
        <w:rPr>
          <w:rFonts w:ascii="Arial" w:cs="Arial" w:eastAsia="Arial" w:hAnsi="Arial"/>
          <w:sz w:val="18"/>
          <w:szCs w:val="18"/>
          <w:color w:val="auto"/>
        </w:rPr>
        <w:t>" mean all taxes, including corporate income taxes, capital taxes, stamp duties (both on the issuance and on the transfer of securities) transfer taxes, withholding taxes, value added taxes, sales and use taxes, customs duties, business taxes and all other taxes, duties and levies, whether for own account or withheld for anybody else, whether contingent or due, known or unknown, and regardless of whether as primary debtor or based on a secondary liability, as original debtor or successor under any applicable law, payable to any competent taxing authority in any jurisdiction or any other body authorized to impose taxes, as well as any interest, penalties, costs and expenses resulting from or arising out therefrom or relating thereto.</w:t>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w:t>
      </w:r>
      <w:r>
        <w:rPr>
          <w:rFonts w:ascii="Arial" w:cs="Arial" w:eastAsia="Arial" w:hAnsi="Arial"/>
          <w:sz w:val="12"/>
          <w:szCs w:val="12"/>
          <w:b w:val="1"/>
          <w:bCs w:val="1"/>
          <w:color w:val="auto"/>
        </w:rPr>
        <w:t>HIRD</w:t>
      </w:r>
      <w:r>
        <w:rPr>
          <w:rFonts w:ascii="Arial" w:cs="Arial" w:eastAsia="Arial" w:hAnsi="Arial"/>
          <w:sz w:val="18"/>
          <w:szCs w:val="18"/>
          <w:color w:val="auto"/>
        </w:rPr>
        <w:t xml:space="preserve"> </w:t>
      </w:r>
      <w:r>
        <w:rPr>
          <w:rFonts w:ascii="Arial" w:cs="Arial" w:eastAsia="Arial" w:hAnsi="Arial"/>
          <w:sz w:val="18"/>
          <w:szCs w:val="18"/>
          <w:b w:val="1"/>
          <w:bCs w:val="1"/>
          <w:color w:val="auto"/>
        </w:rPr>
        <w:t>P</w:t>
      </w:r>
      <w:r>
        <w:rPr>
          <w:rFonts w:ascii="Arial" w:cs="Arial" w:eastAsia="Arial" w:hAnsi="Arial"/>
          <w:sz w:val="12"/>
          <w:szCs w:val="12"/>
          <w:b w:val="1"/>
          <w:bCs w:val="1"/>
          <w:color w:val="auto"/>
        </w:rPr>
        <w:t>ARTY</w:t>
      </w:r>
      <w:r>
        <w:rPr>
          <w:rFonts w:ascii="Arial" w:cs="Arial" w:eastAsia="Arial" w:hAnsi="Arial"/>
          <w:sz w:val="18"/>
          <w:szCs w:val="18"/>
          <w:color w:val="auto"/>
        </w:rPr>
        <w:t>" means a person or entity of whatever kind other than a P</w:t>
      </w:r>
      <w:r>
        <w:rPr>
          <w:rFonts w:ascii="Arial" w:cs="Arial" w:eastAsia="Arial" w:hAnsi="Arial"/>
          <w:sz w:val="12"/>
          <w:szCs w:val="12"/>
          <w:color w:val="auto"/>
        </w:rPr>
        <w:t>ARTY</w:t>
      </w:r>
      <w:r>
        <w:rPr>
          <w:rFonts w:ascii="Arial" w:cs="Arial" w:eastAsia="Arial" w:hAnsi="Arial"/>
          <w:sz w:val="18"/>
          <w:szCs w:val="18"/>
          <w:color w:val="auto"/>
        </w:rPr>
        <w:t xml:space="preserve"> and any A</w:t>
      </w:r>
      <w:r>
        <w:rPr>
          <w:rFonts w:ascii="Arial" w:cs="Arial" w:eastAsia="Arial" w:hAnsi="Arial"/>
          <w:sz w:val="12"/>
          <w:szCs w:val="12"/>
          <w:color w:val="auto"/>
        </w:rPr>
        <w:t>FFILIATE</w:t>
      </w:r>
      <w:r>
        <w:rPr>
          <w:rFonts w:ascii="Arial" w:cs="Arial" w:eastAsia="Arial" w:hAnsi="Arial"/>
          <w:sz w:val="18"/>
          <w:szCs w:val="18"/>
          <w:color w:val="auto"/>
        </w:rPr>
        <w:t xml:space="preserve"> of either P</w:t>
      </w:r>
      <w:r>
        <w:rPr>
          <w:rFonts w:ascii="Arial" w:cs="Arial" w:eastAsia="Arial" w:hAnsi="Arial"/>
          <w:sz w:val="12"/>
          <w:szCs w:val="12"/>
          <w:color w:val="auto"/>
        </w:rPr>
        <w:t>ARTY</w:t>
      </w:r>
      <w:r>
        <w:rPr>
          <w:rFonts w:ascii="Arial" w:cs="Arial" w:eastAsia="Arial" w:hAnsi="Arial"/>
          <w:sz w:val="18"/>
          <w:szCs w:val="18"/>
          <w:color w:val="auto"/>
        </w:rPr>
        <w:t>.</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w:t>
      </w:r>
      <w:r>
        <w:rPr>
          <w:rFonts w:ascii="Arial" w:cs="Arial" w:eastAsia="Arial" w:hAnsi="Arial"/>
          <w:sz w:val="12"/>
          <w:szCs w:val="12"/>
          <w:b w:val="1"/>
          <w:bCs w:val="1"/>
          <w:color w:val="auto"/>
        </w:rPr>
        <w:t>HRESHOLD</w:t>
      </w:r>
      <w:r>
        <w:rPr>
          <w:rFonts w:ascii="Arial" w:cs="Arial" w:eastAsia="Arial" w:hAnsi="Arial"/>
          <w:sz w:val="18"/>
          <w:szCs w:val="18"/>
          <w:color w:val="auto"/>
        </w:rPr>
        <w:t>" has the meaning given to this term in S</w:t>
      </w:r>
      <w:r>
        <w:rPr>
          <w:rFonts w:ascii="Arial" w:cs="Arial" w:eastAsia="Arial" w:hAnsi="Arial"/>
          <w:sz w:val="12"/>
          <w:szCs w:val="12"/>
          <w:color w:val="auto"/>
        </w:rPr>
        <w:t>ECTION</w:t>
      </w:r>
      <w:r>
        <w:rPr>
          <w:rFonts w:ascii="Arial" w:cs="Arial" w:eastAsia="Arial" w:hAnsi="Arial"/>
          <w:sz w:val="18"/>
          <w:szCs w:val="18"/>
          <w:color w:val="auto"/>
        </w:rPr>
        <w:t xml:space="preserve"> 12.4.1.</w:t>
      </w:r>
    </w:p>
    <w:p>
      <w:pPr>
        <w:spacing w:after="0" w:line="198" w:lineRule="exact"/>
        <w:rPr>
          <w:sz w:val="20"/>
          <w:szCs w:val="20"/>
          <w:color w:val="auto"/>
        </w:rPr>
      </w:pPr>
    </w:p>
    <w:p>
      <w:pPr>
        <w:jc w:val="both"/>
        <w:ind w:left="540" w:right="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w:t>
      </w:r>
      <w:r>
        <w:rPr>
          <w:rFonts w:ascii="Arial" w:cs="Arial" w:eastAsia="Arial" w:hAnsi="Arial"/>
          <w:sz w:val="12"/>
          <w:szCs w:val="12"/>
          <w:b w:val="1"/>
          <w:bCs w:val="1"/>
          <w:color w:val="auto"/>
        </w:rPr>
        <w:t>RADEMARKS</w:t>
      </w:r>
      <w:r>
        <w:rPr>
          <w:rFonts w:ascii="Arial" w:cs="Arial" w:eastAsia="Arial" w:hAnsi="Arial"/>
          <w:sz w:val="18"/>
          <w:szCs w:val="18"/>
          <w:color w:val="auto"/>
        </w:rPr>
        <w:t>" mean any trade name, trademark, trade dress, brand name, word, symbol, logo, corporate name, letter or design, together with all translations, adaptations, derivations, and combinations thereof, whether or not registered.</w:t>
      </w:r>
    </w:p>
    <w:p>
      <w:pPr>
        <w:spacing w:after="0" w:line="140" w:lineRule="exact"/>
        <w:rPr>
          <w:sz w:val="20"/>
          <w:szCs w:val="20"/>
          <w:color w:val="auto"/>
        </w:rPr>
      </w:pPr>
    </w:p>
    <w:p>
      <w:pPr>
        <w:jc w:val="both"/>
        <w:ind w:left="5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2"/>
          <w:szCs w:val="12"/>
          <w:b w:val="1"/>
          <w:bCs w:val="1"/>
          <w:color w:val="auto"/>
        </w:rPr>
        <w:t>TO THE</w:t>
      </w:r>
      <w:r>
        <w:rPr>
          <w:rFonts w:ascii="Arial" w:cs="Arial" w:eastAsia="Arial" w:hAnsi="Arial"/>
          <w:sz w:val="18"/>
          <w:szCs w:val="18"/>
          <w:color w:val="auto"/>
        </w:rPr>
        <w:t xml:space="preserve"> </w:t>
      </w:r>
      <w:r>
        <w:rPr>
          <w:rFonts w:ascii="Arial" w:cs="Arial" w:eastAsia="Arial" w:hAnsi="Arial"/>
          <w:sz w:val="18"/>
          <w:szCs w:val="18"/>
          <w:b w:val="1"/>
          <w:bCs w:val="1"/>
          <w:color w:val="auto"/>
        </w:rPr>
        <w:t>B</w:t>
      </w:r>
      <w:r>
        <w:rPr>
          <w:rFonts w:ascii="Arial" w:cs="Arial" w:eastAsia="Arial" w:hAnsi="Arial"/>
          <w:sz w:val="12"/>
          <w:szCs w:val="12"/>
          <w:b w:val="1"/>
          <w:bCs w:val="1"/>
          <w:color w:val="auto"/>
        </w:rPr>
        <w:t>EST</w:t>
      </w:r>
      <w:r>
        <w:rPr>
          <w:rFonts w:ascii="Arial" w:cs="Arial" w:eastAsia="Arial" w:hAnsi="Arial"/>
          <w:sz w:val="18"/>
          <w:szCs w:val="18"/>
          <w:color w:val="auto"/>
        </w:rPr>
        <w:t xml:space="preserve"> </w:t>
      </w:r>
      <w:r>
        <w:rPr>
          <w:rFonts w:ascii="Arial" w:cs="Arial" w:eastAsia="Arial" w:hAnsi="Arial"/>
          <w:sz w:val="18"/>
          <w:szCs w:val="18"/>
          <w:b w:val="1"/>
          <w:bCs w:val="1"/>
          <w:color w:val="auto"/>
        </w:rPr>
        <w:t>K</w:t>
      </w:r>
      <w:r>
        <w:rPr>
          <w:rFonts w:ascii="Arial" w:cs="Arial" w:eastAsia="Arial" w:hAnsi="Arial"/>
          <w:sz w:val="12"/>
          <w:szCs w:val="12"/>
          <w:b w:val="1"/>
          <w:bCs w:val="1"/>
          <w:color w:val="auto"/>
        </w:rPr>
        <w:t>NOWLEDGE OF</w:t>
      </w:r>
      <w:r>
        <w:rPr>
          <w:rFonts w:ascii="Arial" w:cs="Arial" w:eastAsia="Arial" w:hAnsi="Arial"/>
          <w:sz w:val="18"/>
          <w:szCs w:val="18"/>
          <w:color w:val="auto"/>
        </w:rPr>
        <w:t xml:space="preserve"> </w:t>
      </w:r>
      <w:r>
        <w:rPr>
          <w:rFonts w:ascii="Arial" w:cs="Arial" w:eastAsia="Arial" w:hAnsi="Arial"/>
          <w:sz w:val="18"/>
          <w:szCs w:val="18"/>
          <w:b w:val="1"/>
          <w:bCs w:val="1"/>
          <w:color w:val="auto"/>
        </w:rPr>
        <w:t>A</w:t>
      </w:r>
      <w:r>
        <w:rPr>
          <w:rFonts w:ascii="Arial" w:cs="Arial" w:eastAsia="Arial" w:hAnsi="Arial"/>
          <w:sz w:val="12"/>
          <w:szCs w:val="12"/>
          <w:b w:val="1"/>
          <w:bCs w:val="1"/>
          <w:color w:val="auto"/>
        </w:rPr>
        <w:t>FFIRIS</w:t>
      </w:r>
      <w:r>
        <w:rPr>
          <w:rFonts w:ascii="Arial" w:cs="Arial" w:eastAsia="Arial" w:hAnsi="Arial"/>
          <w:sz w:val="18"/>
          <w:szCs w:val="18"/>
          <w:color w:val="auto"/>
        </w:rPr>
        <w:t>" means any fact, matter, circumstance or event that any member of the board of directors of A</w:t>
      </w:r>
      <w:r>
        <w:rPr>
          <w:rFonts w:ascii="Arial" w:cs="Arial" w:eastAsia="Arial" w:hAnsi="Arial"/>
          <w:sz w:val="12"/>
          <w:szCs w:val="12"/>
          <w:color w:val="auto"/>
        </w:rPr>
        <w:t>FFIRS</w:t>
      </w:r>
      <w:r>
        <w:rPr>
          <w:rFonts w:ascii="Arial" w:cs="Arial" w:eastAsia="Arial" w:hAnsi="Arial"/>
          <w:sz w:val="18"/>
          <w:szCs w:val="18"/>
          <w:color w:val="auto"/>
        </w:rPr>
        <w:t>, i.e. [*****], and/or any of the following persons [*****], until Closing was or could have become aware of (</w:t>
      </w:r>
      <w:r>
        <w:rPr>
          <w:rFonts w:ascii="Arial" w:cs="Arial" w:eastAsia="Arial" w:hAnsi="Arial"/>
          <w:sz w:val="18"/>
          <w:szCs w:val="18"/>
          <w:i w:val="1"/>
          <w:iCs w:val="1"/>
          <w:color w:val="auto"/>
        </w:rPr>
        <w:t>Kennen oder</w:t>
      </w:r>
      <w:r>
        <w:rPr>
          <w:rFonts w:ascii="Arial" w:cs="Arial" w:eastAsia="Arial" w:hAnsi="Arial"/>
          <w:sz w:val="18"/>
          <w:szCs w:val="18"/>
          <w:color w:val="auto"/>
        </w:rPr>
        <w:t xml:space="preserve"> </w:t>
      </w:r>
      <w:r>
        <w:rPr>
          <w:rFonts w:ascii="Arial" w:cs="Arial" w:eastAsia="Arial" w:hAnsi="Arial"/>
          <w:sz w:val="18"/>
          <w:szCs w:val="18"/>
          <w:i w:val="1"/>
          <w:iCs w:val="1"/>
          <w:color w:val="auto"/>
        </w:rPr>
        <w:t>Kennenmüssen</w:t>
      </w:r>
      <w:r>
        <w:rPr>
          <w:rFonts w:ascii="Arial" w:cs="Arial" w:eastAsia="Arial" w:hAnsi="Arial"/>
          <w:sz w:val="18"/>
          <w:szCs w:val="18"/>
          <w:color w:val="auto"/>
        </w:rPr>
        <w:t>).</w:t>
      </w:r>
    </w:p>
    <w:p>
      <w:pPr>
        <w:spacing w:after="0" w:line="155" w:lineRule="exact"/>
        <w:rPr>
          <w:sz w:val="20"/>
          <w:szCs w:val="20"/>
          <w:color w:val="auto"/>
        </w:rPr>
      </w:pPr>
    </w:p>
    <w:p>
      <w:pPr>
        <w:jc w:val="both"/>
        <w:ind w:left="5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w:t>
      </w:r>
      <w:r>
        <w:rPr>
          <w:rFonts w:ascii="Arial" w:cs="Arial" w:eastAsia="Arial" w:hAnsi="Arial"/>
          <w:sz w:val="12"/>
          <w:szCs w:val="12"/>
          <w:b w:val="1"/>
          <w:bCs w:val="1"/>
          <w:color w:val="auto"/>
        </w:rPr>
        <w:t>RANSFER</w:t>
      </w:r>
      <w:r>
        <w:rPr>
          <w:rFonts w:ascii="Arial" w:cs="Arial" w:eastAsia="Arial" w:hAnsi="Arial"/>
          <w:sz w:val="18"/>
          <w:szCs w:val="18"/>
          <w:color w:val="auto"/>
        </w:rPr>
        <w:t>" means the transfer of the P</w:t>
      </w:r>
      <w:r>
        <w:rPr>
          <w:rFonts w:ascii="Arial" w:cs="Arial" w:eastAsia="Arial" w:hAnsi="Arial"/>
          <w:sz w:val="12"/>
          <w:szCs w:val="12"/>
          <w:color w:val="auto"/>
        </w:rPr>
        <w:t>ROGRAMS</w:t>
      </w:r>
      <w:r>
        <w:rPr>
          <w:rFonts w:ascii="Arial" w:cs="Arial" w:eastAsia="Arial" w:hAnsi="Arial"/>
          <w:sz w:val="18"/>
          <w:szCs w:val="18"/>
          <w:color w:val="auto"/>
        </w:rPr>
        <w:t xml:space="preserve"> from A</w:t>
      </w:r>
      <w:r>
        <w:rPr>
          <w:rFonts w:ascii="Arial" w:cs="Arial" w:eastAsia="Arial" w:hAnsi="Arial"/>
          <w:sz w:val="12"/>
          <w:szCs w:val="12"/>
          <w:color w:val="auto"/>
        </w:rPr>
        <w:t>FFIRIS</w:t>
      </w:r>
      <w:r>
        <w:rPr>
          <w:rFonts w:ascii="Arial" w:cs="Arial" w:eastAsia="Arial" w:hAnsi="Arial"/>
          <w:sz w:val="18"/>
          <w:szCs w:val="18"/>
          <w:color w:val="auto"/>
        </w:rPr>
        <w:t xml:space="preserve"> to ACIU against payment of the P</w:t>
      </w:r>
      <w:r>
        <w:rPr>
          <w:rFonts w:ascii="Arial" w:cs="Arial" w:eastAsia="Arial" w:hAnsi="Arial"/>
          <w:sz w:val="12"/>
          <w:szCs w:val="12"/>
          <w:color w:val="auto"/>
        </w:rPr>
        <w:t>URCHASE</w:t>
      </w:r>
      <w:r>
        <w:rPr>
          <w:rFonts w:ascii="Arial" w:cs="Arial" w:eastAsia="Arial" w:hAnsi="Arial"/>
          <w:sz w:val="18"/>
          <w:szCs w:val="18"/>
          <w:color w:val="auto"/>
        </w:rPr>
        <w:t xml:space="preserve"> P</w:t>
      </w:r>
      <w:r>
        <w:rPr>
          <w:rFonts w:ascii="Arial" w:cs="Arial" w:eastAsia="Arial" w:hAnsi="Arial"/>
          <w:sz w:val="12"/>
          <w:szCs w:val="12"/>
          <w:color w:val="auto"/>
        </w:rPr>
        <w:t>RICE</w:t>
      </w:r>
      <w:r>
        <w:rPr>
          <w:rFonts w:ascii="Arial" w:cs="Arial" w:eastAsia="Arial" w:hAnsi="Arial"/>
          <w:sz w:val="18"/>
          <w:szCs w:val="18"/>
          <w:color w:val="auto"/>
        </w:rPr>
        <w:t xml:space="preserve"> (i.e. the registration of the capital increase regarding the subscribed ACIU S</w:t>
      </w:r>
      <w:r>
        <w:rPr>
          <w:rFonts w:ascii="Arial" w:cs="Arial" w:eastAsia="Arial" w:hAnsi="Arial"/>
          <w:sz w:val="12"/>
          <w:szCs w:val="12"/>
          <w:color w:val="auto"/>
        </w:rPr>
        <w:t>HARES</w:t>
      </w:r>
      <w:r>
        <w:rPr>
          <w:rFonts w:ascii="Arial" w:cs="Arial" w:eastAsia="Arial" w:hAnsi="Arial"/>
          <w:sz w:val="18"/>
          <w:szCs w:val="18"/>
          <w:color w:val="auto"/>
        </w:rPr>
        <w:t xml:space="preserve"> by A</w:t>
      </w:r>
      <w:r>
        <w:rPr>
          <w:rFonts w:ascii="Arial" w:cs="Arial" w:eastAsia="Arial" w:hAnsi="Arial"/>
          <w:sz w:val="12"/>
          <w:szCs w:val="12"/>
          <w:color w:val="auto"/>
        </w:rPr>
        <w:t>FFIRIS</w:t>
      </w:r>
      <w:r>
        <w:rPr>
          <w:rFonts w:ascii="Arial" w:cs="Arial" w:eastAsia="Arial" w:hAnsi="Arial"/>
          <w:sz w:val="18"/>
          <w:szCs w:val="18"/>
          <w:color w:val="auto"/>
        </w:rPr>
        <w:t xml:space="preserve"> in the commercial registry of the Canton of Vaud) pursuant to this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w:t>
      </w:r>
      <w:r>
        <w:rPr>
          <w:rFonts w:ascii="Arial" w:cs="Arial" w:eastAsia="Arial" w:hAnsi="Arial"/>
          <w:sz w:val="12"/>
          <w:szCs w:val="12"/>
          <w:b w:val="1"/>
          <w:bCs w:val="1"/>
          <w:color w:val="auto"/>
        </w:rPr>
        <w:t>RANSFERRED</w:t>
      </w:r>
      <w:r>
        <w:rPr>
          <w:rFonts w:ascii="Arial" w:cs="Arial" w:eastAsia="Arial" w:hAnsi="Arial"/>
          <w:sz w:val="18"/>
          <w:szCs w:val="18"/>
          <w:color w:val="auto"/>
        </w:rPr>
        <w:t xml:space="preserve"> </w:t>
      </w:r>
      <w:r>
        <w:rPr>
          <w:rFonts w:ascii="Arial" w:cs="Arial" w:eastAsia="Arial" w:hAnsi="Arial"/>
          <w:sz w:val="18"/>
          <w:szCs w:val="18"/>
          <w:b w:val="1"/>
          <w:bCs w:val="1"/>
          <w:color w:val="auto"/>
        </w:rPr>
        <w:t>A</w:t>
      </w:r>
      <w:r>
        <w:rPr>
          <w:rFonts w:ascii="Arial" w:cs="Arial" w:eastAsia="Arial" w:hAnsi="Arial"/>
          <w:sz w:val="12"/>
          <w:szCs w:val="12"/>
          <w:b w:val="1"/>
          <w:bCs w:val="1"/>
          <w:color w:val="auto"/>
        </w:rPr>
        <w:t>SSETS</w:t>
      </w:r>
      <w:r>
        <w:rPr>
          <w:rFonts w:ascii="Arial" w:cs="Arial" w:eastAsia="Arial" w:hAnsi="Arial"/>
          <w:sz w:val="18"/>
          <w:szCs w:val="18"/>
          <w:color w:val="auto"/>
        </w:rPr>
        <w:t>" means any asset related to the P</w:t>
      </w:r>
      <w:r>
        <w:rPr>
          <w:rFonts w:ascii="Arial" w:cs="Arial" w:eastAsia="Arial" w:hAnsi="Arial"/>
          <w:sz w:val="12"/>
          <w:szCs w:val="12"/>
          <w:color w:val="auto"/>
        </w:rPr>
        <w:t>ROGRAMS</w:t>
      </w:r>
      <w:r>
        <w:rPr>
          <w:rFonts w:ascii="Arial" w:cs="Arial" w:eastAsia="Arial" w:hAnsi="Arial"/>
          <w:sz w:val="18"/>
          <w:szCs w:val="18"/>
          <w:color w:val="auto"/>
        </w:rPr>
        <w:t>, consisting of:</w:t>
      </w:r>
    </w:p>
    <w:p>
      <w:pPr>
        <w:spacing w:after="0" w:line="220" w:lineRule="exact"/>
        <w:rPr>
          <w:sz w:val="20"/>
          <w:szCs w:val="20"/>
          <w:color w:val="auto"/>
        </w:rPr>
      </w:pPr>
    </w:p>
    <w:p>
      <w:pPr>
        <w:ind w:left="1180" w:hanging="644"/>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assets as set forth or contained in the R</w:t>
      </w:r>
      <w:r>
        <w:rPr>
          <w:rFonts w:ascii="Arial" w:cs="Arial" w:eastAsia="Arial" w:hAnsi="Arial"/>
          <w:sz w:val="12"/>
          <w:szCs w:val="12"/>
          <w:color w:val="auto"/>
        </w:rPr>
        <w:t>ECORDS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1180" w:hanging="644"/>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other assets acquired on the account of or created in relation to the P</w:t>
      </w:r>
      <w:r>
        <w:rPr>
          <w:rFonts w:ascii="Arial" w:cs="Arial" w:eastAsia="Arial" w:hAnsi="Arial"/>
          <w:sz w:val="12"/>
          <w:szCs w:val="12"/>
          <w:color w:val="auto"/>
        </w:rPr>
        <w:t>ROGRAMS</w:t>
      </w:r>
      <w:r>
        <w:rPr>
          <w:rFonts w:ascii="Arial" w:cs="Arial" w:eastAsia="Arial" w:hAnsi="Arial"/>
          <w:sz w:val="18"/>
          <w:szCs w:val="18"/>
          <w:color w:val="auto"/>
        </w:rPr>
        <w:t xml:space="preserve"> or otherwise belonging to the P</w:t>
      </w:r>
      <w:r>
        <w:rPr>
          <w:rFonts w:ascii="Arial" w:cs="Arial" w:eastAsia="Arial" w:hAnsi="Arial"/>
          <w:sz w:val="12"/>
          <w:szCs w:val="12"/>
          <w:color w:val="auto"/>
        </w:rPr>
        <w:t>ROGRAMS</w:t>
      </w:r>
      <w:r>
        <w:rPr>
          <w:rFonts w:ascii="Arial" w:cs="Arial" w:eastAsia="Arial" w:hAnsi="Arial"/>
          <w:sz w:val="18"/>
          <w:szCs w:val="18"/>
          <w:color w:val="auto"/>
        </w:rPr>
        <w:t>; and</w:t>
      </w:r>
    </w:p>
    <w:p>
      <w:pPr>
        <w:spacing w:after="0" w:line="198" w:lineRule="exact"/>
        <w:rPr>
          <w:rFonts w:ascii="Arial" w:cs="Arial" w:eastAsia="Arial" w:hAnsi="Arial"/>
          <w:sz w:val="18"/>
          <w:szCs w:val="18"/>
          <w:color w:val="auto"/>
        </w:rPr>
      </w:pPr>
    </w:p>
    <w:p>
      <w:pPr>
        <w:ind w:left="1180" w:hanging="644"/>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currently unknown claims of A</w:t>
      </w:r>
      <w:r>
        <w:rPr>
          <w:rFonts w:ascii="Arial" w:cs="Arial" w:eastAsia="Arial" w:hAnsi="Arial"/>
          <w:sz w:val="12"/>
          <w:szCs w:val="12"/>
          <w:color w:val="auto"/>
        </w:rPr>
        <w:t>FFIRIS</w:t>
      </w:r>
      <w:r>
        <w:rPr>
          <w:rFonts w:ascii="Arial" w:cs="Arial" w:eastAsia="Arial" w:hAnsi="Arial"/>
          <w:sz w:val="18"/>
          <w:szCs w:val="18"/>
          <w:color w:val="auto"/>
        </w:rPr>
        <w:t xml:space="preserve"> against a T</w:t>
      </w:r>
      <w:r>
        <w:rPr>
          <w:rFonts w:ascii="Arial" w:cs="Arial" w:eastAsia="Arial" w:hAnsi="Arial"/>
          <w:sz w:val="12"/>
          <w:szCs w:val="12"/>
          <w:color w:val="auto"/>
        </w:rPr>
        <w:t>HIRD</w:t>
      </w:r>
      <w:r>
        <w:rPr>
          <w:rFonts w:ascii="Arial" w:cs="Arial" w:eastAsia="Arial" w:hAnsi="Arial"/>
          <w:sz w:val="18"/>
          <w:szCs w:val="18"/>
          <w:color w:val="auto"/>
        </w:rPr>
        <w:t xml:space="preserve"> P</w:t>
      </w:r>
      <w:r>
        <w:rPr>
          <w:rFonts w:ascii="Arial" w:cs="Arial" w:eastAsia="Arial" w:hAnsi="Arial"/>
          <w:sz w:val="12"/>
          <w:szCs w:val="12"/>
          <w:color w:val="auto"/>
        </w:rPr>
        <w:t>ARTY</w:t>
      </w:r>
      <w:r>
        <w:rPr>
          <w:rFonts w:ascii="Arial" w:cs="Arial" w:eastAsia="Arial" w:hAnsi="Arial"/>
          <w:sz w:val="18"/>
          <w:szCs w:val="18"/>
          <w:color w:val="auto"/>
        </w:rPr>
        <w:t xml:space="preserve"> having their origin within the P</w:t>
      </w:r>
      <w:r>
        <w:rPr>
          <w:rFonts w:ascii="Arial" w:cs="Arial" w:eastAsia="Arial" w:hAnsi="Arial"/>
          <w:sz w:val="12"/>
          <w:szCs w:val="12"/>
          <w:color w:val="auto"/>
        </w:rPr>
        <w:t>ROGRAMS</w:t>
      </w:r>
      <w:r>
        <w:rPr>
          <w:rFonts w:ascii="Arial" w:cs="Arial" w:eastAsia="Arial" w:hAnsi="Arial"/>
          <w:sz w:val="18"/>
          <w:szCs w:val="18"/>
          <w:color w:val="auto"/>
        </w:rPr>
        <w:t>.</w:t>
      </w:r>
    </w:p>
    <w:p>
      <w:pPr>
        <w:spacing w:after="0" w:line="176" w:lineRule="exact"/>
        <w:rPr>
          <w:sz w:val="20"/>
          <w:szCs w:val="20"/>
          <w:color w:val="auto"/>
        </w:rPr>
      </w:pPr>
    </w:p>
    <w:p>
      <w:pPr>
        <w:jc w:val="both"/>
        <w:ind w:left="540"/>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w:t>
      </w:r>
      <w:r>
        <w:rPr>
          <w:rFonts w:ascii="Arial" w:cs="Arial" w:eastAsia="Arial" w:hAnsi="Arial"/>
          <w:sz w:val="12"/>
          <w:szCs w:val="12"/>
          <w:b w:val="1"/>
          <w:bCs w:val="1"/>
          <w:color w:val="auto"/>
        </w:rPr>
        <w:t>ACCINE</w:t>
      </w:r>
      <w:r>
        <w:rPr>
          <w:rFonts w:ascii="Arial" w:cs="Arial" w:eastAsia="Arial" w:hAnsi="Arial"/>
          <w:sz w:val="18"/>
          <w:szCs w:val="18"/>
          <w:color w:val="auto"/>
        </w:rPr>
        <w:t>" means any peptide comprising a fragment of T</w:t>
      </w:r>
      <w:r>
        <w:rPr>
          <w:rFonts w:ascii="Arial" w:cs="Arial" w:eastAsia="Arial" w:hAnsi="Arial"/>
          <w:sz w:val="12"/>
          <w:szCs w:val="12"/>
          <w:color w:val="auto"/>
        </w:rPr>
        <w:t>ARGETS</w:t>
      </w:r>
      <w:r>
        <w:rPr>
          <w:rFonts w:ascii="Arial" w:cs="Arial" w:eastAsia="Arial" w:hAnsi="Arial"/>
          <w:sz w:val="18"/>
          <w:szCs w:val="18"/>
          <w:color w:val="auto"/>
        </w:rPr>
        <w:t>, or a portion thereof (such as an epitope or fragment thereof), including as well derivatives such as DNA analogues, variants, modifications, and/or mimotopes which can exhibit various percentage of sequence identity with natural peptides derived from T</w:t>
      </w:r>
      <w:r>
        <w:rPr>
          <w:rFonts w:ascii="Arial" w:cs="Arial" w:eastAsia="Arial" w:hAnsi="Arial"/>
          <w:sz w:val="12"/>
          <w:szCs w:val="12"/>
          <w:color w:val="auto"/>
        </w:rPr>
        <w:t>ARGETS</w:t>
      </w:r>
      <w:r>
        <w:rPr>
          <w:rFonts w:ascii="Arial" w:cs="Arial" w:eastAsia="Arial" w:hAnsi="Arial"/>
          <w:sz w:val="18"/>
          <w:szCs w:val="18"/>
          <w:color w:val="auto"/>
        </w:rPr>
        <w:t>, or a combination thereof or with other antigenic structures whatsoever, and any additional modifications to the peptide including but not limited to attachment to and/or reconstitution into a carrier, with or without an adjuvant, that, upon administration, induces an immune response, such as antibody production or cellular immunity, against T</w:t>
      </w:r>
      <w:r>
        <w:rPr>
          <w:rFonts w:ascii="Arial" w:cs="Arial" w:eastAsia="Arial" w:hAnsi="Arial"/>
          <w:sz w:val="12"/>
          <w:szCs w:val="12"/>
          <w:color w:val="auto"/>
        </w:rPr>
        <w:t>ARGETS</w:t>
      </w:r>
      <w:r>
        <w:rPr>
          <w:rFonts w:ascii="Arial" w:cs="Arial" w:eastAsia="Arial" w:hAnsi="Arial"/>
          <w:sz w:val="18"/>
          <w:szCs w:val="18"/>
          <w:color w:val="auto"/>
        </w:rPr>
        <w:t>.</w:t>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VWAP</w:t>
      </w:r>
      <w:r>
        <w:rPr>
          <w:rFonts w:ascii="Arial" w:cs="Arial" w:eastAsia="Arial" w:hAnsi="Arial"/>
          <w:sz w:val="18"/>
          <w:szCs w:val="18"/>
          <w:color w:val="auto"/>
        </w:rPr>
        <w:t>" means Volume Weighted Average Price.</w:t>
      </w:r>
    </w:p>
    <w:p>
      <w:pPr>
        <w:spacing w:after="0" w:line="32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-1905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440" w:top="557" w:right="339" w:bottom="1440" w:gutter="0" w:footer="0" w:header="0"/>
        </w:sectPr>
      </w:pPr>
    </w:p>
    <w:bookmarkStart w:id="12" w:name="page13"/>
    <w:bookmarkEnd w:id="12"/>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Construction</w:t>
      </w:r>
    </w:p>
    <w:p>
      <w:pPr>
        <w:spacing w:after="0" w:line="220" w:lineRule="exact"/>
        <w:rPr>
          <w:rFonts w:ascii="Arial" w:cs="Arial" w:eastAsia="Arial" w:hAnsi="Arial"/>
          <w:sz w:val="18"/>
          <w:szCs w:val="18"/>
          <w:b w:val="1"/>
          <w:bCs w:val="1"/>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Unless a contrary indication appears, any reference in this Agreement to:</w:t>
      </w:r>
    </w:p>
    <w:p>
      <w:pPr>
        <w:spacing w:after="0" w:line="198" w:lineRule="exact"/>
        <w:rPr>
          <w:rFonts w:ascii="Arial" w:cs="Arial" w:eastAsia="Arial" w:hAnsi="Arial"/>
          <w:sz w:val="18"/>
          <w:szCs w:val="18"/>
          <w:color w:val="auto"/>
        </w:rPr>
      </w:pPr>
    </w:p>
    <w:p>
      <w:pPr>
        <w:ind w:left="1300" w:hanging="644"/>
        <w:spacing w:after="0" w:line="246"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 "person" includes any individual, company, corporation, firm, partnership, joint venture, association, organization, trust or agency (in each case, whether or not having separate legal personality);</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"including" means including without limitation;</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 provision of law is a reference to that provision as amended;</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 German term in italics is a reference to a legal term or concept under Swiss or Austrian law;</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 time of day is a reference to Swiss time; and</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singular also includes plural and vice versa.</w:t>
      </w:r>
    </w:p>
    <w:p>
      <w:pPr>
        <w:spacing w:after="0" w:line="176"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Object of Purchase: Transfer of the P</w:t>
      </w:r>
      <w:r>
        <w:rPr>
          <w:rFonts w:ascii="Arial" w:cs="Arial" w:eastAsia="Arial" w:hAnsi="Arial"/>
          <w:sz w:val="12"/>
          <w:szCs w:val="12"/>
          <w:b w:val="1"/>
          <w:bCs w:val="1"/>
          <w:color w:val="auto"/>
        </w:rPr>
        <w:t>ROGRAMS</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7"/>
          <w:szCs w:val="17"/>
          <w:b w:val="1"/>
          <w:bCs w:val="1"/>
          <w:color w:val="auto"/>
        </w:rPr>
        <w:t>General provision</w:t>
      </w:r>
    </w:p>
    <w:p>
      <w:pPr>
        <w:spacing w:after="0" w:line="220" w:lineRule="exact"/>
        <w:rPr>
          <w:sz w:val="20"/>
          <w:szCs w:val="20"/>
          <w:color w:val="auto"/>
        </w:rPr>
      </w:pPr>
    </w:p>
    <w:p>
      <w:pPr>
        <w:jc w:val="both"/>
        <w:ind w:left="660" w:hanging="652"/>
        <w:spacing w:after="0" w:line="23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Effective on the E</w:t>
      </w:r>
      <w:r>
        <w:rPr>
          <w:rFonts w:ascii="Arial" w:cs="Arial" w:eastAsia="Arial" w:hAnsi="Arial"/>
          <w:sz w:val="12"/>
          <w:szCs w:val="12"/>
          <w:color w:val="auto"/>
        </w:rPr>
        <w:t>FFECTIVE</w:t>
      </w:r>
      <w:r>
        <w:rPr>
          <w:rFonts w:ascii="Arial" w:cs="Arial" w:eastAsia="Arial" w:hAnsi="Arial"/>
          <w:sz w:val="18"/>
          <w:szCs w:val="18"/>
          <w:color w:val="auto"/>
        </w:rPr>
        <w:t xml:space="preserve"> D</w:t>
      </w:r>
      <w:r>
        <w:rPr>
          <w:rFonts w:ascii="Arial" w:cs="Arial" w:eastAsia="Arial" w:hAnsi="Arial"/>
          <w:sz w:val="12"/>
          <w:szCs w:val="12"/>
          <w:color w:val="auto"/>
        </w:rPr>
        <w:t>ATE</w:t>
      </w:r>
      <w:r>
        <w:rPr>
          <w:rFonts w:ascii="Arial" w:cs="Arial" w:eastAsia="Arial" w:hAnsi="Arial"/>
          <w:sz w:val="18"/>
          <w:szCs w:val="18"/>
          <w:color w:val="auto"/>
        </w:rPr>
        <w:t xml:space="preserve"> and subject to the terms and conditions of this A</w:t>
      </w:r>
      <w:r>
        <w:rPr>
          <w:rFonts w:ascii="Arial" w:cs="Arial" w:eastAsia="Arial" w:hAnsi="Arial"/>
          <w:sz w:val="12"/>
          <w:szCs w:val="12"/>
          <w:color w:val="auto"/>
        </w:rPr>
        <w:t>GREEMENT</w:t>
      </w:r>
      <w:r>
        <w:rPr>
          <w:rFonts w:ascii="Arial" w:cs="Arial" w:eastAsia="Arial" w:hAnsi="Arial"/>
          <w:sz w:val="18"/>
          <w:szCs w:val="18"/>
          <w:color w:val="auto"/>
        </w:rPr>
        <w:t>, A</w:t>
      </w:r>
      <w:r>
        <w:rPr>
          <w:rFonts w:ascii="Arial" w:cs="Arial" w:eastAsia="Arial" w:hAnsi="Arial"/>
          <w:sz w:val="12"/>
          <w:szCs w:val="12"/>
          <w:color w:val="auto"/>
        </w:rPr>
        <w:t>FFIRIS</w:t>
      </w:r>
      <w:r>
        <w:rPr>
          <w:rFonts w:ascii="Arial" w:cs="Arial" w:eastAsia="Arial" w:hAnsi="Arial"/>
          <w:sz w:val="18"/>
          <w:szCs w:val="18"/>
          <w:color w:val="auto"/>
        </w:rPr>
        <w:t xml:space="preserve"> undertakes to contribute and transfer the P</w:t>
      </w:r>
      <w:r>
        <w:rPr>
          <w:rFonts w:ascii="Arial" w:cs="Arial" w:eastAsia="Arial" w:hAnsi="Arial"/>
          <w:sz w:val="12"/>
          <w:szCs w:val="12"/>
          <w:color w:val="auto"/>
        </w:rPr>
        <w:t>ROGRAMS</w:t>
      </w:r>
      <w:r>
        <w:rPr>
          <w:rFonts w:ascii="Arial" w:cs="Arial" w:eastAsia="Arial" w:hAnsi="Arial"/>
          <w:sz w:val="18"/>
          <w:szCs w:val="18"/>
          <w:color w:val="auto"/>
        </w:rPr>
        <w:t xml:space="preserve"> as evidenced by the R</w:t>
      </w:r>
      <w:r>
        <w:rPr>
          <w:rFonts w:ascii="Arial" w:cs="Arial" w:eastAsia="Arial" w:hAnsi="Arial"/>
          <w:sz w:val="12"/>
          <w:szCs w:val="12"/>
          <w:color w:val="auto"/>
        </w:rPr>
        <w:t>ECORDS</w:t>
      </w:r>
      <w:r>
        <w:rPr>
          <w:rFonts w:ascii="Arial" w:cs="Arial" w:eastAsia="Arial" w:hAnsi="Arial"/>
          <w:sz w:val="18"/>
          <w:szCs w:val="18"/>
          <w:color w:val="auto"/>
        </w:rPr>
        <w:t>, consisting of the T</w:t>
      </w:r>
      <w:r>
        <w:rPr>
          <w:rFonts w:ascii="Arial" w:cs="Arial" w:eastAsia="Arial" w:hAnsi="Arial"/>
          <w:sz w:val="12"/>
          <w:szCs w:val="12"/>
          <w:color w:val="auto"/>
        </w:rPr>
        <w:t>RANSFERRED</w:t>
      </w:r>
      <w:r>
        <w:rPr>
          <w:rFonts w:ascii="Arial" w:cs="Arial" w:eastAsia="Arial" w:hAnsi="Arial"/>
          <w:sz w:val="18"/>
          <w:szCs w:val="18"/>
          <w:color w:val="auto"/>
        </w:rPr>
        <w:t xml:space="preserve"> A</w:t>
      </w:r>
      <w:r>
        <w:rPr>
          <w:rFonts w:ascii="Arial" w:cs="Arial" w:eastAsia="Arial" w:hAnsi="Arial"/>
          <w:sz w:val="12"/>
          <w:szCs w:val="12"/>
          <w:color w:val="auto"/>
        </w:rPr>
        <w:t>SSETS</w:t>
      </w:r>
      <w:r>
        <w:rPr>
          <w:rFonts w:ascii="Arial" w:cs="Arial" w:eastAsia="Arial" w:hAnsi="Arial"/>
          <w:sz w:val="18"/>
          <w:szCs w:val="18"/>
          <w:color w:val="auto"/>
        </w:rPr>
        <w:t xml:space="preserve"> plus a cash contribution of US$ 5'000'000.00 ("</w:t>
      </w:r>
      <w:r>
        <w:rPr>
          <w:rFonts w:ascii="Arial" w:cs="Arial" w:eastAsia="Arial" w:hAnsi="Arial"/>
          <w:sz w:val="18"/>
          <w:szCs w:val="18"/>
          <w:b w:val="1"/>
          <w:bCs w:val="1"/>
          <w:color w:val="auto"/>
        </w:rPr>
        <w:t>C</w:t>
      </w:r>
      <w:r>
        <w:rPr>
          <w:rFonts w:ascii="Arial" w:cs="Arial" w:eastAsia="Arial" w:hAnsi="Arial"/>
          <w:sz w:val="12"/>
          <w:szCs w:val="12"/>
          <w:b w:val="1"/>
          <w:bCs w:val="1"/>
          <w:color w:val="auto"/>
        </w:rPr>
        <w:t>ASH</w:t>
      </w:r>
      <w:r>
        <w:rPr>
          <w:rFonts w:ascii="Arial" w:cs="Arial" w:eastAsia="Arial" w:hAnsi="Arial"/>
          <w:sz w:val="18"/>
          <w:szCs w:val="18"/>
          <w:color w:val="auto"/>
        </w:rPr>
        <w:t>") to ACIU. ACIU undertakes to take ownership over the P</w:t>
      </w:r>
      <w:r>
        <w:rPr>
          <w:rFonts w:ascii="Arial" w:cs="Arial" w:eastAsia="Arial" w:hAnsi="Arial"/>
          <w:sz w:val="12"/>
          <w:szCs w:val="12"/>
          <w:color w:val="auto"/>
        </w:rPr>
        <w:t>ROGRAMS</w:t>
      </w:r>
      <w:r>
        <w:rPr>
          <w:rFonts w:ascii="Arial" w:cs="Arial" w:eastAsia="Arial" w:hAnsi="Arial"/>
          <w:sz w:val="18"/>
          <w:szCs w:val="18"/>
          <w:color w:val="auto"/>
        </w:rPr>
        <w:t xml:space="preserve"> and the C</w:t>
      </w:r>
      <w:r>
        <w:rPr>
          <w:rFonts w:ascii="Arial" w:cs="Arial" w:eastAsia="Arial" w:hAnsi="Arial"/>
          <w:sz w:val="12"/>
          <w:szCs w:val="12"/>
          <w:color w:val="auto"/>
        </w:rPr>
        <w:t>ASH</w:t>
      </w:r>
      <w:r>
        <w:rPr>
          <w:rFonts w:ascii="Arial" w:cs="Arial" w:eastAsia="Arial" w:hAnsi="Arial"/>
          <w:sz w:val="18"/>
          <w:szCs w:val="18"/>
          <w:color w:val="auto"/>
        </w:rPr>
        <w:t>, in particular, to accept all legal and non-legal relationships transferred hereunder. Except as otherwise specified in this S</w:t>
      </w:r>
      <w:r>
        <w:rPr>
          <w:rFonts w:ascii="Arial" w:cs="Arial" w:eastAsia="Arial" w:hAnsi="Arial"/>
          <w:sz w:val="12"/>
          <w:szCs w:val="12"/>
          <w:color w:val="auto"/>
        </w:rPr>
        <w:t>ECTION</w:t>
      </w:r>
      <w:r>
        <w:rPr>
          <w:rFonts w:ascii="Arial" w:cs="Arial" w:eastAsia="Arial" w:hAnsi="Arial"/>
          <w:sz w:val="18"/>
          <w:szCs w:val="18"/>
          <w:color w:val="auto"/>
        </w:rPr>
        <w:t xml:space="preserve"> 3, A</w:t>
      </w:r>
      <w:r>
        <w:rPr>
          <w:rFonts w:ascii="Arial" w:cs="Arial" w:eastAsia="Arial" w:hAnsi="Arial"/>
          <w:sz w:val="12"/>
          <w:szCs w:val="12"/>
          <w:color w:val="auto"/>
        </w:rPr>
        <w:t>FFIRIS</w:t>
      </w:r>
      <w:r>
        <w:rPr>
          <w:rFonts w:ascii="Arial" w:cs="Arial" w:eastAsia="Arial" w:hAnsi="Arial"/>
          <w:sz w:val="18"/>
          <w:szCs w:val="18"/>
          <w:color w:val="auto"/>
        </w:rPr>
        <w:t xml:space="preserve"> hereby assigns and transfers with effect as of C</w:t>
      </w:r>
      <w:r>
        <w:rPr>
          <w:rFonts w:ascii="Arial" w:cs="Arial" w:eastAsia="Arial" w:hAnsi="Arial"/>
          <w:sz w:val="12"/>
          <w:szCs w:val="12"/>
          <w:color w:val="auto"/>
        </w:rPr>
        <w:t>LOSING</w:t>
      </w:r>
      <w:r>
        <w:rPr>
          <w:rFonts w:ascii="Arial" w:cs="Arial" w:eastAsia="Arial" w:hAnsi="Arial"/>
          <w:sz w:val="18"/>
          <w:szCs w:val="18"/>
          <w:color w:val="auto"/>
        </w:rPr>
        <w:t xml:space="preserve"> all T</w:t>
      </w:r>
      <w:r>
        <w:rPr>
          <w:rFonts w:ascii="Arial" w:cs="Arial" w:eastAsia="Arial" w:hAnsi="Arial"/>
          <w:sz w:val="12"/>
          <w:szCs w:val="12"/>
          <w:color w:val="auto"/>
        </w:rPr>
        <w:t>RANSFERRED</w:t>
      </w:r>
      <w:r>
        <w:rPr>
          <w:rFonts w:ascii="Arial" w:cs="Arial" w:eastAsia="Arial" w:hAnsi="Arial"/>
          <w:sz w:val="18"/>
          <w:szCs w:val="18"/>
          <w:color w:val="auto"/>
        </w:rPr>
        <w:t xml:space="preserve"> A</w:t>
      </w:r>
      <w:r>
        <w:rPr>
          <w:rFonts w:ascii="Arial" w:cs="Arial" w:eastAsia="Arial" w:hAnsi="Arial"/>
          <w:sz w:val="12"/>
          <w:szCs w:val="12"/>
          <w:color w:val="auto"/>
        </w:rPr>
        <w:t>SSETS</w:t>
      </w:r>
      <w:r>
        <w:rPr>
          <w:rFonts w:ascii="Arial" w:cs="Arial" w:eastAsia="Arial" w:hAnsi="Arial"/>
          <w:sz w:val="18"/>
          <w:szCs w:val="18"/>
          <w:color w:val="auto"/>
        </w:rPr>
        <w:t xml:space="preserve"> belonging to the P</w:t>
      </w:r>
      <w:r>
        <w:rPr>
          <w:rFonts w:ascii="Arial" w:cs="Arial" w:eastAsia="Arial" w:hAnsi="Arial"/>
          <w:sz w:val="12"/>
          <w:szCs w:val="12"/>
          <w:color w:val="auto"/>
        </w:rPr>
        <w:t>ROGRAMS</w:t>
      </w:r>
      <w:r>
        <w:rPr>
          <w:rFonts w:ascii="Arial" w:cs="Arial" w:eastAsia="Arial" w:hAnsi="Arial"/>
          <w:sz w:val="18"/>
          <w:szCs w:val="18"/>
          <w:color w:val="auto"/>
        </w:rPr>
        <w:t xml:space="preserve"> as evidenced in the R</w:t>
      </w:r>
      <w:r>
        <w:rPr>
          <w:rFonts w:ascii="Arial" w:cs="Arial" w:eastAsia="Arial" w:hAnsi="Arial"/>
          <w:sz w:val="12"/>
          <w:szCs w:val="12"/>
          <w:color w:val="auto"/>
        </w:rPr>
        <w:t>ECORDS</w:t>
      </w:r>
      <w:r>
        <w:rPr>
          <w:rFonts w:ascii="Arial" w:cs="Arial" w:eastAsia="Arial" w:hAnsi="Arial"/>
          <w:sz w:val="18"/>
          <w:szCs w:val="18"/>
          <w:color w:val="auto"/>
        </w:rPr>
        <w:t>.</w:t>
      </w:r>
    </w:p>
    <w:p>
      <w:pPr>
        <w:spacing w:after="0" w:line="171" w:lineRule="exact"/>
        <w:rPr>
          <w:sz w:val="20"/>
          <w:szCs w:val="20"/>
          <w:color w:val="auto"/>
        </w:rPr>
      </w:pPr>
    </w:p>
    <w:p>
      <w:pPr>
        <w:jc w:val="both"/>
        <w:ind w:left="660" w:hanging="652"/>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w:t>
      </w:r>
      <w:r>
        <w:rPr>
          <w:rFonts w:ascii="Arial" w:cs="Arial" w:eastAsia="Arial" w:hAnsi="Arial"/>
          <w:sz w:val="12"/>
          <w:szCs w:val="12"/>
          <w:color w:val="auto"/>
        </w:rPr>
        <w:t>ARTIES</w:t>
      </w:r>
      <w:r>
        <w:rPr>
          <w:rFonts w:ascii="Arial" w:cs="Arial" w:eastAsia="Arial" w:hAnsi="Arial"/>
          <w:sz w:val="18"/>
          <w:szCs w:val="18"/>
          <w:color w:val="auto"/>
        </w:rPr>
        <w:t xml:space="preserve"> agree that no active business (</w:t>
      </w:r>
      <w:r>
        <w:rPr>
          <w:rFonts w:ascii="Arial" w:cs="Arial" w:eastAsia="Arial" w:hAnsi="Arial"/>
          <w:sz w:val="18"/>
          <w:szCs w:val="18"/>
          <w:i w:val="1"/>
          <w:iCs w:val="1"/>
          <w:color w:val="auto"/>
        </w:rPr>
        <w:t>Betrieb</w:t>
      </w:r>
      <w:r>
        <w:rPr>
          <w:rFonts w:ascii="Arial" w:cs="Arial" w:eastAsia="Arial" w:hAnsi="Arial"/>
          <w:sz w:val="18"/>
          <w:szCs w:val="18"/>
          <w:color w:val="auto"/>
        </w:rPr>
        <w:t>) or parts thereof (</w:t>
      </w:r>
      <w:r>
        <w:rPr>
          <w:rFonts w:ascii="Arial" w:cs="Arial" w:eastAsia="Arial" w:hAnsi="Arial"/>
          <w:sz w:val="18"/>
          <w:szCs w:val="18"/>
          <w:i w:val="1"/>
          <w:iCs w:val="1"/>
          <w:color w:val="auto"/>
        </w:rPr>
        <w:t>Teilbetrieb</w:t>
      </w:r>
      <w:r>
        <w:rPr>
          <w:rFonts w:ascii="Arial" w:cs="Arial" w:eastAsia="Arial" w:hAnsi="Arial"/>
          <w:sz w:val="18"/>
          <w:szCs w:val="18"/>
          <w:color w:val="auto"/>
        </w:rPr>
        <w:t>) or independent sub-unit or parts thereof and no known or unknown liabilities or obligations (whether contingent or actual) are transferred hereunder unless such transfer of liabilities or obligations is explicitly foreseen in this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15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7"/>
          <w:szCs w:val="17"/>
          <w:b w:val="1"/>
          <w:bCs w:val="1"/>
          <w:color w:val="auto"/>
        </w:rPr>
        <w:t>Transfer of Assets</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3.2.1</w:t>
      </w:r>
      <w:r>
        <w:rPr>
          <w:sz w:val="20"/>
          <w:szCs w:val="20"/>
          <w:color w:val="auto"/>
        </w:rPr>
        <w:tab/>
      </w:r>
      <w:r>
        <w:rPr>
          <w:rFonts w:ascii="Arial" w:cs="Arial" w:eastAsia="Arial" w:hAnsi="Arial"/>
          <w:sz w:val="17"/>
          <w:szCs w:val="17"/>
          <w:b w:val="1"/>
          <w:bCs w:val="1"/>
          <w:color w:val="auto"/>
        </w:rPr>
        <w:t>Transfer of IP</w:t>
      </w:r>
    </w:p>
    <w:p>
      <w:pPr>
        <w:spacing w:after="0" w:line="220" w:lineRule="exact"/>
        <w:rPr>
          <w:sz w:val="20"/>
          <w:szCs w:val="20"/>
          <w:color w:val="auto"/>
        </w:rPr>
      </w:pPr>
    </w:p>
    <w:p>
      <w:pPr>
        <w:jc w:val="both"/>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2"/>
          <w:szCs w:val="12"/>
          <w:color w:val="auto"/>
        </w:rPr>
        <w:t>FFIRIS</w:t>
      </w:r>
      <w:r>
        <w:rPr>
          <w:rFonts w:ascii="Arial" w:cs="Arial" w:eastAsia="Arial" w:hAnsi="Arial"/>
          <w:sz w:val="18"/>
          <w:szCs w:val="18"/>
          <w:color w:val="auto"/>
        </w:rPr>
        <w:t xml:space="preserve"> shall transfer, and hereby assigns and transfers with effect as of C</w:t>
      </w:r>
      <w:r>
        <w:rPr>
          <w:rFonts w:ascii="Arial" w:cs="Arial" w:eastAsia="Arial" w:hAnsi="Arial"/>
          <w:sz w:val="12"/>
          <w:szCs w:val="12"/>
          <w:color w:val="auto"/>
        </w:rPr>
        <w:t>LOSING</w:t>
      </w:r>
      <w:r>
        <w:rPr>
          <w:rFonts w:ascii="Arial" w:cs="Arial" w:eastAsia="Arial" w:hAnsi="Arial"/>
          <w:sz w:val="18"/>
          <w:szCs w:val="18"/>
          <w:color w:val="auto"/>
        </w:rPr>
        <w:t>, but conditional upon the P</w:t>
      </w:r>
      <w:r>
        <w:rPr>
          <w:rFonts w:ascii="Arial" w:cs="Arial" w:eastAsia="Arial" w:hAnsi="Arial"/>
          <w:sz w:val="12"/>
          <w:szCs w:val="12"/>
          <w:color w:val="auto"/>
        </w:rPr>
        <w:t>URCHASE</w:t>
      </w:r>
      <w:r>
        <w:rPr>
          <w:rFonts w:ascii="Arial" w:cs="Arial" w:eastAsia="Arial" w:hAnsi="Arial"/>
          <w:sz w:val="18"/>
          <w:szCs w:val="18"/>
          <w:color w:val="auto"/>
        </w:rPr>
        <w:t xml:space="preserve"> P</w:t>
      </w:r>
      <w:r>
        <w:rPr>
          <w:rFonts w:ascii="Arial" w:cs="Arial" w:eastAsia="Arial" w:hAnsi="Arial"/>
          <w:sz w:val="12"/>
          <w:szCs w:val="12"/>
          <w:color w:val="auto"/>
        </w:rPr>
        <w:t>RICE</w:t>
      </w:r>
      <w:r>
        <w:rPr>
          <w:rFonts w:ascii="Arial" w:cs="Arial" w:eastAsia="Arial" w:hAnsi="Arial"/>
          <w:sz w:val="18"/>
          <w:szCs w:val="18"/>
          <w:color w:val="auto"/>
        </w:rPr>
        <w:t xml:space="preserve"> being delivered to A</w:t>
      </w:r>
      <w:r>
        <w:rPr>
          <w:rFonts w:ascii="Arial" w:cs="Arial" w:eastAsia="Arial" w:hAnsi="Arial"/>
          <w:sz w:val="12"/>
          <w:szCs w:val="12"/>
          <w:color w:val="auto"/>
        </w:rPr>
        <w:t>FFIRIS</w:t>
      </w:r>
      <w:r>
        <w:rPr>
          <w:rFonts w:ascii="Arial" w:cs="Arial" w:eastAsia="Arial" w:hAnsi="Arial"/>
          <w:sz w:val="18"/>
          <w:szCs w:val="18"/>
          <w:color w:val="auto"/>
        </w:rPr>
        <w:t xml:space="preserve"> (</w:t>
      </w:r>
      <w:r>
        <w:rPr>
          <w:rFonts w:ascii="Arial" w:cs="Arial" w:eastAsia="Arial" w:hAnsi="Arial"/>
          <w:sz w:val="18"/>
          <w:szCs w:val="18"/>
          <w:i w:val="1"/>
          <w:iCs w:val="1"/>
          <w:color w:val="auto"/>
        </w:rPr>
        <w:t>Resolutivbedingung</w:t>
      </w:r>
      <w:r>
        <w:rPr>
          <w:rFonts w:ascii="Arial" w:cs="Arial" w:eastAsia="Arial" w:hAnsi="Arial"/>
          <w:sz w:val="18"/>
          <w:szCs w:val="18"/>
          <w:color w:val="auto"/>
        </w:rPr>
        <w:t>), the ownership in any P</w:t>
      </w:r>
      <w:r>
        <w:rPr>
          <w:rFonts w:ascii="Arial" w:cs="Arial" w:eastAsia="Arial" w:hAnsi="Arial"/>
          <w:sz w:val="12"/>
          <w:szCs w:val="12"/>
          <w:color w:val="auto"/>
        </w:rPr>
        <w:t>ROGRAMS</w:t>
      </w:r>
      <w:r>
        <w:rPr>
          <w:rFonts w:ascii="Arial" w:cs="Arial" w:eastAsia="Arial" w:hAnsi="Arial"/>
          <w:sz w:val="18"/>
          <w:szCs w:val="18"/>
          <w:color w:val="auto"/>
        </w:rPr>
        <w:t xml:space="preserve"> IP as categorized in </w:t>
      </w:r>
      <w:r>
        <w:rPr>
          <w:rFonts w:ascii="Arial" w:cs="Arial" w:eastAsia="Arial" w:hAnsi="Arial"/>
          <w:sz w:val="18"/>
          <w:szCs w:val="18"/>
          <w:u w:val="single" w:color="auto"/>
          <w:color w:val="auto"/>
        </w:rPr>
        <w:t>A</w:t>
      </w:r>
      <w:r>
        <w:rPr>
          <w:rFonts w:ascii="Arial" w:cs="Arial" w:eastAsia="Arial" w:hAnsi="Arial"/>
          <w:sz w:val="12"/>
          <w:szCs w:val="12"/>
          <w:u w:val="single" w:color="auto"/>
          <w:color w:val="auto"/>
        </w:rPr>
        <w:t>NNEX</w:t>
      </w:r>
      <w:r>
        <w:rPr>
          <w:rFonts w:ascii="Arial" w:cs="Arial" w:eastAsia="Arial" w:hAnsi="Arial"/>
          <w:sz w:val="18"/>
          <w:szCs w:val="18"/>
          <w:color w:val="auto"/>
        </w:rPr>
        <w:t xml:space="preserve"> </w:t>
      </w:r>
      <w:r>
        <w:rPr>
          <w:rFonts w:ascii="Arial" w:cs="Arial" w:eastAsia="Arial" w:hAnsi="Arial"/>
          <w:sz w:val="18"/>
          <w:szCs w:val="18"/>
          <w:u w:val="single" w:color="auto"/>
          <w:color w:val="auto"/>
        </w:rPr>
        <w:t>1</w:t>
      </w:r>
      <w:r>
        <w:rPr>
          <w:rFonts w:ascii="Arial" w:cs="Arial" w:eastAsia="Arial" w:hAnsi="Arial"/>
          <w:sz w:val="18"/>
          <w:szCs w:val="18"/>
          <w:color w:val="auto"/>
        </w:rPr>
        <w:t xml:space="preserve"> and further evidenced in </w:t>
      </w:r>
      <w:r>
        <w:rPr>
          <w:rFonts w:ascii="Arial" w:cs="Arial" w:eastAsia="Arial" w:hAnsi="Arial"/>
          <w:sz w:val="18"/>
          <w:szCs w:val="18"/>
          <w:u w:val="single" w:color="auto"/>
          <w:color w:val="auto"/>
        </w:rPr>
        <w:t>A</w:t>
      </w:r>
      <w:r>
        <w:rPr>
          <w:rFonts w:ascii="Arial" w:cs="Arial" w:eastAsia="Arial" w:hAnsi="Arial"/>
          <w:sz w:val="12"/>
          <w:szCs w:val="12"/>
          <w:u w:val="single" w:color="auto"/>
          <w:color w:val="auto"/>
        </w:rPr>
        <w:t>NNEX</w:t>
      </w:r>
      <w:r>
        <w:rPr>
          <w:rFonts w:ascii="Arial" w:cs="Arial" w:eastAsia="Arial" w:hAnsi="Arial"/>
          <w:sz w:val="18"/>
          <w:szCs w:val="18"/>
          <w:color w:val="auto"/>
        </w:rPr>
        <w:t xml:space="preserve"> </w:t>
      </w:r>
      <w:r>
        <w:rPr>
          <w:rFonts w:ascii="Arial" w:cs="Arial" w:eastAsia="Arial" w:hAnsi="Arial"/>
          <w:sz w:val="18"/>
          <w:szCs w:val="18"/>
          <w:u w:val="single" w:color="auto"/>
          <w:color w:val="auto"/>
        </w:rPr>
        <w:t>2</w:t>
      </w:r>
      <w:r>
        <w:rPr>
          <w:rFonts w:ascii="Arial" w:cs="Arial" w:eastAsia="Arial" w:hAnsi="Arial"/>
          <w:sz w:val="18"/>
          <w:szCs w:val="18"/>
          <w:color w:val="auto"/>
        </w:rPr>
        <w:t xml:space="preserve"> to ACIU. The P</w:t>
      </w:r>
      <w:r>
        <w:rPr>
          <w:rFonts w:ascii="Arial" w:cs="Arial" w:eastAsia="Arial" w:hAnsi="Arial"/>
          <w:sz w:val="12"/>
          <w:szCs w:val="12"/>
          <w:color w:val="auto"/>
        </w:rPr>
        <w:t>ARTIES</w:t>
      </w:r>
      <w:r>
        <w:rPr>
          <w:rFonts w:ascii="Arial" w:cs="Arial" w:eastAsia="Arial" w:hAnsi="Arial"/>
          <w:sz w:val="18"/>
          <w:szCs w:val="18"/>
          <w:color w:val="auto"/>
        </w:rPr>
        <w:t xml:space="preserve"> may agree to evidence certain required transfers in separate assignment declarations for C</w:t>
      </w:r>
      <w:r>
        <w:rPr>
          <w:rFonts w:ascii="Arial" w:cs="Arial" w:eastAsia="Arial" w:hAnsi="Arial"/>
          <w:sz w:val="12"/>
          <w:szCs w:val="12"/>
          <w:color w:val="auto"/>
        </w:rPr>
        <w:t>LOSING</w:t>
      </w:r>
      <w:r>
        <w:rPr>
          <w:rFonts w:ascii="Arial" w:cs="Arial" w:eastAsia="Arial" w:hAnsi="Arial"/>
          <w:sz w:val="18"/>
          <w:szCs w:val="18"/>
          <w:color w:val="auto"/>
        </w:rPr>
        <w:t>.</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3.2.2</w:t>
      </w:r>
      <w:r>
        <w:rPr>
          <w:sz w:val="20"/>
          <w:szCs w:val="20"/>
          <w:color w:val="auto"/>
        </w:rPr>
        <w:tab/>
      </w:r>
      <w:r>
        <w:rPr>
          <w:rFonts w:ascii="Arial" w:cs="Arial" w:eastAsia="Arial" w:hAnsi="Arial"/>
          <w:sz w:val="17"/>
          <w:szCs w:val="17"/>
          <w:b w:val="1"/>
          <w:bCs w:val="1"/>
          <w:color w:val="auto"/>
        </w:rPr>
        <w:t>Transfer of Data, Documents, Information and Materials</w:t>
      </w:r>
    </w:p>
    <w:p>
      <w:pPr>
        <w:spacing w:after="0" w:line="220" w:lineRule="exact"/>
        <w:rPr>
          <w:sz w:val="20"/>
          <w:szCs w:val="20"/>
          <w:color w:val="auto"/>
        </w:rPr>
      </w:pPr>
    </w:p>
    <w:p>
      <w:pPr>
        <w:ind w:left="660" w:hanging="652"/>
        <w:spacing w:after="0" w:line="24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2"/>
          <w:szCs w:val="12"/>
          <w:color w:val="auto"/>
        </w:rPr>
        <w:t>FFIRIS</w:t>
      </w:r>
      <w:r>
        <w:rPr>
          <w:rFonts w:ascii="Arial" w:cs="Arial" w:eastAsia="Arial" w:hAnsi="Arial"/>
          <w:sz w:val="18"/>
          <w:szCs w:val="18"/>
          <w:color w:val="auto"/>
        </w:rPr>
        <w:t xml:space="preserve"> shall transfer all originals or true copies of the data, documents, information and materials related to the P</w:t>
      </w:r>
      <w:r>
        <w:rPr>
          <w:rFonts w:ascii="Arial" w:cs="Arial" w:eastAsia="Arial" w:hAnsi="Arial"/>
          <w:sz w:val="12"/>
          <w:szCs w:val="12"/>
          <w:color w:val="auto"/>
        </w:rPr>
        <w:t>ROGRAMS</w:t>
      </w:r>
      <w:r>
        <w:rPr>
          <w:rFonts w:ascii="Arial" w:cs="Arial" w:eastAsia="Arial" w:hAnsi="Arial"/>
          <w:sz w:val="18"/>
          <w:szCs w:val="18"/>
          <w:color w:val="auto"/>
        </w:rPr>
        <w:t xml:space="preserve"> existing at A</w:t>
      </w:r>
      <w:r>
        <w:rPr>
          <w:rFonts w:ascii="Arial" w:cs="Arial" w:eastAsia="Arial" w:hAnsi="Arial"/>
          <w:sz w:val="12"/>
          <w:szCs w:val="12"/>
          <w:color w:val="auto"/>
        </w:rPr>
        <w:t>FFIRIS</w:t>
      </w:r>
      <w:r>
        <w:rPr>
          <w:rFonts w:ascii="Arial" w:cs="Arial" w:eastAsia="Arial" w:hAnsi="Arial"/>
          <w:sz w:val="18"/>
          <w:szCs w:val="18"/>
          <w:color w:val="auto"/>
        </w:rPr>
        <w:t xml:space="preserve"> or under the control of A</w:t>
      </w:r>
      <w:r>
        <w:rPr>
          <w:rFonts w:ascii="Arial" w:cs="Arial" w:eastAsia="Arial" w:hAnsi="Arial"/>
          <w:sz w:val="12"/>
          <w:szCs w:val="12"/>
          <w:color w:val="auto"/>
        </w:rPr>
        <w:t>FFIRIS</w:t>
      </w:r>
      <w:r>
        <w:rPr>
          <w:rFonts w:ascii="Arial" w:cs="Arial" w:eastAsia="Arial" w:hAnsi="Arial"/>
          <w:sz w:val="18"/>
          <w:szCs w:val="18"/>
          <w:color w:val="auto"/>
        </w:rPr>
        <w:t xml:space="preserve"> as well as electronic</w:t>
      </w: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CERTAIN CONFIDENTIAL PORTIONS HAVE BEEN REDACTED FROM THIS EXHIBIT BECAUSE THEY ARE BOTH (i) NOT MATERIAL AND (ii) IS THE TYPE THAT THE COMPANY TREATS AS PRIVATE OR CONFIDENTIAL. INFORMATION THAT HAS BEEN OMITTED HAD BEEN IDENTIFIED IN THIS DOCUMENT WITH A PLACEHOLDER IDENTIFIED BY THE MARK “[*****]”.</w:t>
      </w:r>
    </w:p>
    <w:p>
      <w:pPr>
        <w:spacing w:after="0" w:line="189" w:lineRule="exact"/>
        <w:rPr>
          <w:sz w:val="20"/>
          <w:szCs w:val="20"/>
          <w:color w:val="auto"/>
        </w:rPr>
      </w:pPr>
    </w:p>
    <w:p>
      <w:pPr>
        <w:ind w:left="660"/>
        <w:spacing w:after="0" w:line="246" w:lineRule="auto"/>
        <w:rPr>
          <w:sz w:val="20"/>
          <w:szCs w:val="20"/>
          <w:color w:val="auto"/>
        </w:rPr>
      </w:pPr>
      <w:r>
        <w:rPr>
          <w:rFonts w:ascii="Arial" w:cs="Arial" w:eastAsia="Arial" w:hAnsi="Arial"/>
          <w:sz w:val="18"/>
          <w:szCs w:val="18"/>
          <w:color w:val="auto"/>
        </w:rPr>
        <w:t>copies of the existing electronic data relating to the P</w:t>
      </w:r>
      <w:r>
        <w:rPr>
          <w:rFonts w:ascii="Arial" w:cs="Arial" w:eastAsia="Arial" w:hAnsi="Arial"/>
          <w:sz w:val="12"/>
          <w:szCs w:val="12"/>
          <w:color w:val="auto"/>
        </w:rPr>
        <w:t>ROGRAMS</w:t>
      </w:r>
      <w:r>
        <w:rPr>
          <w:rFonts w:ascii="Arial" w:cs="Arial" w:eastAsia="Arial" w:hAnsi="Arial"/>
          <w:sz w:val="18"/>
          <w:szCs w:val="18"/>
          <w:color w:val="auto"/>
        </w:rPr>
        <w:t xml:space="preserve"> according to the formats as provided in </w:t>
      </w:r>
      <w:r>
        <w:rPr>
          <w:rFonts w:ascii="Arial" w:cs="Arial" w:eastAsia="Arial" w:hAnsi="Arial"/>
          <w:sz w:val="18"/>
          <w:szCs w:val="18"/>
          <w:u w:val="single" w:color="auto"/>
          <w:color w:val="auto"/>
        </w:rPr>
        <w:t>A</w:t>
      </w:r>
      <w:r>
        <w:rPr>
          <w:rFonts w:ascii="Arial" w:cs="Arial" w:eastAsia="Arial" w:hAnsi="Arial"/>
          <w:sz w:val="12"/>
          <w:szCs w:val="12"/>
          <w:u w:val="single" w:color="auto"/>
          <w:color w:val="auto"/>
        </w:rPr>
        <w:t>NNEX</w:t>
      </w:r>
      <w:r>
        <w:rPr>
          <w:rFonts w:ascii="Arial" w:cs="Arial" w:eastAsia="Arial" w:hAnsi="Arial"/>
          <w:sz w:val="18"/>
          <w:szCs w:val="18"/>
          <w:color w:val="auto"/>
        </w:rPr>
        <w:t xml:space="preserve"> </w:t>
      </w:r>
      <w:r>
        <w:rPr>
          <w:rFonts w:ascii="Arial" w:cs="Arial" w:eastAsia="Arial" w:hAnsi="Arial"/>
          <w:sz w:val="18"/>
          <w:szCs w:val="18"/>
          <w:u w:val="single" w:color="auto"/>
          <w:color w:val="auto"/>
        </w:rPr>
        <w:t>2, sections 4 and 5</w:t>
      </w:r>
      <w:r>
        <w:rPr>
          <w:rFonts w:ascii="Arial" w:cs="Arial" w:eastAsia="Arial" w:hAnsi="Arial"/>
          <w:sz w:val="18"/>
          <w:szCs w:val="18"/>
          <w:color w:val="auto"/>
        </w:rPr>
        <w:t xml:space="preserve"> to ACIU within four weeks from the C</w:t>
      </w:r>
      <w:r>
        <w:rPr>
          <w:rFonts w:ascii="Arial" w:cs="Arial" w:eastAsia="Arial" w:hAnsi="Arial"/>
          <w:sz w:val="12"/>
          <w:szCs w:val="12"/>
          <w:color w:val="auto"/>
        </w:rPr>
        <w:t>LOSING</w:t>
      </w:r>
      <w:r>
        <w:rPr>
          <w:rFonts w:ascii="Arial" w:cs="Arial" w:eastAsia="Arial" w:hAnsi="Arial"/>
          <w:sz w:val="18"/>
          <w:szCs w:val="18"/>
          <w:color w:val="auto"/>
        </w:rPr>
        <w:t xml:space="preserve"> D</w:t>
      </w:r>
      <w:r>
        <w:rPr>
          <w:rFonts w:ascii="Arial" w:cs="Arial" w:eastAsia="Arial" w:hAnsi="Arial"/>
          <w:sz w:val="12"/>
          <w:szCs w:val="12"/>
          <w:color w:val="auto"/>
        </w:rPr>
        <w:t>ATE</w:t>
      </w:r>
      <w:r>
        <w:rPr>
          <w:rFonts w:ascii="Arial" w:cs="Arial" w:eastAsia="Arial" w:hAnsi="Arial"/>
          <w:sz w:val="18"/>
          <w:szCs w:val="18"/>
          <w:color w:val="auto"/>
        </w:rPr>
        <w:t>.</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3.2.3</w:t>
      </w:r>
      <w:r>
        <w:rPr>
          <w:sz w:val="20"/>
          <w:szCs w:val="20"/>
          <w:color w:val="auto"/>
        </w:rPr>
        <w:tab/>
      </w:r>
      <w:r>
        <w:rPr>
          <w:rFonts w:ascii="Arial" w:cs="Arial" w:eastAsia="Arial" w:hAnsi="Arial"/>
          <w:sz w:val="17"/>
          <w:szCs w:val="17"/>
          <w:b w:val="1"/>
          <w:bCs w:val="1"/>
          <w:color w:val="auto"/>
        </w:rPr>
        <w:t>Transfer of C</w:t>
      </w:r>
      <w:r>
        <w:rPr>
          <w:rFonts w:ascii="Arial" w:cs="Arial" w:eastAsia="Arial" w:hAnsi="Arial"/>
          <w:sz w:val="11"/>
          <w:szCs w:val="11"/>
          <w:b w:val="1"/>
          <w:bCs w:val="1"/>
          <w:color w:val="auto"/>
        </w:rPr>
        <w:t>ASH</w:t>
      </w:r>
    </w:p>
    <w:p>
      <w:pPr>
        <w:spacing w:after="0" w:line="220"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2"/>
          <w:szCs w:val="12"/>
          <w:color w:val="auto"/>
        </w:rPr>
        <w:t>FFIRIS</w:t>
      </w:r>
      <w:r>
        <w:rPr>
          <w:rFonts w:ascii="Arial" w:cs="Arial" w:eastAsia="Arial" w:hAnsi="Arial"/>
          <w:sz w:val="18"/>
          <w:szCs w:val="18"/>
          <w:color w:val="auto"/>
        </w:rPr>
        <w:t xml:space="preserve"> shall further transfer the C</w:t>
      </w:r>
      <w:r>
        <w:rPr>
          <w:rFonts w:ascii="Arial" w:cs="Arial" w:eastAsia="Arial" w:hAnsi="Arial"/>
          <w:sz w:val="12"/>
          <w:szCs w:val="12"/>
          <w:color w:val="auto"/>
        </w:rPr>
        <w:t>ASH</w:t>
      </w:r>
      <w:r>
        <w:rPr>
          <w:rFonts w:ascii="Arial" w:cs="Arial" w:eastAsia="Arial" w:hAnsi="Arial"/>
          <w:sz w:val="18"/>
          <w:szCs w:val="18"/>
          <w:color w:val="auto"/>
        </w:rPr>
        <w:t xml:space="preserve"> to ACIU one B</w:t>
      </w:r>
      <w:r>
        <w:rPr>
          <w:rFonts w:ascii="Arial" w:cs="Arial" w:eastAsia="Arial" w:hAnsi="Arial"/>
          <w:sz w:val="12"/>
          <w:szCs w:val="12"/>
          <w:color w:val="auto"/>
        </w:rPr>
        <w:t>USINESS</w:t>
      </w:r>
      <w:r>
        <w:rPr>
          <w:rFonts w:ascii="Arial" w:cs="Arial" w:eastAsia="Arial" w:hAnsi="Arial"/>
          <w:sz w:val="18"/>
          <w:szCs w:val="18"/>
          <w:color w:val="auto"/>
        </w:rPr>
        <w:t xml:space="preserve"> D</w:t>
      </w:r>
      <w:r>
        <w:rPr>
          <w:rFonts w:ascii="Arial" w:cs="Arial" w:eastAsia="Arial" w:hAnsi="Arial"/>
          <w:sz w:val="12"/>
          <w:szCs w:val="12"/>
          <w:color w:val="auto"/>
        </w:rPr>
        <w:t>AY</w:t>
      </w:r>
      <w:r>
        <w:rPr>
          <w:rFonts w:ascii="Arial" w:cs="Arial" w:eastAsia="Arial" w:hAnsi="Arial"/>
          <w:sz w:val="18"/>
          <w:szCs w:val="18"/>
          <w:color w:val="auto"/>
        </w:rPr>
        <w:t xml:space="preserve"> prior to the C</w:t>
      </w:r>
      <w:r>
        <w:rPr>
          <w:rFonts w:ascii="Arial" w:cs="Arial" w:eastAsia="Arial" w:hAnsi="Arial"/>
          <w:sz w:val="12"/>
          <w:szCs w:val="12"/>
          <w:color w:val="auto"/>
        </w:rPr>
        <w:t>LOSING</w:t>
      </w:r>
      <w:r>
        <w:rPr>
          <w:rFonts w:ascii="Arial" w:cs="Arial" w:eastAsia="Arial" w:hAnsi="Arial"/>
          <w:sz w:val="18"/>
          <w:szCs w:val="18"/>
          <w:color w:val="auto"/>
        </w:rPr>
        <w:t xml:space="preserve"> D</w:t>
      </w:r>
      <w:r>
        <w:rPr>
          <w:rFonts w:ascii="Arial" w:cs="Arial" w:eastAsia="Arial" w:hAnsi="Arial"/>
          <w:sz w:val="12"/>
          <w:szCs w:val="12"/>
          <w:color w:val="auto"/>
        </w:rPr>
        <w:t>ATE</w:t>
      </w:r>
      <w:r>
        <w:rPr>
          <w:rFonts w:ascii="Arial" w:cs="Arial" w:eastAsia="Arial" w:hAnsi="Arial"/>
          <w:sz w:val="18"/>
          <w:szCs w:val="18"/>
          <w:color w:val="auto"/>
        </w:rPr>
        <w:t>.</w:t>
      </w:r>
    </w:p>
    <w:p>
      <w:pPr>
        <w:spacing w:after="0" w:line="180" w:lineRule="exact"/>
        <w:rPr>
          <w:sz w:val="20"/>
          <w:szCs w:val="20"/>
          <w:color w:val="auto"/>
        </w:rPr>
      </w:pPr>
    </w:p>
    <w:p>
      <w:pPr>
        <w:ind w:left="660" w:hanging="652"/>
        <w:spacing w:after="0" w:line="26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w:t>
      </w:r>
      <w:r>
        <w:rPr>
          <w:rFonts w:ascii="Arial" w:cs="Arial" w:eastAsia="Arial" w:hAnsi="Arial"/>
          <w:sz w:val="12"/>
          <w:szCs w:val="12"/>
          <w:color w:val="auto"/>
        </w:rPr>
        <w:t>ASH</w:t>
      </w:r>
      <w:r>
        <w:rPr>
          <w:rFonts w:ascii="Arial" w:cs="Arial" w:eastAsia="Arial" w:hAnsi="Arial"/>
          <w:sz w:val="18"/>
          <w:szCs w:val="18"/>
          <w:color w:val="auto"/>
        </w:rPr>
        <w:t xml:space="preserve"> shall be paid by wire transfer to a blocked account ("</w:t>
      </w:r>
      <w:r>
        <w:rPr>
          <w:rFonts w:ascii="Arial" w:cs="Arial" w:eastAsia="Arial" w:hAnsi="Arial"/>
          <w:sz w:val="18"/>
          <w:szCs w:val="18"/>
          <w:i w:val="1"/>
          <w:iCs w:val="1"/>
          <w:color w:val="auto"/>
        </w:rPr>
        <w:t>Kapitaleinzahlungskonto</w:t>
      </w:r>
      <w:r>
        <w:rPr>
          <w:rFonts w:ascii="Arial" w:cs="Arial" w:eastAsia="Arial" w:hAnsi="Arial"/>
          <w:sz w:val="18"/>
          <w:szCs w:val="18"/>
          <w:color w:val="auto"/>
        </w:rPr>
        <w:t>") with [*****] as communicated by ACIU to A</w:t>
      </w:r>
      <w:r>
        <w:rPr>
          <w:rFonts w:ascii="Arial" w:cs="Arial" w:eastAsia="Arial" w:hAnsi="Arial"/>
          <w:sz w:val="12"/>
          <w:szCs w:val="12"/>
          <w:color w:val="auto"/>
        </w:rPr>
        <w:t>FFIRIS</w:t>
      </w:r>
      <w:r>
        <w:rPr>
          <w:rFonts w:ascii="Arial" w:cs="Arial" w:eastAsia="Arial" w:hAnsi="Arial"/>
          <w:sz w:val="18"/>
          <w:szCs w:val="18"/>
          <w:color w:val="auto"/>
        </w:rPr>
        <w:t xml:space="preserve"> at the latest 10 (ten) B</w:t>
      </w:r>
      <w:r>
        <w:rPr>
          <w:rFonts w:ascii="Arial" w:cs="Arial" w:eastAsia="Arial" w:hAnsi="Arial"/>
          <w:sz w:val="12"/>
          <w:szCs w:val="12"/>
          <w:color w:val="auto"/>
        </w:rPr>
        <w:t>USINESS</w:t>
      </w:r>
      <w:r>
        <w:rPr>
          <w:rFonts w:ascii="Arial" w:cs="Arial" w:eastAsia="Arial" w:hAnsi="Arial"/>
          <w:sz w:val="18"/>
          <w:szCs w:val="18"/>
          <w:color w:val="auto"/>
        </w:rPr>
        <w:t xml:space="preserve"> D</w:t>
      </w:r>
      <w:r>
        <w:rPr>
          <w:rFonts w:ascii="Arial" w:cs="Arial" w:eastAsia="Arial" w:hAnsi="Arial"/>
          <w:sz w:val="12"/>
          <w:szCs w:val="12"/>
          <w:color w:val="auto"/>
        </w:rPr>
        <w:t>AYS</w:t>
      </w:r>
      <w:r>
        <w:rPr>
          <w:rFonts w:ascii="Arial" w:cs="Arial" w:eastAsia="Arial" w:hAnsi="Arial"/>
          <w:sz w:val="18"/>
          <w:szCs w:val="18"/>
          <w:color w:val="auto"/>
        </w:rPr>
        <w:t xml:space="preserve"> prior to the C</w:t>
      </w:r>
      <w:r>
        <w:rPr>
          <w:rFonts w:ascii="Arial" w:cs="Arial" w:eastAsia="Arial" w:hAnsi="Arial"/>
          <w:sz w:val="12"/>
          <w:szCs w:val="12"/>
          <w:color w:val="auto"/>
        </w:rPr>
        <w:t>LOSING</w:t>
      </w:r>
      <w:r>
        <w:rPr>
          <w:rFonts w:ascii="Arial" w:cs="Arial" w:eastAsia="Arial" w:hAnsi="Arial"/>
          <w:sz w:val="18"/>
          <w:szCs w:val="18"/>
          <w:color w:val="auto"/>
        </w:rPr>
        <w:t xml:space="preserve"> D</w:t>
      </w:r>
      <w:r>
        <w:rPr>
          <w:rFonts w:ascii="Arial" w:cs="Arial" w:eastAsia="Arial" w:hAnsi="Arial"/>
          <w:sz w:val="12"/>
          <w:szCs w:val="12"/>
          <w:color w:val="auto"/>
        </w:rPr>
        <w:t>ATE</w:t>
      </w:r>
      <w:r>
        <w:rPr>
          <w:rFonts w:ascii="Arial" w:cs="Arial" w:eastAsia="Arial" w:hAnsi="Arial"/>
          <w:sz w:val="18"/>
          <w:szCs w:val="18"/>
          <w:color w:val="auto"/>
        </w:rPr>
        <w:t>.</w:t>
      </w:r>
    </w:p>
    <w:p>
      <w:pPr>
        <w:spacing w:after="0" w:line="14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7"/>
          <w:szCs w:val="17"/>
          <w:b w:val="1"/>
          <w:bCs w:val="1"/>
          <w:color w:val="auto"/>
        </w:rPr>
        <w:t>Benefit and Risk</w:t>
      </w:r>
    </w:p>
    <w:p>
      <w:pPr>
        <w:spacing w:after="0" w:line="202" w:lineRule="exact"/>
        <w:rPr>
          <w:sz w:val="20"/>
          <w:szCs w:val="20"/>
          <w:color w:val="auto"/>
        </w:rPr>
      </w:pPr>
    </w:p>
    <w:p>
      <w:pPr>
        <w:ind w:left="660" w:right="20" w:hanging="652"/>
        <w:spacing w:after="0" w:line="26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Benefit and risk (</w:t>
      </w:r>
      <w:r>
        <w:rPr>
          <w:rFonts w:ascii="Arial" w:cs="Arial" w:eastAsia="Arial" w:hAnsi="Arial"/>
          <w:sz w:val="18"/>
          <w:szCs w:val="18"/>
          <w:i w:val="1"/>
          <w:iCs w:val="1"/>
          <w:color w:val="auto"/>
        </w:rPr>
        <w:t>Nutzen und Gefahr</w:t>
      </w:r>
      <w:r>
        <w:rPr>
          <w:rFonts w:ascii="Arial" w:cs="Arial" w:eastAsia="Arial" w:hAnsi="Arial"/>
          <w:sz w:val="18"/>
          <w:szCs w:val="18"/>
          <w:color w:val="auto"/>
        </w:rPr>
        <w:t>) with respect to the T</w:t>
      </w:r>
      <w:r>
        <w:rPr>
          <w:rFonts w:ascii="Arial" w:cs="Arial" w:eastAsia="Arial" w:hAnsi="Arial"/>
          <w:sz w:val="12"/>
          <w:szCs w:val="12"/>
          <w:color w:val="auto"/>
        </w:rPr>
        <w:t>RANSFERRED</w:t>
      </w:r>
      <w:r>
        <w:rPr>
          <w:rFonts w:ascii="Arial" w:cs="Arial" w:eastAsia="Arial" w:hAnsi="Arial"/>
          <w:sz w:val="18"/>
          <w:szCs w:val="18"/>
          <w:color w:val="auto"/>
        </w:rPr>
        <w:t xml:space="preserve"> A</w:t>
      </w:r>
      <w:r>
        <w:rPr>
          <w:rFonts w:ascii="Arial" w:cs="Arial" w:eastAsia="Arial" w:hAnsi="Arial"/>
          <w:sz w:val="12"/>
          <w:szCs w:val="12"/>
          <w:color w:val="auto"/>
        </w:rPr>
        <w:t>SSETS</w:t>
      </w:r>
      <w:r>
        <w:rPr>
          <w:rFonts w:ascii="Arial" w:cs="Arial" w:eastAsia="Arial" w:hAnsi="Arial"/>
          <w:sz w:val="18"/>
          <w:szCs w:val="18"/>
          <w:color w:val="auto"/>
        </w:rPr>
        <w:t xml:space="preserve"> pursuant to this S</w:t>
      </w:r>
      <w:r>
        <w:rPr>
          <w:rFonts w:ascii="Arial" w:cs="Arial" w:eastAsia="Arial" w:hAnsi="Arial"/>
          <w:sz w:val="12"/>
          <w:szCs w:val="12"/>
          <w:color w:val="auto"/>
        </w:rPr>
        <w:t>ECTION</w:t>
      </w:r>
      <w:r>
        <w:rPr>
          <w:rFonts w:ascii="Arial" w:cs="Arial" w:eastAsia="Arial" w:hAnsi="Arial"/>
          <w:sz w:val="18"/>
          <w:szCs w:val="18"/>
          <w:color w:val="auto"/>
        </w:rPr>
        <w:t xml:space="preserve"> 3 shall be effective as of the C</w:t>
      </w:r>
      <w:r>
        <w:rPr>
          <w:rFonts w:ascii="Arial" w:cs="Arial" w:eastAsia="Arial" w:hAnsi="Arial"/>
          <w:sz w:val="12"/>
          <w:szCs w:val="12"/>
          <w:color w:val="auto"/>
        </w:rPr>
        <w:t>LOSING</w:t>
      </w:r>
      <w:r>
        <w:rPr>
          <w:rFonts w:ascii="Arial" w:cs="Arial" w:eastAsia="Arial" w:hAnsi="Arial"/>
          <w:sz w:val="18"/>
          <w:szCs w:val="18"/>
          <w:color w:val="auto"/>
        </w:rPr>
        <w:t xml:space="preserve"> D</w:t>
      </w:r>
      <w:r>
        <w:rPr>
          <w:rFonts w:ascii="Arial" w:cs="Arial" w:eastAsia="Arial" w:hAnsi="Arial"/>
          <w:sz w:val="12"/>
          <w:szCs w:val="12"/>
          <w:color w:val="auto"/>
        </w:rPr>
        <w:t>ATE</w:t>
      </w:r>
      <w:r>
        <w:rPr>
          <w:rFonts w:ascii="Arial" w:cs="Arial" w:eastAsia="Arial" w:hAnsi="Arial"/>
          <w:sz w:val="18"/>
          <w:szCs w:val="18"/>
          <w:color w:val="auto"/>
        </w:rPr>
        <w:t>, with the necessary acts of transfer taking place at C</w:t>
      </w:r>
      <w:r>
        <w:rPr>
          <w:rFonts w:ascii="Arial" w:cs="Arial" w:eastAsia="Arial" w:hAnsi="Arial"/>
          <w:sz w:val="12"/>
          <w:szCs w:val="12"/>
          <w:color w:val="auto"/>
        </w:rPr>
        <w:t>LOSING</w:t>
      </w:r>
      <w:r>
        <w:rPr>
          <w:rFonts w:ascii="Arial" w:cs="Arial" w:eastAsia="Arial" w:hAnsi="Arial"/>
          <w:sz w:val="18"/>
          <w:szCs w:val="18"/>
          <w:color w:val="auto"/>
        </w:rPr>
        <w:t>.</w:t>
      </w:r>
    </w:p>
    <w:p>
      <w:pPr>
        <w:spacing w:after="0" w:line="143"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Purchase Price</w:t>
      </w:r>
    </w:p>
    <w:p>
      <w:pPr>
        <w:spacing w:after="0" w:line="198" w:lineRule="exact"/>
        <w:rPr>
          <w:sz w:val="20"/>
          <w:szCs w:val="20"/>
          <w:color w:val="auto"/>
        </w:rPr>
      </w:pPr>
    </w:p>
    <w:p>
      <w:pPr>
        <w:jc w:val="both"/>
        <w:ind w:left="660" w:hanging="652"/>
        <w:spacing w:after="0" w:line="24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aggregate purchase price for the P</w:t>
      </w:r>
      <w:r>
        <w:rPr>
          <w:rFonts w:ascii="Arial" w:cs="Arial" w:eastAsia="Arial" w:hAnsi="Arial"/>
          <w:sz w:val="12"/>
          <w:szCs w:val="12"/>
          <w:color w:val="auto"/>
        </w:rPr>
        <w:t>ROGRAMS</w:t>
      </w:r>
      <w:r>
        <w:rPr>
          <w:rFonts w:ascii="Arial" w:cs="Arial" w:eastAsia="Arial" w:hAnsi="Arial"/>
          <w:sz w:val="18"/>
          <w:szCs w:val="18"/>
          <w:color w:val="auto"/>
        </w:rPr>
        <w:t xml:space="preserve"> and the C</w:t>
      </w:r>
      <w:r>
        <w:rPr>
          <w:rFonts w:ascii="Arial" w:cs="Arial" w:eastAsia="Arial" w:hAnsi="Arial"/>
          <w:sz w:val="12"/>
          <w:szCs w:val="12"/>
          <w:color w:val="auto"/>
        </w:rPr>
        <w:t>ASH</w:t>
      </w:r>
      <w:r>
        <w:rPr>
          <w:rFonts w:ascii="Arial" w:cs="Arial" w:eastAsia="Arial" w:hAnsi="Arial"/>
          <w:sz w:val="18"/>
          <w:szCs w:val="18"/>
          <w:color w:val="auto"/>
        </w:rPr>
        <w:t xml:space="preserve"> to be paid by ACIU to A</w:t>
      </w:r>
      <w:r>
        <w:rPr>
          <w:rFonts w:ascii="Arial" w:cs="Arial" w:eastAsia="Arial" w:hAnsi="Arial"/>
          <w:sz w:val="12"/>
          <w:szCs w:val="12"/>
          <w:color w:val="auto"/>
        </w:rPr>
        <w:t>FFIRIS</w:t>
      </w:r>
      <w:r>
        <w:rPr>
          <w:rFonts w:ascii="Arial" w:cs="Arial" w:eastAsia="Arial" w:hAnsi="Arial"/>
          <w:sz w:val="18"/>
          <w:szCs w:val="18"/>
          <w:color w:val="auto"/>
        </w:rPr>
        <w:t xml:space="preserve"> amounts to US$ 58'702'500.00 ("</w:t>
      </w:r>
      <w:r>
        <w:rPr>
          <w:rFonts w:ascii="Arial" w:cs="Arial" w:eastAsia="Arial" w:hAnsi="Arial"/>
          <w:sz w:val="18"/>
          <w:szCs w:val="18"/>
          <w:b w:val="1"/>
          <w:bCs w:val="1"/>
          <w:color w:val="auto"/>
        </w:rPr>
        <w:t>P</w:t>
      </w:r>
      <w:r>
        <w:rPr>
          <w:rFonts w:ascii="Arial" w:cs="Arial" w:eastAsia="Arial" w:hAnsi="Arial"/>
          <w:sz w:val="12"/>
          <w:szCs w:val="12"/>
          <w:b w:val="1"/>
          <w:bCs w:val="1"/>
          <w:color w:val="auto"/>
        </w:rPr>
        <w:t>URCHASE</w:t>
      </w:r>
      <w:r>
        <w:rPr>
          <w:rFonts w:ascii="Arial" w:cs="Arial" w:eastAsia="Arial" w:hAnsi="Arial"/>
          <w:sz w:val="18"/>
          <w:szCs w:val="18"/>
          <w:color w:val="auto"/>
        </w:rPr>
        <w:t xml:space="preserve"> </w:t>
      </w:r>
      <w:r>
        <w:rPr>
          <w:rFonts w:ascii="Arial" w:cs="Arial" w:eastAsia="Arial" w:hAnsi="Arial"/>
          <w:sz w:val="18"/>
          <w:szCs w:val="18"/>
          <w:b w:val="1"/>
          <w:bCs w:val="1"/>
          <w:color w:val="auto"/>
        </w:rPr>
        <w:t>P</w:t>
      </w:r>
      <w:r>
        <w:rPr>
          <w:rFonts w:ascii="Arial" w:cs="Arial" w:eastAsia="Arial" w:hAnsi="Arial"/>
          <w:sz w:val="12"/>
          <w:szCs w:val="12"/>
          <w:b w:val="1"/>
          <w:bCs w:val="1"/>
          <w:color w:val="auto"/>
        </w:rPr>
        <w:t>RICE</w:t>
      </w:r>
      <w:r>
        <w:rPr>
          <w:rFonts w:ascii="Arial" w:cs="Arial" w:eastAsia="Arial" w:hAnsi="Arial"/>
          <w:sz w:val="18"/>
          <w:szCs w:val="18"/>
          <w:color w:val="auto"/>
        </w:rPr>
        <w:t>"). No other payments, such as milestone payments or royalties payments, are due by ACIU to A</w:t>
      </w:r>
      <w:r>
        <w:rPr>
          <w:rFonts w:ascii="Arial" w:cs="Arial" w:eastAsia="Arial" w:hAnsi="Arial"/>
          <w:sz w:val="12"/>
          <w:szCs w:val="12"/>
          <w:color w:val="auto"/>
        </w:rPr>
        <w:t>FFIRIS</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P</w:t>
      </w:r>
      <w:r>
        <w:rPr>
          <w:rFonts w:ascii="Arial" w:cs="Arial" w:eastAsia="Arial" w:hAnsi="Arial"/>
          <w:sz w:val="12"/>
          <w:szCs w:val="12"/>
          <w:color w:val="auto"/>
        </w:rPr>
        <w:t>ROGRAMS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w:t>
      </w:r>
    </w:p>
    <w:p>
      <w:pPr>
        <w:ind w:left="660"/>
        <w:spacing w:after="0"/>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2"/>
          <w:szCs w:val="12"/>
          <w:color w:val="auto"/>
        </w:rPr>
        <w:t>ASH</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jc w:val="both"/>
        <w:ind w:left="660" w:hanging="652"/>
        <w:spacing w:after="0" w:line="23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w:t>
      </w:r>
      <w:r>
        <w:rPr>
          <w:rFonts w:ascii="Arial" w:cs="Arial" w:eastAsia="Arial" w:hAnsi="Arial"/>
          <w:sz w:val="12"/>
          <w:szCs w:val="12"/>
          <w:color w:val="auto"/>
        </w:rPr>
        <w:t>URCHASE</w:t>
      </w:r>
      <w:r>
        <w:rPr>
          <w:rFonts w:ascii="Arial" w:cs="Arial" w:eastAsia="Arial" w:hAnsi="Arial"/>
          <w:sz w:val="18"/>
          <w:szCs w:val="18"/>
          <w:color w:val="auto"/>
        </w:rPr>
        <w:t xml:space="preserve"> P</w:t>
      </w:r>
      <w:r>
        <w:rPr>
          <w:rFonts w:ascii="Arial" w:cs="Arial" w:eastAsia="Arial" w:hAnsi="Arial"/>
          <w:sz w:val="12"/>
          <w:szCs w:val="12"/>
          <w:color w:val="auto"/>
        </w:rPr>
        <w:t>RICE</w:t>
      </w:r>
      <w:r>
        <w:rPr>
          <w:rFonts w:ascii="Arial" w:cs="Arial" w:eastAsia="Arial" w:hAnsi="Arial"/>
          <w:sz w:val="18"/>
          <w:szCs w:val="18"/>
          <w:color w:val="auto"/>
        </w:rPr>
        <w:t xml:space="preserve"> will be paid by ACIU by transferring a total of 7'106'840 newly issued ACIU shares to A</w:t>
      </w:r>
      <w:r>
        <w:rPr>
          <w:rFonts w:ascii="Arial" w:cs="Arial" w:eastAsia="Arial" w:hAnsi="Arial"/>
          <w:sz w:val="12"/>
          <w:szCs w:val="12"/>
          <w:color w:val="auto"/>
        </w:rPr>
        <w:t>FFIRIS</w:t>
      </w:r>
      <w:r>
        <w:rPr>
          <w:rFonts w:ascii="Arial" w:cs="Arial" w:eastAsia="Arial" w:hAnsi="Arial"/>
          <w:sz w:val="18"/>
          <w:szCs w:val="18"/>
          <w:color w:val="auto"/>
        </w:rPr>
        <w:t>. The P</w:t>
      </w:r>
      <w:r>
        <w:rPr>
          <w:rFonts w:ascii="Arial" w:cs="Arial" w:eastAsia="Arial" w:hAnsi="Arial"/>
          <w:sz w:val="12"/>
          <w:szCs w:val="12"/>
          <w:color w:val="auto"/>
        </w:rPr>
        <w:t>ARTIES</w:t>
      </w:r>
      <w:r>
        <w:rPr>
          <w:rFonts w:ascii="Arial" w:cs="Arial" w:eastAsia="Arial" w:hAnsi="Arial"/>
          <w:sz w:val="18"/>
          <w:szCs w:val="18"/>
          <w:color w:val="auto"/>
        </w:rPr>
        <w:t xml:space="preserve"> have agreed in determining this number of shares on an underlying share price of US$ 8.26 per ACIU share and agree that any share price movement in ACIU shares will not affect the number of shares to be delivered by ACIU at C</w:t>
      </w:r>
      <w:r>
        <w:rPr>
          <w:rFonts w:ascii="Arial" w:cs="Arial" w:eastAsia="Arial" w:hAnsi="Arial"/>
          <w:sz w:val="12"/>
          <w:szCs w:val="12"/>
          <w:color w:val="auto"/>
        </w:rPr>
        <w:t>LOSING</w:t>
      </w:r>
      <w:r>
        <w:rPr>
          <w:rFonts w:ascii="Arial" w:cs="Arial" w:eastAsia="Arial" w:hAnsi="Arial"/>
          <w:sz w:val="18"/>
          <w:szCs w:val="18"/>
          <w:color w:val="auto"/>
        </w:rPr>
        <w:t>, unless the 1 day VWAP per ACIU share on the day before the C</w:t>
      </w:r>
      <w:r>
        <w:rPr>
          <w:rFonts w:ascii="Arial" w:cs="Arial" w:eastAsia="Arial" w:hAnsi="Arial"/>
          <w:sz w:val="12"/>
          <w:szCs w:val="12"/>
          <w:color w:val="auto"/>
        </w:rPr>
        <w:t>LOSING</w:t>
      </w:r>
      <w:r>
        <w:rPr>
          <w:rFonts w:ascii="Arial" w:cs="Arial" w:eastAsia="Arial" w:hAnsi="Arial"/>
          <w:sz w:val="18"/>
          <w:szCs w:val="18"/>
          <w:color w:val="auto"/>
        </w:rPr>
        <w:t xml:space="preserve"> D</w:t>
      </w:r>
      <w:r>
        <w:rPr>
          <w:rFonts w:ascii="Arial" w:cs="Arial" w:eastAsia="Arial" w:hAnsi="Arial"/>
          <w:sz w:val="12"/>
          <w:szCs w:val="12"/>
          <w:color w:val="auto"/>
        </w:rPr>
        <w:t>ATE</w:t>
      </w:r>
      <w:r>
        <w:rPr>
          <w:rFonts w:ascii="Arial" w:cs="Arial" w:eastAsia="Arial" w:hAnsi="Arial"/>
          <w:sz w:val="18"/>
          <w:szCs w:val="18"/>
          <w:color w:val="auto"/>
        </w:rPr>
        <w:t xml:space="preserve"> exceeds US$ 9.18. In such a case, the delta between the 1 day VWAP per ACIU share and US$ 9.18 shall be added to US$ 8.26 (the "</w:t>
      </w:r>
      <w:r>
        <w:rPr>
          <w:rFonts w:ascii="Arial" w:cs="Arial" w:eastAsia="Arial" w:hAnsi="Arial"/>
          <w:sz w:val="18"/>
          <w:szCs w:val="18"/>
          <w:b w:val="1"/>
          <w:bCs w:val="1"/>
          <w:color w:val="auto"/>
        </w:rPr>
        <w:t>A</w:t>
      </w:r>
      <w:r>
        <w:rPr>
          <w:rFonts w:ascii="Arial" w:cs="Arial" w:eastAsia="Arial" w:hAnsi="Arial"/>
          <w:sz w:val="12"/>
          <w:szCs w:val="12"/>
          <w:b w:val="1"/>
          <w:bCs w:val="1"/>
          <w:color w:val="auto"/>
        </w:rPr>
        <w:t>DJUSTED</w:t>
      </w:r>
      <w:r>
        <w:rPr>
          <w:rFonts w:ascii="Arial" w:cs="Arial" w:eastAsia="Arial" w:hAnsi="Arial"/>
          <w:sz w:val="18"/>
          <w:szCs w:val="18"/>
          <w:color w:val="auto"/>
        </w:rPr>
        <w:t xml:space="preserve"> </w:t>
      </w:r>
      <w:r>
        <w:rPr>
          <w:rFonts w:ascii="Arial" w:cs="Arial" w:eastAsia="Arial" w:hAnsi="Arial"/>
          <w:sz w:val="18"/>
          <w:szCs w:val="18"/>
          <w:b w:val="1"/>
          <w:bCs w:val="1"/>
          <w:color w:val="auto"/>
        </w:rPr>
        <w:t>S</w:t>
      </w:r>
      <w:r>
        <w:rPr>
          <w:rFonts w:ascii="Arial" w:cs="Arial" w:eastAsia="Arial" w:hAnsi="Arial"/>
          <w:sz w:val="12"/>
          <w:szCs w:val="12"/>
          <w:b w:val="1"/>
          <w:bCs w:val="1"/>
          <w:color w:val="auto"/>
        </w:rPr>
        <w:t>HARE</w:t>
      </w:r>
      <w:r>
        <w:rPr>
          <w:rFonts w:ascii="Arial" w:cs="Arial" w:eastAsia="Arial" w:hAnsi="Arial"/>
          <w:sz w:val="18"/>
          <w:szCs w:val="18"/>
          <w:color w:val="auto"/>
        </w:rPr>
        <w:t xml:space="preserve"> </w:t>
      </w:r>
      <w:r>
        <w:rPr>
          <w:rFonts w:ascii="Arial" w:cs="Arial" w:eastAsia="Arial" w:hAnsi="Arial"/>
          <w:sz w:val="18"/>
          <w:szCs w:val="18"/>
          <w:b w:val="1"/>
          <w:bCs w:val="1"/>
          <w:color w:val="auto"/>
        </w:rPr>
        <w:t>V</w:t>
      </w:r>
      <w:r>
        <w:rPr>
          <w:rFonts w:ascii="Arial" w:cs="Arial" w:eastAsia="Arial" w:hAnsi="Arial"/>
          <w:sz w:val="12"/>
          <w:szCs w:val="12"/>
          <w:b w:val="1"/>
          <w:bCs w:val="1"/>
          <w:color w:val="auto"/>
        </w:rPr>
        <w:t>ALUE</w:t>
      </w:r>
      <w:r>
        <w:rPr>
          <w:rFonts w:ascii="Arial" w:cs="Arial" w:eastAsia="Arial" w:hAnsi="Arial"/>
          <w:sz w:val="18"/>
          <w:szCs w:val="18"/>
          <w:color w:val="auto"/>
        </w:rPr>
        <w:t>"). Eventually, the number of ACIU shares to be delivered as P</w:t>
      </w:r>
      <w:r>
        <w:rPr>
          <w:rFonts w:ascii="Arial" w:cs="Arial" w:eastAsia="Arial" w:hAnsi="Arial"/>
          <w:sz w:val="12"/>
          <w:szCs w:val="12"/>
          <w:color w:val="auto"/>
        </w:rPr>
        <w:t>URCHASE</w:t>
      </w:r>
      <w:r>
        <w:rPr>
          <w:rFonts w:ascii="Arial" w:cs="Arial" w:eastAsia="Arial" w:hAnsi="Arial"/>
          <w:sz w:val="18"/>
          <w:szCs w:val="18"/>
          <w:color w:val="auto"/>
        </w:rPr>
        <w:t xml:space="preserve"> P</w:t>
      </w:r>
      <w:r>
        <w:rPr>
          <w:rFonts w:ascii="Arial" w:cs="Arial" w:eastAsia="Arial" w:hAnsi="Arial"/>
          <w:sz w:val="12"/>
          <w:szCs w:val="12"/>
          <w:color w:val="auto"/>
        </w:rPr>
        <w:t>RICE</w:t>
      </w:r>
      <w:r>
        <w:rPr>
          <w:rFonts w:ascii="Arial" w:cs="Arial" w:eastAsia="Arial" w:hAnsi="Arial"/>
          <w:sz w:val="18"/>
          <w:szCs w:val="18"/>
          <w:color w:val="auto"/>
        </w:rPr>
        <w:t xml:space="preserve"> shall be determined by dividing US$ 58'702'500.00 by such A</w:t>
      </w:r>
      <w:r>
        <w:rPr>
          <w:rFonts w:ascii="Arial" w:cs="Arial" w:eastAsia="Arial" w:hAnsi="Arial"/>
          <w:sz w:val="12"/>
          <w:szCs w:val="12"/>
          <w:color w:val="auto"/>
        </w:rPr>
        <w:t>DJUSTED</w:t>
      </w:r>
      <w:r>
        <w:rPr>
          <w:rFonts w:ascii="Arial" w:cs="Arial" w:eastAsia="Arial" w:hAnsi="Arial"/>
          <w:sz w:val="18"/>
          <w:szCs w:val="18"/>
          <w:color w:val="auto"/>
        </w:rPr>
        <w:t xml:space="preserve"> S</w:t>
      </w:r>
      <w:r>
        <w:rPr>
          <w:rFonts w:ascii="Arial" w:cs="Arial" w:eastAsia="Arial" w:hAnsi="Arial"/>
          <w:sz w:val="12"/>
          <w:szCs w:val="12"/>
          <w:color w:val="auto"/>
        </w:rPr>
        <w:t>HARE</w:t>
      </w:r>
      <w:r>
        <w:rPr>
          <w:rFonts w:ascii="Arial" w:cs="Arial" w:eastAsia="Arial" w:hAnsi="Arial"/>
          <w:sz w:val="18"/>
          <w:szCs w:val="18"/>
          <w:color w:val="auto"/>
        </w:rPr>
        <w:t xml:space="preserve"> V</w:t>
      </w:r>
      <w:r>
        <w:rPr>
          <w:rFonts w:ascii="Arial" w:cs="Arial" w:eastAsia="Arial" w:hAnsi="Arial"/>
          <w:sz w:val="12"/>
          <w:szCs w:val="12"/>
          <w:color w:val="auto"/>
        </w:rPr>
        <w:t>ALUE</w:t>
      </w:r>
      <w:r>
        <w:rPr>
          <w:rFonts w:ascii="Arial" w:cs="Arial" w:eastAsia="Arial" w:hAnsi="Arial"/>
          <w:sz w:val="18"/>
          <w:szCs w:val="18"/>
          <w:color w:val="auto"/>
        </w:rPr>
        <w:t xml:space="preserve"> (the shares, eventually transferred to A</w:t>
      </w:r>
      <w:r>
        <w:rPr>
          <w:rFonts w:ascii="Arial" w:cs="Arial" w:eastAsia="Arial" w:hAnsi="Arial"/>
          <w:sz w:val="12"/>
          <w:szCs w:val="12"/>
          <w:color w:val="auto"/>
        </w:rPr>
        <w:t>FFIRIS</w:t>
      </w:r>
      <w:r>
        <w:rPr>
          <w:rFonts w:ascii="Arial" w:cs="Arial" w:eastAsia="Arial" w:hAnsi="Arial"/>
          <w:sz w:val="18"/>
          <w:szCs w:val="18"/>
          <w:color w:val="auto"/>
        </w:rPr>
        <w:t xml:space="preserve"> to pay the P</w:t>
      </w:r>
      <w:r>
        <w:rPr>
          <w:rFonts w:ascii="Arial" w:cs="Arial" w:eastAsia="Arial" w:hAnsi="Arial"/>
          <w:sz w:val="12"/>
          <w:szCs w:val="12"/>
          <w:color w:val="auto"/>
        </w:rPr>
        <w:t>URCHASE</w:t>
      </w:r>
      <w:r>
        <w:rPr>
          <w:rFonts w:ascii="Arial" w:cs="Arial" w:eastAsia="Arial" w:hAnsi="Arial"/>
          <w:sz w:val="18"/>
          <w:szCs w:val="18"/>
          <w:color w:val="auto"/>
        </w:rPr>
        <w:t xml:space="preserve"> P</w:t>
      </w:r>
      <w:r>
        <w:rPr>
          <w:rFonts w:ascii="Arial" w:cs="Arial" w:eastAsia="Arial" w:hAnsi="Arial"/>
          <w:sz w:val="12"/>
          <w:szCs w:val="12"/>
          <w:color w:val="auto"/>
        </w:rPr>
        <w:t>RICE</w:t>
      </w:r>
      <w:r>
        <w:rPr>
          <w:rFonts w:ascii="Arial" w:cs="Arial" w:eastAsia="Arial" w:hAnsi="Arial"/>
          <w:sz w:val="18"/>
          <w:szCs w:val="18"/>
          <w:color w:val="auto"/>
        </w:rPr>
        <w:t>, the "</w:t>
      </w:r>
      <w:r>
        <w:rPr>
          <w:rFonts w:ascii="Arial" w:cs="Arial" w:eastAsia="Arial" w:hAnsi="Arial"/>
          <w:sz w:val="18"/>
          <w:szCs w:val="18"/>
          <w:b w:val="1"/>
          <w:bCs w:val="1"/>
          <w:color w:val="auto"/>
        </w:rPr>
        <w:t>ACIU S</w:t>
      </w:r>
      <w:r>
        <w:rPr>
          <w:rFonts w:ascii="Arial" w:cs="Arial" w:eastAsia="Arial" w:hAnsi="Arial"/>
          <w:sz w:val="12"/>
          <w:szCs w:val="12"/>
          <w:b w:val="1"/>
          <w:bCs w:val="1"/>
          <w:color w:val="auto"/>
        </w:rPr>
        <w:t>HARES</w:t>
      </w:r>
      <w:r>
        <w:rPr>
          <w:rFonts w:ascii="Arial" w:cs="Arial" w:eastAsia="Arial" w:hAnsi="Arial"/>
          <w:sz w:val="18"/>
          <w:szCs w:val="18"/>
          <w:color w:val="auto"/>
        </w:rPr>
        <w:t>").</w:t>
      </w:r>
    </w:p>
    <w:p>
      <w:pPr>
        <w:spacing w:after="0" w:line="167"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RICE</w:t>
      </w:r>
    </w:p>
    <w:p>
      <w:pPr>
        <w:spacing w:after="0" w:line="220" w:lineRule="exact"/>
        <w:rPr>
          <w:sz w:val="20"/>
          <w:szCs w:val="20"/>
          <w:color w:val="auto"/>
        </w:rPr>
      </w:pPr>
    </w:p>
    <w:p>
      <w:pPr>
        <w:jc w:val="both"/>
        <w:ind w:left="660" w:hanging="652"/>
        <w:spacing w:after="0" w:line="23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One B</w:t>
      </w:r>
      <w:r>
        <w:rPr>
          <w:rFonts w:ascii="Arial" w:cs="Arial" w:eastAsia="Arial" w:hAnsi="Arial"/>
          <w:sz w:val="12"/>
          <w:szCs w:val="12"/>
          <w:color w:val="auto"/>
        </w:rPr>
        <w:t>USINESS</w:t>
      </w:r>
      <w:r>
        <w:rPr>
          <w:rFonts w:ascii="Arial" w:cs="Arial" w:eastAsia="Arial" w:hAnsi="Arial"/>
          <w:sz w:val="18"/>
          <w:szCs w:val="18"/>
          <w:color w:val="auto"/>
        </w:rPr>
        <w:t xml:space="preserve"> D</w:t>
      </w:r>
      <w:r>
        <w:rPr>
          <w:rFonts w:ascii="Arial" w:cs="Arial" w:eastAsia="Arial" w:hAnsi="Arial"/>
          <w:sz w:val="12"/>
          <w:szCs w:val="12"/>
          <w:color w:val="auto"/>
        </w:rPr>
        <w:t>AY</w:t>
      </w:r>
      <w:r>
        <w:rPr>
          <w:rFonts w:ascii="Arial" w:cs="Arial" w:eastAsia="Arial" w:hAnsi="Arial"/>
          <w:sz w:val="18"/>
          <w:szCs w:val="18"/>
          <w:color w:val="auto"/>
        </w:rPr>
        <w:t xml:space="preserve"> prior to the C</w:t>
      </w:r>
      <w:r>
        <w:rPr>
          <w:rFonts w:ascii="Arial" w:cs="Arial" w:eastAsia="Arial" w:hAnsi="Arial"/>
          <w:sz w:val="12"/>
          <w:szCs w:val="12"/>
          <w:color w:val="auto"/>
        </w:rPr>
        <w:t>LOSING</w:t>
      </w:r>
      <w:r>
        <w:rPr>
          <w:rFonts w:ascii="Arial" w:cs="Arial" w:eastAsia="Arial" w:hAnsi="Arial"/>
          <w:sz w:val="18"/>
          <w:szCs w:val="18"/>
          <w:color w:val="auto"/>
        </w:rPr>
        <w:t xml:space="preserve"> D</w:t>
      </w:r>
      <w:r>
        <w:rPr>
          <w:rFonts w:ascii="Arial" w:cs="Arial" w:eastAsia="Arial" w:hAnsi="Arial"/>
          <w:sz w:val="12"/>
          <w:szCs w:val="12"/>
          <w:color w:val="auto"/>
        </w:rPr>
        <w:t>ATE</w:t>
      </w:r>
      <w:r>
        <w:rPr>
          <w:rFonts w:ascii="Arial" w:cs="Arial" w:eastAsia="Arial" w:hAnsi="Arial"/>
          <w:sz w:val="18"/>
          <w:szCs w:val="18"/>
          <w:color w:val="auto"/>
        </w:rPr>
        <w:t>, A</w:t>
      </w:r>
      <w:r>
        <w:rPr>
          <w:rFonts w:ascii="Arial" w:cs="Arial" w:eastAsia="Arial" w:hAnsi="Arial"/>
          <w:sz w:val="12"/>
          <w:szCs w:val="12"/>
          <w:color w:val="auto"/>
        </w:rPr>
        <w:t>FFIRIS</w:t>
      </w:r>
      <w:r>
        <w:rPr>
          <w:rFonts w:ascii="Arial" w:cs="Arial" w:eastAsia="Arial" w:hAnsi="Arial"/>
          <w:sz w:val="18"/>
          <w:szCs w:val="18"/>
          <w:color w:val="auto"/>
        </w:rPr>
        <w:t xml:space="preserve"> will transfer the C</w:t>
      </w:r>
      <w:r>
        <w:rPr>
          <w:rFonts w:ascii="Arial" w:cs="Arial" w:eastAsia="Arial" w:hAnsi="Arial"/>
          <w:sz w:val="12"/>
          <w:szCs w:val="12"/>
          <w:color w:val="auto"/>
        </w:rPr>
        <w:t>ASH</w:t>
      </w:r>
      <w:r>
        <w:rPr>
          <w:rFonts w:ascii="Arial" w:cs="Arial" w:eastAsia="Arial" w:hAnsi="Arial"/>
          <w:sz w:val="18"/>
          <w:szCs w:val="18"/>
          <w:color w:val="auto"/>
        </w:rPr>
        <w:t xml:space="preserve"> in accordance with S</w:t>
      </w:r>
      <w:r>
        <w:rPr>
          <w:rFonts w:ascii="Arial" w:cs="Arial" w:eastAsia="Arial" w:hAnsi="Arial"/>
          <w:sz w:val="12"/>
          <w:szCs w:val="12"/>
          <w:color w:val="auto"/>
        </w:rPr>
        <w:t>ECTION</w:t>
      </w:r>
      <w:r>
        <w:rPr>
          <w:rFonts w:ascii="Arial" w:cs="Arial" w:eastAsia="Arial" w:hAnsi="Arial"/>
          <w:sz w:val="18"/>
          <w:szCs w:val="18"/>
          <w:color w:val="auto"/>
        </w:rPr>
        <w:t xml:space="preserve"> 3.2.3 and at the C</w:t>
      </w:r>
      <w:r>
        <w:rPr>
          <w:rFonts w:ascii="Arial" w:cs="Arial" w:eastAsia="Arial" w:hAnsi="Arial"/>
          <w:sz w:val="12"/>
          <w:szCs w:val="12"/>
          <w:color w:val="auto"/>
        </w:rPr>
        <w:t>LOSING</w:t>
      </w:r>
      <w:r>
        <w:rPr>
          <w:rFonts w:ascii="Arial" w:cs="Arial" w:eastAsia="Arial" w:hAnsi="Arial"/>
          <w:sz w:val="18"/>
          <w:szCs w:val="18"/>
          <w:color w:val="auto"/>
        </w:rPr>
        <w:t xml:space="preserve"> D</w:t>
      </w:r>
      <w:r>
        <w:rPr>
          <w:rFonts w:ascii="Arial" w:cs="Arial" w:eastAsia="Arial" w:hAnsi="Arial"/>
          <w:sz w:val="12"/>
          <w:szCs w:val="12"/>
          <w:color w:val="auto"/>
        </w:rPr>
        <w:t>ATE</w:t>
      </w:r>
      <w:r>
        <w:rPr>
          <w:rFonts w:ascii="Arial" w:cs="Arial" w:eastAsia="Arial" w:hAnsi="Arial"/>
          <w:sz w:val="18"/>
          <w:szCs w:val="18"/>
          <w:color w:val="auto"/>
        </w:rPr>
        <w:t xml:space="preserve"> and in accordance with S</w:t>
      </w:r>
      <w:r>
        <w:rPr>
          <w:rFonts w:ascii="Arial" w:cs="Arial" w:eastAsia="Arial" w:hAnsi="Arial"/>
          <w:sz w:val="12"/>
          <w:szCs w:val="12"/>
          <w:color w:val="auto"/>
        </w:rPr>
        <w:t>ECTION</w:t>
      </w:r>
      <w:r>
        <w:rPr>
          <w:rFonts w:ascii="Arial" w:cs="Arial" w:eastAsia="Arial" w:hAnsi="Arial"/>
          <w:sz w:val="18"/>
          <w:szCs w:val="18"/>
          <w:color w:val="auto"/>
        </w:rPr>
        <w:t xml:space="preserve"> 8.2 (Closing Actions), A</w:t>
      </w:r>
      <w:r>
        <w:rPr>
          <w:rFonts w:ascii="Arial" w:cs="Arial" w:eastAsia="Arial" w:hAnsi="Arial"/>
          <w:sz w:val="12"/>
          <w:szCs w:val="12"/>
          <w:color w:val="auto"/>
        </w:rPr>
        <w:t>FFIRIS</w:t>
      </w:r>
      <w:r>
        <w:rPr>
          <w:rFonts w:ascii="Arial" w:cs="Arial" w:eastAsia="Arial" w:hAnsi="Arial"/>
          <w:sz w:val="18"/>
          <w:szCs w:val="18"/>
          <w:color w:val="auto"/>
        </w:rPr>
        <w:t xml:space="preserve"> will transfer the P</w:t>
      </w:r>
      <w:r>
        <w:rPr>
          <w:rFonts w:ascii="Arial" w:cs="Arial" w:eastAsia="Arial" w:hAnsi="Arial"/>
          <w:sz w:val="12"/>
          <w:szCs w:val="12"/>
          <w:color w:val="auto"/>
        </w:rPr>
        <w:t>ROGRAMS</w:t>
      </w:r>
      <w:r>
        <w:rPr>
          <w:rFonts w:ascii="Arial" w:cs="Arial" w:eastAsia="Arial" w:hAnsi="Arial"/>
          <w:sz w:val="18"/>
          <w:szCs w:val="18"/>
          <w:color w:val="auto"/>
        </w:rPr>
        <w:t xml:space="preserve"> to ACIU as a contribution in kind and ACIU will resolve on the capital increase required for the issuance of the ACIU S</w:t>
      </w:r>
      <w:r>
        <w:rPr>
          <w:rFonts w:ascii="Arial" w:cs="Arial" w:eastAsia="Arial" w:hAnsi="Arial"/>
          <w:sz w:val="12"/>
          <w:szCs w:val="12"/>
          <w:color w:val="auto"/>
        </w:rPr>
        <w:t>HARES</w:t>
      </w:r>
      <w:r>
        <w:rPr>
          <w:rFonts w:ascii="Arial" w:cs="Arial" w:eastAsia="Arial" w:hAnsi="Arial"/>
          <w:sz w:val="18"/>
          <w:szCs w:val="18"/>
          <w:color w:val="auto"/>
        </w:rPr>
        <w:t xml:space="preserve"> to be created with entry of the capital increase in the commercial registry of the Canton of Vaud (</w:t>
      </w:r>
      <w:r>
        <w:rPr>
          <w:rFonts w:ascii="Arial" w:cs="Arial" w:eastAsia="Arial" w:hAnsi="Arial"/>
          <w:sz w:val="18"/>
          <w:szCs w:val="18"/>
          <w:i w:val="1"/>
          <w:iCs w:val="1"/>
          <w:color w:val="auto"/>
        </w:rPr>
        <w:t>Tagebucheintrag</w:t>
      </w:r>
      <w:r>
        <w:rPr>
          <w:rFonts w:ascii="Arial" w:cs="Arial" w:eastAsia="Arial" w:hAnsi="Arial"/>
          <w:sz w:val="18"/>
          <w:szCs w:val="18"/>
          <w:color w:val="auto"/>
        </w:rPr>
        <w:t>) and to become effective with the registration of the capital increase in the Swiss Official Gazette of Commerce ("</w:t>
      </w:r>
      <w:r>
        <w:rPr>
          <w:rFonts w:ascii="Arial" w:cs="Arial" w:eastAsia="Arial" w:hAnsi="Arial"/>
          <w:sz w:val="18"/>
          <w:szCs w:val="18"/>
          <w:b w:val="1"/>
          <w:bCs w:val="1"/>
          <w:color w:val="auto"/>
        </w:rPr>
        <w:t>SOGC</w:t>
      </w:r>
      <w:r>
        <w:rPr>
          <w:rFonts w:ascii="Arial" w:cs="Arial" w:eastAsia="Arial" w:hAnsi="Arial"/>
          <w:sz w:val="18"/>
          <w:szCs w:val="18"/>
          <w:color w:val="auto"/>
        </w:rPr>
        <w:t>") in accordance with art. 936a CO (the "</w:t>
      </w:r>
      <w:r>
        <w:rPr>
          <w:rFonts w:ascii="Arial" w:cs="Arial" w:eastAsia="Arial" w:hAnsi="Arial"/>
          <w:sz w:val="18"/>
          <w:szCs w:val="18"/>
          <w:b w:val="1"/>
          <w:bCs w:val="1"/>
          <w:color w:val="auto"/>
        </w:rPr>
        <w:t>R</w:t>
      </w:r>
      <w:r>
        <w:rPr>
          <w:rFonts w:ascii="Arial" w:cs="Arial" w:eastAsia="Arial" w:hAnsi="Arial"/>
          <w:sz w:val="12"/>
          <w:szCs w:val="12"/>
          <w:b w:val="1"/>
          <w:bCs w:val="1"/>
          <w:color w:val="auto"/>
        </w:rPr>
        <w:t>EGISTRATION</w:t>
      </w:r>
      <w:r>
        <w:rPr>
          <w:rFonts w:ascii="Arial" w:cs="Arial" w:eastAsia="Arial" w:hAnsi="Arial"/>
          <w:sz w:val="18"/>
          <w:szCs w:val="18"/>
          <w:color w:val="auto"/>
        </w:rPr>
        <w:t>"), each as set forth in Section 8.2 (Closing Actions) as a payment of the P</w:t>
      </w:r>
      <w:r>
        <w:rPr>
          <w:rFonts w:ascii="Arial" w:cs="Arial" w:eastAsia="Arial" w:hAnsi="Arial"/>
          <w:sz w:val="12"/>
          <w:szCs w:val="12"/>
          <w:color w:val="auto"/>
        </w:rPr>
        <w:t>URCHASE</w:t>
      </w:r>
      <w:r>
        <w:rPr>
          <w:rFonts w:ascii="Arial" w:cs="Arial" w:eastAsia="Arial" w:hAnsi="Arial"/>
          <w:sz w:val="18"/>
          <w:szCs w:val="18"/>
          <w:color w:val="auto"/>
        </w:rPr>
        <w:t xml:space="preserve"> P</w:t>
      </w:r>
      <w:r>
        <w:rPr>
          <w:rFonts w:ascii="Arial" w:cs="Arial" w:eastAsia="Arial" w:hAnsi="Arial"/>
          <w:sz w:val="12"/>
          <w:szCs w:val="12"/>
          <w:color w:val="auto"/>
        </w:rPr>
        <w:t>RICE</w:t>
      </w:r>
      <w:r>
        <w:rPr>
          <w:rFonts w:ascii="Arial" w:cs="Arial" w:eastAsia="Arial" w:hAnsi="Arial"/>
          <w:sz w:val="18"/>
          <w:szCs w:val="18"/>
          <w:color w:val="auto"/>
        </w:rPr>
        <w:t xml:space="preserve"> for the C</w:t>
      </w:r>
      <w:r>
        <w:rPr>
          <w:rFonts w:ascii="Arial" w:cs="Arial" w:eastAsia="Arial" w:hAnsi="Arial"/>
          <w:sz w:val="12"/>
          <w:szCs w:val="12"/>
          <w:color w:val="auto"/>
        </w:rPr>
        <w:t>ASH</w:t>
      </w:r>
      <w:r>
        <w:rPr>
          <w:rFonts w:ascii="Arial" w:cs="Arial" w:eastAsia="Arial" w:hAnsi="Arial"/>
          <w:sz w:val="18"/>
          <w:szCs w:val="18"/>
          <w:color w:val="auto"/>
        </w:rPr>
        <w:t xml:space="preserve"> and the contribution in kind in accordance with S</w:t>
      </w:r>
      <w:r>
        <w:rPr>
          <w:rFonts w:ascii="Arial" w:cs="Arial" w:eastAsia="Arial" w:hAnsi="Arial"/>
          <w:sz w:val="12"/>
          <w:szCs w:val="12"/>
          <w:color w:val="auto"/>
        </w:rPr>
        <w:t>ECTION</w:t>
      </w:r>
      <w:r>
        <w:rPr>
          <w:rFonts w:ascii="Arial" w:cs="Arial" w:eastAsia="Arial" w:hAnsi="Arial"/>
          <w:sz w:val="18"/>
          <w:szCs w:val="18"/>
          <w:color w:val="auto"/>
        </w:rPr>
        <w:t xml:space="preserve"> 4.</w:t>
      </w:r>
    </w:p>
    <w:p>
      <w:pPr>
        <w:spacing w:after="0" w:line="173" w:lineRule="exact"/>
        <w:rPr>
          <w:rFonts w:ascii="Arial" w:cs="Arial" w:eastAsia="Arial" w:hAnsi="Arial"/>
          <w:sz w:val="18"/>
          <w:szCs w:val="18"/>
          <w:color w:val="auto"/>
        </w:rPr>
      </w:pPr>
    </w:p>
    <w:p>
      <w:pPr>
        <w:ind w:left="660" w:hanging="652"/>
        <w:spacing w:after="0" w:line="26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ACIU S</w:t>
      </w:r>
      <w:r>
        <w:rPr>
          <w:rFonts w:ascii="Arial" w:cs="Arial" w:eastAsia="Arial" w:hAnsi="Arial"/>
          <w:sz w:val="12"/>
          <w:szCs w:val="12"/>
          <w:color w:val="auto"/>
        </w:rPr>
        <w:t>HARES</w:t>
      </w:r>
      <w:r>
        <w:rPr>
          <w:rFonts w:ascii="Arial" w:cs="Arial" w:eastAsia="Arial" w:hAnsi="Arial"/>
          <w:sz w:val="18"/>
          <w:szCs w:val="18"/>
          <w:color w:val="auto"/>
        </w:rPr>
        <w:t xml:space="preserve"> to be delivered as P</w:t>
      </w:r>
      <w:r>
        <w:rPr>
          <w:rFonts w:ascii="Arial" w:cs="Arial" w:eastAsia="Arial" w:hAnsi="Arial"/>
          <w:sz w:val="12"/>
          <w:szCs w:val="12"/>
          <w:color w:val="auto"/>
        </w:rPr>
        <w:t>URCHASE</w:t>
      </w:r>
      <w:r>
        <w:rPr>
          <w:rFonts w:ascii="Arial" w:cs="Arial" w:eastAsia="Arial" w:hAnsi="Arial"/>
          <w:sz w:val="18"/>
          <w:szCs w:val="18"/>
          <w:color w:val="auto"/>
        </w:rPr>
        <w:t xml:space="preserve"> P</w:t>
      </w:r>
      <w:r>
        <w:rPr>
          <w:rFonts w:ascii="Arial" w:cs="Arial" w:eastAsia="Arial" w:hAnsi="Arial"/>
          <w:sz w:val="12"/>
          <w:szCs w:val="12"/>
          <w:color w:val="auto"/>
        </w:rPr>
        <w:t>RICE</w:t>
      </w:r>
      <w:r>
        <w:rPr>
          <w:rFonts w:ascii="Arial" w:cs="Arial" w:eastAsia="Arial" w:hAnsi="Arial"/>
          <w:sz w:val="18"/>
          <w:szCs w:val="18"/>
          <w:color w:val="auto"/>
        </w:rPr>
        <w:t xml:space="preserve"> shall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existing ACIU shares in terms of dividend and voting rights.</w:t>
      </w: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CERTAIN CONFIDENTIAL PORTIONS HAVE BEEN REDACTED FROM THIS EXHIBIT BECAUSE THEY ARE BOTH (i) NOT MATERIAL AND (ii) IS THE TYPE THAT THE COMPANY TREATS AS PRIVATE OR CONFIDENTIAL. INFORMATION THAT HAS BEEN OMITTED HAD BEEN IDENTIFIED IN THIS DOCUMENT WITH A PLACEHOLDER IDENTIFIED BY THE MARK “[*****]”.</w:t>
      </w:r>
    </w:p>
    <w:p>
      <w:pPr>
        <w:spacing w:after="0" w:line="167" w:lineRule="exact"/>
        <w:rPr>
          <w:sz w:val="20"/>
          <w:szCs w:val="20"/>
          <w:color w:val="auto"/>
        </w:rPr>
      </w:pPr>
    </w:p>
    <w:p>
      <w:pPr>
        <w:ind w:right="8520" w:firstLine="8"/>
        <w:spacing w:after="0" w:line="482" w:lineRule="auto"/>
        <w:tabs>
          <w:tab w:leader="none" w:pos="648"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Actions Prior to Closing 6.1 Duty to Cooperate</w:t>
      </w:r>
    </w:p>
    <w:p>
      <w:pPr>
        <w:spacing w:after="0" w:line="1" w:lineRule="exact"/>
        <w:rPr>
          <w:sz w:val="20"/>
          <w:szCs w:val="20"/>
          <w:color w:val="auto"/>
        </w:rPr>
      </w:pPr>
    </w:p>
    <w:p>
      <w:pPr>
        <w:jc w:val="both"/>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w:t>
      </w:r>
      <w:r>
        <w:rPr>
          <w:rFonts w:ascii="Arial" w:cs="Arial" w:eastAsia="Arial" w:hAnsi="Arial"/>
          <w:sz w:val="12"/>
          <w:szCs w:val="12"/>
          <w:color w:val="auto"/>
        </w:rPr>
        <w:t>ARTIES</w:t>
      </w:r>
      <w:r>
        <w:rPr>
          <w:rFonts w:ascii="Arial" w:cs="Arial" w:eastAsia="Arial" w:hAnsi="Arial"/>
          <w:sz w:val="18"/>
          <w:szCs w:val="18"/>
          <w:color w:val="auto"/>
        </w:rPr>
        <w:t xml:space="preserve"> shall use their reasonable best efforts and shall cooperate, also following C</w:t>
      </w:r>
      <w:r>
        <w:rPr>
          <w:rFonts w:ascii="Arial" w:cs="Arial" w:eastAsia="Arial" w:hAnsi="Arial"/>
          <w:sz w:val="12"/>
          <w:szCs w:val="12"/>
          <w:color w:val="auto"/>
        </w:rPr>
        <w:t>LOSING</w:t>
      </w:r>
      <w:r>
        <w:rPr>
          <w:rFonts w:ascii="Arial" w:cs="Arial" w:eastAsia="Arial" w:hAnsi="Arial"/>
          <w:sz w:val="18"/>
          <w:szCs w:val="18"/>
          <w:color w:val="auto"/>
        </w:rPr>
        <w:t>, to give full effect to the provisions of this A</w:t>
      </w:r>
      <w:r>
        <w:rPr>
          <w:rFonts w:ascii="Arial" w:cs="Arial" w:eastAsia="Arial" w:hAnsi="Arial"/>
          <w:sz w:val="12"/>
          <w:szCs w:val="12"/>
          <w:color w:val="auto"/>
        </w:rPr>
        <w:t>GREEMENT</w:t>
      </w:r>
      <w:r>
        <w:rPr>
          <w:rFonts w:ascii="Arial" w:cs="Arial" w:eastAsia="Arial" w:hAnsi="Arial"/>
          <w:sz w:val="18"/>
          <w:szCs w:val="18"/>
          <w:color w:val="auto"/>
        </w:rPr>
        <w:t xml:space="preserve"> and effect the T</w:t>
      </w:r>
      <w:r>
        <w:rPr>
          <w:rFonts w:ascii="Arial" w:cs="Arial" w:eastAsia="Arial" w:hAnsi="Arial"/>
          <w:sz w:val="12"/>
          <w:szCs w:val="12"/>
          <w:color w:val="auto"/>
        </w:rPr>
        <w:t>RANSFER</w:t>
      </w:r>
      <w:r>
        <w:rPr>
          <w:rFonts w:ascii="Arial" w:cs="Arial" w:eastAsia="Arial" w:hAnsi="Arial"/>
          <w:sz w:val="18"/>
          <w:szCs w:val="18"/>
          <w:color w:val="auto"/>
        </w:rPr>
        <w:t xml:space="preserve"> (and in particular satisfy the conditions to C</w:t>
      </w:r>
      <w:r>
        <w:rPr>
          <w:rFonts w:ascii="Arial" w:cs="Arial" w:eastAsia="Arial" w:hAnsi="Arial"/>
          <w:sz w:val="12"/>
          <w:szCs w:val="12"/>
          <w:color w:val="auto"/>
        </w:rPr>
        <w:t>LOSING</w:t>
      </w:r>
      <w:r>
        <w:rPr>
          <w:rFonts w:ascii="Arial" w:cs="Arial" w:eastAsia="Arial" w:hAnsi="Arial"/>
          <w:sz w:val="18"/>
          <w:szCs w:val="18"/>
          <w:color w:val="auto"/>
        </w:rPr>
        <w:t xml:space="preserve"> set forth in Section 7 (Conditions Precedent to Closing)) in accordance with the terms and conditions set out herein.</w:t>
      </w:r>
    </w:p>
    <w:p>
      <w:pPr>
        <w:spacing w:after="0" w:line="171" w:lineRule="exact"/>
        <w:rPr>
          <w:rFonts w:ascii="Arial" w:cs="Arial" w:eastAsia="Arial" w:hAnsi="Arial"/>
          <w:sz w:val="18"/>
          <w:szCs w:val="18"/>
          <w:color w:val="auto"/>
        </w:rPr>
      </w:pPr>
    </w:p>
    <w:p>
      <w:pPr>
        <w:jc w:val="both"/>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ACIU shall file the application required under the Austrian Foreign Direct Investment Control Act (</w:t>
      </w:r>
      <w:r>
        <w:rPr>
          <w:rFonts w:ascii="Arial" w:cs="Arial" w:eastAsia="Arial" w:hAnsi="Arial"/>
          <w:sz w:val="18"/>
          <w:szCs w:val="18"/>
          <w:i w:val="1"/>
          <w:iCs w:val="1"/>
          <w:color w:val="auto"/>
        </w:rPr>
        <w:t>Investitionskontrollgesetz</w:t>
      </w:r>
      <w:r>
        <w:rPr>
          <w:rFonts w:ascii="Arial" w:cs="Arial" w:eastAsia="Arial" w:hAnsi="Arial"/>
          <w:sz w:val="18"/>
          <w:szCs w:val="18"/>
          <w:color w:val="auto"/>
        </w:rPr>
        <w:t>) as soon as reasonably possible after the signing of this A</w:t>
      </w:r>
      <w:r>
        <w:rPr>
          <w:rFonts w:ascii="Arial" w:cs="Arial" w:eastAsia="Arial" w:hAnsi="Arial"/>
          <w:sz w:val="12"/>
          <w:szCs w:val="12"/>
          <w:color w:val="auto"/>
        </w:rPr>
        <w:t>GREEMENT</w:t>
      </w:r>
      <w:r>
        <w:rPr>
          <w:rFonts w:ascii="Arial" w:cs="Arial" w:eastAsia="Arial" w:hAnsi="Arial"/>
          <w:sz w:val="18"/>
          <w:szCs w:val="18"/>
          <w:color w:val="auto"/>
        </w:rPr>
        <w:t xml:space="preserve"> with the Austrian Ministry of Digital and Economic Affairs (</w:t>
      </w:r>
      <w:r>
        <w:rPr>
          <w:rFonts w:ascii="Arial" w:cs="Arial" w:eastAsia="Arial" w:hAnsi="Arial"/>
          <w:sz w:val="18"/>
          <w:szCs w:val="18"/>
          <w:i w:val="1"/>
          <w:iCs w:val="1"/>
          <w:color w:val="auto"/>
        </w:rPr>
        <w:t>Bundesministerium für Digitalisierung und Wirtschaftsstandort</w:t>
      </w:r>
      <w:r>
        <w:rPr>
          <w:rFonts w:ascii="Arial" w:cs="Arial" w:eastAsia="Arial" w:hAnsi="Arial"/>
          <w:sz w:val="18"/>
          <w:szCs w:val="18"/>
          <w:color w:val="auto"/>
        </w:rPr>
        <w:t>) to obtain the approval as set forth in S</w:t>
      </w:r>
      <w:r>
        <w:rPr>
          <w:rFonts w:ascii="Arial" w:cs="Arial" w:eastAsia="Arial" w:hAnsi="Arial"/>
          <w:sz w:val="12"/>
          <w:szCs w:val="12"/>
          <w:color w:val="auto"/>
        </w:rPr>
        <w:t>ECTION</w:t>
      </w:r>
      <w:r>
        <w:rPr>
          <w:rFonts w:ascii="Arial" w:cs="Arial" w:eastAsia="Arial" w:hAnsi="Arial"/>
          <w:sz w:val="18"/>
          <w:szCs w:val="18"/>
          <w:color w:val="auto"/>
        </w:rPr>
        <w:t xml:space="preserve"> 7.120 (Conditions to the Obligations of all P</w:t>
      </w:r>
      <w:r>
        <w:rPr>
          <w:rFonts w:ascii="Arial" w:cs="Arial" w:eastAsia="Arial" w:hAnsi="Arial"/>
          <w:sz w:val="12"/>
          <w:szCs w:val="12"/>
          <w:color w:val="auto"/>
        </w:rPr>
        <w:t>ARTIES</w:t>
      </w:r>
      <w:r>
        <w:rPr>
          <w:rFonts w:ascii="Arial" w:cs="Arial" w:eastAsia="Arial" w:hAnsi="Arial"/>
          <w:sz w:val="18"/>
          <w:szCs w:val="18"/>
          <w:color w:val="auto"/>
        </w:rPr>
        <w:t>). A</w:t>
      </w:r>
      <w:r>
        <w:rPr>
          <w:rFonts w:ascii="Arial" w:cs="Arial" w:eastAsia="Arial" w:hAnsi="Arial"/>
          <w:sz w:val="12"/>
          <w:szCs w:val="12"/>
          <w:color w:val="auto"/>
        </w:rPr>
        <w:t>FFIRIS</w:t>
      </w:r>
      <w:r>
        <w:rPr>
          <w:rFonts w:ascii="Arial" w:cs="Arial" w:eastAsia="Arial" w:hAnsi="Arial"/>
          <w:sz w:val="18"/>
          <w:szCs w:val="18"/>
          <w:color w:val="auto"/>
        </w:rPr>
        <w:t xml:space="preserve"> procures to use its reasonable best efforts (i) to assist ACIU to obtain such approval and (ii) to provide all information and documents needed or requested for such approval. In case the Austrian Ministry of Digital and Economic Affairs (</w:t>
      </w:r>
      <w:r>
        <w:rPr>
          <w:rFonts w:ascii="Arial" w:cs="Arial" w:eastAsia="Arial" w:hAnsi="Arial"/>
          <w:sz w:val="18"/>
          <w:szCs w:val="18"/>
          <w:i w:val="1"/>
          <w:iCs w:val="1"/>
          <w:color w:val="auto"/>
        </w:rPr>
        <w:t>Bundesministerium für Digitalisierung und Wirtschaftsstandort</w:t>
      </w:r>
      <w:r>
        <w:rPr>
          <w:rFonts w:ascii="Arial" w:cs="Arial" w:eastAsia="Arial" w:hAnsi="Arial"/>
          <w:sz w:val="18"/>
          <w:szCs w:val="18"/>
          <w:color w:val="auto"/>
        </w:rPr>
        <w:t>) will only grant the required approval subject to certain conditions or obligations, ACIU shall be under no obligation to accept any such conditions or obligations.</w:t>
      </w:r>
    </w:p>
    <w:p>
      <w:pPr>
        <w:spacing w:after="0" w:line="167" w:lineRule="exact"/>
        <w:rPr>
          <w:rFonts w:ascii="Arial" w:cs="Arial" w:eastAsia="Arial" w:hAnsi="Arial"/>
          <w:sz w:val="18"/>
          <w:szCs w:val="18"/>
          <w:color w:val="auto"/>
        </w:rPr>
      </w:pPr>
    </w:p>
    <w:p>
      <w:pPr>
        <w:jc w:val="both"/>
        <w:ind w:left="660" w:hanging="652"/>
        <w:spacing w:after="0" w:line="25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Promptly after the signing of this A</w:t>
      </w:r>
      <w:r>
        <w:rPr>
          <w:rFonts w:ascii="Arial" w:cs="Arial" w:eastAsia="Arial" w:hAnsi="Arial"/>
          <w:sz w:val="12"/>
          <w:szCs w:val="12"/>
          <w:color w:val="auto"/>
        </w:rPr>
        <w:t>GREEMENT</w:t>
      </w:r>
      <w:r>
        <w:rPr>
          <w:rFonts w:ascii="Arial" w:cs="Arial" w:eastAsia="Arial" w:hAnsi="Arial"/>
          <w:sz w:val="18"/>
          <w:szCs w:val="18"/>
          <w:color w:val="auto"/>
        </w:rPr>
        <w:t>, A</w:t>
      </w:r>
      <w:r>
        <w:rPr>
          <w:rFonts w:ascii="Arial" w:cs="Arial" w:eastAsia="Arial" w:hAnsi="Arial"/>
          <w:sz w:val="12"/>
          <w:szCs w:val="12"/>
          <w:color w:val="auto"/>
        </w:rPr>
        <w:t>FFIRIS</w:t>
      </w:r>
      <w:r>
        <w:rPr>
          <w:rFonts w:ascii="Arial" w:cs="Arial" w:eastAsia="Arial" w:hAnsi="Arial"/>
          <w:sz w:val="18"/>
          <w:szCs w:val="18"/>
          <w:color w:val="auto"/>
        </w:rPr>
        <w:t xml:space="preserve"> shall prepare a PCT patent application based on [*****] ("</w:t>
      </w:r>
      <w:r>
        <w:rPr>
          <w:rFonts w:ascii="Arial" w:cs="Arial" w:eastAsia="Arial" w:hAnsi="Arial"/>
          <w:sz w:val="18"/>
          <w:szCs w:val="18"/>
          <w:b w:val="1"/>
          <w:bCs w:val="1"/>
          <w:color w:val="auto"/>
        </w:rPr>
        <w:t>PCT A</w:t>
      </w:r>
      <w:r>
        <w:rPr>
          <w:rFonts w:ascii="Arial" w:cs="Arial" w:eastAsia="Arial" w:hAnsi="Arial"/>
          <w:sz w:val="12"/>
          <w:szCs w:val="12"/>
          <w:b w:val="1"/>
          <w:bCs w:val="1"/>
          <w:color w:val="auto"/>
        </w:rPr>
        <w:t>PPLICATION</w:t>
      </w:r>
      <w:r>
        <w:rPr>
          <w:rFonts w:ascii="Arial" w:cs="Arial" w:eastAsia="Arial" w:hAnsi="Arial"/>
          <w:sz w:val="18"/>
          <w:szCs w:val="18"/>
          <w:color w:val="auto"/>
        </w:rPr>
        <w:t>") [*****], and will submit the draft to ACIU for review. A</w:t>
      </w:r>
      <w:r>
        <w:rPr>
          <w:rFonts w:ascii="Arial" w:cs="Arial" w:eastAsia="Arial" w:hAnsi="Arial"/>
          <w:sz w:val="12"/>
          <w:szCs w:val="12"/>
          <w:color w:val="auto"/>
        </w:rPr>
        <w:t>FFIRIS</w:t>
      </w:r>
      <w:r>
        <w:rPr>
          <w:rFonts w:ascii="Arial" w:cs="Arial" w:eastAsia="Arial" w:hAnsi="Arial"/>
          <w:sz w:val="18"/>
          <w:szCs w:val="18"/>
          <w:color w:val="auto"/>
        </w:rPr>
        <w:t xml:space="preserve"> and ACIU will agree on the final contents of the PCT A</w:t>
      </w:r>
      <w:r>
        <w:rPr>
          <w:rFonts w:ascii="Arial" w:cs="Arial" w:eastAsia="Arial" w:hAnsi="Arial"/>
          <w:sz w:val="12"/>
          <w:szCs w:val="12"/>
          <w:color w:val="auto"/>
        </w:rPr>
        <w:t>PPLICATION</w:t>
      </w:r>
      <w:r>
        <w:rPr>
          <w:rFonts w:ascii="Arial" w:cs="Arial" w:eastAsia="Arial" w:hAnsi="Arial"/>
          <w:sz w:val="18"/>
          <w:szCs w:val="18"/>
          <w:color w:val="auto"/>
        </w:rPr>
        <w:t>, and A</w:t>
      </w:r>
      <w:r>
        <w:rPr>
          <w:rFonts w:ascii="Arial" w:cs="Arial" w:eastAsia="Arial" w:hAnsi="Arial"/>
          <w:sz w:val="12"/>
          <w:szCs w:val="12"/>
          <w:color w:val="auto"/>
        </w:rPr>
        <w:t>FFIRIS</w:t>
      </w:r>
      <w:r>
        <w:rPr>
          <w:rFonts w:ascii="Arial" w:cs="Arial" w:eastAsia="Arial" w:hAnsi="Arial"/>
          <w:sz w:val="18"/>
          <w:szCs w:val="18"/>
          <w:color w:val="auto"/>
        </w:rPr>
        <w:t xml:space="preserve"> will file such PCT A</w:t>
      </w:r>
      <w:r>
        <w:rPr>
          <w:rFonts w:ascii="Arial" w:cs="Arial" w:eastAsia="Arial" w:hAnsi="Arial"/>
          <w:sz w:val="12"/>
          <w:szCs w:val="12"/>
          <w:color w:val="auto"/>
        </w:rPr>
        <w:t>PPLICATION</w:t>
      </w:r>
      <w:r>
        <w:rPr>
          <w:rFonts w:ascii="Arial" w:cs="Arial" w:eastAsia="Arial" w:hAnsi="Arial"/>
          <w:sz w:val="18"/>
          <w:szCs w:val="18"/>
          <w:color w:val="auto"/>
        </w:rPr>
        <w:t xml:space="preserve"> at its own costs before[*****].</w:t>
      </w:r>
    </w:p>
    <w:p>
      <w:pPr>
        <w:spacing w:after="0" w:line="177"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soon as reasonably possible after the signing of this A</w:t>
      </w:r>
      <w:r>
        <w:rPr>
          <w:rFonts w:ascii="Arial" w:cs="Arial" w:eastAsia="Arial" w:hAnsi="Arial"/>
          <w:sz w:val="12"/>
          <w:szCs w:val="12"/>
          <w:color w:val="auto"/>
        </w:rPr>
        <w:t>GREEMENT</w:t>
      </w:r>
      <w:r>
        <w:rPr>
          <w:rFonts w:ascii="Arial" w:cs="Arial" w:eastAsia="Arial" w:hAnsi="Arial"/>
          <w:sz w:val="18"/>
          <w:szCs w:val="18"/>
          <w:color w:val="auto"/>
        </w:rPr>
        <w:t>, ACIU shall prepare the entire capital increase documentation and submit the draft documentation for pre-approval with the commercial registry of the Canton of Vaud and, to the extent permissible, request a "hyper-express registration" (</w:t>
      </w:r>
      <w:r>
        <w:rPr>
          <w:rFonts w:ascii="Arial" w:cs="Arial" w:eastAsia="Arial" w:hAnsi="Arial"/>
          <w:sz w:val="18"/>
          <w:szCs w:val="18"/>
          <w:i w:val="1"/>
          <w:iCs w:val="1"/>
          <w:color w:val="auto"/>
        </w:rPr>
        <w:t>Hyperexpressverfahren</w:t>
      </w:r>
      <w:r>
        <w:rPr>
          <w:rFonts w:ascii="Arial" w:cs="Arial" w:eastAsia="Arial" w:hAnsi="Arial"/>
          <w:sz w:val="18"/>
          <w:szCs w:val="18"/>
          <w:color w:val="auto"/>
        </w:rPr>
        <w:t>) for a same-day registration of the capital increase (</w:t>
      </w:r>
      <w:r>
        <w:rPr>
          <w:rFonts w:ascii="Arial" w:cs="Arial" w:eastAsia="Arial" w:hAnsi="Arial"/>
          <w:sz w:val="18"/>
          <w:szCs w:val="18"/>
          <w:i w:val="1"/>
          <w:iCs w:val="1"/>
          <w:color w:val="auto"/>
        </w:rPr>
        <w:t>Tagebucheintrag</w:t>
      </w:r>
      <w:r>
        <w:rPr>
          <w:rFonts w:ascii="Arial" w:cs="Arial" w:eastAsia="Arial" w:hAnsi="Arial"/>
          <w:sz w:val="18"/>
          <w:szCs w:val="18"/>
          <w:color w:val="auto"/>
        </w:rPr>
        <w:t>) in the commercial register as of the envisaged C</w:t>
      </w:r>
      <w:r>
        <w:rPr>
          <w:rFonts w:ascii="Arial" w:cs="Arial" w:eastAsia="Arial" w:hAnsi="Arial"/>
          <w:sz w:val="12"/>
          <w:szCs w:val="12"/>
          <w:color w:val="auto"/>
        </w:rPr>
        <w:t>LOSING</w:t>
      </w:r>
      <w:r>
        <w:rPr>
          <w:rFonts w:ascii="Arial" w:cs="Arial" w:eastAsia="Arial" w:hAnsi="Arial"/>
          <w:sz w:val="18"/>
          <w:szCs w:val="18"/>
          <w:color w:val="auto"/>
        </w:rPr>
        <w:t xml:space="preserve"> D</w:t>
      </w:r>
      <w:r>
        <w:rPr>
          <w:rFonts w:ascii="Arial" w:cs="Arial" w:eastAsia="Arial" w:hAnsi="Arial"/>
          <w:sz w:val="12"/>
          <w:szCs w:val="12"/>
          <w:color w:val="auto"/>
        </w:rPr>
        <w:t>ATE</w:t>
      </w:r>
      <w:r>
        <w:rPr>
          <w:rFonts w:ascii="Arial" w:cs="Arial" w:eastAsia="Arial" w:hAnsi="Arial"/>
          <w:sz w:val="18"/>
          <w:szCs w:val="18"/>
          <w:color w:val="auto"/>
        </w:rPr>
        <w:t>.</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7"/>
          <w:szCs w:val="17"/>
          <w:b w:val="1"/>
          <w:bCs w:val="1"/>
          <w:color w:val="auto"/>
        </w:rPr>
        <w:t>Approval</w:t>
      </w:r>
    </w:p>
    <w:p>
      <w:pPr>
        <w:spacing w:after="0" w:line="220" w:lineRule="exact"/>
        <w:rPr>
          <w:sz w:val="20"/>
          <w:szCs w:val="20"/>
          <w:color w:val="auto"/>
        </w:rPr>
      </w:pPr>
    </w:p>
    <w:p>
      <w:pPr>
        <w:jc w:val="both"/>
        <w:ind w:left="660" w:hanging="652"/>
        <w:spacing w:after="0" w:line="23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Prior to signing of this A</w:t>
      </w:r>
      <w:r>
        <w:rPr>
          <w:rFonts w:ascii="Arial" w:cs="Arial" w:eastAsia="Arial" w:hAnsi="Arial"/>
          <w:sz w:val="12"/>
          <w:szCs w:val="12"/>
          <w:color w:val="auto"/>
        </w:rPr>
        <w:t>GREEMENT</w:t>
      </w:r>
      <w:r>
        <w:rPr>
          <w:rFonts w:ascii="Arial" w:cs="Arial" w:eastAsia="Arial" w:hAnsi="Arial"/>
          <w:sz w:val="18"/>
          <w:szCs w:val="18"/>
          <w:color w:val="auto"/>
        </w:rPr>
        <w:t>, A</w:t>
      </w:r>
      <w:r>
        <w:rPr>
          <w:rFonts w:ascii="Arial" w:cs="Arial" w:eastAsia="Arial" w:hAnsi="Arial"/>
          <w:sz w:val="12"/>
          <w:szCs w:val="12"/>
          <w:color w:val="auto"/>
        </w:rPr>
        <w:t>FFIRIS</w:t>
      </w:r>
      <w:r>
        <w:rPr>
          <w:rFonts w:ascii="Arial" w:cs="Arial" w:eastAsia="Arial" w:hAnsi="Arial"/>
          <w:sz w:val="18"/>
          <w:szCs w:val="18"/>
          <w:color w:val="auto"/>
        </w:rPr>
        <w:t xml:space="preserve"> has delivered to ACIU, and ACIU has delivered to A</w:t>
      </w:r>
      <w:r>
        <w:rPr>
          <w:rFonts w:ascii="Arial" w:cs="Arial" w:eastAsia="Arial" w:hAnsi="Arial"/>
          <w:sz w:val="12"/>
          <w:szCs w:val="12"/>
          <w:color w:val="auto"/>
        </w:rPr>
        <w:t>FFIRIS</w:t>
      </w:r>
      <w:r>
        <w:rPr>
          <w:rFonts w:ascii="Arial" w:cs="Arial" w:eastAsia="Arial" w:hAnsi="Arial"/>
          <w:sz w:val="18"/>
          <w:szCs w:val="18"/>
          <w:color w:val="auto"/>
        </w:rPr>
        <w:t>, evidence, reasonably satisfactory to the respective other P</w:t>
      </w:r>
      <w:r>
        <w:rPr>
          <w:rFonts w:ascii="Arial" w:cs="Arial" w:eastAsia="Arial" w:hAnsi="Arial"/>
          <w:sz w:val="12"/>
          <w:szCs w:val="12"/>
          <w:color w:val="auto"/>
        </w:rPr>
        <w:t>ARTY</w:t>
      </w:r>
      <w:r>
        <w:rPr>
          <w:rFonts w:ascii="Arial" w:cs="Arial" w:eastAsia="Arial" w:hAnsi="Arial"/>
          <w:sz w:val="18"/>
          <w:szCs w:val="18"/>
          <w:color w:val="auto"/>
        </w:rPr>
        <w:t xml:space="preserve"> that their respective board of directors (in case of A</w:t>
      </w:r>
      <w:r>
        <w:rPr>
          <w:rFonts w:ascii="Arial" w:cs="Arial" w:eastAsia="Arial" w:hAnsi="Arial"/>
          <w:sz w:val="12"/>
          <w:szCs w:val="12"/>
          <w:color w:val="auto"/>
        </w:rPr>
        <w:t>FFIRIS</w:t>
      </w:r>
      <w:r>
        <w:rPr>
          <w:rFonts w:ascii="Arial" w:cs="Arial" w:eastAsia="Arial" w:hAnsi="Arial"/>
          <w:sz w:val="18"/>
          <w:szCs w:val="18"/>
          <w:color w:val="auto"/>
        </w:rPr>
        <w:t>, its supervisory board and all its shareholders) has approved the signing of this A</w:t>
      </w:r>
      <w:r>
        <w:rPr>
          <w:rFonts w:ascii="Arial" w:cs="Arial" w:eastAsia="Arial" w:hAnsi="Arial"/>
          <w:sz w:val="12"/>
          <w:szCs w:val="12"/>
          <w:color w:val="auto"/>
        </w:rPr>
        <w:t>GREEMENT</w:t>
      </w:r>
      <w:r>
        <w:rPr>
          <w:rFonts w:ascii="Arial" w:cs="Arial" w:eastAsia="Arial" w:hAnsi="Arial"/>
          <w:sz w:val="18"/>
          <w:szCs w:val="18"/>
          <w:color w:val="auto"/>
        </w:rPr>
        <w:t xml:space="preserve"> and the documents and agreements contemplated herein and A</w:t>
      </w:r>
      <w:r>
        <w:rPr>
          <w:rFonts w:ascii="Arial" w:cs="Arial" w:eastAsia="Arial" w:hAnsi="Arial"/>
          <w:sz w:val="12"/>
          <w:szCs w:val="12"/>
          <w:color w:val="auto"/>
        </w:rPr>
        <w:t>FFIRIS</w:t>
      </w:r>
      <w:r>
        <w:rPr>
          <w:rFonts w:ascii="Arial" w:cs="Arial" w:eastAsia="Arial" w:hAnsi="Arial"/>
          <w:sz w:val="18"/>
          <w:szCs w:val="18"/>
          <w:color w:val="auto"/>
        </w:rPr>
        <w:t xml:space="preserve"> confirms that its supervisory board and all its shareholders have approved the consummation of the transactions contemplated herein and therein.</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7"/>
          <w:szCs w:val="17"/>
          <w:b w:val="1"/>
          <w:bCs w:val="1"/>
          <w:color w:val="auto"/>
        </w:rPr>
        <w:t>Necessary Action by A</w:t>
      </w:r>
      <w:r>
        <w:rPr>
          <w:rFonts w:ascii="Arial" w:cs="Arial" w:eastAsia="Arial" w:hAnsi="Arial"/>
          <w:sz w:val="11"/>
          <w:szCs w:val="11"/>
          <w:b w:val="1"/>
          <w:bCs w:val="1"/>
          <w:color w:val="auto"/>
        </w:rPr>
        <w:t>FFIRIS</w:t>
      </w:r>
      <w:r>
        <w:rPr>
          <w:rFonts w:ascii="Arial" w:cs="Arial" w:eastAsia="Arial" w:hAnsi="Arial"/>
          <w:sz w:val="17"/>
          <w:szCs w:val="17"/>
          <w:b w:val="1"/>
          <w:bCs w:val="1"/>
          <w:color w:val="auto"/>
        </w:rPr>
        <w:t xml:space="preserve"> between signing and C</w:t>
      </w:r>
      <w:r>
        <w:rPr>
          <w:rFonts w:ascii="Arial" w:cs="Arial" w:eastAsia="Arial" w:hAnsi="Arial"/>
          <w:sz w:val="11"/>
          <w:szCs w:val="11"/>
          <w:b w:val="1"/>
          <w:bCs w:val="1"/>
          <w:color w:val="auto"/>
        </w:rPr>
        <w:t>LOSING</w:t>
      </w:r>
    </w:p>
    <w:p>
      <w:pPr>
        <w:spacing w:after="0" w:line="220" w:lineRule="exact"/>
        <w:rPr>
          <w:sz w:val="20"/>
          <w:szCs w:val="20"/>
          <w:color w:val="auto"/>
        </w:rPr>
      </w:pPr>
    </w:p>
    <w:p>
      <w:pPr>
        <w:ind w:left="660" w:right="20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ACIU intends that certain activities in connection with executing the manufacturing process of the [*****], should immediately start after signing of this A</w:t>
      </w:r>
      <w:r>
        <w:rPr>
          <w:rFonts w:ascii="Arial" w:cs="Arial" w:eastAsia="Arial" w:hAnsi="Arial"/>
          <w:sz w:val="12"/>
          <w:szCs w:val="12"/>
          <w:color w:val="auto"/>
        </w:rPr>
        <w:t>GREEMENT</w:t>
      </w:r>
      <w:r>
        <w:rPr>
          <w:rFonts w:ascii="Arial" w:cs="Arial" w:eastAsia="Arial" w:hAnsi="Arial"/>
          <w:sz w:val="18"/>
          <w:szCs w:val="18"/>
          <w:color w:val="auto"/>
        </w:rPr>
        <w:t xml:space="preserve"> (whereby, for the avoidance of doubt, ACIU shall bear all costs, fees and expenses arising from or in connection with such activities) and, A</w:t>
      </w:r>
      <w:r>
        <w:rPr>
          <w:rFonts w:ascii="Arial" w:cs="Arial" w:eastAsia="Arial" w:hAnsi="Arial"/>
          <w:sz w:val="12"/>
          <w:szCs w:val="12"/>
          <w:color w:val="auto"/>
        </w:rPr>
        <w:t>FFIRIS</w:t>
      </w:r>
      <w:r>
        <w:rPr>
          <w:rFonts w:ascii="Arial" w:cs="Arial" w:eastAsia="Arial" w:hAnsi="Arial"/>
          <w:sz w:val="18"/>
          <w:szCs w:val="18"/>
          <w:color w:val="auto"/>
        </w:rPr>
        <w:t xml:space="preserve"> will make the necessary introductions to the N</w:t>
      </w:r>
      <w:r>
        <w:rPr>
          <w:rFonts w:ascii="Arial" w:cs="Arial" w:eastAsia="Arial" w:hAnsi="Arial"/>
          <w:sz w:val="12"/>
          <w:szCs w:val="12"/>
          <w:color w:val="auto"/>
        </w:rPr>
        <w:t>ECESSARY</w:t>
      </w:r>
      <w:r>
        <w:rPr>
          <w:rFonts w:ascii="Arial" w:cs="Arial" w:eastAsia="Arial" w:hAnsi="Arial"/>
          <w:sz w:val="18"/>
          <w:szCs w:val="18"/>
          <w:color w:val="auto"/>
        </w:rPr>
        <w:t xml:space="preserve"> V</w:t>
      </w:r>
      <w:r>
        <w:rPr>
          <w:rFonts w:ascii="Arial" w:cs="Arial" w:eastAsia="Arial" w:hAnsi="Arial"/>
          <w:sz w:val="12"/>
          <w:szCs w:val="12"/>
          <w:color w:val="auto"/>
        </w:rPr>
        <w:t>ENDORS</w:t>
      </w:r>
      <w:r>
        <w:rPr>
          <w:rFonts w:ascii="Arial" w:cs="Arial" w:eastAsia="Arial" w:hAnsi="Arial"/>
          <w:sz w:val="18"/>
          <w:szCs w:val="18"/>
          <w:color w:val="auto"/>
        </w:rPr>
        <w:t xml:space="preserve"> as listed in </w:t>
      </w:r>
      <w:r>
        <w:rPr>
          <w:rFonts w:ascii="Arial" w:cs="Arial" w:eastAsia="Arial" w:hAnsi="Arial"/>
          <w:sz w:val="18"/>
          <w:szCs w:val="18"/>
          <w:u w:val="single" w:color="auto"/>
          <w:color w:val="auto"/>
        </w:rPr>
        <w:t>A</w:t>
      </w:r>
      <w:r>
        <w:rPr>
          <w:rFonts w:ascii="Arial" w:cs="Arial" w:eastAsia="Arial" w:hAnsi="Arial"/>
          <w:sz w:val="12"/>
          <w:szCs w:val="12"/>
          <w:u w:val="single" w:color="auto"/>
          <w:color w:val="auto"/>
        </w:rPr>
        <w:t>NNEX</w:t>
      </w:r>
      <w:r>
        <w:rPr>
          <w:rFonts w:ascii="Arial" w:cs="Arial" w:eastAsia="Arial" w:hAnsi="Arial"/>
          <w:sz w:val="18"/>
          <w:szCs w:val="18"/>
          <w:color w:val="auto"/>
        </w:rPr>
        <w:t xml:space="preserve"> </w:t>
      </w:r>
      <w:r>
        <w:rPr>
          <w:rFonts w:ascii="Arial" w:cs="Arial" w:eastAsia="Arial" w:hAnsi="Arial"/>
          <w:sz w:val="18"/>
          <w:szCs w:val="18"/>
          <w:u w:val="single" w:color="auto"/>
          <w:color w:val="auto"/>
        </w:rPr>
        <w:t>5</w:t>
      </w:r>
      <w:r>
        <w:rPr>
          <w:rFonts w:ascii="Arial" w:cs="Arial" w:eastAsia="Arial" w:hAnsi="Arial"/>
          <w:sz w:val="18"/>
          <w:szCs w:val="18"/>
          <w:color w:val="auto"/>
        </w:rPr>
        <w:t>.</w:t>
      </w:r>
    </w:p>
    <w:p>
      <w:pPr>
        <w:spacing w:after="0" w:line="2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ind w:right="7800" w:firstLine="8"/>
        <w:spacing w:after="0" w:line="482" w:lineRule="auto"/>
        <w:tabs>
          <w:tab w:leader="none" w:pos="648"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Precedent to Closing 7.1 Conditions Precedent</w:t>
      </w:r>
    </w:p>
    <w:p>
      <w:pPr>
        <w:spacing w:after="0" w:line="1"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obligations of the P</w:t>
      </w:r>
      <w:r>
        <w:rPr>
          <w:rFonts w:ascii="Arial" w:cs="Arial" w:eastAsia="Arial" w:hAnsi="Arial"/>
          <w:sz w:val="12"/>
          <w:szCs w:val="12"/>
          <w:color w:val="auto"/>
        </w:rPr>
        <w:t>ARTIES</w:t>
      </w:r>
      <w:r>
        <w:rPr>
          <w:rFonts w:ascii="Arial" w:cs="Arial" w:eastAsia="Arial" w:hAnsi="Arial"/>
          <w:sz w:val="18"/>
          <w:szCs w:val="18"/>
          <w:color w:val="auto"/>
        </w:rPr>
        <w:t xml:space="preserve"> to C</w:t>
      </w:r>
      <w:r>
        <w:rPr>
          <w:rFonts w:ascii="Arial" w:cs="Arial" w:eastAsia="Arial" w:hAnsi="Arial"/>
          <w:sz w:val="12"/>
          <w:szCs w:val="12"/>
          <w:color w:val="auto"/>
        </w:rPr>
        <w:t>LOSING</w:t>
      </w:r>
      <w:r>
        <w:rPr>
          <w:rFonts w:ascii="Arial" w:cs="Arial" w:eastAsia="Arial" w:hAnsi="Arial"/>
          <w:sz w:val="18"/>
          <w:szCs w:val="18"/>
          <w:color w:val="auto"/>
        </w:rPr>
        <w:t xml:space="preserve"> are subject to the satisfaction or waiver by all P</w:t>
      </w:r>
      <w:r>
        <w:rPr>
          <w:rFonts w:ascii="Arial" w:cs="Arial" w:eastAsia="Arial" w:hAnsi="Arial"/>
          <w:sz w:val="12"/>
          <w:szCs w:val="12"/>
          <w:color w:val="auto"/>
        </w:rPr>
        <w:t>ARTIES</w:t>
      </w:r>
      <w:r>
        <w:rPr>
          <w:rFonts w:ascii="Arial" w:cs="Arial" w:eastAsia="Arial" w:hAnsi="Arial"/>
          <w:sz w:val="18"/>
          <w:szCs w:val="18"/>
          <w:color w:val="auto"/>
        </w:rPr>
        <w:t xml:space="preserve"> of the following conditions precedent</w:t>
      </w:r>
    </w:p>
    <w:p>
      <w:pPr>
        <w:spacing w:after="0" w:line="9" w:lineRule="exact"/>
        <w:rPr>
          <w:rFonts w:ascii="Arial" w:cs="Arial" w:eastAsia="Arial" w:hAnsi="Arial"/>
          <w:sz w:val="18"/>
          <w:szCs w:val="18"/>
          <w:color w:val="auto"/>
        </w:rPr>
      </w:pPr>
    </w:p>
    <w:p>
      <w:pPr>
        <w:ind w:left="660"/>
        <w:spacing w:after="0" w:line="234"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w:t>
      </w:r>
      <w:r>
        <w:rPr>
          <w:rFonts w:ascii="Arial" w:cs="Arial" w:eastAsia="Arial" w:hAnsi="Arial"/>
          <w:sz w:val="12"/>
          <w:szCs w:val="12"/>
          <w:b w:val="1"/>
          <w:bCs w:val="1"/>
          <w:color w:val="auto"/>
        </w:rPr>
        <w:t>ONDITIONS</w:t>
      </w:r>
      <w:r>
        <w:rPr>
          <w:rFonts w:ascii="Arial" w:cs="Arial" w:eastAsia="Arial" w:hAnsi="Arial"/>
          <w:sz w:val="18"/>
          <w:szCs w:val="18"/>
          <w:color w:val="auto"/>
        </w:rPr>
        <w:t xml:space="preserve"> </w:t>
      </w:r>
      <w:r>
        <w:rPr>
          <w:rFonts w:ascii="Arial" w:cs="Arial" w:eastAsia="Arial" w:hAnsi="Arial"/>
          <w:sz w:val="18"/>
          <w:szCs w:val="18"/>
          <w:b w:val="1"/>
          <w:bCs w:val="1"/>
          <w:color w:val="auto"/>
        </w:rPr>
        <w:t>P</w:t>
      </w:r>
      <w:r>
        <w:rPr>
          <w:rFonts w:ascii="Arial" w:cs="Arial" w:eastAsia="Arial" w:hAnsi="Arial"/>
          <w:sz w:val="12"/>
          <w:szCs w:val="12"/>
          <w:b w:val="1"/>
          <w:bCs w:val="1"/>
          <w:color w:val="auto"/>
        </w:rPr>
        <w:t>RECEDENT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approval required under the Austrian Foreign Direct Investment Control Act (</w:t>
      </w:r>
      <w:r>
        <w:rPr>
          <w:rFonts w:ascii="Arial" w:cs="Arial" w:eastAsia="Arial" w:hAnsi="Arial"/>
          <w:sz w:val="18"/>
          <w:szCs w:val="18"/>
          <w:i w:val="1"/>
          <w:iCs w:val="1"/>
          <w:color w:val="auto"/>
        </w:rPr>
        <w:t>Investitionskontrollgesetz</w:t>
      </w:r>
      <w:r>
        <w:rPr>
          <w:rFonts w:ascii="Arial" w:cs="Arial" w:eastAsia="Arial" w:hAnsi="Arial"/>
          <w:sz w:val="18"/>
          <w:szCs w:val="18"/>
          <w:color w:val="auto"/>
        </w:rPr>
        <w:t>) has been obtained, or any waiting or other time or limitation period in relation to the T</w:t>
      </w:r>
      <w:r>
        <w:rPr>
          <w:rFonts w:ascii="Arial" w:cs="Arial" w:eastAsia="Arial" w:hAnsi="Arial"/>
          <w:sz w:val="12"/>
          <w:szCs w:val="12"/>
          <w:color w:val="auto"/>
        </w:rPr>
        <w:t>RANSFER</w:t>
      </w:r>
      <w:r>
        <w:rPr>
          <w:rFonts w:ascii="Arial" w:cs="Arial" w:eastAsia="Arial" w:hAnsi="Arial"/>
          <w:sz w:val="18"/>
          <w:szCs w:val="18"/>
          <w:color w:val="auto"/>
        </w:rPr>
        <w:t xml:space="preserve"> under the Austrian Foreign Direct Investment Control Act (</w:t>
      </w:r>
      <w:r>
        <w:rPr>
          <w:rFonts w:ascii="Arial" w:cs="Arial" w:eastAsia="Arial" w:hAnsi="Arial"/>
          <w:sz w:val="18"/>
          <w:szCs w:val="18"/>
          <w:i w:val="1"/>
          <w:iCs w:val="1"/>
          <w:color w:val="auto"/>
        </w:rPr>
        <w:t>Investitionskontrollgesetz</w:t>
      </w:r>
      <w:r>
        <w:rPr>
          <w:rFonts w:ascii="Arial" w:cs="Arial" w:eastAsia="Arial" w:hAnsi="Arial"/>
          <w:sz w:val="18"/>
          <w:szCs w:val="18"/>
          <w:color w:val="auto"/>
        </w:rPr>
        <w:t>) having expired, lapsed, waived or otherwise terminated.</w:t>
      </w:r>
    </w:p>
    <w:p>
      <w:pPr>
        <w:spacing w:after="0" w:line="181" w:lineRule="exact"/>
        <w:rPr>
          <w:rFonts w:ascii="Arial" w:cs="Arial" w:eastAsia="Arial" w:hAnsi="Arial"/>
          <w:sz w:val="18"/>
          <w:szCs w:val="18"/>
          <w:color w:val="auto"/>
        </w:rPr>
      </w:pPr>
    </w:p>
    <w:p>
      <w:pPr>
        <w:jc w:val="both"/>
        <w:ind w:left="1300" w:hanging="644"/>
        <w:spacing w:after="0" w:line="238"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ACIU has (i) prepared the entire capital increase documentation (including the application to the commercial registry of the Canton of Vaud) and (ii) received pre-approval regarding the documents required for the registration of the capital increase in connection with the payment of the P</w:t>
      </w:r>
      <w:r>
        <w:rPr>
          <w:rFonts w:ascii="Arial" w:cs="Arial" w:eastAsia="Arial" w:hAnsi="Arial"/>
          <w:sz w:val="12"/>
          <w:szCs w:val="12"/>
          <w:color w:val="auto"/>
        </w:rPr>
        <w:t>URCHASE</w:t>
      </w:r>
      <w:r>
        <w:rPr>
          <w:rFonts w:ascii="Arial" w:cs="Arial" w:eastAsia="Arial" w:hAnsi="Arial"/>
          <w:sz w:val="18"/>
          <w:szCs w:val="18"/>
          <w:color w:val="auto"/>
        </w:rPr>
        <w:t xml:space="preserve"> P</w:t>
      </w:r>
      <w:r>
        <w:rPr>
          <w:rFonts w:ascii="Arial" w:cs="Arial" w:eastAsia="Arial" w:hAnsi="Arial"/>
          <w:sz w:val="12"/>
          <w:szCs w:val="12"/>
          <w:color w:val="auto"/>
        </w:rPr>
        <w:t>RICE</w:t>
      </w:r>
      <w:r>
        <w:rPr>
          <w:rFonts w:ascii="Arial" w:cs="Arial" w:eastAsia="Arial" w:hAnsi="Arial"/>
          <w:sz w:val="18"/>
          <w:szCs w:val="18"/>
          <w:color w:val="auto"/>
        </w:rPr>
        <w:t xml:space="preserve"> from the commercial registry of the Canton of Vaud (and to the extent permissible, including the pre-approval for a "hyper-express registration" pursuant to S</w:t>
      </w:r>
      <w:r>
        <w:rPr>
          <w:rFonts w:ascii="Arial" w:cs="Arial" w:eastAsia="Arial" w:hAnsi="Arial"/>
          <w:sz w:val="12"/>
          <w:szCs w:val="12"/>
          <w:color w:val="auto"/>
        </w:rPr>
        <w:t>ECTION</w:t>
      </w:r>
      <w:r>
        <w:rPr>
          <w:rFonts w:ascii="Arial" w:cs="Arial" w:eastAsia="Arial" w:hAnsi="Arial"/>
          <w:sz w:val="18"/>
          <w:szCs w:val="18"/>
          <w:color w:val="auto"/>
        </w:rPr>
        <w:t xml:space="preserve"> 6.1).</w:t>
      </w:r>
    </w:p>
    <w:p>
      <w:pPr>
        <w:spacing w:after="0" w:line="191" w:lineRule="exact"/>
        <w:rPr>
          <w:rFonts w:ascii="Arial" w:cs="Arial" w:eastAsia="Arial" w:hAnsi="Arial"/>
          <w:sz w:val="18"/>
          <w:szCs w:val="18"/>
          <w:color w:val="auto"/>
        </w:rPr>
      </w:pPr>
    </w:p>
    <w:p>
      <w:pPr>
        <w:ind w:left="1300" w:hanging="644"/>
        <w:spacing w:after="0" w:line="246"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No action, order or injunction is issued, pending or threatened by any competent court, arbitral or tribunal governmental authority which does or would prohibit the C</w:t>
      </w:r>
      <w:r>
        <w:rPr>
          <w:rFonts w:ascii="Arial" w:cs="Arial" w:eastAsia="Arial" w:hAnsi="Arial"/>
          <w:sz w:val="12"/>
          <w:szCs w:val="12"/>
          <w:color w:val="auto"/>
        </w:rPr>
        <w:t>LOSING</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obligations of ACIU to C</w:t>
      </w:r>
      <w:r>
        <w:rPr>
          <w:rFonts w:ascii="Arial" w:cs="Arial" w:eastAsia="Arial" w:hAnsi="Arial"/>
          <w:sz w:val="12"/>
          <w:szCs w:val="12"/>
          <w:color w:val="auto"/>
        </w:rPr>
        <w:t>LOSING</w:t>
      </w:r>
      <w:r>
        <w:rPr>
          <w:rFonts w:ascii="Arial" w:cs="Arial" w:eastAsia="Arial" w:hAnsi="Arial"/>
          <w:sz w:val="18"/>
          <w:szCs w:val="18"/>
          <w:color w:val="auto"/>
        </w:rPr>
        <w:t xml:space="preserve"> is subject to the satisfaction or waiver by ACIU of the following additional C</w:t>
      </w:r>
      <w:r>
        <w:rPr>
          <w:rFonts w:ascii="Arial" w:cs="Arial" w:eastAsia="Arial" w:hAnsi="Arial"/>
          <w:sz w:val="12"/>
          <w:szCs w:val="12"/>
          <w:color w:val="auto"/>
        </w:rPr>
        <w:t>ONDITION</w:t>
      </w:r>
      <w:r>
        <w:rPr>
          <w:rFonts w:ascii="Arial" w:cs="Arial" w:eastAsia="Arial" w:hAnsi="Arial"/>
          <w:sz w:val="18"/>
          <w:szCs w:val="18"/>
          <w:color w:val="auto"/>
        </w:rPr>
        <w:t xml:space="preserve"> P</w:t>
      </w:r>
      <w:r>
        <w:rPr>
          <w:rFonts w:ascii="Arial" w:cs="Arial" w:eastAsia="Arial" w:hAnsi="Arial"/>
          <w:sz w:val="12"/>
          <w:szCs w:val="12"/>
          <w:color w:val="auto"/>
        </w:rPr>
        <w:t>RECEDENT</w:t>
      </w:r>
      <w:r>
        <w:rPr>
          <w:rFonts w:ascii="Arial" w:cs="Arial" w:eastAsia="Arial" w:hAnsi="Arial"/>
          <w:sz w:val="18"/>
          <w:szCs w:val="18"/>
          <w:color w:val="auto"/>
        </w:rPr>
        <w:t>: No material breach of any representation or warranty of A</w:t>
      </w:r>
      <w:r>
        <w:rPr>
          <w:rFonts w:ascii="Arial" w:cs="Arial" w:eastAsia="Arial" w:hAnsi="Arial"/>
          <w:sz w:val="12"/>
          <w:szCs w:val="12"/>
          <w:color w:val="auto"/>
        </w:rPr>
        <w:t>FFIRIS</w:t>
      </w:r>
      <w:r>
        <w:rPr>
          <w:rFonts w:ascii="Arial" w:cs="Arial" w:eastAsia="Arial" w:hAnsi="Arial"/>
          <w:sz w:val="18"/>
          <w:szCs w:val="18"/>
          <w:color w:val="auto"/>
        </w:rPr>
        <w:t xml:space="preserve"> set forth in S</w:t>
      </w:r>
      <w:r>
        <w:rPr>
          <w:rFonts w:ascii="Arial" w:cs="Arial" w:eastAsia="Arial" w:hAnsi="Arial"/>
          <w:sz w:val="12"/>
          <w:szCs w:val="12"/>
          <w:color w:val="auto"/>
        </w:rPr>
        <w:t>ECTION</w:t>
      </w:r>
      <w:r>
        <w:rPr>
          <w:rFonts w:ascii="Arial" w:cs="Arial" w:eastAsia="Arial" w:hAnsi="Arial"/>
          <w:sz w:val="18"/>
          <w:szCs w:val="18"/>
          <w:color w:val="auto"/>
        </w:rPr>
        <w:t xml:space="preserve"> 11.1 (Representations and Warranties of A</w:t>
      </w:r>
      <w:r>
        <w:rPr>
          <w:rFonts w:ascii="Arial" w:cs="Arial" w:eastAsia="Arial" w:hAnsi="Arial"/>
          <w:sz w:val="12"/>
          <w:szCs w:val="12"/>
          <w:color w:val="auto"/>
        </w:rPr>
        <w:t>FFIRIS</w:t>
      </w:r>
      <w:r>
        <w:rPr>
          <w:rFonts w:ascii="Arial" w:cs="Arial" w:eastAsia="Arial" w:hAnsi="Arial"/>
          <w:sz w:val="18"/>
          <w:szCs w:val="18"/>
          <w:color w:val="auto"/>
        </w:rPr>
        <w:t>) has occurred.</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8"/>
          <w:szCs w:val="18"/>
          <w:b w:val="1"/>
          <w:bCs w:val="1"/>
          <w:color w:val="auto"/>
        </w:rPr>
        <w:t>Efforts to fulfil the C</w:t>
      </w:r>
      <w:r>
        <w:rPr>
          <w:rFonts w:ascii="Arial" w:cs="Arial" w:eastAsia="Arial" w:hAnsi="Arial"/>
          <w:sz w:val="12"/>
          <w:szCs w:val="12"/>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RECEDENT</w:t>
      </w:r>
    </w:p>
    <w:p>
      <w:pPr>
        <w:spacing w:after="0" w:line="220"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Parties shall use best efforts to effectuate the fulfilment of the C</w:t>
      </w:r>
      <w:r>
        <w:rPr>
          <w:rFonts w:ascii="Arial" w:cs="Arial" w:eastAsia="Arial" w:hAnsi="Arial"/>
          <w:sz w:val="12"/>
          <w:szCs w:val="12"/>
          <w:color w:val="auto"/>
        </w:rPr>
        <w:t>ONDITIONS</w:t>
      </w:r>
      <w:r>
        <w:rPr>
          <w:rFonts w:ascii="Arial" w:cs="Arial" w:eastAsia="Arial" w:hAnsi="Arial"/>
          <w:sz w:val="18"/>
          <w:szCs w:val="18"/>
          <w:color w:val="auto"/>
        </w:rPr>
        <w:t xml:space="preserve"> P</w:t>
      </w:r>
      <w:r>
        <w:rPr>
          <w:rFonts w:ascii="Arial" w:cs="Arial" w:eastAsia="Arial" w:hAnsi="Arial"/>
          <w:sz w:val="12"/>
          <w:szCs w:val="12"/>
          <w:color w:val="auto"/>
        </w:rPr>
        <w:t>RECEDENT</w:t>
      </w:r>
      <w:r>
        <w:rPr>
          <w:rFonts w:ascii="Arial" w:cs="Arial" w:eastAsia="Arial" w:hAnsi="Arial"/>
          <w:sz w:val="18"/>
          <w:szCs w:val="18"/>
          <w:color w:val="auto"/>
        </w:rPr>
        <w:t xml:space="preserve"> set out in S</w:t>
      </w:r>
      <w:r>
        <w:rPr>
          <w:rFonts w:ascii="Arial" w:cs="Arial" w:eastAsia="Arial" w:hAnsi="Arial"/>
          <w:sz w:val="12"/>
          <w:szCs w:val="12"/>
          <w:color w:val="auto"/>
        </w:rPr>
        <w:t>ECTION</w:t>
      </w:r>
      <w:r>
        <w:rPr>
          <w:rFonts w:ascii="Arial" w:cs="Arial" w:eastAsia="Arial" w:hAnsi="Arial"/>
          <w:sz w:val="18"/>
          <w:szCs w:val="18"/>
          <w:color w:val="auto"/>
        </w:rPr>
        <w:t xml:space="preserve"> 7.1.</w:t>
      </w:r>
    </w:p>
    <w:p>
      <w:pPr>
        <w:spacing w:after="0" w:line="198" w:lineRule="exact"/>
        <w:rPr>
          <w:rFonts w:ascii="Arial" w:cs="Arial" w:eastAsia="Arial" w:hAnsi="Arial"/>
          <w:sz w:val="18"/>
          <w:szCs w:val="18"/>
          <w:color w:val="auto"/>
        </w:rPr>
      </w:pPr>
    </w:p>
    <w:p>
      <w:pPr>
        <w:jc w:val="both"/>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 regard to the C</w:t>
      </w:r>
      <w:r>
        <w:rPr>
          <w:rFonts w:ascii="Arial" w:cs="Arial" w:eastAsia="Arial" w:hAnsi="Arial"/>
          <w:sz w:val="12"/>
          <w:szCs w:val="12"/>
          <w:color w:val="auto"/>
        </w:rPr>
        <w:t>ONDITION</w:t>
      </w:r>
      <w:r>
        <w:rPr>
          <w:rFonts w:ascii="Arial" w:cs="Arial" w:eastAsia="Arial" w:hAnsi="Arial"/>
          <w:sz w:val="18"/>
          <w:szCs w:val="18"/>
          <w:color w:val="auto"/>
        </w:rPr>
        <w:t xml:space="preserve"> P</w:t>
      </w:r>
      <w:r>
        <w:rPr>
          <w:rFonts w:ascii="Arial" w:cs="Arial" w:eastAsia="Arial" w:hAnsi="Arial"/>
          <w:sz w:val="12"/>
          <w:szCs w:val="12"/>
          <w:color w:val="auto"/>
        </w:rPr>
        <w:t>RECEDENT</w:t>
      </w:r>
      <w:r>
        <w:rPr>
          <w:rFonts w:ascii="Arial" w:cs="Arial" w:eastAsia="Arial" w:hAnsi="Arial"/>
          <w:sz w:val="18"/>
          <w:szCs w:val="18"/>
          <w:color w:val="auto"/>
        </w:rPr>
        <w:t xml:space="preserve"> set out in S</w:t>
      </w:r>
      <w:r>
        <w:rPr>
          <w:rFonts w:ascii="Arial" w:cs="Arial" w:eastAsia="Arial" w:hAnsi="Arial"/>
          <w:sz w:val="12"/>
          <w:szCs w:val="12"/>
          <w:color w:val="auto"/>
        </w:rPr>
        <w:t>ECTION</w:t>
      </w:r>
      <w:r>
        <w:rPr>
          <w:rFonts w:ascii="Arial" w:cs="Arial" w:eastAsia="Arial" w:hAnsi="Arial"/>
          <w:sz w:val="18"/>
          <w:szCs w:val="18"/>
          <w:color w:val="auto"/>
        </w:rPr>
        <w:t xml:space="preserve"> 7.1, ACIU shall duly submit all legally required filings, as soon as reasonably possible after signing of this A</w:t>
      </w:r>
      <w:r>
        <w:rPr>
          <w:rFonts w:ascii="Arial" w:cs="Arial" w:eastAsia="Arial" w:hAnsi="Arial"/>
          <w:sz w:val="12"/>
          <w:szCs w:val="12"/>
          <w:color w:val="auto"/>
        </w:rPr>
        <w:t>GREEMENT</w:t>
      </w:r>
      <w:r>
        <w:rPr>
          <w:rFonts w:ascii="Arial" w:cs="Arial" w:eastAsia="Arial" w:hAnsi="Arial"/>
          <w:sz w:val="18"/>
          <w:szCs w:val="18"/>
          <w:color w:val="auto"/>
        </w:rPr>
        <w:t>. A</w:t>
      </w:r>
      <w:r>
        <w:rPr>
          <w:rFonts w:ascii="Arial" w:cs="Arial" w:eastAsia="Arial" w:hAnsi="Arial"/>
          <w:sz w:val="12"/>
          <w:szCs w:val="12"/>
          <w:color w:val="auto"/>
        </w:rPr>
        <w:t>FFIRIS</w:t>
      </w:r>
      <w:r>
        <w:rPr>
          <w:rFonts w:ascii="Arial" w:cs="Arial" w:eastAsia="Arial" w:hAnsi="Arial"/>
          <w:sz w:val="18"/>
          <w:szCs w:val="18"/>
          <w:color w:val="auto"/>
        </w:rPr>
        <w:t xml:space="preserve"> shall without any undue delay provide all reasonable cooperation to ACIU in this regard.</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8"/>
          <w:szCs w:val="18"/>
          <w:b w:val="1"/>
          <w:bCs w:val="1"/>
          <w:color w:val="auto"/>
        </w:rPr>
        <w:t>Information relating to the satisfaction of the C</w:t>
      </w:r>
      <w:r>
        <w:rPr>
          <w:rFonts w:ascii="Arial" w:cs="Arial" w:eastAsia="Arial" w:hAnsi="Arial"/>
          <w:sz w:val="12"/>
          <w:szCs w:val="12"/>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RECEDENT</w:t>
      </w:r>
    </w:p>
    <w:p>
      <w:pPr>
        <w:spacing w:after="0" w:line="220" w:lineRule="exact"/>
        <w:rPr>
          <w:sz w:val="20"/>
          <w:szCs w:val="20"/>
          <w:color w:val="auto"/>
        </w:rPr>
      </w:pPr>
    </w:p>
    <w:p>
      <w:pPr>
        <w:jc w:val="both"/>
        <w:ind w:left="660" w:hanging="652"/>
        <w:spacing w:after="0" w:line="23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w:t>
      </w:r>
      <w:r>
        <w:rPr>
          <w:rFonts w:ascii="Arial" w:cs="Arial" w:eastAsia="Arial" w:hAnsi="Arial"/>
          <w:sz w:val="12"/>
          <w:szCs w:val="12"/>
          <w:color w:val="auto"/>
        </w:rPr>
        <w:t>ARTIES</w:t>
      </w:r>
      <w:r>
        <w:rPr>
          <w:rFonts w:ascii="Arial" w:cs="Arial" w:eastAsia="Arial" w:hAnsi="Arial"/>
          <w:sz w:val="18"/>
          <w:szCs w:val="18"/>
          <w:color w:val="auto"/>
        </w:rPr>
        <w:t xml:space="preserve"> shall keep each other informed about the status of the satisfaction of the relevant C</w:t>
      </w:r>
      <w:r>
        <w:rPr>
          <w:rFonts w:ascii="Arial" w:cs="Arial" w:eastAsia="Arial" w:hAnsi="Arial"/>
          <w:sz w:val="12"/>
          <w:szCs w:val="12"/>
          <w:color w:val="auto"/>
        </w:rPr>
        <w:t>ONDITIONS</w:t>
      </w:r>
      <w:r>
        <w:rPr>
          <w:rFonts w:ascii="Arial" w:cs="Arial" w:eastAsia="Arial" w:hAnsi="Arial"/>
          <w:sz w:val="18"/>
          <w:szCs w:val="18"/>
          <w:color w:val="auto"/>
        </w:rPr>
        <w:t xml:space="preserve"> P</w:t>
      </w:r>
      <w:r>
        <w:rPr>
          <w:rFonts w:ascii="Arial" w:cs="Arial" w:eastAsia="Arial" w:hAnsi="Arial"/>
          <w:sz w:val="12"/>
          <w:szCs w:val="12"/>
          <w:color w:val="auto"/>
        </w:rPr>
        <w:t>RECEDENT</w:t>
      </w:r>
      <w:r>
        <w:rPr>
          <w:rFonts w:ascii="Arial" w:cs="Arial" w:eastAsia="Arial" w:hAnsi="Arial"/>
          <w:sz w:val="18"/>
          <w:szCs w:val="18"/>
          <w:color w:val="auto"/>
        </w:rPr>
        <w:t xml:space="preserve"> and immediately notify each other in writing (including by e-mail) of the fulfilment of a C</w:t>
      </w:r>
      <w:r>
        <w:rPr>
          <w:rFonts w:ascii="Arial" w:cs="Arial" w:eastAsia="Arial" w:hAnsi="Arial"/>
          <w:sz w:val="12"/>
          <w:szCs w:val="12"/>
          <w:color w:val="auto"/>
        </w:rPr>
        <w:t>ONDITION</w:t>
      </w:r>
      <w:r>
        <w:rPr>
          <w:rFonts w:ascii="Arial" w:cs="Arial" w:eastAsia="Arial" w:hAnsi="Arial"/>
          <w:sz w:val="18"/>
          <w:szCs w:val="18"/>
          <w:color w:val="auto"/>
        </w:rPr>
        <w:t xml:space="preserve"> P</w:t>
      </w:r>
      <w:r>
        <w:rPr>
          <w:rFonts w:ascii="Arial" w:cs="Arial" w:eastAsia="Arial" w:hAnsi="Arial"/>
          <w:sz w:val="12"/>
          <w:szCs w:val="12"/>
          <w:color w:val="auto"/>
        </w:rPr>
        <w:t>RECEDENT</w:t>
      </w:r>
      <w:r>
        <w:rPr>
          <w:rFonts w:ascii="Arial" w:cs="Arial" w:eastAsia="Arial" w:hAnsi="Arial"/>
          <w:sz w:val="18"/>
          <w:szCs w:val="18"/>
          <w:color w:val="auto"/>
        </w:rPr>
        <w:t xml:space="preserve"> as soon as they have become aware thereof, and shall immediately provide each other with copies of the corresponding proofs for the verification of the proper fulfilment of each C</w:t>
      </w:r>
      <w:r>
        <w:rPr>
          <w:rFonts w:ascii="Arial" w:cs="Arial" w:eastAsia="Arial" w:hAnsi="Arial"/>
          <w:sz w:val="12"/>
          <w:szCs w:val="12"/>
          <w:color w:val="auto"/>
        </w:rPr>
        <w:t>ONDITION</w:t>
      </w:r>
      <w:r>
        <w:rPr>
          <w:rFonts w:ascii="Arial" w:cs="Arial" w:eastAsia="Arial" w:hAnsi="Arial"/>
          <w:sz w:val="18"/>
          <w:szCs w:val="18"/>
          <w:color w:val="auto"/>
        </w:rPr>
        <w:t xml:space="preserve"> P</w:t>
      </w:r>
      <w:r>
        <w:rPr>
          <w:rFonts w:ascii="Arial" w:cs="Arial" w:eastAsia="Arial" w:hAnsi="Arial"/>
          <w:sz w:val="12"/>
          <w:szCs w:val="12"/>
          <w:color w:val="auto"/>
        </w:rPr>
        <w:t>RECEDENT</w:t>
      </w:r>
      <w:r>
        <w:rPr>
          <w:rFonts w:ascii="Arial" w:cs="Arial" w:eastAsia="Arial" w:hAnsi="Arial"/>
          <w:sz w:val="18"/>
          <w:szCs w:val="18"/>
          <w:color w:val="auto"/>
        </w:rPr>
        <w:t>. In addition, the P</w:t>
      </w:r>
      <w:r>
        <w:rPr>
          <w:rFonts w:ascii="Arial" w:cs="Arial" w:eastAsia="Arial" w:hAnsi="Arial"/>
          <w:sz w:val="12"/>
          <w:szCs w:val="12"/>
          <w:color w:val="auto"/>
        </w:rPr>
        <w:t>ARTIES</w:t>
      </w:r>
      <w:r>
        <w:rPr>
          <w:rFonts w:ascii="Arial" w:cs="Arial" w:eastAsia="Arial" w:hAnsi="Arial"/>
          <w:sz w:val="18"/>
          <w:szCs w:val="18"/>
          <w:color w:val="auto"/>
        </w:rPr>
        <w:t xml:space="preserve"> shall confirm to each other in writing that all C</w:t>
      </w:r>
      <w:r>
        <w:rPr>
          <w:rFonts w:ascii="Arial" w:cs="Arial" w:eastAsia="Arial" w:hAnsi="Arial"/>
          <w:sz w:val="12"/>
          <w:szCs w:val="12"/>
          <w:color w:val="auto"/>
        </w:rPr>
        <w:t>ONDITIONS</w:t>
      </w:r>
      <w:r>
        <w:rPr>
          <w:rFonts w:ascii="Arial" w:cs="Arial" w:eastAsia="Arial" w:hAnsi="Arial"/>
          <w:sz w:val="18"/>
          <w:szCs w:val="18"/>
          <w:color w:val="auto"/>
        </w:rPr>
        <w:t xml:space="preserve"> P</w:t>
      </w:r>
      <w:r>
        <w:rPr>
          <w:rFonts w:ascii="Arial" w:cs="Arial" w:eastAsia="Arial" w:hAnsi="Arial"/>
          <w:sz w:val="12"/>
          <w:szCs w:val="12"/>
          <w:color w:val="auto"/>
        </w:rPr>
        <w:t>RECEDENT</w:t>
      </w:r>
      <w:r>
        <w:rPr>
          <w:rFonts w:ascii="Arial" w:cs="Arial" w:eastAsia="Arial" w:hAnsi="Arial"/>
          <w:sz w:val="18"/>
          <w:szCs w:val="18"/>
          <w:color w:val="auto"/>
        </w:rPr>
        <w:t xml:space="preserve"> have been fulfilled and therefore Closing can occur in accordance with S</w:t>
      </w:r>
      <w:r>
        <w:rPr>
          <w:rFonts w:ascii="Arial" w:cs="Arial" w:eastAsia="Arial" w:hAnsi="Arial"/>
          <w:sz w:val="12"/>
          <w:szCs w:val="12"/>
          <w:color w:val="auto"/>
        </w:rPr>
        <w:t>ECTION</w:t>
      </w:r>
      <w:r>
        <w:rPr>
          <w:rFonts w:ascii="Arial" w:cs="Arial" w:eastAsia="Arial" w:hAnsi="Arial"/>
          <w:sz w:val="18"/>
          <w:szCs w:val="18"/>
          <w:color w:val="auto"/>
        </w:rPr>
        <w:t xml:space="preserve"> 8.1.</w:t>
      </w:r>
    </w:p>
    <w:p>
      <w:pPr>
        <w:spacing w:after="0" w:line="2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6" w:name="page17"/>
    <w:bookmarkEnd w:id="16"/>
    <w:p>
      <w:pPr>
        <w:ind w:left="660" w:hanging="652"/>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Closing</w:t>
      </w:r>
    </w:p>
    <w:p>
      <w:pPr>
        <w:spacing w:after="0" w:line="198"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8.1</w:t>
      </w:r>
      <w:r>
        <w:rPr>
          <w:rFonts w:ascii="Arial" w:cs="Arial" w:eastAsia="Arial" w:hAnsi="Arial"/>
          <w:sz w:val="17"/>
          <w:szCs w:val="17"/>
          <w:b w:val="1"/>
          <w:bCs w:val="1"/>
          <w:color w:val="auto"/>
        </w:rPr>
        <w:t>In general</w:t>
      </w:r>
    </w:p>
    <w:p>
      <w:pPr>
        <w:spacing w:after="0" w:line="220" w:lineRule="exact"/>
        <w:rPr>
          <w:sz w:val="20"/>
          <w:szCs w:val="20"/>
          <w:color w:val="auto"/>
        </w:rPr>
      </w:pPr>
    </w:p>
    <w:p>
      <w:pPr>
        <w:ind w:left="660" w:hanging="652"/>
        <w:spacing w:after="0" w:line="246"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w:t>
      </w:r>
      <w:r>
        <w:rPr>
          <w:rFonts w:ascii="Arial" w:cs="Arial" w:eastAsia="Arial" w:hAnsi="Arial"/>
          <w:sz w:val="12"/>
          <w:szCs w:val="12"/>
          <w:color w:val="auto"/>
        </w:rPr>
        <w:t>ARTIES</w:t>
      </w:r>
      <w:r>
        <w:rPr>
          <w:rFonts w:ascii="Arial" w:cs="Arial" w:eastAsia="Arial" w:hAnsi="Arial"/>
          <w:sz w:val="18"/>
          <w:szCs w:val="18"/>
          <w:color w:val="auto"/>
        </w:rPr>
        <w:t xml:space="preserve"> undertake to use their best efforts to do everything, not to forbear anything and to support each other to ensure that the C</w:t>
      </w:r>
      <w:r>
        <w:rPr>
          <w:rFonts w:ascii="Arial" w:cs="Arial" w:eastAsia="Arial" w:hAnsi="Arial"/>
          <w:sz w:val="12"/>
          <w:szCs w:val="12"/>
          <w:color w:val="auto"/>
        </w:rPr>
        <w:t>LOSING</w:t>
      </w:r>
      <w:r>
        <w:rPr>
          <w:rFonts w:ascii="Arial" w:cs="Arial" w:eastAsia="Arial" w:hAnsi="Arial"/>
          <w:sz w:val="18"/>
          <w:szCs w:val="18"/>
          <w:color w:val="auto"/>
        </w:rPr>
        <w:t xml:space="preserve"> can occur.</w:t>
      </w:r>
    </w:p>
    <w:p>
      <w:pPr>
        <w:spacing w:after="0" w:line="183" w:lineRule="exact"/>
        <w:rPr>
          <w:rFonts w:ascii="Arial" w:cs="Arial" w:eastAsia="Arial" w:hAnsi="Arial"/>
          <w:sz w:val="18"/>
          <w:szCs w:val="18"/>
          <w:color w:val="auto"/>
        </w:rPr>
      </w:pPr>
    </w:p>
    <w:p>
      <w:pPr>
        <w:jc w:val="both"/>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w:t>
      </w:r>
      <w:r>
        <w:rPr>
          <w:rFonts w:ascii="Arial" w:cs="Arial" w:eastAsia="Arial" w:hAnsi="Arial"/>
          <w:sz w:val="12"/>
          <w:szCs w:val="12"/>
          <w:color w:val="auto"/>
        </w:rPr>
        <w:t>LOSING</w:t>
      </w:r>
      <w:r>
        <w:rPr>
          <w:rFonts w:ascii="Arial" w:cs="Arial" w:eastAsia="Arial" w:hAnsi="Arial"/>
          <w:sz w:val="18"/>
          <w:szCs w:val="18"/>
          <w:color w:val="auto"/>
        </w:rPr>
        <w:t xml:space="preserve"> shall take place within 10 (ten) B</w:t>
      </w:r>
      <w:r>
        <w:rPr>
          <w:rFonts w:ascii="Arial" w:cs="Arial" w:eastAsia="Arial" w:hAnsi="Arial"/>
          <w:sz w:val="12"/>
          <w:szCs w:val="12"/>
          <w:color w:val="auto"/>
        </w:rPr>
        <w:t>USINESS</w:t>
      </w:r>
      <w:r>
        <w:rPr>
          <w:rFonts w:ascii="Arial" w:cs="Arial" w:eastAsia="Arial" w:hAnsi="Arial"/>
          <w:sz w:val="18"/>
          <w:szCs w:val="18"/>
          <w:color w:val="auto"/>
        </w:rPr>
        <w:t xml:space="preserve"> D</w:t>
      </w:r>
      <w:r>
        <w:rPr>
          <w:rFonts w:ascii="Arial" w:cs="Arial" w:eastAsia="Arial" w:hAnsi="Arial"/>
          <w:sz w:val="12"/>
          <w:szCs w:val="12"/>
          <w:color w:val="auto"/>
        </w:rPr>
        <w:t>AYS</w:t>
      </w:r>
      <w:r>
        <w:rPr>
          <w:rFonts w:ascii="Arial" w:cs="Arial" w:eastAsia="Arial" w:hAnsi="Arial"/>
          <w:sz w:val="18"/>
          <w:szCs w:val="18"/>
          <w:color w:val="auto"/>
        </w:rPr>
        <w:t xml:space="preserve"> after all C</w:t>
      </w:r>
      <w:r>
        <w:rPr>
          <w:rFonts w:ascii="Arial" w:cs="Arial" w:eastAsia="Arial" w:hAnsi="Arial"/>
          <w:sz w:val="12"/>
          <w:szCs w:val="12"/>
          <w:color w:val="auto"/>
        </w:rPr>
        <w:t>ONDITIONS</w:t>
      </w:r>
      <w:r>
        <w:rPr>
          <w:rFonts w:ascii="Arial" w:cs="Arial" w:eastAsia="Arial" w:hAnsi="Arial"/>
          <w:sz w:val="18"/>
          <w:szCs w:val="18"/>
          <w:color w:val="auto"/>
        </w:rPr>
        <w:t xml:space="preserve"> P</w:t>
      </w:r>
      <w:r>
        <w:rPr>
          <w:rFonts w:ascii="Arial" w:cs="Arial" w:eastAsia="Arial" w:hAnsi="Arial"/>
          <w:sz w:val="12"/>
          <w:szCs w:val="12"/>
          <w:color w:val="auto"/>
        </w:rPr>
        <w:t>RECEDENT</w:t>
      </w:r>
      <w:r>
        <w:rPr>
          <w:rFonts w:ascii="Arial" w:cs="Arial" w:eastAsia="Arial" w:hAnsi="Arial"/>
          <w:sz w:val="18"/>
          <w:szCs w:val="18"/>
          <w:color w:val="auto"/>
        </w:rPr>
        <w:t xml:space="preserve"> as set out in S</w:t>
      </w:r>
      <w:r>
        <w:rPr>
          <w:rFonts w:ascii="Arial" w:cs="Arial" w:eastAsia="Arial" w:hAnsi="Arial"/>
          <w:sz w:val="12"/>
          <w:szCs w:val="12"/>
          <w:color w:val="auto"/>
        </w:rPr>
        <w:t>ECTION</w:t>
      </w:r>
      <w:r>
        <w:rPr>
          <w:rFonts w:ascii="Arial" w:cs="Arial" w:eastAsia="Arial" w:hAnsi="Arial"/>
          <w:sz w:val="18"/>
          <w:szCs w:val="18"/>
          <w:color w:val="auto"/>
        </w:rPr>
        <w:t xml:space="preserve"> 7.1 have been satisfied or, where permissible, waived by the P</w:t>
      </w:r>
      <w:r>
        <w:rPr>
          <w:rFonts w:ascii="Arial" w:cs="Arial" w:eastAsia="Arial" w:hAnsi="Arial"/>
          <w:sz w:val="12"/>
          <w:szCs w:val="12"/>
          <w:color w:val="auto"/>
        </w:rPr>
        <w:t>ARTY</w:t>
      </w:r>
      <w:r>
        <w:rPr>
          <w:rFonts w:ascii="Arial" w:cs="Arial" w:eastAsia="Arial" w:hAnsi="Arial"/>
          <w:sz w:val="18"/>
          <w:szCs w:val="18"/>
          <w:color w:val="auto"/>
        </w:rPr>
        <w:t xml:space="preserve"> whose performance is subject to such condition, or on such other date as the P</w:t>
      </w:r>
      <w:r>
        <w:rPr>
          <w:rFonts w:ascii="Arial" w:cs="Arial" w:eastAsia="Arial" w:hAnsi="Arial"/>
          <w:sz w:val="12"/>
          <w:szCs w:val="12"/>
          <w:color w:val="auto"/>
        </w:rPr>
        <w:t>ARTIES</w:t>
      </w:r>
      <w:r>
        <w:rPr>
          <w:rFonts w:ascii="Arial" w:cs="Arial" w:eastAsia="Arial" w:hAnsi="Arial"/>
          <w:sz w:val="18"/>
          <w:szCs w:val="18"/>
          <w:color w:val="auto"/>
        </w:rPr>
        <w:t xml:space="preserve"> may agree, but in no event later than the L</w:t>
      </w:r>
      <w:r>
        <w:rPr>
          <w:rFonts w:ascii="Arial" w:cs="Arial" w:eastAsia="Arial" w:hAnsi="Arial"/>
          <w:sz w:val="12"/>
          <w:szCs w:val="12"/>
          <w:color w:val="auto"/>
        </w:rPr>
        <w:t>ONG</w:t>
      </w:r>
      <w:r>
        <w:rPr>
          <w:rFonts w:ascii="Arial" w:cs="Arial" w:eastAsia="Arial" w:hAnsi="Arial"/>
          <w:sz w:val="18"/>
          <w:szCs w:val="18"/>
          <w:color w:val="auto"/>
        </w:rPr>
        <w:t xml:space="preserve"> S</w:t>
      </w:r>
      <w:r>
        <w:rPr>
          <w:rFonts w:ascii="Arial" w:cs="Arial" w:eastAsia="Arial" w:hAnsi="Arial"/>
          <w:sz w:val="12"/>
          <w:szCs w:val="12"/>
          <w:color w:val="auto"/>
        </w:rPr>
        <w:t>TOP</w:t>
      </w:r>
      <w:r>
        <w:rPr>
          <w:rFonts w:ascii="Arial" w:cs="Arial" w:eastAsia="Arial" w:hAnsi="Arial"/>
          <w:sz w:val="18"/>
          <w:szCs w:val="18"/>
          <w:color w:val="auto"/>
        </w:rPr>
        <w:t xml:space="preserve"> D</w:t>
      </w:r>
      <w:r>
        <w:rPr>
          <w:rFonts w:ascii="Arial" w:cs="Arial" w:eastAsia="Arial" w:hAnsi="Arial"/>
          <w:sz w:val="12"/>
          <w:szCs w:val="12"/>
          <w:color w:val="auto"/>
        </w:rPr>
        <w:t>ATE</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w:t>
      </w:r>
      <w:r>
        <w:rPr>
          <w:rFonts w:ascii="Arial" w:cs="Arial" w:eastAsia="Arial" w:hAnsi="Arial"/>
          <w:sz w:val="12"/>
          <w:szCs w:val="12"/>
          <w:color w:val="auto"/>
        </w:rPr>
        <w:t>LOSING</w:t>
      </w:r>
      <w:r>
        <w:rPr>
          <w:rFonts w:ascii="Arial" w:cs="Arial" w:eastAsia="Arial" w:hAnsi="Arial"/>
          <w:sz w:val="18"/>
          <w:szCs w:val="18"/>
          <w:color w:val="auto"/>
        </w:rPr>
        <w:t xml:space="preserve"> shall take place at the offices of ACIU in Lausanne or at any other place as mutually agreed between the P</w:t>
      </w:r>
      <w:r>
        <w:rPr>
          <w:rFonts w:ascii="Arial" w:cs="Arial" w:eastAsia="Arial" w:hAnsi="Arial"/>
          <w:sz w:val="12"/>
          <w:szCs w:val="12"/>
          <w:color w:val="auto"/>
        </w:rPr>
        <w:t>ARTIES</w:t>
      </w:r>
      <w:r>
        <w:rPr>
          <w:rFonts w:ascii="Arial" w:cs="Arial" w:eastAsia="Arial" w:hAnsi="Arial"/>
          <w:sz w:val="18"/>
          <w:szCs w:val="18"/>
          <w:color w:val="auto"/>
        </w:rPr>
        <w:t xml:space="preserve"> (but, for the avoidance of doubt, not in Austria).</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7"/>
          <w:szCs w:val="17"/>
          <w:b w:val="1"/>
          <w:bCs w:val="1"/>
          <w:color w:val="auto"/>
        </w:rPr>
        <w:t>Closing actions</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8.2.1</w:t>
      </w:r>
      <w:r>
        <w:rPr>
          <w:sz w:val="20"/>
          <w:szCs w:val="20"/>
          <w:color w:val="auto"/>
        </w:rPr>
        <w:tab/>
      </w:r>
      <w:r>
        <w:rPr>
          <w:rFonts w:ascii="Arial" w:cs="Arial" w:eastAsia="Arial" w:hAnsi="Arial"/>
          <w:sz w:val="17"/>
          <w:szCs w:val="17"/>
          <w:b w:val="1"/>
          <w:bCs w:val="1"/>
          <w:color w:val="auto"/>
        </w:rPr>
        <w:t>Actions by A</w:t>
      </w:r>
      <w:r>
        <w:rPr>
          <w:rFonts w:ascii="Arial" w:cs="Arial" w:eastAsia="Arial" w:hAnsi="Arial"/>
          <w:sz w:val="11"/>
          <w:szCs w:val="11"/>
          <w:b w:val="1"/>
          <w:bCs w:val="1"/>
          <w:color w:val="auto"/>
        </w:rPr>
        <w:t>FFIRIS</w:t>
      </w:r>
    </w:p>
    <w:p>
      <w:pPr>
        <w:spacing w:after="0" w:line="220" w:lineRule="exact"/>
        <w:rPr>
          <w:sz w:val="20"/>
          <w:szCs w:val="20"/>
          <w:color w:val="auto"/>
        </w:rPr>
      </w:pPr>
    </w:p>
    <w:p>
      <w:pPr>
        <w:jc w:val="both"/>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part of the C</w:t>
      </w:r>
      <w:r>
        <w:rPr>
          <w:rFonts w:ascii="Arial" w:cs="Arial" w:eastAsia="Arial" w:hAnsi="Arial"/>
          <w:sz w:val="12"/>
          <w:szCs w:val="12"/>
          <w:color w:val="auto"/>
        </w:rPr>
        <w:t>LOSING</w:t>
      </w:r>
      <w:r>
        <w:rPr>
          <w:rFonts w:ascii="Arial" w:cs="Arial" w:eastAsia="Arial" w:hAnsi="Arial"/>
          <w:sz w:val="18"/>
          <w:szCs w:val="18"/>
          <w:color w:val="auto"/>
        </w:rPr>
        <w:t>, but one day prior to the C</w:t>
      </w:r>
      <w:r>
        <w:rPr>
          <w:rFonts w:ascii="Arial" w:cs="Arial" w:eastAsia="Arial" w:hAnsi="Arial"/>
          <w:sz w:val="12"/>
          <w:szCs w:val="12"/>
          <w:color w:val="auto"/>
        </w:rPr>
        <w:t>LOSING</w:t>
      </w:r>
      <w:r>
        <w:rPr>
          <w:rFonts w:ascii="Arial" w:cs="Arial" w:eastAsia="Arial" w:hAnsi="Arial"/>
          <w:sz w:val="18"/>
          <w:szCs w:val="18"/>
          <w:color w:val="auto"/>
        </w:rPr>
        <w:t xml:space="preserve"> D</w:t>
      </w:r>
      <w:r>
        <w:rPr>
          <w:rFonts w:ascii="Arial" w:cs="Arial" w:eastAsia="Arial" w:hAnsi="Arial"/>
          <w:sz w:val="12"/>
          <w:szCs w:val="12"/>
          <w:color w:val="auto"/>
        </w:rPr>
        <w:t>ATE</w:t>
      </w:r>
      <w:r>
        <w:rPr>
          <w:rFonts w:ascii="Arial" w:cs="Arial" w:eastAsia="Arial" w:hAnsi="Arial"/>
          <w:sz w:val="18"/>
          <w:szCs w:val="18"/>
          <w:color w:val="auto"/>
        </w:rPr>
        <w:t>, A</w:t>
      </w:r>
      <w:r>
        <w:rPr>
          <w:rFonts w:ascii="Arial" w:cs="Arial" w:eastAsia="Arial" w:hAnsi="Arial"/>
          <w:sz w:val="12"/>
          <w:szCs w:val="12"/>
          <w:color w:val="auto"/>
        </w:rPr>
        <w:t>FFIRIS</w:t>
      </w:r>
      <w:r>
        <w:rPr>
          <w:rFonts w:ascii="Arial" w:cs="Arial" w:eastAsia="Arial" w:hAnsi="Arial"/>
          <w:sz w:val="18"/>
          <w:szCs w:val="18"/>
          <w:color w:val="auto"/>
        </w:rPr>
        <w:t xml:space="preserve"> shall transfer the C</w:t>
      </w:r>
      <w:r>
        <w:rPr>
          <w:rFonts w:ascii="Arial" w:cs="Arial" w:eastAsia="Arial" w:hAnsi="Arial"/>
          <w:sz w:val="12"/>
          <w:szCs w:val="12"/>
          <w:color w:val="auto"/>
        </w:rPr>
        <w:t>ASH</w:t>
      </w:r>
      <w:r>
        <w:rPr>
          <w:rFonts w:ascii="Arial" w:cs="Arial" w:eastAsia="Arial" w:hAnsi="Arial"/>
          <w:sz w:val="18"/>
          <w:szCs w:val="18"/>
          <w:color w:val="auto"/>
        </w:rPr>
        <w:t xml:space="preserve"> to a blocked account (</w:t>
      </w:r>
      <w:r>
        <w:rPr>
          <w:rFonts w:ascii="Arial" w:cs="Arial" w:eastAsia="Arial" w:hAnsi="Arial"/>
          <w:sz w:val="18"/>
          <w:szCs w:val="18"/>
          <w:i w:val="1"/>
          <w:iCs w:val="1"/>
          <w:color w:val="auto"/>
        </w:rPr>
        <w:t>Kapitaleinzahlungskonto</w:t>
      </w:r>
      <w:r>
        <w:rPr>
          <w:rFonts w:ascii="Arial" w:cs="Arial" w:eastAsia="Arial" w:hAnsi="Arial"/>
          <w:sz w:val="18"/>
          <w:szCs w:val="18"/>
          <w:color w:val="auto"/>
        </w:rPr>
        <w:t>) as specified in S</w:t>
      </w:r>
      <w:r>
        <w:rPr>
          <w:rFonts w:ascii="Arial" w:cs="Arial" w:eastAsia="Arial" w:hAnsi="Arial"/>
          <w:sz w:val="12"/>
          <w:szCs w:val="12"/>
          <w:color w:val="auto"/>
        </w:rPr>
        <w:t>ECTION</w:t>
      </w:r>
      <w:r>
        <w:rPr>
          <w:rFonts w:ascii="Arial" w:cs="Arial" w:eastAsia="Arial" w:hAnsi="Arial"/>
          <w:sz w:val="18"/>
          <w:szCs w:val="18"/>
          <w:color w:val="auto"/>
        </w:rPr>
        <w:t xml:space="preserve"> 3.2.3. On the C</w:t>
      </w:r>
      <w:r>
        <w:rPr>
          <w:rFonts w:ascii="Arial" w:cs="Arial" w:eastAsia="Arial" w:hAnsi="Arial"/>
          <w:sz w:val="12"/>
          <w:szCs w:val="12"/>
          <w:color w:val="auto"/>
        </w:rPr>
        <w:t>LOSING</w:t>
      </w:r>
      <w:r>
        <w:rPr>
          <w:rFonts w:ascii="Arial" w:cs="Arial" w:eastAsia="Arial" w:hAnsi="Arial"/>
          <w:sz w:val="18"/>
          <w:szCs w:val="18"/>
          <w:color w:val="auto"/>
        </w:rPr>
        <w:t xml:space="preserve"> D</w:t>
      </w:r>
      <w:r>
        <w:rPr>
          <w:rFonts w:ascii="Arial" w:cs="Arial" w:eastAsia="Arial" w:hAnsi="Arial"/>
          <w:sz w:val="12"/>
          <w:szCs w:val="12"/>
          <w:color w:val="auto"/>
        </w:rPr>
        <w:t>ATE</w:t>
      </w:r>
      <w:r>
        <w:rPr>
          <w:rFonts w:ascii="Arial" w:cs="Arial" w:eastAsia="Arial" w:hAnsi="Arial"/>
          <w:sz w:val="18"/>
          <w:szCs w:val="18"/>
          <w:color w:val="auto"/>
        </w:rPr>
        <w:t>, A</w:t>
      </w:r>
      <w:r>
        <w:rPr>
          <w:rFonts w:ascii="Arial" w:cs="Arial" w:eastAsia="Arial" w:hAnsi="Arial"/>
          <w:sz w:val="12"/>
          <w:szCs w:val="12"/>
          <w:color w:val="auto"/>
        </w:rPr>
        <w:t>FFIRIS</w:t>
      </w:r>
      <w:r>
        <w:rPr>
          <w:rFonts w:ascii="Arial" w:cs="Arial" w:eastAsia="Arial" w:hAnsi="Arial"/>
          <w:sz w:val="18"/>
          <w:szCs w:val="18"/>
          <w:color w:val="auto"/>
        </w:rPr>
        <w:t xml:space="preserve"> shall – concurrently with, and in exchange for, the closing actions of ACIU ("</w:t>
      </w:r>
      <w:r>
        <w:rPr>
          <w:rFonts w:ascii="Arial" w:cs="Arial" w:eastAsia="Arial" w:hAnsi="Arial"/>
          <w:sz w:val="18"/>
          <w:szCs w:val="18"/>
          <w:i w:val="1"/>
          <w:iCs w:val="1"/>
          <w:color w:val="auto"/>
        </w:rPr>
        <w:t>Zug um Zug</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1300" w:hanging="644"/>
        <w:spacing w:after="0" w:line="246"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Execute all required declarations and agreements in order to evidence certain transfers in separate assignment declarations or agreements in the required form;</w:t>
      </w:r>
    </w:p>
    <w:p>
      <w:pPr>
        <w:spacing w:after="0" w:line="183" w:lineRule="exact"/>
        <w:rPr>
          <w:rFonts w:ascii="Arial" w:cs="Arial" w:eastAsia="Arial" w:hAnsi="Arial"/>
          <w:sz w:val="18"/>
          <w:szCs w:val="18"/>
          <w:color w:val="auto"/>
        </w:rPr>
      </w:pPr>
    </w:p>
    <w:p>
      <w:pPr>
        <w:ind w:left="1300" w:hanging="644"/>
        <w:spacing w:after="0" w:line="246"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Transfer to ACIU any R</w:t>
      </w:r>
      <w:r>
        <w:rPr>
          <w:rFonts w:ascii="Arial" w:cs="Arial" w:eastAsia="Arial" w:hAnsi="Arial"/>
          <w:sz w:val="12"/>
          <w:szCs w:val="12"/>
          <w:color w:val="auto"/>
        </w:rPr>
        <w:t>ECORDS</w:t>
      </w:r>
      <w:r>
        <w:rPr>
          <w:rFonts w:ascii="Arial" w:cs="Arial" w:eastAsia="Arial" w:hAnsi="Arial"/>
          <w:sz w:val="18"/>
          <w:szCs w:val="18"/>
          <w:color w:val="auto"/>
        </w:rPr>
        <w:t xml:space="preserve"> in tangible or electronic format (with the exception of </w:t>
      </w:r>
      <w:r>
        <w:rPr>
          <w:rFonts w:ascii="Arial" w:cs="Arial" w:eastAsia="Arial" w:hAnsi="Arial"/>
          <w:sz w:val="18"/>
          <w:szCs w:val="18"/>
          <w:u w:val="single" w:color="auto"/>
          <w:color w:val="auto"/>
        </w:rPr>
        <w:t>Annex 2</w:t>
      </w:r>
      <w:r>
        <w:rPr>
          <w:rFonts w:ascii="Arial" w:cs="Arial" w:eastAsia="Arial" w:hAnsi="Arial"/>
          <w:sz w:val="18"/>
          <w:szCs w:val="18"/>
          <w:color w:val="auto"/>
        </w:rPr>
        <w:t>, sections 4 and 5, which will be transferred to ACIU in accordance with S</w:t>
      </w:r>
      <w:r>
        <w:rPr>
          <w:rFonts w:ascii="Arial" w:cs="Arial" w:eastAsia="Arial" w:hAnsi="Arial"/>
          <w:sz w:val="12"/>
          <w:szCs w:val="12"/>
          <w:color w:val="auto"/>
        </w:rPr>
        <w:t>ECTION</w:t>
      </w:r>
      <w:r>
        <w:rPr>
          <w:rFonts w:ascii="Arial" w:cs="Arial" w:eastAsia="Arial" w:hAnsi="Arial"/>
          <w:sz w:val="18"/>
          <w:szCs w:val="18"/>
          <w:color w:val="auto"/>
        </w:rPr>
        <w:t xml:space="preserve"> 3.2.2.;</w:t>
      </w:r>
    </w:p>
    <w:p>
      <w:pPr>
        <w:spacing w:after="0" w:line="165"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Subscribe for the ACIU S</w:t>
      </w:r>
      <w:r>
        <w:rPr>
          <w:rFonts w:ascii="Arial" w:cs="Arial" w:eastAsia="Arial" w:hAnsi="Arial"/>
          <w:sz w:val="12"/>
          <w:szCs w:val="12"/>
          <w:color w:val="auto"/>
        </w:rPr>
        <w:t>HARES</w:t>
      </w:r>
      <w:r>
        <w:rPr>
          <w:rFonts w:ascii="Arial" w:cs="Arial" w:eastAsia="Arial" w:hAnsi="Arial"/>
          <w:sz w:val="18"/>
          <w:szCs w:val="18"/>
          <w:color w:val="auto"/>
        </w:rPr>
        <w:t xml:space="preserve"> (</w:t>
      </w:r>
      <w:r>
        <w:rPr>
          <w:rFonts w:ascii="Arial" w:cs="Arial" w:eastAsia="Arial" w:hAnsi="Arial"/>
          <w:sz w:val="18"/>
          <w:szCs w:val="18"/>
          <w:i w:val="1"/>
          <w:iCs w:val="1"/>
          <w:color w:val="auto"/>
        </w:rPr>
        <w:t>Zeichnungsschein</w:t>
      </w:r>
      <w:r>
        <w:rPr>
          <w:rFonts w:ascii="Arial" w:cs="Arial" w:eastAsia="Arial" w:hAnsi="Arial"/>
          <w:sz w:val="18"/>
          <w:szCs w:val="18"/>
          <w:color w:val="auto"/>
        </w:rPr>
        <w:t>) to be created with entry of the capital increase in the commercial registry of the Canton of Vaud (</w:t>
      </w:r>
      <w:r>
        <w:rPr>
          <w:rFonts w:ascii="Arial" w:cs="Arial" w:eastAsia="Arial" w:hAnsi="Arial"/>
          <w:sz w:val="18"/>
          <w:szCs w:val="18"/>
          <w:i w:val="1"/>
          <w:iCs w:val="1"/>
          <w:color w:val="auto"/>
        </w:rPr>
        <w:t>Tagebucheintrag</w:t>
      </w:r>
      <w:r>
        <w:rPr>
          <w:rFonts w:ascii="Arial" w:cs="Arial" w:eastAsia="Arial" w:hAnsi="Arial"/>
          <w:sz w:val="18"/>
          <w:szCs w:val="18"/>
          <w:color w:val="auto"/>
        </w:rPr>
        <w:t>) and to become effective with the registration of the capital increase in the Swiss Official Gazette of Commerce ("</w:t>
      </w:r>
      <w:r>
        <w:rPr>
          <w:rFonts w:ascii="Arial" w:cs="Arial" w:eastAsia="Arial" w:hAnsi="Arial"/>
          <w:sz w:val="18"/>
          <w:szCs w:val="18"/>
          <w:b w:val="1"/>
          <w:bCs w:val="1"/>
          <w:color w:val="auto"/>
        </w:rPr>
        <w:t>SOGC</w:t>
      </w:r>
      <w:r>
        <w:rPr>
          <w:rFonts w:ascii="Arial" w:cs="Arial" w:eastAsia="Arial" w:hAnsi="Arial"/>
          <w:sz w:val="18"/>
          <w:szCs w:val="18"/>
          <w:color w:val="auto"/>
        </w:rPr>
        <w:t>") in accordance with art. 936a CO;</w:t>
      </w:r>
    </w:p>
    <w:p>
      <w:pPr>
        <w:spacing w:after="0" w:line="181" w:lineRule="exact"/>
        <w:rPr>
          <w:rFonts w:ascii="Arial" w:cs="Arial" w:eastAsia="Arial" w:hAnsi="Arial"/>
          <w:sz w:val="18"/>
          <w:szCs w:val="18"/>
          <w:color w:val="auto"/>
        </w:rPr>
      </w:pPr>
    </w:p>
    <w:p>
      <w:pPr>
        <w:jc w:val="both"/>
        <w:ind w:left="1300" w:hanging="644"/>
        <w:spacing w:after="0"/>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2"/>
          <w:szCs w:val="12"/>
          <w:color w:val="auto"/>
        </w:rPr>
        <w:t>FFIRIS</w:t>
      </w:r>
      <w:r>
        <w:rPr>
          <w:rFonts w:ascii="Arial" w:cs="Arial" w:eastAsia="Arial" w:hAnsi="Arial"/>
          <w:sz w:val="18"/>
          <w:szCs w:val="18"/>
          <w:color w:val="auto"/>
        </w:rPr>
        <w:t xml:space="preserve"> signs a contribution in kind agreement substantially as evidenced in </w:t>
      </w:r>
      <w:r>
        <w:rPr>
          <w:rFonts w:ascii="Arial" w:cs="Arial" w:eastAsia="Arial" w:hAnsi="Arial"/>
          <w:sz w:val="18"/>
          <w:szCs w:val="18"/>
          <w:u w:val="single" w:color="auto"/>
          <w:color w:val="auto"/>
        </w:rPr>
        <w:t>A</w:t>
      </w:r>
      <w:r>
        <w:rPr>
          <w:rFonts w:ascii="Arial" w:cs="Arial" w:eastAsia="Arial" w:hAnsi="Arial"/>
          <w:sz w:val="12"/>
          <w:szCs w:val="12"/>
          <w:u w:val="single" w:color="auto"/>
          <w:color w:val="auto"/>
        </w:rPr>
        <w:t>NNEX</w:t>
      </w:r>
      <w:r>
        <w:rPr>
          <w:rFonts w:ascii="Arial" w:cs="Arial" w:eastAsia="Arial" w:hAnsi="Arial"/>
          <w:sz w:val="18"/>
          <w:szCs w:val="18"/>
          <w:color w:val="auto"/>
        </w:rPr>
        <w:t xml:space="preserve"> </w:t>
      </w:r>
      <w:r>
        <w:rPr>
          <w:rFonts w:ascii="Arial" w:cs="Arial" w:eastAsia="Arial" w:hAnsi="Arial"/>
          <w:sz w:val="18"/>
          <w:szCs w:val="18"/>
          <w:u w:val="single" w:color="auto"/>
          <w:color w:val="auto"/>
        </w:rPr>
        <w:t>3</w:t>
      </w:r>
      <w:r>
        <w:rPr>
          <w:rFonts w:ascii="Arial" w:cs="Arial" w:eastAsia="Arial" w:hAnsi="Arial"/>
          <w:sz w:val="18"/>
          <w:szCs w:val="18"/>
          <w:color w:val="auto"/>
        </w:rPr>
        <w:t xml:space="preserve"> for the registering of the capital increase as required for the issuance of newly issued shares of ACIU in connection with the payment of the P</w:t>
      </w:r>
      <w:r>
        <w:rPr>
          <w:rFonts w:ascii="Arial" w:cs="Arial" w:eastAsia="Arial" w:hAnsi="Arial"/>
          <w:sz w:val="12"/>
          <w:szCs w:val="12"/>
          <w:color w:val="auto"/>
        </w:rPr>
        <w:t>URCHASE</w:t>
      </w:r>
      <w:r>
        <w:rPr>
          <w:rFonts w:ascii="Arial" w:cs="Arial" w:eastAsia="Arial" w:hAnsi="Arial"/>
          <w:sz w:val="18"/>
          <w:szCs w:val="18"/>
          <w:color w:val="auto"/>
        </w:rPr>
        <w:t xml:space="preserve"> P</w:t>
      </w:r>
      <w:r>
        <w:rPr>
          <w:rFonts w:ascii="Arial" w:cs="Arial" w:eastAsia="Arial" w:hAnsi="Arial"/>
          <w:sz w:val="12"/>
          <w:szCs w:val="12"/>
          <w:color w:val="auto"/>
        </w:rPr>
        <w:t>RICE</w:t>
      </w:r>
      <w:r>
        <w:rPr>
          <w:rFonts w:ascii="Arial" w:cs="Arial" w:eastAsia="Arial" w:hAnsi="Arial"/>
          <w:sz w:val="18"/>
          <w:szCs w:val="18"/>
          <w:color w:val="auto"/>
        </w:rPr>
        <w:t xml:space="preserve"> in the commercial registry of the Canton of Vaud.</w:t>
      </w:r>
    </w:p>
    <w:p>
      <w:pPr>
        <w:spacing w:after="0" w:line="189" w:lineRule="exact"/>
        <w:rPr>
          <w:rFonts w:ascii="Arial" w:cs="Arial" w:eastAsia="Arial" w:hAnsi="Arial"/>
          <w:sz w:val="18"/>
          <w:szCs w:val="18"/>
          <w:color w:val="auto"/>
        </w:rPr>
      </w:pPr>
    </w:p>
    <w:p>
      <w:pPr>
        <w:ind w:left="1300" w:hanging="644"/>
        <w:spacing w:after="0"/>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Make all other declarations, perform all acts and conclude all contracts necessary for the execution of this </w:t>
      </w:r>
      <w:r>
        <w:rPr>
          <w:rFonts w:ascii="Arial" w:cs="Arial" w:eastAsia="Arial" w:hAnsi="Arial"/>
          <w:sz w:val="12"/>
          <w:szCs w:val="12"/>
          <w:color w:val="auto"/>
        </w:rPr>
        <w:t>AGREEMENT</w:t>
      </w:r>
      <w:r>
        <w:rPr>
          <w:rFonts w:ascii="Arial" w:cs="Arial" w:eastAsia="Arial" w:hAnsi="Arial"/>
          <w:sz w:val="18"/>
          <w:szCs w:val="18"/>
          <w:color w:val="auto"/>
        </w:rPr>
        <w:t>.</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8.2.2</w:t>
      </w:r>
      <w:r>
        <w:rPr>
          <w:sz w:val="20"/>
          <w:szCs w:val="20"/>
          <w:color w:val="auto"/>
        </w:rPr>
        <w:tab/>
      </w:r>
      <w:r>
        <w:rPr>
          <w:rFonts w:ascii="Arial" w:cs="Arial" w:eastAsia="Arial" w:hAnsi="Arial"/>
          <w:sz w:val="17"/>
          <w:szCs w:val="17"/>
          <w:b w:val="1"/>
          <w:bCs w:val="1"/>
          <w:color w:val="auto"/>
        </w:rPr>
        <w:t>Actions by ACIU</w:t>
      </w:r>
    </w:p>
    <w:p>
      <w:pPr>
        <w:spacing w:after="0" w:line="202"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the C</w:t>
      </w:r>
      <w:r>
        <w:rPr>
          <w:rFonts w:ascii="Arial" w:cs="Arial" w:eastAsia="Arial" w:hAnsi="Arial"/>
          <w:sz w:val="12"/>
          <w:szCs w:val="12"/>
          <w:color w:val="auto"/>
        </w:rPr>
        <w:t>LOSING</w:t>
      </w:r>
      <w:r>
        <w:rPr>
          <w:rFonts w:ascii="Arial" w:cs="Arial" w:eastAsia="Arial" w:hAnsi="Arial"/>
          <w:sz w:val="18"/>
          <w:szCs w:val="18"/>
          <w:color w:val="auto"/>
        </w:rPr>
        <w:t xml:space="preserve"> D</w:t>
      </w:r>
      <w:r>
        <w:rPr>
          <w:rFonts w:ascii="Arial" w:cs="Arial" w:eastAsia="Arial" w:hAnsi="Arial"/>
          <w:sz w:val="12"/>
          <w:szCs w:val="12"/>
          <w:color w:val="auto"/>
        </w:rPr>
        <w:t>ATE</w:t>
      </w:r>
      <w:r>
        <w:rPr>
          <w:rFonts w:ascii="Arial" w:cs="Arial" w:eastAsia="Arial" w:hAnsi="Arial"/>
          <w:sz w:val="18"/>
          <w:szCs w:val="18"/>
          <w:color w:val="auto"/>
        </w:rPr>
        <w:t>, ACIU shall – concurrently with and in exchange for the closing actions of A</w:t>
      </w:r>
      <w:r>
        <w:rPr>
          <w:rFonts w:ascii="Arial" w:cs="Arial" w:eastAsia="Arial" w:hAnsi="Arial"/>
          <w:sz w:val="12"/>
          <w:szCs w:val="12"/>
          <w:color w:val="auto"/>
        </w:rPr>
        <w:t>FFIRIS</w:t>
      </w:r>
      <w:r>
        <w:rPr>
          <w:rFonts w:ascii="Arial" w:cs="Arial" w:eastAsia="Arial" w:hAnsi="Arial"/>
          <w:sz w:val="18"/>
          <w:szCs w:val="18"/>
          <w:color w:val="auto"/>
        </w:rPr>
        <w:t xml:space="preserve"> ("</w:t>
      </w:r>
      <w:r>
        <w:rPr>
          <w:rFonts w:ascii="Arial" w:cs="Arial" w:eastAsia="Arial" w:hAnsi="Arial"/>
          <w:sz w:val="18"/>
          <w:szCs w:val="18"/>
          <w:i w:val="1"/>
          <w:iCs w:val="1"/>
          <w:color w:val="auto"/>
        </w:rPr>
        <w:t>Zug um Zug</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ind w:left="1300" w:hanging="644"/>
        <w:spacing w:after="0" w:line="246"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Execute all required declarations and agreements in order to evidence certain transfers in separate assignment declarations or agreements in the required form;</w:t>
      </w: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7" w:name="page18"/>
    <w:bookmarkEnd w:id="17"/>
    <w:p>
      <w:pPr>
        <w:jc w:val="both"/>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ACIU signs a contribution in kind agreement substantially as evidenced in </w:t>
      </w:r>
      <w:r>
        <w:rPr>
          <w:rFonts w:ascii="Arial" w:cs="Arial" w:eastAsia="Arial" w:hAnsi="Arial"/>
          <w:sz w:val="18"/>
          <w:szCs w:val="18"/>
          <w:u w:val="single" w:color="auto"/>
          <w:color w:val="auto"/>
        </w:rPr>
        <w:t>A</w:t>
      </w:r>
      <w:r>
        <w:rPr>
          <w:rFonts w:ascii="Arial" w:cs="Arial" w:eastAsia="Arial" w:hAnsi="Arial"/>
          <w:sz w:val="12"/>
          <w:szCs w:val="12"/>
          <w:u w:val="single" w:color="auto"/>
          <w:color w:val="auto"/>
        </w:rPr>
        <w:t>NNEX</w:t>
      </w:r>
      <w:r>
        <w:rPr>
          <w:rFonts w:ascii="Arial" w:cs="Arial" w:eastAsia="Arial" w:hAnsi="Arial"/>
          <w:sz w:val="18"/>
          <w:szCs w:val="18"/>
          <w:color w:val="auto"/>
        </w:rPr>
        <w:t xml:space="preserve"> </w:t>
      </w:r>
      <w:r>
        <w:rPr>
          <w:rFonts w:ascii="Arial" w:cs="Arial" w:eastAsia="Arial" w:hAnsi="Arial"/>
          <w:sz w:val="18"/>
          <w:szCs w:val="18"/>
          <w:u w:val="single" w:color="auto"/>
          <w:color w:val="auto"/>
        </w:rPr>
        <w:t>3</w:t>
      </w:r>
      <w:r>
        <w:rPr>
          <w:rFonts w:ascii="Arial" w:cs="Arial" w:eastAsia="Arial" w:hAnsi="Arial"/>
          <w:sz w:val="18"/>
          <w:szCs w:val="18"/>
          <w:color w:val="auto"/>
        </w:rPr>
        <w:t xml:space="preserve"> for the registering of the capital increase as required for the issuance of newly issued shares of ACIU in connection with the payment of the P</w:t>
      </w:r>
      <w:r>
        <w:rPr>
          <w:rFonts w:ascii="Arial" w:cs="Arial" w:eastAsia="Arial" w:hAnsi="Arial"/>
          <w:sz w:val="12"/>
          <w:szCs w:val="12"/>
          <w:color w:val="auto"/>
        </w:rPr>
        <w:t>URCHASE</w:t>
      </w:r>
      <w:r>
        <w:rPr>
          <w:rFonts w:ascii="Arial" w:cs="Arial" w:eastAsia="Arial" w:hAnsi="Arial"/>
          <w:sz w:val="18"/>
          <w:szCs w:val="18"/>
          <w:color w:val="auto"/>
        </w:rPr>
        <w:t xml:space="preserve"> P</w:t>
      </w:r>
      <w:r>
        <w:rPr>
          <w:rFonts w:ascii="Arial" w:cs="Arial" w:eastAsia="Arial" w:hAnsi="Arial"/>
          <w:sz w:val="12"/>
          <w:szCs w:val="12"/>
          <w:color w:val="auto"/>
        </w:rPr>
        <w:t>RICE</w:t>
      </w:r>
      <w:r>
        <w:rPr>
          <w:rFonts w:ascii="Arial" w:cs="Arial" w:eastAsia="Arial" w:hAnsi="Arial"/>
          <w:sz w:val="18"/>
          <w:szCs w:val="18"/>
          <w:color w:val="auto"/>
        </w:rPr>
        <w:t xml:space="preserve"> in the commercial registry of the Canton of Vaud.</w:t>
      </w:r>
    </w:p>
    <w:p>
      <w:pPr>
        <w:spacing w:after="0" w:line="189" w:lineRule="exact"/>
        <w:rPr>
          <w:rFonts w:ascii="Arial" w:cs="Arial" w:eastAsia="Arial" w:hAnsi="Arial"/>
          <w:sz w:val="18"/>
          <w:szCs w:val="18"/>
          <w:color w:val="auto"/>
        </w:rPr>
      </w:pPr>
    </w:p>
    <w:p>
      <w:pPr>
        <w:jc w:val="both"/>
        <w:ind w:left="1300" w:hanging="644"/>
        <w:spacing w:after="0" w:line="238"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a (i) duly executed board resolution resolving on the capital increase based on the existing authorized capital of ACIU (including the withdrawal of pre-emptive rights in accordance with the articles of association of ACIU) (ii) a copy of the capital increase report, (iii) a duly signed audit confirmation report (</w:t>
      </w:r>
      <w:r>
        <w:rPr>
          <w:rFonts w:ascii="Arial" w:cs="Arial" w:eastAsia="Arial" w:hAnsi="Arial"/>
          <w:sz w:val="18"/>
          <w:szCs w:val="18"/>
          <w:i w:val="1"/>
          <w:iCs w:val="1"/>
          <w:color w:val="auto"/>
        </w:rPr>
        <w:t>Prüfungsbestätigung</w:t>
      </w:r>
      <w:r>
        <w:rPr>
          <w:rFonts w:ascii="Arial" w:cs="Arial" w:eastAsia="Arial" w:hAnsi="Arial"/>
          <w:sz w:val="18"/>
          <w:szCs w:val="18"/>
          <w:color w:val="auto"/>
        </w:rPr>
        <w:t>) from the auditors of ACIU and (iv) the public deed on the resolution of the board of directors asserting the capital increase (</w:t>
      </w:r>
      <w:r>
        <w:rPr>
          <w:rFonts w:ascii="Arial" w:cs="Arial" w:eastAsia="Arial" w:hAnsi="Arial"/>
          <w:sz w:val="18"/>
          <w:szCs w:val="18"/>
          <w:i w:val="1"/>
          <w:iCs w:val="1"/>
          <w:color w:val="auto"/>
        </w:rPr>
        <w:t>öffentliche Urkunde über den</w:t>
      </w:r>
      <w:r>
        <w:rPr>
          <w:rFonts w:ascii="Arial" w:cs="Arial" w:eastAsia="Arial" w:hAnsi="Arial"/>
          <w:sz w:val="18"/>
          <w:szCs w:val="18"/>
          <w:color w:val="auto"/>
        </w:rPr>
        <w:t xml:space="preserve"> </w:t>
      </w:r>
      <w:r>
        <w:rPr>
          <w:rFonts w:ascii="Arial" w:cs="Arial" w:eastAsia="Arial" w:hAnsi="Arial"/>
          <w:sz w:val="18"/>
          <w:szCs w:val="18"/>
          <w:i w:val="1"/>
          <w:iCs w:val="1"/>
          <w:color w:val="auto"/>
        </w:rPr>
        <w:t>Feststellungsbeschluss</w:t>
      </w:r>
      <w:r>
        <w:rPr>
          <w:rFonts w:ascii="Arial" w:cs="Arial" w:eastAsia="Arial" w:hAnsi="Arial"/>
          <w:sz w:val="18"/>
          <w:szCs w:val="18"/>
          <w:color w:val="auto"/>
        </w:rPr>
        <w:t>) together with the new articles of association of ACIU to be filed with the commercial registry;</w:t>
      </w:r>
    </w:p>
    <w:p>
      <w:pPr>
        <w:spacing w:after="0" w:line="189" w:lineRule="exact"/>
        <w:rPr>
          <w:sz w:val="20"/>
          <w:szCs w:val="20"/>
          <w:color w:val="auto"/>
        </w:rPr>
      </w:pPr>
    </w:p>
    <w:p>
      <w:pPr>
        <w:jc w:val="both"/>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and file the duly signed application and all necessary enclosures to the commercial registry of the Canton of Vaud with the request, if permissible, of a same-date registration of the capital increase (</w:t>
      </w:r>
      <w:r>
        <w:rPr>
          <w:rFonts w:ascii="Arial" w:cs="Arial" w:eastAsia="Arial" w:hAnsi="Arial"/>
          <w:sz w:val="18"/>
          <w:szCs w:val="18"/>
          <w:i w:val="1"/>
          <w:iCs w:val="1"/>
          <w:color w:val="auto"/>
        </w:rPr>
        <w:t>Tagebucheintrag</w:t>
      </w:r>
      <w:r>
        <w:rPr>
          <w:rFonts w:ascii="Arial" w:cs="Arial" w:eastAsia="Arial" w:hAnsi="Arial"/>
          <w:sz w:val="18"/>
          <w:szCs w:val="18"/>
          <w:color w:val="auto"/>
        </w:rPr>
        <w:t>) by a hyper-express registration (</w:t>
      </w:r>
      <w:r>
        <w:rPr>
          <w:rFonts w:ascii="Arial" w:cs="Arial" w:eastAsia="Arial" w:hAnsi="Arial"/>
          <w:sz w:val="18"/>
          <w:szCs w:val="18"/>
          <w:i w:val="1"/>
          <w:iCs w:val="1"/>
          <w:color w:val="auto"/>
        </w:rPr>
        <w:t>Hyperexpressverfahren</w:t>
      </w:r>
      <w:r>
        <w:rPr>
          <w:rFonts w:ascii="Arial" w:cs="Arial" w:eastAsia="Arial" w:hAnsi="Arial"/>
          <w:sz w:val="18"/>
          <w:szCs w:val="18"/>
          <w:color w:val="auto"/>
        </w:rPr>
        <w:t>).</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7"/>
          <w:szCs w:val="17"/>
          <w:b w:val="1"/>
          <w:bCs w:val="1"/>
          <w:color w:val="auto"/>
        </w:rPr>
        <w:t>Closing Memorandum</w:t>
      </w:r>
    </w:p>
    <w:p>
      <w:pPr>
        <w:spacing w:after="0" w:line="220" w:lineRule="exact"/>
        <w:rPr>
          <w:sz w:val="20"/>
          <w:szCs w:val="20"/>
          <w:color w:val="auto"/>
        </w:rPr>
      </w:pPr>
    </w:p>
    <w:p>
      <w:pPr>
        <w:jc w:val="both"/>
        <w:ind w:left="660" w:hanging="652"/>
        <w:spacing w:after="0" w:line="238"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Upon the due performance of the closing actions pursuant to S</w:t>
      </w:r>
      <w:r>
        <w:rPr>
          <w:rFonts w:ascii="Arial" w:cs="Arial" w:eastAsia="Arial" w:hAnsi="Arial"/>
          <w:sz w:val="12"/>
          <w:szCs w:val="12"/>
          <w:color w:val="auto"/>
        </w:rPr>
        <w:t>ECTION</w:t>
      </w:r>
      <w:r>
        <w:rPr>
          <w:rFonts w:ascii="Arial" w:cs="Arial" w:eastAsia="Arial" w:hAnsi="Arial"/>
          <w:sz w:val="18"/>
          <w:szCs w:val="18"/>
          <w:color w:val="auto"/>
        </w:rPr>
        <w:t xml:space="preserve"> 8.2, the P</w:t>
      </w:r>
      <w:r>
        <w:rPr>
          <w:rFonts w:ascii="Arial" w:cs="Arial" w:eastAsia="Arial" w:hAnsi="Arial"/>
          <w:sz w:val="12"/>
          <w:szCs w:val="12"/>
          <w:color w:val="auto"/>
        </w:rPr>
        <w:t>ARTIES</w:t>
      </w:r>
      <w:r>
        <w:rPr>
          <w:rFonts w:ascii="Arial" w:cs="Arial" w:eastAsia="Arial" w:hAnsi="Arial"/>
          <w:sz w:val="18"/>
          <w:szCs w:val="18"/>
          <w:color w:val="auto"/>
        </w:rPr>
        <w:t xml:space="preserve"> shall sign minutes of the closing procedure to confirm that all C</w:t>
      </w:r>
      <w:r>
        <w:rPr>
          <w:rFonts w:ascii="Arial" w:cs="Arial" w:eastAsia="Arial" w:hAnsi="Arial"/>
          <w:sz w:val="12"/>
          <w:szCs w:val="12"/>
          <w:color w:val="auto"/>
        </w:rPr>
        <w:t>ONDITIONS</w:t>
      </w:r>
      <w:r>
        <w:rPr>
          <w:rFonts w:ascii="Arial" w:cs="Arial" w:eastAsia="Arial" w:hAnsi="Arial"/>
          <w:sz w:val="18"/>
          <w:szCs w:val="18"/>
          <w:color w:val="auto"/>
        </w:rPr>
        <w:t xml:space="preserve"> P</w:t>
      </w:r>
      <w:r>
        <w:rPr>
          <w:rFonts w:ascii="Arial" w:cs="Arial" w:eastAsia="Arial" w:hAnsi="Arial"/>
          <w:sz w:val="12"/>
          <w:szCs w:val="12"/>
          <w:color w:val="auto"/>
        </w:rPr>
        <w:t>RECEDENT</w:t>
      </w:r>
      <w:r>
        <w:rPr>
          <w:rFonts w:ascii="Arial" w:cs="Arial" w:eastAsia="Arial" w:hAnsi="Arial"/>
          <w:sz w:val="18"/>
          <w:szCs w:val="18"/>
          <w:color w:val="auto"/>
        </w:rPr>
        <w:t xml:space="preserve"> have been fulfilled, maintained or waived, as applicable, all closing actions have been implemented and the sale and transfer of the P</w:t>
      </w:r>
      <w:r>
        <w:rPr>
          <w:rFonts w:ascii="Arial" w:cs="Arial" w:eastAsia="Arial" w:hAnsi="Arial"/>
          <w:sz w:val="12"/>
          <w:szCs w:val="12"/>
          <w:color w:val="auto"/>
        </w:rPr>
        <w:t>ROGRAMS</w:t>
      </w:r>
      <w:r>
        <w:rPr>
          <w:rFonts w:ascii="Arial" w:cs="Arial" w:eastAsia="Arial" w:hAnsi="Arial"/>
          <w:sz w:val="18"/>
          <w:szCs w:val="18"/>
          <w:color w:val="auto"/>
        </w:rPr>
        <w:t xml:space="preserve"> has become legally effective subject to R</w:t>
      </w:r>
      <w:r>
        <w:rPr>
          <w:rFonts w:ascii="Arial" w:cs="Arial" w:eastAsia="Arial" w:hAnsi="Arial"/>
          <w:sz w:val="12"/>
          <w:szCs w:val="12"/>
          <w:color w:val="auto"/>
        </w:rPr>
        <w:t>EGISTRATION</w:t>
      </w:r>
      <w:r>
        <w:rPr>
          <w:rFonts w:ascii="Arial" w:cs="Arial" w:eastAsia="Arial" w:hAnsi="Arial"/>
          <w:sz w:val="18"/>
          <w:szCs w:val="18"/>
          <w:color w:val="auto"/>
        </w:rPr>
        <w:t xml:space="preserve"> (the "</w:t>
      </w:r>
      <w:r>
        <w:rPr>
          <w:rFonts w:ascii="Arial" w:cs="Arial" w:eastAsia="Arial" w:hAnsi="Arial"/>
          <w:sz w:val="18"/>
          <w:szCs w:val="18"/>
          <w:b w:val="1"/>
          <w:bCs w:val="1"/>
          <w:color w:val="auto"/>
        </w:rPr>
        <w:t>C</w:t>
      </w:r>
      <w:r>
        <w:rPr>
          <w:rFonts w:ascii="Arial" w:cs="Arial" w:eastAsia="Arial" w:hAnsi="Arial"/>
          <w:sz w:val="12"/>
          <w:szCs w:val="12"/>
          <w:b w:val="1"/>
          <w:bCs w:val="1"/>
          <w:color w:val="auto"/>
        </w:rPr>
        <w:t>LOSING</w:t>
      </w:r>
      <w:r>
        <w:rPr>
          <w:rFonts w:ascii="Arial" w:cs="Arial" w:eastAsia="Arial" w:hAnsi="Arial"/>
          <w:sz w:val="18"/>
          <w:szCs w:val="18"/>
          <w:color w:val="auto"/>
        </w:rPr>
        <w:t xml:space="preserve"> </w:t>
      </w:r>
      <w:r>
        <w:rPr>
          <w:rFonts w:ascii="Arial" w:cs="Arial" w:eastAsia="Arial" w:hAnsi="Arial"/>
          <w:sz w:val="18"/>
          <w:szCs w:val="18"/>
          <w:b w:val="1"/>
          <w:bCs w:val="1"/>
          <w:color w:val="auto"/>
        </w:rPr>
        <w:t>M</w:t>
      </w:r>
      <w:r>
        <w:rPr>
          <w:rFonts w:ascii="Arial" w:cs="Arial" w:eastAsia="Arial" w:hAnsi="Arial"/>
          <w:sz w:val="12"/>
          <w:szCs w:val="12"/>
          <w:b w:val="1"/>
          <w:bCs w:val="1"/>
          <w:color w:val="auto"/>
        </w:rPr>
        <w:t>EMORANDUM</w:t>
      </w:r>
      <w:r>
        <w:rPr>
          <w:rFonts w:ascii="Arial" w:cs="Arial" w:eastAsia="Arial" w:hAnsi="Arial"/>
          <w:sz w:val="18"/>
          <w:szCs w:val="18"/>
          <w:color w:val="auto"/>
        </w:rPr>
        <w:t>"). Copies of evidence of the fulfilment of the C</w:t>
      </w:r>
      <w:r>
        <w:rPr>
          <w:rFonts w:ascii="Arial" w:cs="Arial" w:eastAsia="Arial" w:hAnsi="Arial"/>
          <w:sz w:val="12"/>
          <w:szCs w:val="12"/>
          <w:color w:val="auto"/>
        </w:rPr>
        <w:t>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P</w:t>
      </w:r>
      <w:r>
        <w:rPr>
          <w:rFonts w:ascii="Arial" w:cs="Arial" w:eastAsia="Arial" w:hAnsi="Arial"/>
          <w:sz w:val="12"/>
          <w:szCs w:val="12"/>
          <w:color w:val="auto"/>
        </w:rPr>
        <w:t>RECEDENT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attached to the C</w:t>
      </w:r>
      <w:r>
        <w:rPr>
          <w:rFonts w:ascii="Arial" w:cs="Arial" w:eastAsia="Arial" w:hAnsi="Arial"/>
          <w:sz w:val="12"/>
          <w:szCs w:val="12"/>
          <w:color w:val="auto"/>
        </w:rPr>
        <w:t>LOSING</w:t>
      </w:r>
      <w:r>
        <w:rPr>
          <w:rFonts w:ascii="Arial" w:cs="Arial" w:eastAsia="Arial" w:hAnsi="Arial"/>
          <w:sz w:val="18"/>
          <w:szCs w:val="18"/>
          <w:b w:val="1"/>
          <w:bCs w:val="1"/>
          <w:color w:val="auto"/>
        </w:rPr>
        <w:t xml:space="preserve"> </w:t>
      </w:r>
      <w:r>
        <w:rPr>
          <w:rFonts w:ascii="Arial" w:cs="Arial" w:eastAsia="Arial" w:hAnsi="Arial"/>
          <w:sz w:val="18"/>
          <w:szCs w:val="18"/>
          <w:color w:val="auto"/>
        </w:rPr>
        <w:t>M</w:t>
      </w:r>
      <w:r>
        <w:rPr>
          <w:rFonts w:ascii="Arial" w:cs="Arial" w:eastAsia="Arial" w:hAnsi="Arial"/>
          <w:sz w:val="12"/>
          <w:szCs w:val="12"/>
          <w:color w:val="auto"/>
        </w:rPr>
        <w:t>EMORANDUM</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 later than 5 (five) B</w:t>
      </w:r>
      <w:r>
        <w:rPr>
          <w:rFonts w:ascii="Arial" w:cs="Arial" w:eastAsia="Arial" w:hAnsi="Arial"/>
          <w:sz w:val="12"/>
          <w:szCs w:val="12"/>
          <w:color w:val="auto"/>
        </w:rPr>
        <w:t>USINESS</w:t>
      </w:r>
      <w:r>
        <w:rPr>
          <w:rFonts w:ascii="Arial" w:cs="Arial" w:eastAsia="Arial" w:hAnsi="Arial"/>
          <w:sz w:val="18"/>
          <w:szCs w:val="18"/>
          <w:color w:val="auto"/>
        </w:rPr>
        <w:t xml:space="preserve"> D</w:t>
      </w:r>
      <w:r>
        <w:rPr>
          <w:rFonts w:ascii="Arial" w:cs="Arial" w:eastAsia="Arial" w:hAnsi="Arial"/>
          <w:sz w:val="12"/>
          <w:szCs w:val="12"/>
          <w:color w:val="auto"/>
        </w:rPr>
        <w:t>AYS</w:t>
      </w:r>
      <w:r>
        <w:rPr>
          <w:rFonts w:ascii="Arial" w:cs="Arial" w:eastAsia="Arial" w:hAnsi="Arial"/>
          <w:sz w:val="18"/>
          <w:szCs w:val="18"/>
          <w:color w:val="auto"/>
        </w:rPr>
        <w:t xml:space="preserve"> prior to C</w:t>
      </w:r>
      <w:r>
        <w:rPr>
          <w:rFonts w:ascii="Arial" w:cs="Arial" w:eastAsia="Arial" w:hAnsi="Arial"/>
          <w:sz w:val="12"/>
          <w:szCs w:val="12"/>
          <w:color w:val="auto"/>
        </w:rPr>
        <w:t>LOSING</w:t>
      </w:r>
      <w:r>
        <w:rPr>
          <w:rFonts w:ascii="Arial" w:cs="Arial" w:eastAsia="Arial" w:hAnsi="Arial"/>
          <w:sz w:val="18"/>
          <w:szCs w:val="18"/>
          <w:color w:val="auto"/>
        </w:rPr>
        <w:t>, ACIU's legal counsel shall prepare, in cooperation with A</w:t>
      </w:r>
      <w:r>
        <w:rPr>
          <w:rFonts w:ascii="Arial" w:cs="Arial" w:eastAsia="Arial" w:hAnsi="Arial"/>
          <w:sz w:val="12"/>
          <w:szCs w:val="12"/>
          <w:color w:val="auto"/>
        </w:rPr>
        <w:t>FFIRIS</w:t>
      </w:r>
      <w:r>
        <w:rPr>
          <w:rFonts w:ascii="Arial" w:cs="Arial" w:eastAsia="Arial" w:hAnsi="Arial"/>
          <w:sz w:val="18"/>
          <w:szCs w:val="18"/>
          <w:color w:val="auto"/>
        </w:rPr>
        <w:t>' legal counsel,</w:t>
      </w:r>
    </w:p>
    <w:p>
      <w:pPr>
        <w:spacing w:after="0" w:line="9" w:lineRule="exact"/>
        <w:rPr>
          <w:rFonts w:ascii="Arial" w:cs="Arial" w:eastAsia="Arial" w:hAnsi="Arial"/>
          <w:sz w:val="18"/>
          <w:szCs w:val="18"/>
          <w:color w:val="auto"/>
        </w:rPr>
      </w:pPr>
    </w:p>
    <w:p>
      <w:pPr>
        <w:ind w:left="660"/>
        <w:spacing w:after="0" w:line="234" w:lineRule="auto"/>
        <w:rPr>
          <w:rFonts w:ascii="Arial" w:cs="Arial" w:eastAsia="Arial" w:hAnsi="Arial"/>
          <w:sz w:val="18"/>
          <w:szCs w:val="18"/>
          <w:color w:val="auto"/>
        </w:rPr>
      </w:pPr>
      <w:r>
        <w:rPr>
          <w:rFonts w:ascii="Arial" w:cs="Arial" w:eastAsia="Arial" w:hAnsi="Arial"/>
          <w:sz w:val="18"/>
          <w:szCs w:val="18"/>
          <w:color w:val="auto"/>
        </w:rPr>
        <w:t>such C</w:t>
      </w:r>
      <w:r>
        <w:rPr>
          <w:rFonts w:ascii="Arial" w:cs="Arial" w:eastAsia="Arial" w:hAnsi="Arial"/>
          <w:sz w:val="12"/>
          <w:szCs w:val="12"/>
          <w:color w:val="auto"/>
        </w:rPr>
        <w:t>LOSING</w:t>
      </w:r>
      <w:r>
        <w:rPr>
          <w:rFonts w:ascii="Arial" w:cs="Arial" w:eastAsia="Arial" w:hAnsi="Arial"/>
          <w:sz w:val="18"/>
          <w:szCs w:val="18"/>
          <w:color w:val="auto"/>
        </w:rPr>
        <w:t xml:space="preserve"> M</w:t>
      </w:r>
      <w:r>
        <w:rPr>
          <w:rFonts w:ascii="Arial" w:cs="Arial" w:eastAsia="Arial" w:hAnsi="Arial"/>
          <w:sz w:val="12"/>
          <w:szCs w:val="12"/>
          <w:color w:val="auto"/>
        </w:rPr>
        <w:t>EMORANDUM</w:t>
      </w:r>
      <w:r>
        <w:rPr>
          <w:rFonts w:ascii="Arial" w:cs="Arial" w:eastAsia="Arial" w:hAnsi="Arial"/>
          <w:sz w:val="18"/>
          <w:szCs w:val="18"/>
          <w:color w:val="auto"/>
        </w:rPr>
        <w:t>.</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7"/>
          <w:szCs w:val="17"/>
          <w:b w:val="1"/>
          <w:bCs w:val="1"/>
          <w:color w:val="auto"/>
        </w:rPr>
        <w:t>Termination Right</w:t>
      </w:r>
    </w:p>
    <w:p>
      <w:pPr>
        <w:spacing w:after="0" w:line="198" w:lineRule="exact"/>
        <w:rPr>
          <w:sz w:val="20"/>
          <w:szCs w:val="20"/>
          <w:color w:val="auto"/>
        </w:rPr>
      </w:pPr>
    </w:p>
    <w:p>
      <w:pPr>
        <w:jc w:val="both"/>
        <w:ind w:left="660" w:hanging="652"/>
        <w:spacing w:after="0" w:line="24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Should the C</w:t>
      </w:r>
      <w:r>
        <w:rPr>
          <w:rFonts w:ascii="Arial" w:cs="Arial" w:eastAsia="Arial" w:hAnsi="Arial"/>
          <w:sz w:val="12"/>
          <w:szCs w:val="12"/>
          <w:color w:val="auto"/>
        </w:rPr>
        <w:t>ONDITIONS</w:t>
      </w:r>
      <w:r>
        <w:rPr>
          <w:rFonts w:ascii="Arial" w:cs="Arial" w:eastAsia="Arial" w:hAnsi="Arial"/>
          <w:sz w:val="18"/>
          <w:szCs w:val="18"/>
          <w:color w:val="auto"/>
        </w:rPr>
        <w:t xml:space="preserve"> P</w:t>
      </w:r>
      <w:r>
        <w:rPr>
          <w:rFonts w:ascii="Arial" w:cs="Arial" w:eastAsia="Arial" w:hAnsi="Arial"/>
          <w:sz w:val="12"/>
          <w:szCs w:val="12"/>
          <w:color w:val="auto"/>
        </w:rPr>
        <w:t>RECEDENT</w:t>
      </w:r>
      <w:r>
        <w:rPr>
          <w:rFonts w:ascii="Arial" w:cs="Arial" w:eastAsia="Arial" w:hAnsi="Arial"/>
          <w:sz w:val="18"/>
          <w:szCs w:val="18"/>
          <w:color w:val="auto"/>
        </w:rPr>
        <w:t xml:space="preserve"> set forth in S</w:t>
      </w:r>
      <w:r>
        <w:rPr>
          <w:rFonts w:ascii="Arial" w:cs="Arial" w:eastAsia="Arial" w:hAnsi="Arial"/>
          <w:sz w:val="12"/>
          <w:szCs w:val="12"/>
          <w:color w:val="auto"/>
        </w:rPr>
        <w:t>ECTION</w:t>
      </w:r>
      <w:r>
        <w:rPr>
          <w:rFonts w:ascii="Arial" w:cs="Arial" w:eastAsia="Arial" w:hAnsi="Arial"/>
          <w:sz w:val="18"/>
          <w:szCs w:val="18"/>
          <w:color w:val="auto"/>
        </w:rPr>
        <w:t xml:space="preserve"> 7.1 not be satisfied within 6 (six) months from the date hereof (the "</w:t>
      </w:r>
      <w:r>
        <w:rPr>
          <w:rFonts w:ascii="Arial" w:cs="Arial" w:eastAsia="Arial" w:hAnsi="Arial"/>
          <w:sz w:val="18"/>
          <w:szCs w:val="18"/>
          <w:b w:val="1"/>
          <w:bCs w:val="1"/>
          <w:color w:val="auto"/>
        </w:rPr>
        <w:t>L</w:t>
      </w:r>
      <w:r>
        <w:rPr>
          <w:rFonts w:ascii="Arial" w:cs="Arial" w:eastAsia="Arial" w:hAnsi="Arial"/>
          <w:sz w:val="12"/>
          <w:szCs w:val="12"/>
          <w:b w:val="1"/>
          <w:bCs w:val="1"/>
          <w:color w:val="auto"/>
        </w:rPr>
        <w:t>ONG</w:t>
      </w:r>
      <w:r>
        <w:rPr>
          <w:rFonts w:ascii="Arial" w:cs="Arial" w:eastAsia="Arial" w:hAnsi="Arial"/>
          <w:sz w:val="18"/>
          <w:szCs w:val="18"/>
          <w:color w:val="auto"/>
        </w:rPr>
        <w:t xml:space="preserve"> </w:t>
      </w:r>
      <w:r>
        <w:rPr>
          <w:rFonts w:ascii="Arial" w:cs="Arial" w:eastAsia="Arial" w:hAnsi="Arial"/>
          <w:sz w:val="18"/>
          <w:szCs w:val="18"/>
          <w:b w:val="1"/>
          <w:bCs w:val="1"/>
          <w:color w:val="auto"/>
        </w:rPr>
        <w:t>S</w:t>
      </w:r>
      <w:r>
        <w:rPr>
          <w:rFonts w:ascii="Arial" w:cs="Arial" w:eastAsia="Arial" w:hAnsi="Arial"/>
          <w:sz w:val="12"/>
          <w:szCs w:val="12"/>
          <w:b w:val="1"/>
          <w:bCs w:val="1"/>
          <w:color w:val="auto"/>
        </w:rPr>
        <w:t>TOP</w:t>
      </w:r>
      <w:r>
        <w:rPr>
          <w:rFonts w:ascii="Arial" w:cs="Arial" w:eastAsia="Arial" w:hAnsi="Arial"/>
          <w:sz w:val="18"/>
          <w:szCs w:val="18"/>
          <w:color w:val="auto"/>
        </w:rPr>
        <w:t xml:space="preserve"> </w:t>
      </w:r>
      <w:r>
        <w:rPr>
          <w:rFonts w:ascii="Arial" w:cs="Arial" w:eastAsia="Arial" w:hAnsi="Arial"/>
          <w:sz w:val="18"/>
          <w:szCs w:val="18"/>
          <w:b w:val="1"/>
          <w:bCs w:val="1"/>
          <w:color w:val="auto"/>
        </w:rPr>
        <w:t>D</w:t>
      </w:r>
      <w:r>
        <w:rPr>
          <w:rFonts w:ascii="Arial" w:cs="Arial" w:eastAsia="Arial" w:hAnsi="Arial"/>
          <w:sz w:val="12"/>
          <w:szCs w:val="12"/>
          <w:b w:val="1"/>
          <w:bCs w:val="1"/>
          <w:color w:val="auto"/>
        </w:rPr>
        <w:t>ATE</w:t>
      </w:r>
      <w:r>
        <w:rPr>
          <w:rFonts w:ascii="Arial" w:cs="Arial" w:eastAsia="Arial" w:hAnsi="Arial"/>
          <w:sz w:val="18"/>
          <w:szCs w:val="18"/>
          <w:color w:val="auto"/>
        </w:rPr>
        <w:t>"), each P</w:t>
      </w:r>
      <w:r>
        <w:rPr>
          <w:rFonts w:ascii="Arial" w:cs="Arial" w:eastAsia="Arial" w:hAnsi="Arial"/>
          <w:sz w:val="12"/>
          <w:szCs w:val="12"/>
          <w:color w:val="auto"/>
        </w:rPr>
        <w:t>ARTY</w:t>
      </w:r>
      <w:r>
        <w:rPr>
          <w:rFonts w:ascii="Arial" w:cs="Arial" w:eastAsia="Arial" w:hAnsi="Arial"/>
          <w:sz w:val="18"/>
          <w:szCs w:val="18"/>
          <w:b w:val="1"/>
          <w:bCs w:val="1"/>
          <w:color w:val="auto"/>
        </w:rPr>
        <w:t xml:space="preserve"> </w:t>
      </w:r>
      <w:r>
        <w:rPr>
          <w:rFonts w:ascii="Arial" w:cs="Arial" w:eastAsia="Arial" w:hAnsi="Arial"/>
          <w:sz w:val="18"/>
          <w:szCs w:val="18"/>
          <w:color w:val="auto"/>
        </w:rPr>
        <w:t>(in case of S</w:t>
      </w:r>
      <w:r>
        <w:rPr>
          <w:rFonts w:ascii="Arial" w:cs="Arial" w:eastAsia="Arial" w:hAnsi="Arial"/>
          <w:sz w:val="12"/>
          <w:szCs w:val="12"/>
          <w:color w:val="auto"/>
        </w:rPr>
        <w:t>ECTION</w:t>
      </w:r>
      <w:r>
        <w:rPr>
          <w:rFonts w:ascii="Arial" w:cs="Arial" w:eastAsia="Arial" w:hAnsi="Arial"/>
          <w:sz w:val="18"/>
          <w:szCs w:val="18"/>
          <w:b w:val="1"/>
          <w:bCs w:val="1"/>
          <w:color w:val="auto"/>
        </w:rPr>
        <w:t xml:space="preserve"> </w:t>
      </w:r>
      <w:r>
        <w:rPr>
          <w:rFonts w:ascii="Arial" w:cs="Arial" w:eastAsia="Arial" w:hAnsi="Arial"/>
          <w:sz w:val="18"/>
          <w:szCs w:val="18"/>
          <w:color w:val="auto"/>
        </w:rPr>
        <w:t>7.1, N 20) respectively ACIU (in case of S</w:t>
      </w:r>
      <w:r>
        <w:rPr>
          <w:rFonts w:ascii="Arial" w:cs="Arial" w:eastAsia="Arial" w:hAnsi="Arial"/>
          <w:sz w:val="12"/>
          <w:szCs w:val="12"/>
          <w:color w:val="auto"/>
        </w:rPr>
        <w:t>ECTION</w:t>
      </w:r>
      <w:r>
        <w:rPr>
          <w:rFonts w:ascii="Arial" w:cs="Arial" w:eastAsia="Arial" w:hAnsi="Arial"/>
          <w:sz w:val="18"/>
          <w:szCs w:val="18"/>
          <w:b w:val="1"/>
          <w:bCs w:val="1"/>
          <w:color w:val="auto"/>
        </w:rPr>
        <w:t xml:space="preserve"> </w:t>
      </w:r>
      <w:r>
        <w:rPr>
          <w:rFonts w:ascii="Arial" w:cs="Arial" w:eastAsia="Arial" w:hAnsi="Arial"/>
          <w:sz w:val="18"/>
          <w:szCs w:val="18"/>
          <w:color w:val="auto"/>
        </w:rPr>
        <w:t>7.1, N 21) shall have the right to terminate this</w:t>
      </w:r>
      <w:r>
        <w:rPr>
          <w:rFonts w:ascii="Arial" w:cs="Arial" w:eastAsia="Arial" w:hAnsi="Arial"/>
          <w:sz w:val="18"/>
          <w:szCs w:val="18"/>
          <w:b w:val="1"/>
          <w:bCs w:val="1"/>
          <w:color w:val="auto"/>
        </w:rPr>
        <w:t xml:space="preserve"> </w:t>
      </w:r>
      <w:r>
        <w:rPr>
          <w:rFonts w:ascii="Arial" w:cs="Arial" w:eastAsia="Arial" w:hAnsi="Arial"/>
          <w:sz w:val="18"/>
          <w:szCs w:val="18"/>
          <w:color w:val="auto"/>
        </w:rPr>
        <w:t>A</w:t>
      </w:r>
      <w:r>
        <w:rPr>
          <w:rFonts w:ascii="Arial" w:cs="Arial" w:eastAsia="Arial" w:hAnsi="Arial"/>
          <w:sz w:val="12"/>
          <w:szCs w:val="12"/>
          <w:color w:val="auto"/>
        </w:rPr>
        <w:t>GREEMENT</w:t>
      </w:r>
      <w:r>
        <w:rPr>
          <w:rFonts w:ascii="Arial" w:cs="Arial" w:eastAsia="Arial" w:hAnsi="Arial"/>
          <w:sz w:val="18"/>
          <w:szCs w:val="18"/>
          <w:color w:val="auto"/>
        </w:rPr>
        <w:t xml:space="preserve"> by giving notice to the other P</w:t>
      </w:r>
      <w:r>
        <w:rPr>
          <w:rFonts w:ascii="Arial" w:cs="Arial" w:eastAsia="Arial" w:hAnsi="Arial"/>
          <w:sz w:val="12"/>
          <w:szCs w:val="12"/>
          <w:color w:val="auto"/>
        </w:rPr>
        <w:t>ARTY</w:t>
      </w:r>
      <w:r>
        <w:rPr>
          <w:rFonts w:ascii="Arial" w:cs="Arial" w:eastAsia="Arial" w:hAnsi="Arial"/>
          <w:sz w:val="18"/>
          <w:szCs w:val="18"/>
          <w:color w:val="auto"/>
        </w:rPr>
        <w:t xml:space="preserve"> unless it has itself, by willful misconduct or gross negligence, caused or permitted the non-satisfaction of such C</w:t>
      </w:r>
      <w:r>
        <w:rPr>
          <w:rFonts w:ascii="Arial" w:cs="Arial" w:eastAsia="Arial" w:hAnsi="Arial"/>
          <w:sz w:val="12"/>
          <w:szCs w:val="12"/>
          <w:color w:val="auto"/>
        </w:rPr>
        <w:t>ONDITION</w:t>
      </w:r>
      <w:r>
        <w:rPr>
          <w:rFonts w:ascii="Arial" w:cs="Arial" w:eastAsia="Arial" w:hAnsi="Arial"/>
          <w:sz w:val="18"/>
          <w:szCs w:val="18"/>
          <w:color w:val="auto"/>
        </w:rPr>
        <w:t xml:space="preserve"> P</w:t>
      </w:r>
      <w:r>
        <w:rPr>
          <w:rFonts w:ascii="Arial" w:cs="Arial" w:eastAsia="Arial" w:hAnsi="Arial"/>
          <w:sz w:val="12"/>
          <w:szCs w:val="12"/>
          <w:color w:val="auto"/>
        </w:rPr>
        <w:t>RECEDENT</w:t>
      </w:r>
      <w:r>
        <w:rPr>
          <w:rFonts w:ascii="Arial" w:cs="Arial" w:eastAsia="Arial" w:hAnsi="Arial"/>
          <w:sz w:val="18"/>
          <w:szCs w:val="18"/>
          <w:color w:val="auto"/>
        </w:rPr>
        <w:t>. Once R</w:t>
      </w:r>
      <w:r>
        <w:rPr>
          <w:rFonts w:ascii="Arial" w:cs="Arial" w:eastAsia="Arial" w:hAnsi="Arial"/>
          <w:sz w:val="12"/>
          <w:szCs w:val="12"/>
          <w:color w:val="auto"/>
        </w:rPr>
        <w:t>EGISTRATION</w:t>
      </w:r>
      <w:r>
        <w:rPr>
          <w:rFonts w:ascii="Arial" w:cs="Arial" w:eastAsia="Arial" w:hAnsi="Arial"/>
          <w:sz w:val="18"/>
          <w:szCs w:val="18"/>
          <w:color w:val="auto"/>
        </w:rPr>
        <w:t xml:space="preserve"> has occurred, no Party shall any longer be entitled to withdraw from this Agreement pursuant to this </w:t>
      </w:r>
      <w:r>
        <w:rPr>
          <w:rFonts w:ascii="Arial" w:cs="Arial" w:eastAsia="Arial" w:hAnsi="Arial"/>
          <w:sz w:val="12"/>
          <w:szCs w:val="12"/>
          <w:color w:val="auto"/>
        </w:rPr>
        <w:t>SECTION</w:t>
      </w:r>
      <w:r>
        <w:rPr>
          <w:rFonts w:ascii="Arial" w:cs="Arial" w:eastAsia="Arial" w:hAnsi="Arial"/>
          <w:sz w:val="18"/>
          <w:szCs w:val="18"/>
          <w:color w:val="auto"/>
        </w:rPr>
        <w:t xml:space="preserve"> 8.4 N 32.</w:t>
      </w:r>
    </w:p>
    <w:p>
      <w:pPr>
        <w:spacing w:after="0" w:line="184" w:lineRule="exact"/>
        <w:rPr>
          <w:rFonts w:ascii="Arial" w:cs="Arial" w:eastAsia="Arial" w:hAnsi="Arial"/>
          <w:sz w:val="18"/>
          <w:szCs w:val="18"/>
          <w:color w:val="auto"/>
        </w:rPr>
      </w:pPr>
    </w:p>
    <w:p>
      <w:pPr>
        <w:jc w:val="both"/>
        <w:ind w:left="660" w:hanging="652"/>
        <w:spacing w:after="0" w:line="236"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In addition to the termination right set forth in </w:t>
      </w:r>
      <w:r>
        <w:rPr>
          <w:rFonts w:ascii="Arial" w:cs="Arial" w:eastAsia="Arial" w:hAnsi="Arial"/>
          <w:sz w:val="12"/>
          <w:szCs w:val="12"/>
          <w:color w:val="auto"/>
        </w:rPr>
        <w:t>SECTION</w:t>
      </w:r>
      <w:r>
        <w:rPr>
          <w:rFonts w:ascii="Arial" w:cs="Arial" w:eastAsia="Arial" w:hAnsi="Arial"/>
          <w:sz w:val="18"/>
          <w:szCs w:val="18"/>
          <w:color w:val="auto"/>
        </w:rPr>
        <w:t xml:space="preserve"> 8.4 N 32 and prior to R</w:t>
      </w:r>
      <w:r>
        <w:rPr>
          <w:rFonts w:ascii="Arial" w:cs="Arial" w:eastAsia="Arial" w:hAnsi="Arial"/>
          <w:sz w:val="12"/>
          <w:szCs w:val="12"/>
          <w:color w:val="auto"/>
        </w:rPr>
        <w:t>EGISTRATION</w:t>
      </w:r>
      <w:r>
        <w:rPr>
          <w:rFonts w:ascii="Arial" w:cs="Arial" w:eastAsia="Arial" w:hAnsi="Arial"/>
          <w:sz w:val="18"/>
          <w:szCs w:val="18"/>
          <w:color w:val="auto"/>
        </w:rPr>
        <w:t>, this A</w:t>
      </w:r>
      <w:r>
        <w:rPr>
          <w:rFonts w:ascii="Arial" w:cs="Arial" w:eastAsia="Arial" w:hAnsi="Arial"/>
          <w:sz w:val="12"/>
          <w:szCs w:val="12"/>
          <w:color w:val="auto"/>
        </w:rPr>
        <w:t>GREEMENT</w:t>
      </w:r>
      <w:r>
        <w:rPr>
          <w:rFonts w:ascii="Arial" w:cs="Arial" w:eastAsia="Arial" w:hAnsi="Arial"/>
          <w:sz w:val="18"/>
          <w:szCs w:val="18"/>
          <w:color w:val="auto"/>
        </w:rPr>
        <w:t xml:space="preserve"> may be terminated only (a) by mutual written consent of all P</w:t>
      </w:r>
      <w:r>
        <w:rPr>
          <w:rFonts w:ascii="Arial" w:cs="Arial" w:eastAsia="Arial" w:hAnsi="Arial"/>
          <w:sz w:val="12"/>
          <w:szCs w:val="12"/>
          <w:color w:val="auto"/>
        </w:rPr>
        <w:t>ARTIES</w:t>
      </w:r>
      <w:r>
        <w:rPr>
          <w:rFonts w:ascii="Arial" w:cs="Arial" w:eastAsia="Arial" w:hAnsi="Arial"/>
          <w:sz w:val="18"/>
          <w:szCs w:val="18"/>
          <w:color w:val="auto"/>
        </w:rPr>
        <w:t>, or (b) by A</w:t>
      </w:r>
      <w:r>
        <w:rPr>
          <w:rFonts w:ascii="Arial" w:cs="Arial" w:eastAsia="Arial" w:hAnsi="Arial"/>
          <w:sz w:val="12"/>
          <w:szCs w:val="12"/>
          <w:color w:val="auto"/>
        </w:rPr>
        <w:t>FFIRIS</w:t>
      </w:r>
      <w:r>
        <w:rPr>
          <w:rFonts w:ascii="Arial" w:cs="Arial" w:eastAsia="Arial" w:hAnsi="Arial"/>
          <w:sz w:val="18"/>
          <w:szCs w:val="18"/>
          <w:color w:val="auto"/>
        </w:rPr>
        <w:t>, if (</w:t>
      </w:r>
      <w:r>
        <w:rPr>
          <w:rFonts w:ascii="Arial" w:cs="Arial" w:eastAsia="Arial" w:hAnsi="Arial"/>
          <w:sz w:val="12"/>
          <w:szCs w:val="12"/>
          <w:color w:val="auto"/>
        </w:rPr>
        <w:t>X</w:t>
      </w:r>
      <w:r>
        <w:rPr>
          <w:rFonts w:ascii="Arial" w:cs="Arial" w:eastAsia="Arial" w:hAnsi="Arial"/>
          <w:sz w:val="18"/>
          <w:szCs w:val="18"/>
          <w:color w:val="auto"/>
        </w:rPr>
        <w:t>) the R</w:t>
      </w:r>
      <w:r>
        <w:rPr>
          <w:rFonts w:ascii="Arial" w:cs="Arial" w:eastAsia="Arial" w:hAnsi="Arial"/>
          <w:sz w:val="12"/>
          <w:szCs w:val="12"/>
          <w:color w:val="auto"/>
        </w:rPr>
        <w:t>EGISTRATION</w:t>
      </w:r>
      <w:r>
        <w:rPr>
          <w:rFonts w:ascii="Arial" w:cs="Arial" w:eastAsia="Arial" w:hAnsi="Arial"/>
          <w:sz w:val="18"/>
          <w:szCs w:val="18"/>
          <w:color w:val="auto"/>
        </w:rPr>
        <w:t xml:space="preserve"> has not occurred within two weeks from C</w:t>
      </w:r>
      <w:r>
        <w:rPr>
          <w:rFonts w:ascii="Arial" w:cs="Arial" w:eastAsia="Arial" w:hAnsi="Arial"/>
          <w:sz w:val="12"/>
          <w:szCs w:val="12"/>
          <w:color w:val="auto"/>
        </w:rPr>
        <w:t>LOSING</w:t>
      </w:r>
      <w:r>
        <w:rPr>
          <w:rFonts w:ascii="Arial" w:cs="Arial" w:eastAsia="Arial" w:hAnsi="Arial"/>
          <w:sz w:val="18"/>
          <w:szCs w:val="18"/>
          <w:color w:val="auto"/>
        </w:rPr>
        <w:t>, provided that A</w:t>
      </w:r>
      <w:r>
        <w:rPr>
          <w:rFonts w:ascii="Arial" w:cs="Arial" w:eastAsia="Arial" w:hAnsi="Arial"/>
          <w:sz w:val="12"/>
          <w:szCs w:val="12"/>
          <w:color w:val="auto"/>
        </w:rPr>
        <w:t>FFIRIS</w:t>
      </w:r>
      <w:r>
        <w:rPr>
          <w:rFonts w:ascii="Arial" w:cs="Arial" w:eastAsia="Arial" w:hAnsi="Arial"/>
          <w:sz w:val="18"/>
          <w:szCs w:val="18"/>
          <w:color w:val="auto"/>
        </w:rPr>
        <w:t xml:space="preserve"> has met its own obligations hereunder required therefor or (y) C</w:t>
      </w:r>
      <w:r>
        <w:rPr>
          <w:rFonts w:ascii="Arial" w:cs="Arial" w:eastAsia="Arial" w:hAnsi="Arial"/>
          <w:sz w:val="12"/>
          <w:szCs w:val="12"/>
          <w:color w:val="auto"/>
        </w:rPr>
        <w:t>LOSING</w:t>
      </w:r>
      <w:r>
        <w:rPr>
          <w:rFonts w:ascii="Arial" w:cs="Arial" w:eastAsia="Arial" w:hAnsi="Arial"/>
          <w:sz w:val="18"/>
          <w:szCs w:val="18"/>
          <w:color w:val="auto"/>
        </w:rPr>
        <w:t xml:space="preserve"> has not occurred within 3 (three) B</w:t>
      </w:r>
      <w:r>
        <w:rPr>
          <w:rFonts w:ascii="Arial" w:cs="Arial" w:eastAsia="Arial" w:hAnsi="Arial"/>
          <w:sz w:val="12"/>
          <w:szCs w:val="12"/>
          <w:color w:val="auto"/>
        </w:rPr>
        <w:t>USINESS</w:t>
      </w:r>
      <w:r>
        <w:rPr>
          <w:rFonts w:ascii="Arial" w:cs="Arial" w:eastAsia="Arial" w:hAnsi="Arial"/>
          <w:sz w:val="18"/>
          <w:szCs w:val="18"/>
          <w:color w:val="auto"/>
        </w:rPr>
        <w:t xml:space="preserve"> D</w:t>
      </w:r>
      <w:r>
        <w:rPr>
          <w:rFonts w:ascii="Arial" w:cs="Arial" w:eastAsia="Arial" w:hAnsi="Arial"/>
          <w:sz w:val="12"/>
          <w:szCs w:val="12"/>
          <w:color w:val="auto"/>
        </w:rPr>
        <w:t>AYS</w:t>
      </w:r>
      <w:r>
        <w:rPr>
          <w:rFonts w:ascii="Arial" w:cs="Arial" w:eastAsia="Arial" w:hAnsi="Arial"/>
          <w:sz w:val="18"/>
          <w:szCs w:val="18"/>
          <w:color w:val="auto"/>
        </w:rPr>
        <w:t xml:space="preserve"> after A</w:t>
      </w:r>
      <w:r>
        <w:rPr>
          <w:rFonts w:ascii="Arial" w:cs="Arial" w:eastAsia="Arial" w:hAnsi="Arial"/>
          <w:sz w:val="12"/>
          <w:szCs w:val="12"/>
          <w:color w:val="auto"/>
        </w:rPr>
        <w:t>FFIRIS</w:t>
      </w:r>
      <w:r>
        <w:rPr>
          <w:rFonts w:ascii="Arial" w:cs="Arial" w:eastAsia="Arial" w:hAnsi="Arial"/>
          <w:sz w:val="18"/>
          <w:szCs w:val="18"/>
          <w:color w:val="auto"/>
        </w:rPr>
        <w:t xml:space="preserve"> has transferred the C</w:t>
      </w:r>
      <w:r>
        <w:rPr>
          <w:rFonts w:ascii="Arial" w:cs="Arial" w:eastAsia="Arial" w:hAnsi="Arial"/>
          <w:sz w:val="12"/>
          <w:szCs w:val="12"/>
          <w:color w:val="auto"/>
        </w:rPr>
        <w:t>ASH</w:t>
      </w:r>
      <w:r>
        <w:rPr>
          <w:rFonts w:ascii="Arial" w:cs="Arial" w:eastAsia="Arial" w:hAnsi="Arial"/>
          <w:sz w:val="18"/>
          <w:szCs w:val="18"/>
          <w:color w:val="auto"/>
        </w:rPr>
        <w:t xml:space="preserve"> to the blocked account pursuant to S</w:t>
      </w:r>
      <w:r>
        <w:rPr>
          <w:rFonts w:ascii="Arial" w:cs="Arial" w:eastAsia="Arial" w:hAnsi="Arial"/>
          <w:sz w:val="12"/>
          <w:szCs w:val="12"/>
          <w:color w:val="auto"/>
        </w:rPr>
        <w:t>ECTION</w:t>
      </w:r>
      <w:r>
        <w:rPr>
          <w:rFonts w:ascii="Arial" w:cs="Arial" w:eastAsia="Arial" w:hAnsi="Arial"/>
          <w:sz w:val="18"/>
          <w:szCs w:val="18"/>
          <w:color w:val="auto"/>
        </w:rPr>
        <w:t xml:space="preserve"> 3.2.3 or, if the delay is not attributable to ACIU within 5 (five) B</w:t>
      </w:r>
      <w:r>
        <w:rPr>
          <w:rFonts w:ascii="Arial" w:cs="Arial" w:eastAsia="Arial" w:hAnsi="Arial"/>
          <w:sz w:val="12"/>
          <w:szCs w:val="12"/>
          <w:color w:val="auto"/>
        </w:rPr>
        <w:t>USINESS</w:t>
      </w:r>
      <w:r>
        <w:rPr>
          <w:rFonts w:ascii="Arial" w:cs="Arial" w:eastAsia="Arial" w:hAnsi="Arial"/>
          <w:sz w:val="18"/>
          <w:szCs w:val="18"/>
          <w:color w:val="auto"/>
        </w:rPr>
        <w:t xml:space="preserve"> D</w:t>
      </w:r>
      <w:r>
        <w:rPr>
          <w:rFonts w:ascii="Arial" w:cs="Arial" w:eastAsia="Arial" w:hAnsi="Arial"/>
          <w:sz w:val="12"/>
          <w:szCs w:val="12"/>
          <w:color w:val="auto"/>
        </w:rPr>
        <w:t>AYS</w:t>
      </w:r>
      <w:r>
        <w:rPr>
          <w:rFonts w:ascii="Arial" w:cs="Arial" w:eastAsia="Arial" w:hAnsi="Arial"/>
          <w:sz w:val="18"/>
          <w:szCs w:val="18"/>
          <w:color w:val="auto"/>
        </w:rPr>
        <w:t>. In case this A</w:t>
      </w:r>
      <w:r>
        <w:rPr>
          <w:rFonts w:ascii="Arial" w:cs="Arial" w:eastAsia="Arial" w:hAnsi="Arial"/>
          <w:sz w:val="12"/>
          <w:szCs w:val="12"/>
          <w:color w:val="auto"/>
        </w:rPr>
        <w:t>GREEMENT</w:t>
      </w:r>
      <w:r>
        <w:rPr>
          <w:rFonts w:ascii="Arial" w:cs="Arial" w:eastAsia="Arial" w:hAnsi="Arial"/>
          <w:sz w:val="18"/>
          <w:szCs w:val="18"/>
          <w:color w:val="auto"/>
        </w:rPr>
        <w:t xml:space="preserve"> is terminated pursuant to this S</w:t>
      </w:r>
      <w:r>
        <w:rPr>
          <w:rFonts w:ascii="Arial" w:cs="Arial" w:eastAsia="Arial" w:hAnsi="Arial"/>
          <w:sz w:val="12"/>
          <w:szCs w:val="12"/>
          <w:color w:val="auto"/>
        </w:rPr>
        <w:t>ECTION</w:t>
      </w:r>
      <w:r>
        <w:rPr>
          <w:rFonts w:ascii="Arial" w:cs="Arial" w:eastAsia="Arial" w:hAnsi="Arial"/>
          <w:sz w:val="18"/>
          <w:szCs w:val="18"/>
          <w:color w:val="auto"/>
        </w:rPr>
        <w:t xml:space="preserve"> 8.4 N 33, the P</w:t>
      </w:r>
      <w:r>
        <w:rPr>
          <w:rFonts w:ascii="Arial" w:cs="Arial" w:eastAsia="Arial" w:hAnsi="Arial"/>
          <w:sz w:val="12"/>
          <w:szCs w:val="12"/>
          <w:color w:val="auto"/>
        </w:rPr>
        <w:t>ARTIES</w:t>
      </w:r>
      <w:r>
        <w:rPr>
          <w:rFonts w:ascii="Arial" w:cs="Arial" w:eastAsia="Arial" w:hAnsi="Arial"/>
          <w:sz w:val="18"/>
          <w:szCs w:val="18"/>
          <w:color w:val="auto"/>
        </w:rPr>
        <w:t xml:space="preserve"> shall undertake all required actions to unwind all closing actions, confirm to each other and acknowledge in writing that the capital increase and any action pertaining to the R</w:t>
      </w:r>
      <w:r>
        <w:rPr>
          <w:rFonts w:ascii="Arial" w:cs="Arial" w:eastAsia="Arial" w:hAnsi="Arial"/>
          <w:sz w:val="12"/>
          <w:szCs w:val="12"/>
          <w:color w:val="auto"/>
        </w:rPr>
        <w:t>EGISTRATION</w:t>
      </w:r>
      <w:r>
        <w:rPr>
          <w:rFonts w:ascii="Arial" w:cs="Arial" w:eastAsia="Arial" w:hAnsi="Arial"/>
          <w:sz w:val="18"/>
          <w:szCs w:val="18"/>
          <w:color w:val="auto"/>
        </w:rPr>
        <w:t xml:space="preserve"> shall not be taken, and A</w:t>
      </w:r>
      <w:r>
        <w:rPr>
          <w:rFonts w:ascii="Arial" w:cs="Arial" w:eastAsia="Arial" w:hAnsi="Arial"/>
          <w:sz w:val="12"/>
          <w:szCs w:val="12"/>
          <w:color w:val="auto"/>
        </w:rPr>
        <w:t>FFIRIS</w:t>
      </w:r>
      <w:r>
        <w:rPr>
          <w:rFonts w:ascii="Arial" w:cs="Arial" w:eastAsia="Arial" w:hAnsi="Arial"/>
          <w:sz w:val="18"/>
          <w:szCs w:val="18"/>
          <w:color w:val="auto"/>
        </w:rPr>
        <w:t xml:space="preserve"> shall return the original subscription declaration to ACIU which shall destroy it (in each</w:t>
      </w:r>
    </w:p>
    <w:p>
      <w:pPr>
        <w:spacing w:after="0" w:line="3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color w:val="auto"/>
        </w:rPr>
        <w:t>case to the extent that these closing actions have already been implemented) and ACIU shall repay the C</w:t>
      </w:r>
      <w:r>
        <w:rPr>
          <w:rFonts w:ascii="Arial" w:cs="Arial" w:eastAsia="Arial" w:hAnsi="Arial"/>
          <w:sz w:val="12"/>
          <w:szCs w:val="12"/>
          <w:color w:val="auto"/>
        </w:rPr>
        <w:t>ASH</w:t>
      </w:r>
      <w:r>
        <w:rPr>
          <w:rFonts w:ascii="Arial" w:cs="Arial" w:eastAsia="Arial" w:hAnsi="Arial"/>
          <w:sz w:val="18"/>
          <w:szCs w:val="18"/>
          <w:color w:val="auto"/>
        </w:rPr>
        <w:t xml:space="preserve"> received from A</w:t>
      </w:r>
      <w:r>
        <w:rPr>
          <w:rFonts w:ascii="Arial" w:cs="Arial" w:eastAsia="Arial" w:hAnsi="Arial"/>
          <w:sz w:val="12"/>
          <w:szCs w:val="12"/>
          <w:color w:val="auto"/>
        </w:rPr>
        <w:t>FFIRIS</w:t>
      </w:r>
      <w:r>
        <w:rPr>
          <w:rFonts w:ascii="Arial" w:cs="Arial" w:eastAsia="Arial" w:hAnsi="Arial"/>
          <w:sz w:val="18"/>
          <w:szCs w:val="18"/>
          <w:color w:val="auto"/>
        </w:rPr>
        <w:t>.</w:t>
      </w:r>
    </w:p>
    <w:p>
      <w:pPr>
        <w:spacing w:after="0" w:line="198" w:lineRule="exact"/>
        <w:rPr>
          <w:sz w:val="20"/>
          <w:szCs w:val="20"/>
          <w:color w:val="auto"/>
        </w:rPr>
      </w:pPr>
    </w:p>
    <w:p>
      <w:pPr>
        <w:jc w:val="both"/>
        <w:ind w:left="660" w:hanging="652"/>
        <w:spacing w:after="0" w:line="238"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this A</w:t>
      </w:r>
      <w:r>
        <w:rPr>
          <w:rFonts w:ascii="Arial" w:cs="Arial" w:eastAsia="Arial" w:hAnsi="Arial"/>
          <w:sz w:val="12"/>
          <w:szCs w:val="12"/>
          <w:color w:val="auto"/>
        </w:rPr>
        <w:t>GREEMENT</w:t>
      </w:r>
      <w:r>
        <w:rPr>
          <w:rFonts w:ascii="Arial" w:cs="Arial" w:eastAsia="Arial" w:hAnsi="Arial"/>
          <w:sz w:val="18"/>
          <w:szCs w:val="18"/>
          <w:color w:val="auto"/>
        </w:rPr>
        <w:t xml:space="preserve"> is terminated pursuant to this S</w:t>
      </w:r>
      <w:r>
        <w:rPr>
          <w:rFonts w:ascii="Arial" w:cs="Arial" w:eastAsia="Arial" w:hAnsi="Arial"/>
          <w:sz w:val="12"/>
          <w:szCs w:val="12"/>
          <w:color w:val="auto"/>
        </w:rPr>
        <w:t>ECTION</w:t>
      </w:r>
      <w:r>
        <w:rPr>
          <w:rFonts w:ascii="Arial" w:cs="Arial" w:eastAsia="Arial" w:hAnsi="Arial"/>
          <w:sz w:val="18"/>
          <w:szCs w:val="18"/>
          <w:color w:val="auto"/>
        </w:rPr>
        <w:t xml:space="preserve"> 8.4 (Termination Right) such termination shall be without liability of one P</w:t>
      </w:r>
      <w:r>
        <w:rPr>
          <w:rFonts w:ascii="Arial" w:cs="Arial" w:eastAsia="Arial" w:hAnsi="Arial"/>
          <w:sz w:val="12"/>
          <w:szCs w:val="12"/>
          <w:color w:val="auto"/>
        </w:rPr>
        <w:t>ARTY</w:t>
      </w:r>
      <w:r>
        <w:rPr>
          <w:rFonts w:ascii="Arial" w:cs="Arial" w:eastAsia="Arial" w:hAnsi="Arial"/>
          <w:sz w:val="18"/>
          <w:szCs w:val="18"/>
          <w:color w:val="auto"/>
        </w:rPr>
        <w:t xml:space="preserve"> to the other P</w:t>
      </w:r>
      <w:r>
        <w:rPr>
          <w:rFonts w:ascii="Arial" w:cs="Arial" w:eastAsia="Arial" w:hAnsi="Arial"/>
          <w:sz w:val="12"/>
          <w:szCs w:val="12"/>
          <w:color w:val="auto"/>
        </w:rPr>
        <w:t>ARTY</w:t>
      </w:r>
      <w:r>
        <w:rPr>
          <w:rFonts w:ascii="Arial" w:cs="Arial" w:eastAsia="Arial" w:hAnsi="Arial"/>
          <w:sz w:val="18"/>
          <w:szCs w:val="18"/>
          <w:color w:val="auto"/>
        </w:rPr>
        <w:t>; provided that if such termination results from the willful or grossly negligent failure of a P</w:t>
      </w:r>
      <w:r>
        <w:rPr>
          <w:rFonts w:ascii="Arial" w:cs="Arial" w:eastAsia="Arial" w:hAnsi="Arial"/>
          <w:sz w:val="12"/>
          <w:szCs w:val="12"/>
          <w:color w:val="auto"/>
        </w:rPr>
        <w:t>ARTY</w:t>
      </w:r>
      <w:r>
        <w:rPr>
          <w:rFonts w:ascii="Arial" w:cs="Arial" w:eastAsia="Arial" w:hAnsi="Arial"/>
          <w:sz w:val="18"/>
          <w:szCs w:val="18"/>
          <w:color w:val="auto"/>
        </w:rPr>
        <w:t xml:space="preserve"> (i) to fulfill the respective C</w:t>
      </w:r>
      <w:r>
        <w:rPr>
          <w:rFonts w:ascii="Arial" w:cs="Arial" w:eastAsia="Arial" w:hAnsi="Arial"/>
          <w:sz w:val="12"/>
          <w:szCs w:val="12"/>
          <w:color w:val="auto"/>
        </w:rPr>
        <w:t>ONDITION</w:t>
      </w:r>
      <w:r>
        <w:rPr>
          <w:rFonts w:ascii="Arial" w:cs="Arial" w:eastAsia="Arial" w:hAnsi="Arial"/>
          <w:sz w:val="18"/>
          <w:szCs w:val="18"/>
          <w:color w:val="auto"/>
        </w:rPr>
        <w:t xml:space="preserve"> P</w:t>
      </w:r>
      <w:r>
        <w:rPr>
          <w:rFonts w:ascii="Arial" w:cs="Arial" w:eastAsia="Arial" w:hAnsi="Arial"/>
          <w:sz w:val="12"/>
          <w:szCs w:val="12"/>
          <w:color w:val="auto"/>
        </w:rPr>
        <w:t>RECEDENT</w:t>
      </w:r>
      <w:r>
        <w:rPr>
          <w:rFonts w:ascii="Arial" w:cs="Arial" w:eastAsia="Arial" w:hAnsi="Arial"/>
          <w:sz w:val="18"/>
          <w:szCs w:val="18"/>
          <w:color w:val="auto"/>
        </w:rPr>
        <w:t xml:space="preserve"> (to the extent such P</w:t>
      </w:r>
      <w:r>
        <w:rPr>
          <w:rFonts w:ascii="Arial" w:cs="Arial" w:eastAsia="Arial" w:hAnsi="Arial"/>
          <w:sz w:val="12"/>
          <w:szCs w:val="12"/>
          <w:color w:val="auto"/>
        </w:rPr>
        <w:t>ARTY</w:t>
      </w:r>
      <w:r>
        <w:rPr>
          <w:rFonts w:ascii="Arial" w:cs="Arial" w:eastAsia="Arial" w:hAnsi="Arial"/>
          <w:sz w:val="18"/>
          <w:szCs w:val="18"/>
          <w:color w:val="auto"/>
        </w:rPr>
        <w:t xml:space="preserve"> would be in a position to cause the C</w:t>
      </w:r>
      <w:r>
        <w:rPr>
          <w:rFonts w:ascii="Arial" w:cs="Arial" w:eastAsia="Arial" w:hAnsi="Arial"/>
          <w:sz w:val="12"/>
          <w:szCs w:val="12"/>
          <w:color w:val="auto"/>
        </w:rPr>
        <w:t>ONDITION</w:t>
      </w:r>
      <w:r>
        <w:rPr>
          <w:rFonts w:ascii="Arial" w:cs="Arial" w:eastAsia="Arial" w:hAnsi="Arial"/>
          <w:sz w:val="18"/>
          <w:szCs w:val="18"/>
          <w:color w:val="auto"/>
        </w:rPr>
        <w:t xml:space="preserve"> P</w:t>
      </w:r>
      <w:r>
        <w:rPr>
          <w:rFonts w:ascii="Arial" w:cs="Arial" w:eastAsia="Arial" w:hAnsi="Arial"/>
          <w:sz w:val="12"/>
          <w:szCs w:val="12"/>
          <w:color w:val="auto"/>
        </w:rPr>
        <w:t>RECEDENT</w:t>
      </w:r>
      <w:r>
        <w:rPr>
          <w:rFonts w:ascii="Arial" w:cs="Arial" w:eastAsia="Arial" w:hAnsi="Arial"/>
          <w:sz w:val="18"/>
          <w:szCs w:val="18"/>
          <w:color w:val="auto"/>
        </w:rPr>
        <w:t xml:space="preserve"> to be fulfilled) or (ii) to perform an obligation under this A</w:t>
      </w:r>
      <w:r>
        <w:rPr>
          <w:rFonts w:ascii="Arial" w:cs="Arial" w:eastAsia="Arial" w:hAnsi="Arial"/>
          <w:sz w:val="12"/>
          <w:szCs w:val="12"/>
          <w:color w:val="auto"/>
        </w:rPr>
        <w:t>GREEMENT</w:t>
      </w:r>
      <w:r>
        <w:rPr>
          <w:rFonts w:ascii="Arial" w:cs="Arial" w:eastAsia="Arial" w:hAnsi="Arial"/>
          <w:sz w:val="18"/>
          <w:szCs w:val="18"/>
          <w:color w:val="auto"/>
        </w:rPr>
        <w:t>, such P</w:t>
      </w:r>
      <w:r>
        <w:rPr>
          <w:rFonts w:ascii="Arial" w:cs="Arial" w:eastAsia="Arial" w:hAnsi="Arial"/>
          <w:sz w:val="12"/>
          <w:szCs w:val="12"/>
          <w:color w:val="auto"/>
        </w:rPr>
        <w:t>ARTY</w:t>
      </w:r>
      <w:r>
        <w:rPr>
          <w:rFonts w:ascii="Arial" w:cs="Arial" w:eastAsia="Arial" w:hAnsi="Arial"/>
          <w:sz w:val="18"/>
          <w:szCs w:val="18"/>
          <w:color w:val="auto"/>
        </w:rPr>
        <w:t xml:space="preserve"> shall be liable for all damages, costs and expenses incurred by the other P</w:t>
      </w:r>
      <w:r>
        <w:rPr>
          <w:rFonts w:ascii="Arial" w:cs="Arial" w:eastAsia="Arial" w:hAnsi="Arial"/>
          <w:sz w:val="12"/>
          <w:szCs w:val="12"/>
          <w:color w:val="auto"/>
        </w:rPr>
        <w:t>ARTY</w:t>
      </w:r>
      <w:r>
        <w:rPr>
          <w:rFonts w:ascii="Arial" w:cs="Arial" w:eastAsia="Arial" w:hAnsi="Arial"/>
          <w:sz w:val="18"/>
          <w:szCs w:val="18"/>
          <w:color w:val="auto"/>
        </w:rPr>
        <w:t xml:space="preserve"> as a result of such failure or breach.</w:t>
      </w:r>
    </w:p>
    <w:p>
      <w:pPr>
        <w:spacing w:after="0" w:line="188"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this A</w:t>
      </w:r>
      <w:r>
        <w:rPr>
          <w:rFonts w:ascii="Arial" w:cs="Arial" w:eastAsia="Arial" w:hAnsi="Arial"/>
          <w:sz w:val="12"/>
          <w:szCs w:val="12"/>
          <w:color w:val="auto"/>
        </w:rPr>
        <w:t>GREEMENT</w:t>
      </w:r>
      <w:r>
        <w:rPr>
          <w:rFonts w:ascii="Arial" w:cs="Arial" w:eastAsia="Arial" w:hAnsi="Arial"/>
          <w:sz w:val="18"/>
          <w:szCs w:val="18"/>
          <w:color w:val="auto"/>
        </w:rPr>
        <w:t xml:space="preserve"> is terminated pursuant to this S</w:t>
      </w:r>
      <w:r>
        <w:rPr>
          <w:rFonts w:ascii="Arial" w:cs="Arial" w:eastAsia="Arial" w:hAnsi="Arial"/>
          <w:sz w:val="12"/>
          <w:szCs w:val="12"/>
          <w:color w:val="auto"/>
        </w:rPr>
        <w:t>ECTION</w:t>
      </w:r>
      <w:r>
        <w:rPr>
          <w:rFonts w:ascii="Arial" w:cs="Arial" w:eastAsia="Arial" w:hAnsi="Arial"/>
          <w:sz w:val="18"/>
          <w:szCs w:val="18"/>
          <w:color w:val="auto"/>
        </w:rPr>
        <w:t xml:space="preserve"> 8.4 (Termination Right), all provisions of this A</w:t>
      </w:r>
      <w:r>
        <w:rPr>
          <w:rFonts w:ascii="Arial" w:cs="Arial" w:eastAsia="Arial" w:hAnsi="Arial"/>
          <w:sz w:val="12"/>
          <w:szCs w:val="12"/>
          <w:color w:val="auto"/>
        </w:rPr>
        <w:t>GREEMENT</w:t>
      </w:r>
      <w:r>
        <w:rPr>
          <w:rFonts w:ascii="Arial" w:cs="Arial" w:eastAsia="Arial" w:hAnsi="Arial"/>
          <w:sz w:val="18"/>
          <w:szCs w:val="18"/>
          <w:color w:val="auto"/>
        </w:rPr>
        <w:t xml:space="preserve"> shall cease to be effective except for S</w:t>
      </w:r>
      <w:r>
        <w:rPr>
          <w:rFonts w:ascii="Arial" w:cs="Arial" w:eastAsia="Arial" w:hAnsi="Arial"/>
          <w:sz w:val="12"/>
          <w:szCs w:val="12"/>
          <w:color w:val="auto"/>
        </w:rPr>
        <w:t>ECTIONS</w:t>
      </w:r>
      <w:r>
        <w:rPr>
          <w:rFonts w:ascii="Arial" w:cs="Arial" w:eastAsia="Arial" w:hAnsi="Arial"/>
          <w:sz w:val="18"/>
          <w:szCs w:val="18"/>
          <w:color w:val="auto"/>
        </w:rPr>
        <w:t xml:space="preserve"> 1 (Definitions), 8.4 (Termination Right), 16 (Miscellaneous), and 17 (Governing Law and Jurisdiction).</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7"/>
          <w:szCs w:val="17"/>
          <w:b w:val="1"/>
          <w:bCs w:val="1"/>
          <w:color w:val="auto"/>
        </w:rPr>
        <w:t>Post-closing Actions</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8.5.1</w:t>
      </w:r>
      <w:r>
        <w:rPr>
          <w:sz w:val="20"/>
          <w:szCs w:val="20"/>
          <w:color w:val="auto"/>
        </w:rPr>
        <w:tab/>
      </w:r>
      <w:r>
        <w:rPr>
          <w:rFonts w:ascii="Arial" w:cs="Arial" w:eastAsia="Arial" w:hAnsi="Arial"/>
          <w:sz w:val="17"/>
          <w:szCs w:val="17"/>
          <w:b w:val="1"/>
          <w:bCs w:val="1"/>
          <w:color w:val="auto"/>
        </w:rPr>
        <w:t>Share Registry of ACIU</w:t>
      </w:r>
    </w:p>
    <w:p>
      <w:pPr>
        <w:spacing w:after="0" w:line="220" w:lineRule="exact"/>
        <w:rPr>
          <w:sz w:val="20"/>
          <w:szCs w:val="20"/>
          <w:color w:val="auto"/>
        </w:rPr>
      </w:pPr>
    </w:p>
    <w:p>
      <w:pPr>
        <w:jc w:val="both"/>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Upon R</w:t>
      </w:r>
      <w:r>
        <w:rPr>
          <w:rFonts w:ascii="Arial" w:cs="Arial" w:eastAsia="Arial" w:hAnsi="Arial"/>
          <w:sz w:val="12"/>
          <w:szCs w:val="12"/>
          <w:color w:val="auto"/>
        </w:rPr>
        <w:t>EGISTRATION</w:t>
      </w:r>
      <w:r>
        <w:rPr>
          <w:rFonts w:ascii="Arial" w:cs="Arial" w:eastAsia="Arial" w:hAnsi="Arial"/>
          <w:sz w:val="18"/>
          <w:szCs w:val="18"/>
          <w:color w:val="auto"/>
        </w:rPr>
        <w:t>, ACIU will provide A</w:t>
      </w:r>
      <w:r>
        <w:rPr>
          <w:rFonts w:ascii="Arial" w:cs="Arial" w:eastAsia="Arial" w:hAnsi="Arial"/>
          <w:sz w:val="12"/>
          <w:szCs w:val="12"/>
          <w:color w:val="auto"/>
        </w:rPr>
        <w:t>FFIRIS</w:t>
      </w:r>
      <w:r>
        <w:rPr>
          <w:rFonts w:ascii="Arial" w:cs="Arial" w:eastAsia="Arial" w:hAnsi="Arial"/>
          <w:sz w:val="18"/>
          <w:szCs w:val="18"/>
          <w:color w:val="auto"/>
        </w:rPr>
        <w:t xml:space="preserve"> with a copy of the new excerpt from the commercial registry of the Canton of Vaud and upon publication of the capital increase in the SOGC ACIU will provide to A</w:t>
      </w:r>
      <w:r>
        <w:rPr>
          <w:rFonts w:ascii="Arial" w:cs="Arial" w:eastAsia="Arial" w:hAnsi="Arial"/>
          <w:sz w:val="12"/>
          <w:szCs w:val="12"/>
          <w:color w:val="auto"/>
        </w:rPr>
        <w:t>FFIRIS</w:t>
      </w:r>
      <w:r>
        <w:rPr>
          <w:rFonts w:ascii="Arial" w:cs="Arial" w:eastAsia="Arial" w:hAnsi="Arial"/>
          <w:sz w:val="18"/>
          <w:szCs w:val="18"/>
          <w:color w:val="auto"/>
        </w:rPr>
        <w:t xml:space="preserve"> a copy of the share registry of ACIU evidencing A</w:t>
      </w:r>
      <w:r>
        <w:rPr>
          <w:rFonts w:ascii="Arial" w:cs="Arial" w:eastAsia="Arial" w:hAnsi="Arial"/>
          <w:sz w:val="12"/>
          <w:szCs w:val="12"/>
          <w:color w:val="auto"/>
        </w:rPr>
        <w:t>FFIRIS</w:t>
      </w:r>
      <w:r>
        <w:rPr>
          <w:rFonts w:ascii="Arial" w:cs="Arial" w:eastAsia="Arial" w:hAnsi="Arial"/>
          <w:sz w:val="18"/>
          <w:szCs w:val="18"/>
          <w:color w:val="auto"/>
        </w:rPr>
        <w:t xml:space="preserve"> as shareholder of ACIU.</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8.5.2</w:t>
      </w:r>
      <w:r>
        <w:rPr>
          <w:sz w:val="20"/>
          <w:szCs w:val="20"/>
          <w:color w:val="auto"/>
        </w:rPr>
        <w:tab/>
      </w:r>
      <w:r>
        <w:rPr>
          <w:rFonts w:ascii="Arial" w:cs="Arial" w:eastAsia="Arial" w:hAnsi="Arial"/>
          <w:sz w:val="17"/>
          <w:szCs w:val="17"/>
          <w:b w:val="1"/>
          <w:bCs w:val="1"/>
          <w:color w:val="auto"/>
        </w:rPr>
        <w:t>In General</w:t>
      </w:r>
    </w:p>
    <w:p>
      <w:pPr>
        <w:spacing w:after="0" w:line="220" w:lineRule="exact"/>
        <w:rPr>
          <w:sz w:val="20"/>
          <w:szCs w:val="20"/>
          <w:color w:val="auto"/>
        </w:rPr>
      </w:pPr>
    </w:p>
    <w:p>
      <w:pPr>
        <w:jc w:val="both"/>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2"/>
          <w:szCs w:val="12"/>
          <w:color w:val="auto"/>
        </w:rPr>
        <w:t>FFIRIS</w:t>
      </w:r>
      <w:r>
        <w:rPr>
          <w:rFonts w:ascii="Arial" w:cs="Arial" w:eastAsia="Arial" w:hAnsi="Arial"/>
          <w:sz w:val="18"/>
          <w:szCs w:val="18"/>
          <w:color w:val="auto"/>
        </w:rPr>
        <w:t xml:space="preserve"> shall, at the request of ACIU and insofar reasonable, provide support to ACIU, and therefore, in particular execute any further instrument, declaration or other document, that may be required under any applicable law or otherwise be reasonably requested by ACIU to give full effect, evidence or support the T</w:t>
      </w:r>
      <w:r>
        <w:rPr>
          <w:rFonts w:ascii="Arial" w:cs="Arial" w:eastAsia="Arial" w:hAnsi="Arial"/>
          <w:sz w:val="12"/>
          <w:szCs w:val="12"/>
          <w:color w:val="auto"/>
        </w:rPr>
        <w:t>RANSFER</w:t>
      </w:r>
      <w:r>
        <w:rPr>
          <w:rFonts w:ascii="Arial" w:cs="Arial" w:eastAsia="Arial" w:hAnsi="Arial"/>
          <w:sz w:val="18"/>
          <w:szCs w:val="18"/>
          <w:color w:val="auto"/>
        </w:rPr>
        <w:t xml:space="preserve"> agreed hereunder.</w:t>
      </w:r>
    </w:p>
    <w:p>
      <w:pPr>
        <w:spacing w:after="0" w:line="189" w:lineRule="exact"/>
        <w:rPr>
          <w:rFonts w:ascii="Arial" w:cs="Arial" w:eastAsia="Arial" w:hAnsi="Arial"/>
          <w:sz w:val="18"/>
          <w:szCs w:val="18"/>
          <w:color w:val="auto"/>
        </w:rPr>
      </w:pPr>
    </w:p>
    <w:p>
      <w:pPr>
        <w:ind w:left="660" w:right="20" w:hanging="652"/>
        <w:spacing w:after="0" w:line="246"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P</w:t>
      </w:r>
      <w:r>
        <w:rPr>
          <w:rFonts w:ascii="Arial" w:cs="Arial" w:eastAsia="Arial" w:hAnsi="Arial"/>
          <w:sz w:val="12"/>
          <w:szCs w:val="12"/>
          <w:color w:val="auto"/>
        </w:rPr>
        <w:t>ARTY</w:t>
      </w:r>
      <w:r>
        <w:rPr>
          <w:rFonts w:ascii="Arial" w:cs="Arial" w:eastAsia="Arial" w:hAnsi="Arial"/>
          <w:sz w:val="18"/>
          <w:szCs w:val="18"/>
          <w:color w:val="auto"/>
        </w:rPr>
        <w:t xml:space="preserve"> is hereby authorized to notify each holder (or debtor as the case may be) of a T</w:t>
      </w:r>
      <w:r>
        <w:rPr>
          <w:rFonts w:ascii="Arial" w:cs="Arial" w:eastAsia="Arial" w:hAnsi="Arial"/>
          <w:sz w:val="12"/>
          <w:szCs w:val="12"/>
          <w:color w:val="auto"/>
        </w:rPr>
        <w:t>RANSFERRED</w:t>
      </w:r>
      <w:r>
        <w:rPr>
          <w:rFonts w:ascii="Arial" w:cs="Arial" w:eastAsia="Arial" w:hAnsi="Arial"/>
          <w:sz w:val="18"/>
          <w:szCs w:val="18"/>
          <w:color w:val="auto"/>
        </w:rPr>
        <w:t xml:space="preserve"> A</w:t>
      </w:r>
      <w:r>
        <w:rPr>
          <w:rFonts w:ascii="Arial" w:cs="Arial" w:eastAsia="Arial" w:hAnsi="Arial"/>
          <w:sz w:val="12"/>
          <w:szCs w:val="12"/>
          <w:color w:val="auto"/>
        </w:rPr>
        <w:t>SSET</w:t>
      </w:r>
      <w:r>
        <w:rPr>
          <w:rFonts w:ascii="Arial" w:cs="Arial" w:eastAsia="Arial" w:hAnsi="Arial"/>
          <w:sz w:val="18"/>
          <w:szCs w:val="18"/>
          <w:color w:val="auto"/>
        </w:rPr>
        <w:t xml:space="preserve"> (including of any receivable belonging to the P</w:t>
      </w:r>
      <w:r>
        <w:rPr>
          <w:rFonts w:ascii="Arial" w:cs="Arial" w:eastAsia="Arial" w:hAnsi="Arial"/>
          <w:sz w:val="12"/>
          <w:szCs w:val="12"/>
          <w:color w:val="auto"/>
        </w:rPr>
        <w:t>ROGRAMS</w:t>
      </w:r>
      <w:r>
        <w:rPr>
          <w:rFonts w:ascii="Arial" w:cs="Arial" w:eastAsia="Arial" w:hAnsi="Arial"/>
          <w:sz w:val="18"/>
          <w:szCs w:val="18"/>
          <w:color w:val="auto"/>
        </w:rPr>
        <w:t>) of the T</w:t>
      </w:r>
      <w:r>
        <w:rPr>
          <w:rFonts w:ascii="Arial" w:cs="Arial" w:eastAsia="Arial" w:hAnsi="Arial"/>
          <w:sz w:val="12"/>
          <w:szCs w:val="12"/>
          <w:color w:val="auto"/>
        </w:rPr>
        <w:t>RANSFER</w:t>
      </w:r>
      <w:r>
        <w:rPr>
          <w:rFonts w:ascii="Arial" w:cs="Arial" w:eastAsia="Arial" w:hAnsi="Arial"/>
          <w:sz w:val="18"/>
          <w:szCs w:val="18"/>
          <w:color w:val="auto"/>
        </w:rPr>
        <w:t>.</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8.5.3</w:t>
      </w:r>
      <w:r>
        <w:rPr>
          <w:sz w:val="20"/>
          <w:szCs w:val="20"/>
          <w:color w:val="auto"/>
        </w:rPr>
        <w:tab/>
      </w:r>
      <w:r>
        <w:rPr>
          <w:rFonts w:ascii="Arial" w:cs="Arial" w:eastAsia="Arial" w:hAnsi="Arial"/>
          <w:sz w:val="17"/>
          <w:szCs w:val="17"/>
          <w:b w:val="1"/>
          <w:bCs w:val="1"/>
          <w:color w:val="auto"/>
        </w:rPr>
        <w:t>Confidentiality</w:t>
      </w:r>
    </w:p>
    <w:p>
      <w:pPr>
        <w:spacing w:after="0" w:line="198" w:lineRule="exact"/>
        <w:rPr>
          <w:sz w:val="20"/>
          <w:szCs w:val="20"/>
          <w:color w:val="auto"/>
        </w:rPr>
      </w:pPr>
    </w:p>
    <w:p>
      <w:pPr>
        <w:ind w:left="660" w:hanging="652"/>
        <w:spacing w:after="0" w:line="271"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2"/>
          <w:szCs w:val="12"/>
          <w:color w:val="auto"/>
        </w:rPr>
        <w:t>FFIRIS</w:t>
      </w:r>
      <w:r>
        <w:rPr>
          <w:rFonts w:ascii="Arial" w:cs="Arial" w:eastAsia="Arial" w:hAnsi="Arial"/>
          <w:sz w:val="18"/>
          <w:szCs w:val="18"/>
          <w:color w:val="auto"/>
        </w:rPr>
        <w:t xml:space="preserve"> acknowledges that after the C</w:t>
      </w:r>
      <w:r>
        <w:rPr>
          <w:rFonts w:ascii="Arial" w:cs="Arial" w:eastAsia="Arial" w:hAnsi="Arial"/>
          <w:sz w:val="12"/>
          <w:szCs w:val="12"/>
          <w:color w:val="auto"/>
        </w:rPr>
        <w:t>LOSING</w:t>
      </w:r>
      <w:r>
        <w:rPr>
          <w:rFonts w:ascii="Arial" w:cs="Arial" w:eastAsia="Arial" w:hAnsi="Arial"/>
          <w:sz w:val="18"/>
          <w:szCs w:val="18"/>
          <w:color w:val="auto"/>
        </w:rPr>
        <w:t xml:space="preserve"> D</w:t>
      </w:r>
      <w:r>
        <w:rPr>
          <w:rFonts w:ascii="Arial" w:cs="Arial" w:eastAsia="Arial" w:hAnsi="Arial"/>
          <w:sz w:val="12"/>
          <w:szCs w:val="12"/>
          <w:color w:val="auto"/>
        </w:rPr>
        <w:t>ATE</w:t>
      </w:r>
      <w:r>
        <w:rPr>
          <w:rFonts w:ascii="Arial" w:cs="Arial" w:eastAsia="Arial" w:hAnsi="Arial"/>
          <w:sz w:val="18"/>
          <w:szCs w:val="18"/>
          <w:color w:val="auto"/>
        </w:rPr>
        <w:t>, all information relating to the P</w:t>
      </w:r>
      <w:r>
        <w:rPr>
          <w:rFonts w:ascii="Arial" w:cs="Arial" w:eastAsia="Arial" w:hAnsi="Arial"/>
          <w:sz w:val="12"/>
          <w:szCs w:val="12"/>
          <w:color w:val="auto"/>
        </w:rPr>
        <w:t>ROGRAMS</w:t>
      </w:r>
      <w:r>
        <w:rPr>
          <w:rFonts w:ascii="Arial" w:cs="Arial" w:eastAsia="Arial" w:hAnsi="Arial"/>
          <w:sz w:val="18"/>
          <w:szCs w:val="18"/>
          <w:color w:val="auto"/>
        </w:rPr>
        <w:t xml:space="preserve"> (the "</w:t>
      </w:r>
      <w:r>
        <w:rPr>
          <w:rFonts w:ascii="Arial" w:cs="Arial" w:eastAsia="Arial" w:hAnsi="Arial"/>
          <w:sz w:val="18"/>
          <w:szCs w:val="18"/>
          <w:b w:val="1"/>
          <w:bCs w:val="1"/>
          <w:color w:val="auto"/>
        </w:rPr>
        <w:t>C</w:t>
      </w:r>
      <w:r>
        <w:rPr>
          <w:rFonts w:ascii="Arial" w:cs="Arial" w:eastAsia="Arial" w:hAnsi="Arial"/>
          <w:sz w:val="12"/>
          <w:szCs w:val="12"/>
          <w:b w:val="1"/>
          <w:bCs w:val="1"/>
          <w:color w:val="auto"/>
        </w:rPr>
        <w:t>ONFIDENTIAL</w:t>
      </w:r>
      <w:r>
        <w:rPr>
          <w:rFonts w:ascii="Arial" w:cs="Arial" w:eastAsia="Arial" w:hAnsi="Arial"/>
          <w:sz w:val="18"/>
          <w:szCs w:val="18"/>
          <w:color w:val="auto"/>
        </w:rPr>
        <w:t xml:space="preserve"> </w:t>
      </w:r>
      <w:r>
        <w:rPr>
          <w:rFonts w:ascii="Arial" w:cs="Arial" w:eastAsia="Arial" w:hAnsi="Arial"/>
          <w:sz w:val="18"/>
          <w:szCs w:val="18"/>
          <w:b w:val="1"/>
          <w:bCs w:val="1"/>
          <w:color w:val="auto"/>
        </w:rPr>
        <w:t>I</w:t>
      </w:r>
      <w:r>
        <w:rPr>
          <w:rFonts w:ascii="Arial" w:cs="Arial" w:eastAsia="Arial" w:hAnsi="Arial"/>
          <w:sz w:val="12"/>
          <w:szCs w:val="12"/>
          <w:b w:val="1"/>
          <w:bCs w:val="1"/>
          <w:color w:val="auto"/>
        </w:rPr>
        <w:t>NFORMATION</w:t>
      </w:r>
      <w:r>
        <w:rPr>
          <w:rFonts w:ascii="Arial" w:cs="Arial" w:eastAsia="Arial" w:hAnsi="Arial"/>
          <w:sz w:val="18"/>
          <w:szCs w:val="18"/>
          <w:color w:val="auto"/>
        </w:rPr>
        <w:t>") will belong to ACIU.</w:t>
      </w:r>
    </w:p>
    <w:p>
      <w:pPr>
        <w:spacing w:after="0" w:line="162" w:lineRule="exact"/>
        <w:rPr>
          <w:rFonts w:ascii="Arial" w:cs="Arial" w:eastAsia="Arial" w:hAnsi="Arial"/>
          <w:sz w:val="18"/>
          <w:szCs w:val="18"/>
          <w:color w:val="auto"/>
        </w:rPr>
      </w:pPr>
    </w:p>
    <w:p>
      <w:pPr>
        <w:jc w:val="both"/>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2"/>
          <w:szCs w:val="12"/>
          <w:color w:val="auto"/>
        </w:rPr>
        <w:t>FFIRIS</w:t>
      </w:r>
      <w:r>
        <w:rPr>
          <w:rFonts w:ascii="Arial" w:cs="Arial" w:eastAsia="Arial" w:hAnsi="Arial"/>
          <w:sz w:val="18"/>
          <w:szCs w:val="18"/>
          <w:color w:val="auto"/>
        </w:rPr>
        <w:t xml:space="preserve"> shall keep and shall ensure that all its directors, officers, employees, or agents will keep the C</w:t>
      </w:r>
      <w:r>
        <w:rPr>
          <w:rFonts w:ascii="Arial" w:cs="Arial" w:eastAsia="Arial" w:hAnsi="Arial"/>
          <w:sz w:val="12"/>
          <w:szCs w:val="12"/>
          <w:color w:val="auto"/>
        </w:rPr>
        <w:t>ONFIDENTIAL</w:t>
      </w:r>
      <w:r>
        <w:rPr>
          <w:rFonts w:ascii="Arial" w:cs="Arial" w:eastAsia="Arial" w:hAnsi="Arial"/>
          <w:sz w:val="18"/>
          <w:szCs w:val="18"/>
          <w:color w:val="auto"/>
        </w:rPr>
        <w:t xml:space="preserve"> I</w:t>
      </w:r>
      <w:r>
        <w:rPr>
          <w:rFonts w:ascii="Arial" w:cs="Arial" w:eastAsia="Arial" w:hAnsi="Arial"/>
          <w:sz w:val="12"/>
          <w:szCs w:val="12"/>
          <w:color w:val="auto"/>
        </w:rPr>
        <w:t>NFORMATION</w:t>
      </w:r>
      <w:r>
        <w:rPr>
          <w:rFonts w:ascii="Arial" w:cs="Arial" w:eastAsia="Arial" w:hAnsi="Arial"/>
          <w:sz w:val="18"/>
          <w:szCs w:val="18"/>
          <w:color w:val="auto"/>
        </w:rPr>
        <w:t xml:space="preserve"> strictly confidential and shall not disclose or reveal it in whole or in part to any T</w:t>
      </w:r>
      <w:r>
        <w:rPr>
          <w:rFonts w:ascii="Arial" w:cs="Arial" w:eastAsia="Arial" w:hAnsi="Arial"/>
          <w:sz w:val="12"/>
          <w:szCs w:val="12"/>
          <w:color w:val="auto"/>
        </w:rPr>
        <w:t>HIRD</w:t>
      </w:r>
      <w:r>
        <w:rPr>
          <w:rFonts w:ascii="Arial" w:cs="Arial" w:eastAsia="Arial" w:hAnsi="Arial"/>
          <w:sz w:val="18"/>
          <w:szCs w:val="18"/>
          <w:color w:val="auto"/>
        </w:rPr>
        <w:t xml:space="preserve"> P</w:t>
      </w:r>
      <w:r>
        <w:rPr>
          <w:rFonts w:ascii="Arial" w:cs="Arial" w:eastAsia="Arial" w:hAnsi="Arial"/>
          <w:sz w:val="12"/>
          <w:szCs w:val="12"/>
          <w:color w:val="auto"/>
        </w:rPr>
        <w:t>ARTY</w:t>
      </w:r>
      <w:r>
        <w:rPr>
          <w:rFonts w:ascii="Arial" w:cs="Arial" w:eastAsia="Arial" w:hAnsi="Arial"/>
          <w:sz w:val="18"/>
          <w:szCs w:val="18"/>
          <w:color w:val="auto"/>
        </w:rPr>
        <w:t xml:space="preserve"> and shall not make use of any such information which remain in its possession after the C</w:t>
      </w:r>
      <w:r>
        <w:rPr>
          <w:rFonts w:ascii="Arial" w:cs="Arial" w:eastAsia="Arial" w:hAnsi="Arial"/>
          <w:sz w:val="12"/>
          <w:szCs w:val="12"/>
          <w:color w:val="auto"/>
        </w:rPr>
        <w:t>LOSING</w:t>
      </w:r>
      <w:r>
        <w:rPr>
          <w:rFonts w:ascii="Arial" w:cs="Arial" w:eastAsia="Arial" w:hAnsi="Arial"/>
          <w:sz w:val="18"/>
          <w:szCs w:val="18"/>
          <w:color w:val="auto"/>
        </w:rPr>
        <w:t xml:space="preserve"> D</w:t>
      </w:r>
      <w:r>
        <w:rPr>
          <w:rFonts w:ascii="Arial" w:cs="Arial" w:eastAsia="Arial" w:hAnsi="Arial"/>
          <w:sz w:val="12"/>
          <w:szCs w:val="12"/>
          <w:color w:val="auto"/>
        </w:rPr>
        <w:t>ATE</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foregoing undertakings shall be continuing obligations and shall remain in full force and effect with the exception that such undertakings shall not apply to such C</w:t>
      </w:r>
      <w:r>
        <w:rPr>
          <w:rFonts w:ascii="Arial" w:cs="Arial" w:eastAsia="Arial" w:hAnsi="Arial"/>
          <w:sz w:val="12"/>
          <w:szCs w:val="12"/>
          <w:color w:val="auto"/>
        </w:rPr>
        <w:t>ONFIDENTIAL</w:t>
      </w:r>
      <w:r>
        <w:rPr>
          <w:rFonts w:ascii="Arial" w:cs="Arial" w:eastAsia="Arial" w:hAnsi="Arial"/>
          <w:sz w:val="18"/>
          <w:szCs w:val="18"/>
          <w:color w:val="auto"/>
        </w:rPr>
        <w:t xml:space="preserve"> I</w:t>
      </w:r>
      <w:r>
        <w:rPr>
          <w:rFonts w:ascii="Arial" w:cs="Arial" w:eastAsia="Arial" w:hAnsi="Arial"/>
          <w:sz w:val="12"/>
          <w:szCs w:val="12"/>
          <w:color w:val="auto"/>
        </w:rPr>
        <w:t>NFORMATION</w:t>
      </w:r>
      <w:r>
        <w:rPr>
          <w:rFonts w:ascii="Arial" w:cs="Arial" w:eastAsia="Arial" w:hAnsi="Arial"/>
          <w:sz w:val="18"/>
          <w:szCs w:val="18"/>
          <w:color w:val="auto"/>
        </w:rPr>
        <w:t xml:space="preserve"> as:</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at the time of being obtained by ACIU, was within the public domain;</w:t>
      </w:r>
    </w:p>
    <w:p>
      <w:pPr>
        <w:spacing w:after="0" w:line="198" w:lineRule="exact"/>
        <w:rPr>
          <w:rFonts w:ascii="Arial" w:cs="Arial" w:eastAsia="Arial" w:hAnsi="Arial"/>
          <w:sz w:val="18"/>
          <w:szCs w:val="18"/>
          <w:color w:val="auto"/>
        </w:rPr>
      </w:pPr>
    </w:p>
    <w:p>
      <w:pPr>
        <w:ind w:left="1300" w:right="20" w:hanging="644"/>
        <w:spacing w:after="0" w:line="246"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after being obtained by ACIU, comes into the public domain other than by reason of a breach of the undertakings contained in this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 w:name="page20"/>
    <w:bookmarkEnd w:id="19"/>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 required to be disclosed by any law or by an order of any court of competent jurisdiction;</w:t>
      </w:r>
    </w:p>
    <w:p>
      <w:pPr>
        <w:spacing w:after="0" w:line="198" w:lineRule="exact"/>
        <w:rPr>
          <w:rFonts w:ascii="Arial" w:cs="Arial" w:eastAsia="Arial" w:hAnsi="Arial"/>
          <w:sz w:val="18"/>
          <w:szCs w:val="18"/>
          <w:color w:val="auto"/>
        </w:rPr>
      </w:pPr>
    </w:p>
    <w:p>
      <w:pPr>
        <w:ind w:left="1300" w:hanging="644"/>
        <w:spacing w:after="0" w:line="246"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 required to be disclosed by the regulations of, or at the request of, any regulatory, supervisory or other governmental authority having jurisdiction over A</w:t>
      </w:r>
      <w:r>
        <w:rPr>
          <w:rFonts w:ascii="Arial" w:cs="Arial" w:eastAsia="Arial" w:hAnsi="Arial"/>
          <w:sz w:val="12"/>
          <w:szCs w:val="12"/>
          <w:color w:val="auto"/>
        </w:rPr>
        <w:t>FFIRIS</w:t>
      </w:r>
      <w:r>
        <w:rPr>
          <w:rFonts w:ascii="Arial" w:cs="Arial" w:eastAsia="Arial" w:hAnsi="Arial"/>
          <w:sz w:val="18"/>
          <w:szCs w:val="18"/>
          <w:color w:val="auto"/>
        </w:rPr>
        <w:t>; or</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 disclosed with the prior consent of ACIU.</w:t>
      </w:r>
    </w:p>
    <w:p>
      <w:pPr>
        <w:spacing w:after="0" w:line="198" w:lineRule="exact"/>
        <w:rPr>
          <w:sz w:val="20"/>
          <w:szCs w:val="20"/>
          <w:color w:val="auto"/>
        </w:rPr>
      </w:pPr>
    </w:p>
    <w:p>
      <w:pPr>
        <w:ind w:left="660" w:hanging="652"/>
        <w:spacing w:after="0" w:line="246"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the avoidance of doubt, the release from confidentiality undertakings under this A</w:t>
      </w:r>
      <w:r>
        <w:rPr>
          <w:rFonts w:ascii="Arial" w:cs="Arial" w:eastAsia="Arial" w:hAnsi="Arial"/>
          <w:sz w:val="12"/>
          <w:szCs w:val="12"/>
          <w:color w:val="auto"/>
        </w:rPr>
        <w:t>GREEMENT</w:t>
      </w:r>
      <w:r>
        <w:rPr>
          <w:rFonts w:ascii="Arial" w:cs="Arial" w:eastAsia="Arial" w:hAnsi="Arial"/>
          <w:sz w:val="18"/>
          <w:szCs w:val="18"/>
          <w:color w:val="auto"/>
        </w:rPr>
        <w:t xml:space="preserve"> is without prejudice to any other confidentiality obligations under applicable law.</w:t>
      </w:r>
    </w:p>
    <w:p>
      <w:pPr>
        <w:spacing w:after="0" w:line="161"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Fiduciary solution</w:t>
      </w:r>
    </w:p>
    <w:p>
      <w:pPr>
        <w:spacing w:after="0" w:line="220" w:lineRule="exact"/>
        <w:rPr>
          <w:sz w:val="20"/>
          <w:szCs w:val="20"/>
          <w:color w:val="auto"/>
        </w:rPr>
      </w:pPr>
    </w:p>
    <w:p>
      <w:pPr>
        <w:jc w:val="both"/>
        <w:ind w:left="660" w:hanging="652"/>
        <w:spacing w:after="0" w:line="23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event that the consummation of the T</w:t>
      </w:r>
      <w:r>
        <w:rPr>
          <w:rFonts w:ascii="Arial" w:cs="Arial" w:eastAsia="Arial" w:hAnsi="Arial"/>
          <w:sz w:val="12"/>
          <w:szCs w:val="12"/>
          <w:color w:val="auto"/>
        </w:rPr>
        <w:t>RANSFER</w:t>
      </w:r>
      <w:r>
        <w:rPr>
          <w:rFonts w:ascii="Arial" w:cs="Arial" w:eastAsia="Arial" w:hAnsi="Arial"/>
          <w:sz w:val="18"/>
          <w:szCs w:val="18"/>
          <w:color w:val="auto"/>
        </w:rPr>
        <w:t xml:space="preserve"> with respect to certain T</w:t>
      </w:r>
      <w:r>
        <w:rPr>
          <w:rFonts w:ascii="Arial" w:cs="Arial" w:eastAsia="Arial" w:hAnsi="Arial"/>
          <w:sz w:val="12"/>
          <w:szCs w:val="12"/>
          <w:color w:val="auto"/>
        </w:rPr>
        <w:t>RANSFERRED</w:t>
      </w:r>
      <w:r>
        <w:rPr>
          <w:rFonts w:ascii="Arial" w:cs="Arial" w:eastAsia="Arial" w:hAnsi="Arial"/>
          <w:sz w:val="18"/>
          <w:szCs w:val="18"/>
          <w:color w:val="auto"/>
        </w:rPr>
        <w:t xml:space="preserve"> A</w:t>
      </w:r>
      <w:r>
        <w:rPr>
          <w:rFonts w:ascii="Arial" w:cs="Arial" w:eastAsia="Arial" w:hAnsi="Arial"/>
          <w:sz w:val="12"/>
          <w:szCs w:val="12"/>
          <w:color w:val="auto"/>
        </w:rPr>
        <w:t>SSETS</w:t>
      </w:r>
      <w:r>
        <w:rPr>
          <w:rFonts w:ascii="Arial" w:cs="Arial" w:eastAsia="Arial" w:hAnsi="Arial"/>
          <w:sz w:val="18"/>
          <w:szCs w:val="18"/>
          <w:color w:val="auto"/>
        </w:rPr>
        <w:t xml:space="preserve"> does not occur at the C</w:t>
      </w:r>
      <w:r>
        <w:rPr>
          <w:rFonts w:ascii="Arial" w:cs="Arial" w:eastAsia="Arial" w:hAnsi="Arial"/>
          <w:sz w:val="12"/>
          <w:szCs w:val="12"/>
          <w:color w:val="auto"/>
        </w:rPr>
        <w:t>LOSING</w:t>
      </w:r>
      <w:r>
        <w:rPr>
          <w:rFonts w:ascii="Arial" w:cs="Arial" w:eastAsia="Arial" w:hAnsi="Arial"/>
          <w:sz w:val="18"/>
          <w:szCs w:val="18"/>
          <w:color w:val="auto"/>
        </w:rPr>
        <w:t xml:space="preserve"> D</w:t>
      </w:r>
      <w:r>
        <w:rPr>
          <w:rFonts w:ascii="Arial" w:cs="Arial" w:eastAsia="Arial" w:hAnsi="Arial"/>
          <w:sz w:val="12"/>
          <w:szCs w:val="12"/>
          <w:color w:val="auto"/>
        </w:rPr>
        <w:t>ATE</w:t>
      </w:r>
      <w:r>
        <w:rPr>
          <w:rFonts w:ascii="Arial" w:cs="Arial" w:eastAsia="Arial" w:hAnsi="Arial"/>
          <w:sz w:val="18"/>
          <w:szCs w:val="18"/>
          <w:color w:val="auto"/>
        </w:rPr>
        <w:t>, the P</w:t>
      </w:r>
      <w:r>
        <w:rPr>
          <w:rFonts w:ascii="Arial" w:cs="Arial" w:eastAsia="Arial" w:hAnsi="Arial"/>
          <w:sz w:val="12"/>
          <w:szCs w:val="12"/>
          <w:color w:val="auto"/>
        </w:rPr>
        <w:t>ARTIES</w:t>
      </w:r>
      <w:r>
        <w:rPr>
          <w:rFonts w:ascii="Arial" w:cs="Arial" w:eastAsia="Arial" w:hAnsi="Arial"/>
          <w:sz w:val="18"/>
          <w:szCs w:val="18"/>
          <w:color w:val="auto"/>
        </w:rPr>
        <w:t xml:space="preserve"> shall endeavor to promptly achieve such consummation by further closing actions pursuant to S</w:t>
      </w:r>
      <w:r>
        <w:rPr>
          <w:rFonts w:ascii="Arial" w:cs="Arial" w:eastAsia="Arial" w:hAnsi="Arial"/>
          <w:sz w:val="12"/>
          <w:szCs w:val="12"/>
          <w:color w:val="auto"/>
        </w:rPr>
        <w:t>ECTION</w:t>
      </w:r>
      <w:r>
        <w:rPr>
          <w:rFonts w:ascii="Arial" w:cs="Arial" w:eastAsia="Arial" w:hAnsi="Arial"/>
          <w:sz w:val="18"/>
          <w:szCs w:val="18"/>
          <w:color w:val="auto"/>
        </w:rPr>
        <w:t xml:space="preserve"> 8. Pending such consummation (or if consummation cannot be reasonably achieved) and to the fullest extent permitted by applicable law and contracts with third parties, A</w:t>
      </w:r>
      <w:r>
        <w:rPr>
          <w:rFonts w:ascii="Arial" w:cs="Arial" w:eastAsia="Arial" w:hAnsi="Arial"/>
          <w:sz w:val="12"/>
          <w:szCs w:val="12"/>
          <w:color w:val="auto"/>
        </w:rPr>
        <w:t>FFIRIS</w:t>
      </w:r>
      <w:r>
        <w:rPr>
          <w:rFonts w:ascii="Arial" w:cs="Arial" w:eastAsia="Arial" w:hAnsi="Arial"/>
          <w:sz w:val="18"/>
          <w:szCs w:val="18"/>
          <w:color w:val="auto"/>
        </w:rPr>
        <w:t xml:space="preserve"> will continue to be the owner of the respective T</w:t>
      </w:r>
      <w:r>
        <w:rPr>
          <w:rFonts w:ascii="Arial" w:cs="Arial" w:eastAsia="Arial" w:hAnsi="Arial"/>
          <w:sz w:val="12"/>
          <w:szCs w:val="12"/>
          <w:color w:val="auto"/>
        </w:rPr>
        <w:t>RANSFERRED</w:t>
      </w:r>
      <w:r>
        <w:rPr>
          <w:rFonts w:ascii="Arial" w:cs="Arial" w:eastAsia="Arial" w:hAnsi="Arial"/>
          <w:sz w:val="18"/>
          <w:szCs w:val="18"/>
          <w:color w:val="auto"/>
        </w:rPr>
        <w:t xml:space="preserve"> A</w:t>
      </w:r>
      <w:r>
        <w:rPr>
          <w:rFonts w:ascii="Arial" w:cs="Arial" w:eastAsia="Arial" w:hAnsi="Arial"/>
          <w:sz w:val="12"/>
          <w:szCs w:val="12"/>
          <w:color w:val="auto"/>
        </w:rPr>
        <w:t>SSETS</w:t>
      </w:r>
      <w:r>
        <w:rPr>
          <w:rFonts w:ascii="Arial" w:cs="Arial" w:eastAsia="Arial" w:hAnsi="Arial"/>
          <w:sz w:val="18"/>
          <w:szCs w:val="18"/>
          <w:color w:val="auto"/>
        </w:rPr>
        <w:t xml:space="preserve"> in its own name but on behalf and at the risk of ACIU, i.e. on a fiduciary basis. A</w:t>
      </w:r>
      <w:r>
        <w:rPr>
          <w:rFonts w:ascii="Arial" w:cs="Arial" w:eastAsia="Arial" w:hAnsi="Arial"/>
          <w:sz w:val="12"/>
          <w:szCs w:val="12"/>
          <w:color w:val="auto"/>
        </w:rPr>
        <w:t>FFIRIS</w:t>
      </w:r>
      <w:r>
        <w:rPr>
          <w:rFonts w:ascii="Arial" w:cs="Arial" w:eastAsia="Arial" w:hAnsi="Arial"/>
          <w:sz w:val="18"/>
          <w:szCs w:val="18"/>
          <w:color w:val="auto"/>
        </w:rPr>
        <w:t xml:space="preserve"> will only exercise its rights and perform its duties in respect of such T</w:t>
      </w:r>
      <w:r>
        <w:rPr>
          <w:rFonts w:ascii="Arial" w:cs="Arial" w:eastAsia="Arial" w:hAnsi="Arial"/>
          <w:sz w:val="12"/>
          <w:szCs w:val="12"/>
          <w:color w:val="auto"/>
        </w:rPr>
        <w:t>RANSFERRED</w:t>
      </w:r>
      <w:r>
        <w:rPr>
          <w:rFonts w:ascii="Arial" w:cs="Arial" w:eastAsia="Arial" w:hAnsi="Arial"/>
          <w:sz w:val="18"/>
          <w:szCs w:val="18"/>
          <w:color w:val="auto"/>
        </w:rPr>
        <w:t xml:space="preserve"> A</w:t>
      </w:r>
      <w:r>
        <w:rPr>
          <w:rFonts w:ascii="Arial" w:cs="Arial" w:eastAsia="Arial" w:hAnsi="Arial"/>
          <w:sz w:val="12"/>
          <w:szCs w:val="12"/>
          <w:color w:val="auto"/>
        </w:rPr>
        <w:t>SSETS</w:t>
      </w:r>
      <w:r>
        <w:rPr>
          <w:rFonts w:ascii="Arial" w:cs="Arial" w:eastAsia="Arial" w:hAnsi="Arial"/>
          <w:sz w:val="18"/>
          <w:szCs w:val="18"/>
          <w:color w:val="auto"/>
        </w:rPr>
        <w:t xml:space="preserve"> in accordance with the instructions of ACIU. A</w:t>
      </w:r>
      <w:r>
        <w:rPr>
          <w:rFonts w:ascii="Arial" w:cs="Arial" w:eastAsia="Arial" w:hAnsi="Arial"/>
          <w:sz w:val="12"/>
          <w:szCs w:val="12"/>
          <w:color w:val="auto"/>
        </w:rPr>
        <w:t>FFIRIS</w:t>
      </w:r>
      <w:r>
        <w:rPr>
          <w:rFonts w:ascii="Arial" w:cs="Arial" w:eastAsia="Arial" w:hAnsi="Arial"/>
          <w:sz w:val="18"/>
          <w:szCs w:val="18"/>
          <w:color w:val="auto"/>
        </w:rPr>
        <w:t xml:space="preserve"> is, however, solely required to follow such instructions unless compliance with such instructions is unlawful or could cause any D</w:t>
      </w:r>
      <w:r>
        <w:rPr>
          <w:rFonts w:ascii="Arial" w:cs="Arial" w:eastAsia="Arial" w:hAnsi="Arial"/>
          <w:sz w:val="12"/>
          <w:szCs w:val="12"/>
          <w:color w:val="auto"/>
        </w:rPr>
        <w:t>AMAGES</w:t>
      </w:r>
      <w:r>
        <w:rPr>
          <w:rFonts w:ascii="Arial" w:cs="Arial" w:eastAsia="Arial" w:hAnsi="Arial"/>
          <w:sz w:val="18"/>
          <w:szCs w:val="18"/>
          <w:color w:val="auto"/>
        </w:rPr>
        <w:t xml:space="preserve"> for A</w:t>
      </w:r>
      <w:r>
        <w:rPr>
          <w:rFonts w:ascii="Arial" w:cs="Arial" w:eastAsia="Arial" w:hAnsi="Arial"/>
          <w:sz w:val="12"/>
          <w:szCs w:val="12"/>
          <w:color w:val="auto"/>
        </w:rPr>
        <w:t>FFIRIS</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jc w:val="both"/>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Where A</w:t>
      </w:r>
      <w:r>
        <w:rPr>
          <w:rFonts w:ascii="Arial" w:cs="Arial" w:eastAsia="Arial" w:hAnsi="Arial"/>
          <w:sz w:val="12"/>
          <w:szCs w:val="12"/>
          <w:color w:val="auto"/>
        </w:rPr>
        <w:t>FFIRIS</w:t>
      </w:r>
      <w:r>
        <w:rPr>
          <w:rFonts w:ascii="Arial" w:cs="Arial" w:eastAsia="Arial" w:hAnsi="Arial"/>
          <w:sz w:val="18"/>
          <w:szCs w:val="18"/>
          <w:color w:val="auto"/>
        </w:rPr>
        <w:t xml:space="preserve"> is not lawfully able to hold any such T</w:t>
      </w:r>
      <w:r>
        <w:rPr>
          <w:rFonts w:ascii="Arial" w:cs="Arial" w:eastAsia="Arial" w:hAnsi="Arial"/>
          <w:sz w:val="12"/>
          <w:szCs w:val="12"/>
          <w:color w:val="auto"/>
        </w:rPr>
        <w:t>RANSFERRED</w:t>
      </w:r>
      <w:r>
        <w:rPr>
          <w:rFonts w:ascii="Arial" w:cs="Arial" w:eastAsia="Arial" w:hAnsi="Arial"/>
          <w:sz w:val="18"/>
          <w:szCs w:val="18"/>
          <w:color w:val="auto"/>
        </w:rPr>
        <w:t xml:space="preserve"> A</w:t>
      </w:r>
      <w:r>
        <w:rPr>
          <w:rFonts w:ascii="Arial" w:cs="Arial" w:eastAsia="Arial" w:hAnsi="Arial"/>
          <w:sz w:val="12"/>
          <w:szCs w:val="12"/>
          <w:color w:val="auto"/>
        </w:rPr>
        <w:t>SSETS</w:t>
      </w:r>
      <w:r>
        <w:rPr>
          <w:rFonts w:ascii="Arial" w:cs="Arial" w:eastAsia="Arial" w:hAnsi="Arial"/>
          <w:sz w:val="18"/>
          <w:szCs w:val="18"/>
          <w:color w:val="auto"/>
        </w:rPr>
        <w:t xml:space="preserve"> on a fiduciary basis in accordance with the paragraph above, the P</w:t>
      </w:r>
      <w:r>
        <w:rPr>
          <w:rFonts w:ascii="Arial" w:cs="Arial" w:eastAsia="Arial" w:hAnsi="Arial"/>
          <w:sz w:val="12"/>
          <w:szCs w:val="12"/>
          <w:color w:val="auto"/>
        </w:rPr>
        <w:t>ARTIES</w:t>
      </w:r>
      <w:r>
        <w:rPr>
          <w:rFonts w:ascii="Arial" w:cs="Arial" w:eastAsia="Arial" w:hAnsi="Arial"/>
          <w:sz w:val="18"/>
          <w:szCs w:val="18"/>
          <w:color w:val="auto"/>
        </w:rPr>
        <w:t xml:space="preserve"> shall cooperate to establish an arrangement reasonably satisfactory to each of them which corresponds economically to a transfer of the relevant T</w:t>
      </w:r>
      <w:r>
        <w:rPr>
          <w:rFonts w:ascii="Arial" w:cs="Arial" w:eastAsia="Arial" w:hAnsi="Arial"/>
          <w:sz w:val="12"/>
          <w:szCs w:val="12"/>
          <w:color w:val="auto"/>
        </w:rPr>
        <w:t>RANSFERRED</w:t>
      </w:r>
      <w:r>
        <w:rPr>
          <w:rFonts w:ascii="Arial" w:cs="Arial" w:eastAsia="Arial" w:hAnsi="Arial"/>
          <w:sz w:val="18"/>
          <w:szCs w:val="18"/>
          <w:color w:val="auto"/>
        </w:rPr>
        <w:t xml:space="preserve"> A</w:t>
      </w:r>
      <w:r>
        <w:rPr>
          <w:rFonts w:ascii="Arial" w:cs="Arial" w:eastAsia="Arial" w:hAnsi="Arial"/>
          <w:sz w:val="12"/>
          <w:szCs w:val="12"/>
          <w:color w:val="auto"/>
        </w:rPr>
        <w:t>SSETS</w:t>
      </w:r>
      <w:r>
        <w:rPr>
          <w:rFonts w:ascii="Arial" w:cs="Arial" w:eastAsia="Arial" w:hAnsi="Arial"/>
          <w:sz w:val="18"/>
          <w:szCs w:val="18"/>
          <w:color w:val="auto"/>
        </w:rPr>
        <w:t xml:space="preserve"> such as e.g., concluding back-to-back contracts between A</w:t>
      </w:r>
      <w:r>
        <w:rPr>
          <w:rFonts w:ascii="Arial" w:cs="Arial" w:eastAsia="Arial" w:hAnsi="Arial"/>
          <w:sz w:val="12"/>
          <w:szCs w:val="12"/>
          <w:color w:val="auto"/>
        </w:rPr>
        <w:t>FFIRIS</w:t>
      </w:r>
      <w:r>
        <w:rPr>
          <w:rFonts w:ascii="Arial" w:cs="Arial" w:eastAsia="Arial" w:hAnsi="Arial"/>
          <w:sz w:val="18"/>
          <w:szCs w:val="18"/>
          <w:color w:val="auto"/>
        </w:rPr>
        <w:t xml:space="preserve"> and ACIU.</w:t>
      </w:r>
    </w:p>
    <w:p>
      <w:pPr>
        <w:spacing w:after="0" w:line="189" w:lineRule="exact"/>
        <w:rPr>
          <w:rFonts w:ascii="Arial" w:cs="Arial" w:eastAsia="Arial" w:hAnsi="Arial"/>
          <w:sz w:val="18"/>
          <w:szCs w:val="18"/>
          <w:color w:val="auto"/>
        </w:rPr>
      </w:pPr>
    </w:p>
    <w:p>
      <w:pPr>
        <w:jc w:val="both"/>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2"/>
          <w:szCs w:val="12"/>
          <w:color w:val="auto"/>
        </w:rPr>
        <w:t>FFIRIS</w:t>
      </w:r>
      <w:r>
        <w:rPr>
          <w:rFonts w:ascii="Arial" w:cs="Arial" w:eastAsia="Arial" w:hAnsi="Arial"/>
          <w:sz w:val="18"/>
          <w:szCs w:val="18"/>
          <w:color w:val="auto"/>
        </w:rPr>
        <w:t xml:space="preserve"> shall as soon as reasonably possible but at the latest within 20 (twenty) B</w:t>
      </w:r>
      <w:r>
        <w:rPr>
          <w:rFonts w:ascii="Arial" w:cs="Arial" w:eastAsia="Arial" w:hAnsi="Arial"/>
          <w:sz w:val="12"/>
          <w:szCs w:val="12"/>
          <w:color w:val="auto"/>
        </w:rPr>
        <w:t>USINESS</w:t>
      </w:r>
      <w:r>
        <w:rPr>
          <w:rFonts w:ascii="Arial" w:cs="Arial" w:eastAsia="Arial" w:hAnsi="Arial"/>
          <w:sz w:val="18"/>
          <w:szCs w:val="18"/>
          <w:color w:val="auto"/>
        </w:rPr>
        <w:t xml:space="preserve"> D</w:t>
      </w:r>
      <w:r>
        <w:rPr>
          <w:rFonts w:ascii="Arial" w:cs="Arial" w:eastAsia="Arial" w:hAnsi="Arial"/>
          <w:sz w:val="12"/>
          <w:szCs w:val="12"/>
          <w:color w:val="auto"/>
        </w:rPr>
        <w:t>AYS</w:t>
      </w:r>
      <w:r>
        <w:rPr>
          <w:rFonts w:ascii="Arial" w:cs="Arial" w:eastAsia="Arial" w:hAnsi="Arial"/>
          <w:sz w:val="18"/>
          <w:szCs w:val="18"/>
          <w:color w:val="auto"/>
        </w:rPr>
        <w:t xml:space="preserve"> transfer all (net) profits and assets generated under such fiduciary solution to ACIU and ACIU shall assume all costs and liabilities arising thereunder. ACIU shall pay to A</w:t>
      </w:r>
      <w:r>
        <w:rPr>
          <w:rFonts w:ascii="Arial" w:cs="Arial" w:eastAsia="Arial" w:hAnsi="Arial"/>
          <w:sz w:val="12"/>
          <w:szCs w:val="12"/>
          <w:color w:val="auto"/>
        </w:rPr>
        <w:t>FFIRIS</w:t>
      </w:r>
      <w:r>
        <w:rPr>
          <w:rFonts w:ascii="Arial" w:cs="Arial" w:eastAsia="Arial" w:hAnsi="Arial"/>
          <w:sz w:val="18"/>
          <w:szCs w:val="18"/>
          <w:color w:val="auto"/>
        </w:rPr>
        <w:t xml:space="preserve"> an at arm's length fee for the performance of its services.</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Relationship to Contribution in Kind Agreement</w:t>
      </w:r>
    </w:p>
    <w:p>
      <w:pPr>
        <w:spacing w:after="0" w:line="220" w:lineRule="exact"/>
        <w:rPr>
          <w:sz w:val="20"/>
          <w:szCs w:val="20"/>
          <w:color w:val="auto"/>
        </w:rPr>
      </w:pPr>
    </w:p>
    <w:p>
      <w:pPr>
        <w:jc w:val="both"/>
        <w:ind w:left="660" w:hanging="652"/>
        <w:spacing w:after="0" w:line="23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w:t>
      </w:r>
      <w:r>
        <w:rPr>
          <w:rFonts w:ascii="Arial" w:cs="Arial" w:eastAsia="Arial" w:hAnsi="Arial"/>
          <w:sz w:val="12"/>
          <w:szCs w:val="12"/>
          <w:color w:val="auto"/>
        </w:rPr>
        <w:t>ARTIES</w:t>
      </w:r>
      <w:r>
        <w:rPr>
          <w:rFonts w:ascii="Arial" w:cs="Arial" w:eastAsia="Arial" w:hAnsi="Arial"/>
          <w:sz w:val="18"/>
          <w:szCs w:val="18"/>
          <w:color w:val="auto"/>
        </w:rPr>
        <w:t xml:space="preserve"> agree that in case of contradiction or other ambiguity between this A</w:t>
      </w:r>
      <w:r>
        <w:rPr>
          <w:rFonts w:ascii="Arial" w:cs="Arial" w:eastAsia="Arial" w:hAnsi="Arial"/>
          <w:sz w:val="12"/>
          <w:szCs w:val="12"/>
          <w:color w:val="auto"/>
        </w:rPr>
        <w:t>GREEMENT</w:t>
      </w:r>
      <w:r>
        <w:rPr>
          <w:rFonts w:ascii="Arial" w:cs="Arial" w:eastAsia="Arial" w:hAnsi="Arial"/>
          <w:sz w:val="18"/>
          <w:szCs w:val="18"/>
          <w:color w:val="auto"/>
        </w:rPr>
        <w:t xml:space="preserve"> and the contribution in kind agreement to be signed substantially in the format evidenced in </w:t>
      </w:r>
      <w:r>
        <w:rPr>
          <w:rFonts w:ascii="Arial" w:cs="Arial" w:eastAsia="Arial" w:hAnsi="Arial"/>
          <w:sz w:val="18"/>
          <w:szCs w:val="18"/>
          <w:u w:val="single" w:color="auto"/>
          <w:color w:val="auto"/>
        </w:rPr>
        <w:t>A</w:t>
      </w:r>
      <w:r>
        <w:rPr>
          <w:rFonts w:ascii="Arial" w:cs="Arial" w:eastAsia="Arial" w:hAnsi="Arial"/>
          <w:sz w:val="12"/>
          <w:szCs w:val="12"/>
          <w:u w:val="single" w:color="auto"/>
          <w:color w:val="auto"/>
        </w:rPr>
        <w:t>NNEX</w:t>
      </w:r>
      <w:r>
        <w:rPr>
          <w:rFonts w:ascii="Arial" w:cs="Arial" w:eastAsia="Arial" w:hAnsi="Arial"/>
          <w:sz w:val="18"/>
          <w:szCs w:val="18"/>
          <w:color w:val="auto"/>
        </w:rPr>
        <w:t xml:space="preserve"> </w:t>
      </w:r>
      <w:r>
        <w:rPr>
          <w:rFonts w:ascii="Arial" w:cs="Arial" w:eastAsia="Arial" w:hAnsi="Arial"/>
          <w:sz w:val="18"/>
          <w:szCs w:val="18"/>
          <w:u w:val="single" w:color="auto"/>
          <w:color w:val="auto"/>
        </w:rPr>
        <w:t>3</w:t>
      </w:r>
      <w:r>
        <w:rPr>
          <w:rFonts w:ascii="Arial" w:cs="Arial" w:eastAsia="Arial" w:hAnsi="Arial"/>
          <w:sz w:val="18"/>
          <w:szCs w:val="18"/>
          <w:color w:val="auto"/>
        </w:rPr>
        <w:t>, the provisions of this A</w:t>
      </w:r>
      <w:r>
        <w:rPr>
          <w:rFonts w:ascii="Arial" w:cs="Arial" w:eastAsia="Arial" w:hAnsi="Arial"/>
          <w:sz w:val="12"/>
          <w:szCs w:val="12"/>
          <w:color w:val="auto"/>
        </w:rPr>
        <w:t>GREEMENT</w:t>
      </w:r>
      <w:r>
        <w:rPr>
          <w:rFonts w:ascii="Arial" w:cs="Arial" w:eastAsia="Arial" w:hAnsi="Arial"/>
          <w:sz w:val="18"/>
          <w:szCs w:val="18"/>
          <w:color w:val="auto"/>
        </w:rPr>
        <w:t xml:space="preserve"> shall prevail. The P</w:t>
      </w:r>
      <w:r>
        <w:rPr>
          <w:rFonts w:ascii="Arial" w:cs="Arial" w:eastAsia="Arial" w:hAnsi="Arial"/>
          <w:sz w:val="12"/>
          <w:szCs w:val="12"/>
          <w:color w:val="auto"/>
        </w:rPr>
        <w:t>ARTIES</w:t>
      </w:r>
      <w:r>
        <w:rPr>
          <w:rFonts w:ascii="Arial" w:cs="Arial" w:eastAsia="Arial" w:hAnsi="Arial"/>
          <w:sz w:val="18"/>
          <w:szCs w:val="18"/>
          <w:color w:val="auto"/>
        </w:rPr>
        <w:t xml:space="preserve"> agree that the contribution in kind agreement has been deliberately drafted in a concise manner for filing with the commercial register and must be read together with this A</w:t>
      </w:r>
      <w:r>
        <w:rPr>
          <w:rFonts w:ascii="Arial" w:cs="Arial" w:eastAsia="Arial" w:hAnsi="Arial"/>
          <w:sz w:val="12"/>
          <w:szCs w:val="12"/>
          <w:color w:val="auto"/>
        </w:rPr>
        <w:t>GREEMENT</w:t>
      </w:r>
      <w:r>
        <w:rPr>
          <w:rFonts w:ascii="Arial" w:cs="Arial" w:eastAsia="Arial" w:hAnsi="Arial"/>
          <w:sz w:val="18"/>
          <w:szCs w:val="18"/>
          <w:color w:val="auto"/>
        </w:rPr>
        <w:t xml:space="preserve"> for interpretation.</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Representations and Warranties</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7"/>
          <w:szCs w:val="17"/>
          <w:b w:val="1"/>
          <w:bCs w:val="1"/>
          <w:color w:val="auto"/>
        </w:rPr>
        <w:t>Representations and Warranties of A</w:t>
      </w:r>
      <w:r>
        <w:rPr>
          <w:rFonts w:ascii="Arial" w:cs="Arial" w:eastAsia="Arial" w:hAnsi="Arial"/>
          <w:sz w:val="11"/>
          <w:szCs w:val="11"/>
          <w:b w:val="1"/>
          <w:bCs w:val="1"/>
          <w:color w:val="auto"/>
        </w:rPr>
        <w:t>FFIRIS</w:t>
      </w:r>
    </w:p>
    <w:p>
      <w:pPr>
        <w:spacing w:after="0" w:line="220" w:lineRule="exact"/>
        <w:rPr>
          <w:sz w:val="20"/>
          <w:szCs w:val="20"/>
          <w:color w:val="auto"/>
        </w:rPr>
      </w:pPr>
    </w:p>
    <w:p>
      <w:pPr>
        <w:jc w:val="both"/>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Subject to the limitations set forth in S</w:t>
      </w:r>
      <w:r>
        <w:rPr>
          <w:rFonts w:ascii="Arial" w:cs="Arial" w:eastAsia="Arial" w:hAnsi="Arial"/>
          <w:sz w:val="12"/>
          <w:szCs w:val="12"/>
          <w:color w:val="auto"/>
        </w:rPr>
        <w:t>ECTION</w:t>
      </w:r>
      <w:r>
        <w:rPr>
          <w:rFonts w:ascii="Arial" w:cs="Arial" w:eastAsia="Arial" w:hAnsi="Arial"/>
          <w:sz w:val="18"/>
          <w:szCs w:val="18"/>
          <w:color w:val="auto"/>
        </w:rPr>
        <w:t xml:space="preserve"> 12 (Remedies), A</w:t>
      </w:r>
      <w:r>
        <w:rPr>
          <w:rFonts w:ascii="Arial" w:cs="Arial" w:eastAsia="Arial" w:hAnsi="Arial"/>
          <w:sz w:val="12"/>
          <w:szCs w:val="12"/>
          <w:color w:val="auto"/>
        </w:rPr>
        <w:t>FFIRIS</w:t>
      </w:r>
      <w:r>
        <w:rPr>
          <w:rFonts w:ascii="Arial" w:cs="Arial" w:eastAsia="Arial" w:hAnsi="Arial"/>
          <w:sz w:val="18"/>
          <w:szCs w:val="18"/>
          <w:color w:val="auto"/>
        </w:rPr>
        <w:t xml:space="preserve"> hereby represents and warrants to ACIU that the representations and warranties set forth in this S</w:t>
      </w:r>
      <w:r>
        <w:rPr>
          <w:rFonts w:ascii="Arial" w:cs="Arial" w:eastAsia="Arial" w:hAnsi="Arial"/>
          <w:sz w:val="12"/>
          <w:szCs w:val="12"/>
          <w:color w:val="auto"/>
        </w:rPr>
        <w:t>ECTION</w:t>
      </w:r>
      <w:r>
        <w:rPr>
          <w:rFonts w:ascii="Arial" w:cs="Arial" w:eastAsia="Arial" w:hAnsi="Arial"/>
          <w:sz w:val="18"/>
          <w:szCs w:val="18"/>
          <w:color w:val="auto"/>
        </w:rPr>
        <w:t xml:space="preserve"> 11.1 (Representations and Warranties of A</w:t>
      </w:r>
      <w:r>
        <w:rPr>
          <w:rFonts w:ascii="Arial" w:cs="Arial" w:eastAsia="Arial" w:hAnsi="Arial"/>
          <w:sz w:val="12"/>
          <w:szCs w:val="12"/>
          <w:color w:val="auto"/>
        </w:rPr>
        <w:t>FFIRIS</w:t>
      </w:r>
      <w:r>
        <w:rPr>
          <w:rFonts w:ascii="Arial" w:cs="Arial" w:eastAsia="Arial" w:hAnsi="Arial"/>
          <w:sz w:val="18"/>
          <w:szCs w:val="18"/>
          <w:color w:val="auto"/>
        </w:rPr>
        <w:t>) are true and accurate in all respects as of Signing and as of C</w:t>
      </w:r>
      <w:r>
        <w:rPr>
          <w:rFonts w:ascii="Arial" w:cs="Arial" w:eastAsia="Arial" w:hAnsi="Arial"/>
          <w:sz w:val="12"/>
          <w:szCs w:val="12"/>
          <w:color w:val="auto"/>
        </w:rPr>
        <w:t>LOSING</w:t>
      </w:r>
      <w:r>
        <w:rPr>
          <w:rFonts w:ascii="Arial" w:cs="Arial" w:eastAsia="Arial" w:hAnsi="Arial"/>
          <w:sz w:val="18"/>
          <w:szCs w:val="18"/>
          <w:color w:val="auto"/>
        </w:rPr>
        <w:t>, unless explicitly otherwise specified hereafter.</w:t>
      </w:r>
    </w:p>
    <w:p>
      <w:pPr>
        <w:spacing w:after="0" w:line="2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11.1.1  Capacity, No Authorizations</w:t>
      </w:r>
    </w:p>
    <w:p>
      <w:pPr>
        <w:spacing w:after="0" w:line="220" w:lineRule="exact"/>
        <w:rPr>
          <w:sz w:val="20"/>
          <w:szCs w:val="20"/>
          <w:color w:val="auto"/>
        </w:rPr>
      </w:pPr>
    </w:p>
    <w:p>
      <w:pPr>
        <w:jc w:val="both"/>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2"/>
          <w:szCs w:val="12"/>
          <w:color w:val="auto"/>
        </w:rPr>
        <w:t>FFIRIS</w:t>
      </w:r>
      <w:r>
        <w:rPr>
          <w:rFonts w:ascii="Arial" w:cs="Arial" w:eastAsia="Arial" w:hAnsi="Arial"/>
          <w:sz w:val="18"/>
          <w:szCs w:val="18"/>
          <w:color w:val="auto"/>
        </w:rPr>
        <w:t xml:space="preserve"> has the right and capacity to execute this A</w:t>
      </w:r>
      <w:r>
        <w:rPr>
          <w:rFonts w:ascii="Arial" w:cs="Arial" w:eastAsia="Arial" w:hAnsi="Arial"/>
          <w:sz w:val="12"/>
          <w:szCs w:val="12"/>
          <w:color w:val="auto"/>
        </w:rPr>
        <w:t>GREEMENT</w:t>
      </w:r>
      <w:r>
        <w:rPr>
          <w:rFonts w:ascii="Arial" w:cs="Arial" w:eastAsia="Arial" w:hAnsi="Arial"/>
          <w:sz w:val="18"/>
          <w:szCs w:val="18"/>
          <w:color w:val="auto"/>
        </w:rPr>
        <w:t xml:space="preserve"> and perform its obligations thereunder. This A</w:t>
      </w:r>
      <w:r>
        <w:rPr>
          <w:rFonts w:ascii="Arial" w:cs="Arial" w:eastAsia="Arial" w:hAnsi="Arial"/>
          <w:sz w:val="12"/>
          <w:szCs w:val="12"/>
          <w:color w:val="auto"/>
        </w:rPr>
        <w:t>GREEMENT</w:t>
      </w:r>
      <w:r>
        <w:rPr>
          <w:rFonts w:ascii="Arial" w:cs="Arial" w:eastAsia="Arial" w:hAnsi="Arial"/>
          <w:sz w:val="18"/>
          <w:szCs w:val="18"/>
          <w:color w:val="auto"/>
        </w:rPr>
        <w:t xml:space="preserve"> constitutes valid and binding obligations of A</w:t>
      </w:r>
      <w:r>
        <w:rPr>
          <w:rFonts w:ascii="Arial" w:cs="Arial" w:eastAsia="Arial" w:hAnsi="Arial"/>
          <w:sz w:val="12"/>
          <w:szCs w:val="12"/>
          <w:color w:val="auto"/>
        </w:rPr>
        <w:t>FFIRIS</w:t>
      </w:r>
      <w:r>
        <w:rPr>
          <w:rFonts w:ascii="Arial" w:cs="Arial" w:eastAsia="Arial" w:hAnsi="Arial"/>
          <w:sz w:val="18"/>
          <w:szCs w:val="18"/>
          <w:color w:val="auto"/>
        </w:rPr>
        <w:t>, enforceable in accordance with its terms. Other than set forth in S</w:t>
      </w:r>
      <w:r>
        <w:rPr>
          <w:rFonts w:ascii="Arial" w:cs="Arial" w:eastAsia="Arial" w:hAnsi="Arial"/>
          <w:sz w:val="12"/>
          <w:szCs w:val="12"/>
          <w:color w:val="auto"/>
        </w:rPr>
        <w:t>ECTION</w:t>
      </w:r>
      <w:r>
        <w:rPr>
          <w:rFonts w:ascii="Arial" w:cs="Arial" w:eastAsia="Arial" w:hAnsi="Arial"/>
          <w:sz w:val="18"/>
          <w:szCs w:val="18"/>
          <w:color w:val="auto"/>
        </w:rPr>
        <w:t xml:space="preserve"> 7.1, no governmental or other authorization, permit or consent is required for the execution and consummation of this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execution and consummation of this A</w:t>
      </w:r>
      <w:r>
        <w:rPr>
          <w:rFonts w:ascii="Arial" w:cs="Arial" w:eastAsia="Arial" w:hAnsi="Arial"/>
          <w:sz w:val="12"/>
          <w:szCs w:val="12"/>
          <w:color w:val="auto"/>
        </w:rPr>
        <w:t>GREEMENT</w:t>
      </w:r>
      <w:r>
        <w:rPr>
          <w:rFonts w:ascii="Arial" w:cs="Arial" w:eastAsia="Arial" w:hAnsi="Arial"/>
          <w:sz w:val="18"/>
          <w:szCs w:val="18"/>
          <w:color w:val="auto"/>
        </w:rPr>
        <w:t xml:space="preserve"> does not result in a breach of any (i) applicable law or regulation, (ii) decision or decree of any court, arbitral tribunal or governmental authority applicable to A</w:t>
      </w:r>
      <w:r>
        <w:rPr>
          <w:rFonts w:ascii="Arial" w:cs="Arial" w:eastAsia="Arial" w:hAnsi="Arial"/>
          <w:sz w:val="12"/>
          <w:szCs w:val="12"/>
          <w:color w:val="auto"/>
        </w:rPr>
        <w:t>FFIRIS</w:t>
      </w:r>
      <w:r>
        <w:rPr>
          <w:rFonts w:ascii="Arial" w:cs="Arial" w:eastAsia="Arial" w:hAnsi="Arial"/>
          <w:sz w:val="18"/>
          <w:szCs w:val="18"/>
          <w:color w:val="auto"/>
        </w:rPr>
        <w:t>, (iii) constitutional documents of A</w:t>
      </w:r>
      <w:r>
        <w:rPr>
          <w:rFonts w:ascii="Arial" w:cs="Arial" w:eastAsia="Arial" w:hAnsi="Arial"/>
          <w:sz w:val="12"/>
          <w:szCs w:val="12"/>
          <w:color w:val="auto"/>
        </w:rPr>
        <w:t>FFIRIS</w:t>
      </w:r>
      <w:r>
        <w:rPr>
          <w:rFonts w:ascii="Arial" w:cs="Arial" w:eastAsia="Arial" w:hAnsi="Arial"/>
          <w:sz w:val="18"/>
          <w:szCs w:val="18"/>
          <w:color w:val="auto"/>
        </w:rPr>
        <w:t xml:space="preserve"> or (iv) contracts binding for A</w:t>
      </w:r>
      <w:r>
        <w:rPr>
          <w:rFonts w:ascii="Arial" w:cs="Arial" w:eastAsia="Arial" w:hAnsi="Arial"/>
          <w:sz w:val="12"/>
          <w:szCs w:val="12"/>
          <w:color w:val="auto"/>
        </w:rPr>
        <w:t>FFIRIS</w:t>
      </w:r>
      <w:r>
        <w:rPr>
          <w:rFonts w:ascii="Arial" w:cs="Arial" w:eastAsia="Arial" w:hAnsi="Arial"/>
          <w:sz w:val="18"/>
          <w:szCs w:val="18"/>
          <w:color w:val="auto"/>
        </w:rPr>
        <w:t>. T</w:t>
      </w:r>
      <w:r>
        <w:rPr>
          <w:rFonts w:ascii="Arial" w:cs="Arial" w:eastAsia="Arial" w:hAnsi="Arial"/>
          <w:sz w:val="12"/>
          <w:szCs w:val="12"/>
          <w:color w:val="auto"/>
        </w:rPr>
        <w:t>O THE BEST KNOWLEDGE OF</w:t>
      </w:r>
      <w:r>
        <w:rPr>
          <w:rFonts w:ascii="Arial" w:cs="Arial" w:eastAsia="Arial" w:hAnsi="Arial"/>
          <w:sz w:val="18"/>
          <w:szCs w:val="18"/>
          <w:color w:val="auto"/>
        </w:rPr>
        <w:t xml:space="preserve"> A</w:t>
      </w:r>
      <w:r>
        <w:rPr>
          <w:rFonts w:ascii="Arial" w:cs="Arial" w:eastAsia="Arial" w:hAnsi="Arial"/>
          <w:sz w:val="12"/>
          <w:szCs w:val="12"/>
          <w:color w:val="auto"/>
        </w:rPr>
        <w:t>FFIRIS T</w:t>
      </w:r>
      <w:r>
        <w:rPr>
          <w:rFonts w:ascii="Arial" w:cs="Arial" w:eastAsia="Arial" w:hAnsi="Arial"/>
          <w:sz w:val="18"/>
          <w:szCs w:val="18"/>
          <w:color w:val="auto"/>
        </w:rPr>
        <w:t>here are no proceedings pending or threatened against A</w:t>
      </w:r>
      <w:r>
        <w:rPr>
          <w:rFonts w:ascii="Arial" w:cs="Arial" w:eastAsia="Arial" w:hAnsi="Arial"/>
          <w:sz w:val="12"/>
          <w:szCs w:val="12"/>
          <w:color w:val="auto"/>
        </w:rPr>
        <w:t>FFIRIS</w:t>
      </w:r>
      <w:r>
        <w:rPr>
          <w:rFonts w:ascii="Arial" w:cs="Arial" w:eastAsia="Arial" w:hAnsi="Arial"/>
          <w:sz w:val="18"/>
          <w:szCs w:val="18"/>
          <w:color w:val="auto"/>
        </w:rPr>
        <w:t xml:space="preserve"> seeking to prohibit or limit the consummation of the T</w:t>
      </w:r>
      <w:r>
        <w:rPr>
          <w:rFonts w:ascii="Arial" w:cs="Arial" w:eastAsia="Arial" w:hAnsi="Arial"/>
          <w:sz w:val="12"/>
          <w:szCs w:val="12"/>
          <w:color w:val="auto"/>
        </w:rPr>
        <w:t>RANSFER</w:t>
      </w:r>
      <w:r>
        <w:rPr>
          <w:rFonts w:ascii="Arial" w:cs="Arial" w:eastAsia="Arial" w:hAnsi="Arial"/>
          <w:sz w:val="18"/>
          <w:szCs w:val="18"/>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11.1.2  T</w:t>
      </w:r>
      <w:r>
        <w:rPr>
          <w:rFonts w:ascii="Arial" w:cs="Arial" w:eastAsia="Arial" w:hAnsi="Arial"/>
          <w:sz w:val="12"/>
          <w:szCs w:val="12"/>
          <w:b w:val="1"/>
          <w:bCs w:val="1"/>
          <w:color w:val="auto"/>
        </w:rPr>
        <w:t>RANSFERRED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SSETS</w:t>
      </w:r>
    </w:p>
    <w:p>
      <w:pPr>
        <w:spacing w:after="0" w:line="220" w:lineRule="exact"/>
        <w:rPr>
          <w:sz w:val="20"/>
          <w:szCs w:val="20"/>
          <w:color w:val="auto"/>
        </w:rPr>
      </w:pPr>
    </w:p>
    <w:p>
      <w:pPr>
        <w:ind w:left="660" w:hanging="652"/>
        <w:spacing w:after="0" w:line="246"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2"/>
          <w:szCs w:val="12"/>
          <w:color w:val="auto"/>
        </w:rPr>
        <w:t>FFIRIS</w:t>
      </w:r>
      <w:r>
        <w:rPr>
          <w:rFonts w:ascii="Arial" w:cs="Arial" w:eastAsia="Arial" w:hAnsi="Arial"/>
          <w:sz w:val="18"/>
          <w:szCs w:val="18"/>
          <w:color w:val="auto"/>
        </w:rPr>
        <w:t xml:space="preserve"> is the sole legal and beneficial owner of the T</w:t>
      </w:r>
      <w:r>
        <w:rPr>
          <w:rFonts w:ascii="Arial" w:cs="Arial" w:eastAsia="Arial" w:hAnsi="Arial"/>
          <w:sz w:val="12"/>
          <w:szCs w:val="12"/>
          <w:color w:val="auto"/>
        </w:rPr>
        <w:t>RANSFERRED</w:t>
      </w:r>
      <w:r>
        <w:rPr>
          <w:rFonts w:ascii="Arial" w:cs="Arial" w:eastAsia="Arial" w:hAnsi="Arial"/>
          <w:sz w:val="18"/>
          <w:szCs w:val="18"/>
          <w:color w:val="auto"/>
        </w:rPr>
        <w:t xml:space="preserve"> A</w:t>
      </w:r>
      <w:r>
        <w:rPr>
          <w:rFonts w:ascii="Arial" w:cs="Arial" w:eastAsia="Arial" w:hAnsi="Arial"/>
          <w:sz w:val="12"/>
          <w:szCs w:val="12"/>
          <w:color w:val="auto"/>
        </w:rPr>
        <w:t>SSETS</w:t>
      </w:r>
      <w:r>
        <w:rPr>
          <w:rFonts w:ascii="Arial" w:cs="Arial" w:eastAsia="Arial" w:hAnsi="Arial"/>
          <w:sz w:val="18"/>
          <w:szCs w:val="18"/>
          <w:color w:val="auto"/>
        </w:rPr>
        <w:t>, and the T</w:t>
      </w:r>
      <w:r>
        <w:rPr>
          <w:rFonts w:ascii="Arial" w:cs="Arial" w:eastAsia="Arial" w:hAnsi="Arial"/>
          <w:sz w:val="12"/>
          <w:szCs w:val="12"/>
          <w:color w:val="auto"/>
        </w:rPr>
        <w:t>RANSFERRED</w:t>
      </w:r>
      <w:r>
        <w:rPr>
          <w:rFonts w:ascii="Arial" w:cs="Arial" w:eastAsia="Arial" w:hAnsi="Arial"/>
          <w:sz w:val="18"/>
          <w:szCs w:val="18"/>
          <w:color w:val="auto"/>
        </w:rPr>
        <w:t xml:space="preserve"> A</w:t>
      </w:r>
      <w:r>
        <w:rPr>
          <w:rFonts w:ascii="Arial" w:cs="Arial" w:eastAsia="Arial" w:hAnsi="Arial"/>
          <w:sz w:val="12"/>
          <w:szCs w:val="12"/>
          <w:color w:val="auto"/>
        </w:rPr>
        <w:t>SSETS</w:t>
      </w:r>
      <w:r>
        <w:rPr>
          <w:rFonts w:ascii="Arial" w:cs="Arial" w:eastAsia="Arial" w:hAnsi="Arial"/>
          <w:sz w:val="18"/>
          <w:szCs w:val="18"/>
          <w:color w:val="auto"/>
        </w:rPr>
        <w:t xml:space="preserve"> are clear and free of any L</w:t>
      </w:r>
      <w:r>
        <w:rPr>
          <w:rFonts w:ascii="Arial" w:cs="Arial" w:eastAsia="Arial" w:hAnsi="Arial"/>
          <w:sz w:val="12"/>
          <w:szCs w:val="12"/>
          <w:color w:val="auto"/>
        </w:rPr>
        <w:t>IEN</w:t>
      </w:r>
      <w:r>
        <w:rPr>
          <w:rFonts w:ascii="Arial" w:cs="Arial" w:eastAsia="Arial" w:hAnsi="Arial"/>
          <w:sz w:val="18"/>
          <w:szCs w:val="18"/>
          <w:color w:val="auto"/>
        </w:rPr>
        <w:t>, except for L</w:t>
      </w:r>
      <w:r>
        <w:rPr>
          <w:rFonts w:ascii="Arial" w:cs="Arial" w:eastAsia="Arial" w:hAnsi="Arial"/>
          <w:sz w:val="12"/>
          <w:szCs w:val="12"/>
          <w:color w:val="auto"/>
        </w:rPr>
        <w:t>IENS</w:t>
      </w:r>
      <w:r>
        <w:rPr>
          <w:rFonts w:ascii="Arial" w:cs="Arial" w:eastAsia="Arial" w:hAnsi="Arial"/>
          <w:sz w:val="18"/>
          <w:szCs w:val="18"/>
          <w:color w:val="auto"/>
        </w:rPr>
        <w:t xml:space="preserve"> resulting by operation of law in the ordinary course of business.</w:t>
      </w:r>
    </w:p>
    <w:p>
      <w:pPr>
        <w:spacing w:after="0" w:line="183" w:lineRule="exact"/>
        <w:rPr>
          <w:rFonts w:ascii="Arial" w:cs="Arial" w:eastAsia="Arial" w:hAnsi="Arial"/>
          <w:sz w:val="18"/>
          <w:szCs w:val="18"/>
          <w:color w:val="auto"/>
        </w:rPr>
      </w:pPr>
    </w:p>
    <w:p>
      <w:pPr>
        <w:jc w:val="both"/>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2"/>
          <w:szCs w:val="12"/>
          <w:color w:val="auto"/>
        </w:rPr>
        <w:t>FFIRIS</w:t>
      </w:r>
      <w:r>
        <w:rPr>
          <w:rFonts w:ascii="Arial" w:cs="Arial" w:eastAsia="Arial" w:hAnsi="Arial"/>
          <w:sz w:val="18"/>
          <w:szCs w:val="18"/>
          <w:color w:val="auto"/>
        </w:rPr>
        <w:t xml:space="preserve"> owns or otherwise has the valid right to use all T</w:t>
      </w:r>
      <w:r>
        <w:rPr>
          <w:rFonts w:ascii="Arial" w:cs="Arial" w:eastAsia="Arial" w:hAnsi="Arial"/>
          <w:sz w:val="12"/>
          <w:szCs w:val="12"/>
          <w:color w:val="auto"/>
        </w:rPr>
        <w:t>RANSFERRED</w:t>
      </w:r>
      <w:r>
        <w:rPr>
          <w:rFonts w:ascii="Arial" w:cs="Arial" w:eastAsia="Arial" w:hAnsi="Arial"/>
          <w:sz w:val="18"/>
          <w:szCs w:val="18"/>
          <w:color w:val="auto"/>
        </w:rPr>
        <w:t xml:space="preserve"> A</w:t>
      </w:r>
      <w:r>
        <w:rPr>
          <w:rFonts w:ascii="Arial" w:cs="Arial" w:eastAsia="Arial" w:hAnsi="Arial"/>
          <w:sz w:val="12"/>
          <w:szCs w:val="12"/>
          <w:color w:val="auto"/>
        </w:rPr>
        <w:t>SSETS</w:t>
      </w:r>
      <w:r>
        <w:rPr>
          <w:rFonts w:ascii="Arial" w:cs="Arial" w:eastAsia="Arial" w:hAnsi="Arial"/>
          <w:sz w:val="18"/>
          <w:szCs w:val="18"/>
          <w:color w:val="auto"/>
        </w:rPr>
        <w:t>. There has been no termination, or threat of termination of right to use the T</w:t>
      </w:r>
      <w:r>
        <w:rPr>
          <w:rFonts w:ascii="Arial" w:cs="Arial" w:eastAsia="Arial" w:hAnsi="Arial"/>
          <w:sz w:val="12"/>
          <w:szCs w:val="12"/>
          <w:color w:val="auto"/>
        </w:rPr>
        <w:t>RANSFERRED</w:t>
      </w:r>
      <w:r>
        <w:rPr>
          <w:rFonts w:ascii="Arial" w:cs="Arial" w:eastAsia="Arial" w:hAnsi="Arial"/>
          <w:sz w:val="18"/>
          <w:szCs w:val="18"/>
          <w:color w:val="auto"/>
        </w:rPr>
        <w:t xml:space="preserve"> A</w:t>
      </w:r>
      <w:r>
        <w:rPr>
          <w:rFonts w:ascii="Arial" w:cs="Arial" w:eastAsia="Arial" w:hAnsi="Arial"/>
          <w:sz w:val="12"/>
          <w:szCs w:val="12"/>
          <w:color w:val="auto"/>
        </w:rPr>
        <w:t>SSETS</w:t>
      </w:r>
      <w:r>
        <w:rPr>
          <w:rFonts w:ascii="Arial" w:cs="Arial" w:eastAsia="Arial" w:hAnsi="Arial"/>
          <w:sz w:val="18"/>
          <w:szCs w:val="18"/>
          <w:color w:val="auto"/>
        </w:rPr>
        <w:t xml:space="preserve">, nor are there, </w:t>
      </w:r>
      <w:r>
        <w:rPr>
          <w:rFonts w:ascii="Arial" w:cs="Arial" w:eastAsia="Arial" w:hAnsi="Arial"/>
          <w:sz w:val="12"/>
          <w:szCs w:val="12"/>
          <w:color w:val="auto"/>
        </w:rPr>
        <w:t>TO THE BEST KNOWLEDGE OF</w:t>
      </w:r>
      <w:r>
        <w:rPr>
          <w:rFonts w:ascii="Arial" w:cs="Arial" w:eastAsia="Arial" w:hAnsi="Arial"/>
          <w:sz w:val="18"/>
          <w:szCs w:val="18"/>
          <w:color w:val="auto"/>
        </w:rPr>
        <w:t xml:space="preserve"> A</w:t>
      </w:r>
      <w:r>
        <w:rPr>
          <w:rFonts w:ascii="Arial" w:cs="Arial" w:eastAsia="Arial" w:hAnsi="Arial"/>
          <w:sz w:val="12"/>
          <w:szCs w:val="12"/>
          <w:color w:val="auto"/>
        </w:rPr>
        <w:t>FFIRIS</w:t>
      </w:r>
      <w:r>
        <w:rPr>
          <w:rFonts w:ascii="Arial" w:cs="Arial" w:eastAsia="Arial" w:hAnsi="Arial"/>
          <w:sz w:val="18"/>
          <w:szCs w:val="18"/>
          <w:color w:val="auto"/>
        </w:rPr>
        <w:t>,any circumstances likely to result in such termination.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11.1.3  Employees of A</w:t>
      </w:r>
      <w:r>
        <w:rPr>
          <w:rFonts w:ascii="Arial" w:cs="Arial" w:eastAsia="Arial" w:hAnsi="Arial"/>
          <w:sz w:val="12"/>
          <w:szCs w:val="12"/>
          <w:b w:val="1"/>
          <w:bCs w:val="1"/>
          <w:color w:val="auto"/>
        </w:rPr>
        <w:t>FFIRIS</w:t>
      </w:r>
    </w:p>
    <w:p>
      <w:pPr>
        <w:spacing w:after="0" w:line="220" w:lineRule="exact"/>
        <w:rPr>
          <w:sz w:val="20"/>
          <w:szCs w:val="20"/>
          <w:color w:val="auto"/>
        </w:rPr>
      </w:pPr>
    </w:p>
    <w:p>
      <w:pPr>
        <w:jc w:val="both"/>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staff reductions of A</w:t>
      </w:r>
      <w:r>
        <w:rPr>
          <w:rFonts w:ascii="Arial" w:cs="Arial" w:eastAsia="Arial" w:hAnsi="Arial"/>
          <w:sz w:val="12"/>
          <w:szCs w:val="12"/>
          <w:color w:val="auto"/>
        </w:rPr>
        <w:t>FFIRIS</w:t>
      </w:r>
      <w:r>
        <w:rPr>
          <w:rFonts w:ascii="Arial" w:cs="Arial" w:eastAsia="Arial" w:hAnsi="Arial"/>
          <w:sz w:val="18"/>
          <w:szCs w:val="18"/>
          <w:color w:val="auto"/>
        </w:rPr>
        <w:t xml:space="preserve"> in 2018 and 2020 have occurred in accordance with applicable law and A</w:t>
      </w:r>
      <w:r>
        <w:rPr>
          <w:rFonts w:ascii="Arial" w:cs="Arial" w:eastAsia="Arial" w:hAnsi="Arial"/>
          <w:sz w:val="12"/>
          <w:szCs w:val="12"/>
          <w:color w:val="auto"/>
        </w:rPr>
        <w:t>FFIRIS</w:t>
      </w:r>
      <w:r>
        <w:rPr>
          <w:rFonts w:ascii="Arial" w:cs="Arial" w:eastAsia="Arial" w:hAnsi="Arial"/>
          <w:sz w:val="18"/>
          <w:szCs w:val="18"/>
          <w:color w:val="auto"/>
        </w:rPr>
        <w:t xml:space="preserve"> has fulfilled all obligations and liabilities under the respective social plans as well as the cooperation agreement with </w:t>
      </w:r>
      <w:r>
        <w:rPr>
          <w:rFonts w:ascii="Arial" w:cs="Arial" w:eastAsia="Arial" w:hAnsi="Arial"/>
          <w:sz w:val="18"/>
          <w:szCs w:val="18"/>
          <w:i w:val="1"/>
          <w:iCs w:val="1"/>
          <w:color w:val="auto"/>
        </w:rPr>
        <w:t>Wiener ArbeitnehmerInnen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Förderungsfonds </w:t>
      </w:r>
      <w:r>
        <w:rPr>
          <w:rFonts w:ascii="Arial" w:cs="Arial" w:eastAsia="Arial" w:hAnsi="Arial"/>
          <w:sz w:val="18"/>
          <w:szCs w:val="18"/>
          <w:color w:val="auto"/>
        </w:rPr>
        <w:t>dated 30 January 2019.</w:t>
      </w:r>
    </w:p>
    <w:p>
      <w:pPr>
        <w:spacing w:after="0" w:line="189"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current and previous individuals employed or otherwise engaged by A</w:t>
      </w:r>
      <w:r>
        <w:rPr>
          <w:rFonts w:ascii="Arial" w:cs="Arial" w:eastAsia="Arial" w:hAnsi="Arial"/>
          <w:sz w:val="12"/>
          <w:szCs w:val="12"/>
          <w:color w:val="auto"/>
        </w:rPr>
        <w:t>FFIRIS</w:t>
      </w:r>
      <w:r>
        <w:rPr>
          <w:rFonts w:ascii="Arial" w:cs="Arial" w:eastAsia="Arial" w:hAnsi="Arial"/>
          <w:sz w:val="18"/>
          <w:szCs w:val="18"/>
          <w:color w:val="auto"/>
        </w:rPr>
        <w:t xml:space="preserve"> or on behalf of A</w:t>
      </w:r>
      <w:r>
        <w:rPr>
          <w:rFonts w:ascii="Arial" w:cs="Arial" w:eastAsia="Arial" w:hAnsi="Arial"/>
          <w:sz w:val="12"/>
          <w:szCs w:val="12"/>
          <w:color w:val="auto"/>
        </w:rPr>
        <w:t>FFIRIS</w:t>
      </w:r>
      <w:r>
        <w:rPr>
          <w:rFonts w:ascii="Arial" w:cs="Arial" w:eastAsia="Arial" w:hAnsi="Arial"/>
          <w:sz w:val="18"/>
          <w:szCs w:val="18"/>
          <w:color w:val="auto"/>
        </w:rPr>
        <w:t xml:space="preserve"> have documented in written records held by A</w:t>
      </w:r>
      <w:r>
        <w:rPr>
          <w:rFonts w:ascii="Arial" w:cs="Arial" w:eastAsia="Arial" w:hAnsi="Arial"/>
          <w:sz w:val="12"/>
          <w:szCs w:val="12"/>
          <w:color w:val="auto"/>
        </w:rPr>
        <w:t>FFIRIS</w:t>
      </w:r>
      <w:r>
        <w:rPr>
          <w:rFonts w:ascii="Arial" w:cs="Arial" w:eastAsia="Arial" w:hAnsi="Arial"/>
          <w:sz w:val="18"/>
          <w:szCs w:val="18"/>
          <w:color w:val="auto"/>
        </w:rPr>
        <w:t xml:space="preserve"> all K</w:t>
      </w:r>
      <w:r>
        <w:rPr>
          <w:rFonts w:ascii="Arial" w:cs="Arial" w:eastAsia="Arial" w:hAnsi="Arial"/>
          <w:sz w:val="12"/>
          <w:szCs w:val="12"/>
          <w:color w:val="auto"/>
        </w:rPr>
        <w:t>NOW</w:t>
      </w:r>
      <w:r>
        <w:rPr>
          <w:rFonts w:ascii="Arial" w:cs="Arial" w:eastAsia="Arial" w:hAnsi="Arial"/>
          <w:sz w:val="18"/>
          <w:szCs w:val="18"/>
          <w:color w:val="auto"/>
        </w:rPr>
        <w:t>-H</w:t>
      </w:r>
      <w:r>
        <w:rPr>
          <w:rFonts w:ascii="Arial" w:cs="Arial" w:eastAsia="Arial" w:hAnsi="Arial"/>
          <w:sz w:val="12"/>
          <w:szCs w:val="12"/>
          <w:color w:val="auto"/>
        </w:rPr>
        <w:t>OW</w:t>
      </w:r>
      <w:r>
        <w:rPr>
          <w:rFonts w:ascii="Arial" w:cs="Arial" w:eastAsia="Arial" w:hAnsi="Arial"/>
          <w:sz w:val="18"/>
          <w:szCs w:val="18"/>
          <w:color w:val="auto"/>
        </w:rPr>
        <w:t xml:space="preserve"> generated for A</w:t>
      </w:r>
      <w:r>
        <w:rPr>
          <w:rFonts w:ascii="Arial" w:cs="Arial" w:eastAsia="Arial" w:hAnsi="Arial"/>
          <w:sz w:val="12"/>
          <w:szCs w:val="12"/>
          <w:color w:val="auto"/>
        </w:rPr>
        <w:t>FFIRIS</w:t>
      </w:r>
      <w:r>
        <w:rPr>
          <w:rFonts w:ascii="Arial" w:cs="Arial" w:eastAsia="Arial" w:hAnsi="Arial"/>
          <w:sz w:val="18"/>
          <w:szCs w:val="18"/>
          <w:color w:val="auto"/>
        </w:rPr>
        <w:t xml:space="preserve"> and pertaining to the P</w:t>
      </w:r>
      <w:r>
        <w:rPr>
          <w:rFonts w:ascii="Arial" w:cs="Arial" w:eastAsia="Arial" w:hAnsi="Arial"/>
          <w:sz w:val="12"/>
          <w:szCs w:val="12"/>
          <w:color w:val="auto"/>
        </w:rPr>
        <w:t>ROGRAMS</w:t>
      </w:r>
      <w:r>
        <w:rPr>
          <w:rFonts w:ascii="Arial" w:cs="Arial" w:eastAsia="Arial" w:hAnsi="Arial"/>
          <w:sz w:val="18"/>
          <w:szCs w:val="18"/>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11.1.4  Intellectual Property</w:t>
      </w:r>
    </w:p>
    <w:p>
      <w:pPr>
        <w:spacing w:after="0" w:line="220" w:lineRule="exact"/>
        <w:rPr>
          <w:sz w:val="20"/>
          <w:szCs w:val="20"/>
          <w:color w:val="auto"/>
        </w:rPr>
      </w:pPr>
    </w:p>
    <w:p>
      <w:pPr>
        <w:jc w:val="both"/>
        <w:ind w:left="660" w:hanging="652"/>
        <w:spacing w:after="0" w:line="236"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A</w:t>
      </w:r>
      <w:r>
        <w:rPr>
          <w:rFonts w:ascii="Arial" w:cs="Arial" w:eastAsia="Arial" w:hAnsi="Arial"/>
          <w:sz w:val="12"/>
          <w:szCs w:val="12"/>
          <w:u w:val="single" w:color="auto"/>
          <w:color w:val="auto"/>
        </w:rPr>
        <w:t>NNEX</w:t>
      </w:r>
      <w:r>
        <w:rPr>
          <w:rFonts w:ascii="Arial" w:cs="Arial" w:eastAsia="Arial" w:hAnsi="Arial"/>
          <w:sz w:val="18"/>
          <w:szCs w:val="18"/>
          <w:color w:val="auto"/>
        </w:rPr>
        <w:t xml:space="preserve"> </w:t>
      </w:r>
      <w:r>
        <w:rPr>
          <w:rFonts w:ascii="Arial" w:cs="Arial" w:eastAsia="Arial" w:hAnsi="Arial"/>
          <w:sz w:val="18"/>
          <w:szCs w:val="18"/>
          <w:u w:val="single" w:color="auto"/>
          <w:color w:val="auto"/>
        </w:rPr>
        <w:t>1</w:t>
      </w:r>
      <w:r>
        <w:rPr>
          <w:rFonts w:ascii="Arial" w:cs="Arial" w:eastAsia="Arial" w:hAnsi="Arial"/>
          <w:sz w:val="18"/>
          <w:szCs w:val="18"/>
          <w:color w:val="auto"/>
        </w:rPr>
        <w:t xml:space="preserve"> contains a correct list of all I</w:t>
      </w:r>
      <w:r>
        <w:rPr>
          <w:rFonts w:ascii="Arial" w:cs="Arial" w:eastAsia="Arial" w:hAnsi="Arial"/>
          <w:sz w:val="12"/>
          <w:szCs w:val="12"/>
          <w:color w:val="auto"/>
        </w:rPr>
        <w:t>NTELLECTUAL</w:t>
      </w:r>
      <w:r>
        <w:rPr>
          <w:rFonts w:ascii="Arial" w:cs="Arial" w:eastAsia="Arial" w:hAnsi="Arial"/>
          <w:sz w:val="18"/>
          <w:szCs w:val="18"/>
          <w:color w:val="auto"/>
        </w:rPr>
        <w:t xml:space="preserve"> P</w:t>
      </w:r>
      <w:r>
        <w:rPr>
          <w:rFonts w:ascii="Arial" w:cs="Arial" w:eastAsia="Arial" w:hAnsi="Arial"/>
          <w:sz w:val="12"/>
          <w:szCs w:val="12"/>
          <w:color w:val="auto"/>
        </w:rPr>
        <w:t>ROPERTY</w:t>
      </w:r>
      <w:r>
        <w:rPr>
          <w:rFonts w:ascii="Arial" w:cs="Arial" w:eastAsia="Arial" w:hAnsi="Arial"/>
          <w:sz w:val="18"/>
          <w:szCs w:val="18"/>
          <w:color w:val="auto"/>
        </w:rPr>
        <w:t xml:space="preserve"> R</w:t>
      </w:r>
      <w:r>
        <w:rPr>
          <w:rFonts w:ascii="Arial" w:cs="Arial" w:eastAsia="Arial" w:hAnsi="Arial"/>
          <w:sz w:val="12"/>
          <w:szCs w:val="12"/>
          <w:color w:val="auto"/>
        </w:rPr>
        <w:t>IGHTS</w:t>
      </w:r>
      <w:r>
        <w:rPr>
          <w:rFonts w:ascii="Arial" w:cs="Arial" w:eastAsia="Arial" w:hAnsi="Arial"/>
          <w:sz w:val="18"/>
          <w:szCs w:val="18"/>
          <w:color w:val="auto"/>
        </w:rPr>
        <w:t xml:space="preserve"> owned and used by A</w:t>
      </w:r>
      <w:r>
        <w:rPr>
          <w:rFonts w:ascii="Arial" w:cs="Arial" w:eastAsia="Arial" w:hAnsi="Arial"/>
          <w:sz w:val="12"/>
          <w:szCs w:val="12"/>
          <w:color w:val="auto"/>
        </w:rPr>
        <w:t>FFIRIS</w:t>
      </w:r>
      <w:r>
        <w:rPr>
          <w:rFonts w:ascii="Arial" w:cs="Arial" w:eastAsia="Arial" w:hAnsi="Arial"/>
          <w:sz w:val="18"/>
          <w:szCs w:val="18"/>
          <w:color w:val="auto"/>
        </w:rPr>
        <w:t xml:space="preserve"> in connection with the P</w:t>
      </w:r>
      <w:r>
        <w:rPr>
          <w:rFonts w:ascii="Arial" w:cs="Arial" w:eastAsia="Arial" w:hAnsi="Arial"/>
          <w:sz w:val="12"/>
          <w:szCs w:val="12"/>
          <w:color w:val="auto"/>
        </w:rPr>
        <w:t>ROGRAMS</w:t>
      </w:r>
      <w:r>
        <w:rPr>
          <w:rFonts w:ascii="Arial" w:cs="Arial" w:eastAsia="Arial" w:hAnsi="Arial"/>
          <w:sz w:val="18"/>
          <w:szCs w:val="18"/>
          <w:color w:val="auto"/>
        </w:rPr>
        <w:t>. A</w:t>
      </w:r>
      <w:r>
        <w:rPr>
          <w:rFonts w:ascii="Arial" w:cs="Arial" w:eastAsia="Arial" w:hAnsi="Arial"/>
          <w:sz w:val="12"/>
          <w:szCs w:val="12"/>
          <w:color w:val="auto"/>
        </w:rPr>
        <w:t>FFIRIS</w:t>
      </w:r>
      <w:r>
        <w:rPr>
          <w:rFonts w:ascii="Arial" w:cs="Arial" w:eastAsia="Arial" w:hAnsi="Arial"/>
          <w:sz w:val="18"/>
          <w:szCs w:val="18"/>
          <w:color w:val="auto"/>
        </w:rPr>
        <w:t xml:space="preserve"> is the sole legal and beneficial owner of all I</w:t>
      </w:r>
      <w:r>
        <w:rPr>
          <w:rFonts w:ascii="Arial" w:cs="Arial" w:eastAsia="Arial" w:hAnsi="Arial"/>
          <w:sz w:val="12"/>
          <w:szCs w:val="12"/>
          <w:color w:val="auto"/>
        </w:rPr>
        <w:t>NTELLECTUAL</w:t>
      </w:r>
      <w:r>
        <w:rPr>
          <w:rFonts w:ascii="Arial" w:cs="Arial" w:eastAsia="Arial" w:hAnsi="Arial"/>
          <w:sz w:val="18"/>
          <w:szCs w:val="18"/>
          <w:color w:val="auto"/>
        </w:rPr>
        <w:t xml:space="preserve"> P</w:t>
      </w:r>
      <w:r>
        <w:rPr>
          <w:rFonts w:ascii="Arial" w:cs="Arial" w:eastAsia="Arial" w:hAnsi="Arial"/>
          <w:sz w:val="12"/>
          <w:szCs w:val="12"/>
          <w:color w:val="auto"/>
        </w:rPr>
        <w:t>ROPERTY</w:t>
      </w:r>
      <w:r>
        <w:rPr>
          <w:rFonts w:ascii="Arial" w:cs="Arial" w:eastAsia="Arial" w:hAnsi="Arial"/>
          <w:sz w:val="18"/>
          <w:szCs w:val="18"/>
          <w:color w:val="auto"/>
        </w:rPr>
        <w:t xml:space="preserve"> R</w:t>
      </w:r>
      <w:r>
        <w:rPr>
          <w:rFonts w:ascii="Arial" w:cs="Arial" w:eastAsia="Arial" w:hAnsi="Arial"/>
          <w:sz w:val="12"/>
          <w:szCs w:val="12"/>
          <w:color w:val="auto"/>
        </w:rPr>
        <w:t>IGHTS</w:t>
      </w:r>
      <w:r>
        <w:rPr>
          <w:rFonts w:ascii="Arial" w:cs="Arial" w:eastAsia="Arial" w:hAnsi="Arial"/>
          <w:sz w:val="18"/>
          <w:szCs w:val="18"/>
          <w:color w:val="auto"/>
        </w:rPr>
        <w:t xml:space="preserve"> contained in </w:t>
      </w:r>
      <w:r>
        <w:rPr>
          <w:rFonts w:ascii="Arial" w:cs="Arial" w:eastAsia="Arial" w:hAnsi="Arial"/>
          <w:sz w:val="18"/>
          <w:szCs w:val="18"/>
          <w:u w:val="single" w:color="auto"/>
          <w:color w:val="auto"/>
        </w:rPr>
        <w:t>A</w:t>
      </w:r>
      <w:r>
        <w:rPr>
          <w:rFonts w:ascii="Arial" w:cs="Arial" w:eastAsia="Arial" w:hAnsi="Arial"/>
          <w:sz w:val="12"/>
          <w:szCs w:val="12"/>
          <w:u w:val="single" w:color="auto"/>
          <w:color w:val="auto"/>
        </w:rPr>
        <w:t>NNEX</w:t>
      </w:r>
      <w:r>
        <w:rPr>
          <w:rFonts w:ascii="Arial" w:cs="Arial" w:eastAsia="Arial" w:hAnsi="Arial"/>
          <w:sz w:val="18"/>
          <w:szCs w:val="18"/>
          <w:color w:val="auto"/>
        </w:rPr>
        <w:t xml:space="preserve"> </w:t>
      </w:r>
      <w:r>
        <w:rPr>
          <w:rFonts w:ascii="Arial" w:cs="Arial" w:eastAsia="Arial" w:hAnsi="Arial"/>
          <w:sz w:val="18"/>
          <w:szCs w:val="18"/>
          <w:u w:val="single" w:color="auto"/>
          <w:color w:val="auto"/>
        </w:rPr>
        <w:t>1</w:t>
      </w:r>
      <w:r>
        <w:rPr>
          <w:rFonts w:ascii="Arial" w:cs="Arial" w:eastAsia="Arial" w:hAnsi="Arial"/>
          <w:sz w:val="18"/>
          <w:szCs w:val="18"/>
          <w:color w:val="auto"/>
        </w:rPr>
        <w:t>, which are all free and clear of any L</w:t>
      </w:r>
      <w:r>
        <w:rPr>
          <w:rFonts w:ascii="Arial" w:cs="Arial" w:eastAsia="Arial" w:hAnsi="Arial"/>
          <w:sz w:val="12"/>
          <w:szCs w:val="12"/>
          <w:color w:val="auto"/>
        </w:rPr>
        <w:t>IEN</w:t>
      </w:r>
      <w:r>
        <w:rPr>
          <w:rFonts w:ascii="Arial" w:cs="Arial" w:eastAsia="Arial" w:hAnsi="Arial"/>
          <w:sz w:val="18"/>
          <w:szCs w:val="18"/>
          <w:color w:val="auto"/>
        </w:rPr>
        <w:t xml:space="preserve"> (including rights of employees, inventors and authors). </w:t>
      </w:r>
      <w:r>
        <w:rPr>
          <w:rFonts w:ascii="Arial" w:cs="Arial" w:eastAsia="Arial" w:hAnsi="Arial"/>
          <w:sz w:val="18"/>
          <w:szCs w:val="18"/>
          <w:u w:val="single" w:color="auto"/>
          <w:color w:val="auto"/>
        </w:rPr>
        <w:t>A</w:t>
      </w:r>
      <w:r>
        <w:rPr>
          <w:rFonts w:ascii="Arial" w:cs="Arial" w:eastAsia="Arial" w:hAnsi="Arial"/>
          <w:sz w:val="12"/>
          <w:szCs w:val="12"/>
          <w:u w:val="single" w:color="auto"/>
          <w:color w:val="auto"/>
        </w:rPr>
        <w:t>NNEX</w:t>
      </w:r>
      <w:r>
        <w:rPr>
          <w:rFonts w:ascii="Arial" w:cs="Arial" w:eastAsia="Arial" w:hAnsi="Arial"/>
          <w:sz w:val="18"/>
          <w:szCs w:val="18"/>
          <w:color w:val="auto"/>
        </w:rPr>
        <w:t xml:space="preserve"> </w:t>
      </w:r>
      <w:r>
        <w:rPr>
          <w:rFonts w:ascii="Arial" w:cs="Arial" w:eastAsia="Arial" w:hAnsi="Arial"/>
          <w:sz w:val="18"/>
          <w:szCs w:val="18"/>
          <w:u w:val="single" w:color="auto"/>
          <w:color w:val="auto"/>
        </w:rPr>
        <w:t>2</w:t>
      </w:r>
      <w:r>
        <w:rPr>
          <w:rFonts w:ascii="Arial" w:cs="Arial" w:eastAsia="Arial" w:hAnsi="Arial"/>
          <w:sz w:val="18"/>
          <w:szCs w:val="18"/>
          <w:color w:val="auto"/>
        </w:rPr>
        <w:t xml:space="preserve"> contains a correct list of all I</w:t>
      </w:r>
      <w:r>
        <w:rPr>
          <w:rFonts w:ascii="Arial" w:cs="Arial" w:eastAsia="Arial" w:hAnsi="Arial"/>
          <w:sz w:val="12"/>
          <w:szCs w:val="12"/>
          <w:color w:val="auto"/>
        </w:rPr>
        <w:t>NTELLECTUAL</w:t>
      </w:r>
      <w:r>
        <w:rPr>
          <w:rFonts w:ascii="Arial" w:cs="Arial" w:eastAsia="Arial" w:hAnsi="Arial"/>
          <w:sz w:val="18"/>
          <w:szCs w:val="18"/>
          <w:color w:val="auto"/>
        </w:rPr>
        <w:t xml:space="preserve"> P</w:t>
      </w:r>
      <w:r>
        <w:rPr>
          <w:rFonts w:ascii="Arial" w:cs="Arial" w:eastAsia="Arial" w:hAnsi="Arial"/>
          <w:sz w:val="12"/>
          <w:szCs w:val="12"/>
          <w:color w:val="auto"/>
        </w:rPr>
        <w:t>ROPERTY</w:t>
      </w:r>
      <w:r>
        <w:rPr>
          <w:rFonts w:ascii="Arial" w:cs="Arial" w:eastAsia="Arial" w:hAnsi="Arial"/>
          <w:sz w:val="18"/>
          <w:szCs w:val="18"/>
          <w:color w:val="auto"/>
        </w:rPr>
        <w:t xml:space="preserve"> R</w:t>
      </w:r>
      <w:r>
        <w:rPr>
          <w:rFonts w:ascii="Arial" w:cs="Arial" w:eastAsia="Arial" w:hAnsi="Arial"/>
          <w:sz w:val="12"/>
          <w:szCs w:val="12"/>
          <w:color w:val="auto"/>
        </w:rPr>
        <w:t>IGHTS</w:t>
      </w:r>
      <w:r>
        <w:rPr>
          <w:rFonts w:ascii="Arial" w:cs="Arial" w:eastAsia="Arial" w:hAnsi="Arial"/>
          <w:sz w:val="18"/>
          <w:szCs w:val="18"/>
          <w:color w:val="auto"/>
        </w:rPr>
        <w:t xml:space="preserve"> owned and used or only used by A</w:t>
      </w:r>
      <w:r>
        <w:rPr>
          <w:rFonts w:ascii="Arial" w:cs="Arial" w:eastAsia="Arial" w:hAnsi="Arial"/>
          <w:sz w:val="12"/>
          <w:szCs w:val="12"/>
          <w:color w:val="auto"/>
        </w:rPr>
        <w:t>FFIRIS</w:t>
      </w:r>
      <w:r>
        <w:rPr>
          <w:rFonts w:ascii="Arial" w:cs="Arial" w:eastAsia="Arial" w:hAnsi="Arial"/>
          <w:sz w:val="18"/>
          <w:szCs w:val="18"/>
          <w:color w:val="auto"/>
        </w:rPr>
        <w:t xml:space="preserve"> in connection with the P</w:t>
      </w:r>
      <w:r>
        <w:rPr>
          <w:rFonts w:ascii="Arial" w:cs="Arial" w:eastAsia="Arial" w:hAnsi="Arial"/>
          <w:sz w:val="12"/>
          <w:szCs w:val="12"/>
          <w:color w:val="auto"/>
        </w:rPr>
        <w:t>ROGRAMS</w:t>
      </w:r>
      <w:r>
        <w:rPr>
          <w:rFonts w:ascii="Arial" w:cs="Arial" w:eastAsia="Arial" w:hAnsi="Arial"/>
          <w:sz w:val="18"/>
          <w:szCs w:val="18"/>
          <w:color w:val="auto"/>
        </w:rPr>
        <w:t>. In case such I</w:t>
      </w:r>
      <w:r>
        <w:rPr>
          <w:rFonts w:ascii="Arial" w:cs="Arial" w:eastAsia="Arial" w:hAnsi="Arial"/>
          <w:sz w:val="12"/>
          <w:szCs w:val="12"/>
          <w:color w:val="auto"/>
        </w:rPr>
        <w:t>NTELLECTUAL</w:t>
      </w:r>
      <w:r>
        <w:rPr>
          <w:rFonts w:ascii="Arial" w:cs="Arial" w:eastAsia="Arial" w:hAnsi="Arial"/>
          <w:sz w:val="18"/>
          <w:szCs w:val="18"/>
          <w:color w:val="auto"/>
        </w:rPr>
        <w:t xml:space="preserve"> P</w:t>
      </w:r>
      <w:r>
        <w:rPr>
          <w:rFonts w:ascii="Arial" w:cs="Arial" w:eastAsia="Arial" w:hAnsi="Arial"/>
          <w:sz w:val="12"/>
          <w:szCs w:val="12"/>
          <w:color w:val="auto"/>
        </w:rPr>
        <w:t>ROPERTY</w:t>
      </w:r>
      <w:r>
        <w:rPr>
          <w:rFonts w:ascii="Arial" w:cs="Arial" w:eastAsia="Arial" w:hAnsi="Arial"/>
          <w:sz w:val="18"/>
          <w:szCs w:val="18"/>
          <w:color w:val="auto"/>
        </w:rPr>
        <w:t xml:space="preserve"> R</w:t>
      </w:r>
      <w:r>
        <w:rPr>
          <w:rFonts w:ascii="Arial" w:cs="Arial" w:eastAsia="Arial" w:hAnsi="Arial"/>
          <w:sz w:val="12"/>
          <w:szCs w:val="12"/>
          <w:color w:val="auto"/>
        </w:rPr>
        <w:t>IGHTS</w:t>
      </w:r>
      <w:r>
        <w:rPr>
          <w:rFonts w:ascii="Arial" w:cs="Arial" w:eastAsia="Arial" w:hAnsi="Arial"/>
          <w:sz w:val="18"/>
          <w:szCs w:val="18"/>
          <w:color w:val="auto"/>
        </w:rPr>
        <w:t xml:space="preserve"> as contained in </w:t>
      </w:r>
      <w:r>
        <w:rPr>
          <w:rFonts w:ascii="Arial" w:cs="Arial" w:eastAsia="Arial" w:hAnsi="Arial"/>
          <w:sz w:val="18"/>
          <w:szCs w:val="18"/>
          <w:u w:val="single" w:color="auto"/>
          <w:color w:val="auto"/>
        </w:rPr>
        <w:t>A</w:t>
      </w:r>
      <w:r>
        <w:rPr>
          <w:rFonts w:ascii="Arial" w:cs="Arial" w:eastAsia="Arial" w:hAnsi="Arial"/>
          <w:sz w:val="12"/>
          <w:szCs w:val="12"/>
          <w:u w:val="single" w:color="auto"/>
          <w:color w:val="auto"/>
        </w:rPr>
        <w:t>NNEX</w:t>
      </w:r>
      <w:r>
        <w:rPr>
          <w:rFonts w:ascii="Arial" w:cs="Arial" w:eastAsia="Arial" w:hAnsi="Arial"/>
          <w:sz w:val="18"/>
          <w:szCs w:val="18"/>
          <w:color w:val="auto"/>
        </w:rPr>
        <w:t xml:space="preserve"> </w:t>
      </w:r>
      <w:r>
        <w:rPr>
          <w:rFonts w:ascii="Arial" w:cs="Arial" w:eastAsia="Arial" w:hAnsi="Arial"/>
          <w:sz w:val="18"/>
          <w:szCs w:val="18"/>
          <w:u w:val="single" w:color="auto"/>
          <w:color w:val="auto"/>
        </w:rPr>
        <w:t>2</w:t>
      </w:r>
      <w:r>
        <w:rPr>
          <w:rFonts w:ascii="Arial" w:cs="Arial" w:eastAsia="Arial" w:hAnsi="Arial"/>
          <w:sz w:val="18"/>
          <w:szCs w:val="18"/>
          <w:color w:val="auto"/>
        </w:rPr>
        <w:t xml:space="preserve"> are owned by A</w:t>
      </w:r>
      <w:r>
        <w:rPr>
          <w:rFonts w:ascii="Arial" w:cs="Arial" w:eastAsia="Arial" w:hAnsi="Arial"/>
          <w:sz w:val="12"/>
          <w:szCs w:val="12"/>
          <w:color w:val="auto"/>
        </w:rPr>
        <w:t>FFIRIS</w:t>
      </w:r>
      <w:r>
        <w:rPr>
          <w:rFonts w:ascii="Arial" w:cs="Arial" w:eastAsia="Arial" w:hAnsi="Arial"/>
          <w:sz w:val="18"/>
          <w:szCs w:val="18"/>
          <w:color w:val="auto"/>
        </w:rPr>
        <w:t>, A</w:t>
      </w:r>
      <w:r>
        <w:rPr>
          <w:rFonts w:ascii="Arial" w:cs="Arial" w:eastAsia="Arial" w:hAnsi="Arial"/>
          <w:sz w:val="12"/>
          <w:szCs w:val="12"/>
          <w:color w:val="auto"/>
        </w:rPr>
        <w:t>FFIRIS</w:t>
      </w:r>
      <w:r>
        <w:rPr>
          <w:rFonts w:ascii="Arial" w:cs="Arial" w:eastAsia="Arial" w:hAnsi="Arial"/>
          <w:sz w:val="18"/>
          <w:szCs w:val="18"/>
          <w:color w:val="auto"/>
        </w:rPr>
        <w:t xml:space="preserve"> is the sole legal and beneficial owner of the I</w:t>
      </w:r>
      <w:r>
        <w:rPr>
          <w:rFonts w:ascii="Arial" w:cs="Arial" w:eastAsia="Arial" w:hAnsi="Arial"/>
          <w:sz w:val="12"/>
          <w:szCs w:val="12"/>
          <w:color w:val="auto"/>
        </w:rPr>
        <w:t>NTELLECTUAL</w:t>
      </w:r>
      <w:r>
        <w:rPr>
          <w:rFonts w:ascii="Arial" w:cs="Arial" w:eastAsia="Arial" w:hAnsi="Arial"/>
          <w:sz w:val="18"/>
          <w:szCs w:val="18"/>
          <w:color w:val="auto"/>
        </w:rPr>
        <w:t xml:space="preserve"> P</w:t>
      </w:r>
      <w:r>
        <w:rPr>
          <w:rFonts w:ascii="Arial" w:cs="Arial" w:eastAsia="Arial" w:hAnsi="Arial"/>
          <w:sz w:val="12"/>
          <w:szCs w:val="12"/>
          <w:color w:val="auto"/>
        </w:rPr>
        <w:t>ROPERTY</w:t>
      </w:r>
      <w:r>
        <w:rPr>
          <w:rFonts w:ascii="Arial" w:cs="Arial" w:eastAsia="Arial" w:hAnsi="Arial"/>
          <w:sz w:val="18"/>
          <w:szCs w:val="18"/>
          <w:color w:val="auto"/>
        </w:rPr>
        <w:t xml:space="preserve"> R</w:t>
      </w:r>
      <w:r>
        <w:rPr>
          <w:rFonts w:ascii="Arial" w:cs="Arial" w:eastAsia="Arial" w:hAnsi="Arial"/>
          <w:sz w:val="12"/>
          <w:szCs w:val="12"/>
          <w:color w:val="auto"/>
        </w:rPr>
        <w:t>IGHTS</w:t>
      </w:r>
      <w:r>
        <w:rPr>
          <w:rFonts w:ascii="Arial" w:cs="Arial" w:eastAsia="Arial" w:hAnsi="Arial"/>
          <w:sz w:val="18"/>
          <w:szCs w:val="18"/>
          <w:color w:val="auto"/>
        </w:rPr>
        <w:t>, which are all free and clear of any L</w:t>
      </w:r>
      <w:r>
        <w:rPr>
          <w:rFonts w:ascii="Arial" w:cs="Arial" w:eastAsia="Arial" w:hAnsi="Arial"/>
          <w:sz w:val="12"/>
          <w:szCs w:val="12"/>
          <w:color w:val="auto"/>
        </w:rPr>
        <w:t>IEN</w:t>
      </w:r>
      <w:r>
        <w:rPr>
          <w:rFonts w:ascii="Arial" w:cs="Arial" w:eastAsia="Arial" w:hAnsi="Arial"/>
          <w:sz w:val="18"/>
          <w:szCs w:val="18"/>
          <w:color w:val="auto"/>
        </w:rPr>
        <w:t xml:space="preserve"> (including rights of employees, inventors and authors). All steps to prosecute the applications and maintain the registrations for the I</w:t>
      </w:r>
      <w:r>
        <w:rPr>
          <w:rFonts w:ascii="Arial" w:cs="Arial" w:eastAsia="Arial" w:hAnsi="Arial"/>
          <w:sz w:val="12"/>
          <w:szCs w:val="12"/>
          <w:color w:val="auto"/>
        </w:rPr>
        <w:t>NTELLECTUAL</w:t>
      </w:r>
      <w:r>
        <w:rPr>
          <w:rFonts w:ascii="Arial" w:cs="Arial" w:eastAsia="Arial" w:hAnsi="Arial"/>
          <w:sz w:val="18"/>
          <w:szCs w:val="18"/>
          <w:color w:val="auto"/>
        </w:rPr>
        <w:t xml:space="preserve"> P</w:t>
      </w:r>
      <w:r>
        <w:rPr>
          <w:rFonts w:ascii="Arial" w:cs="Arial" w:eastAsia="Arial" w:hAnsi="Arial"/>
          <w:sz w:val="12"/>
          <w:szCs w:val="12"/>
          <w:color w:val="auto"/>
        </w:rPr>
        <w:t>ROPERTY</w:t>
      </w:r>
      <w:r>
        <w:rPr>
          <w:rFonts w:ascii="Arial" w:cs="Arial" w:eastAsia="Arial" w:hAnsi="Arial"/>
          <w:sz w:val="18"/>
          <w:szCs w:val="18"/>
          <w:color w:val="auto"/>
        </w:rPr>
        <w:t xml:space="preserve"> R</w:t>
      </w:r>
      <w:r>
        <w:rPr>
          <w:rFonts w:ascii="Arial" w:cs="Arial" w:eastAsia="Arial" w:hAnsi="Arial"/>
          <w:sz w:val="12"/>
          <w:szCs w:val="12"/>
          <w:color w:val="auto"/>
        </w:rPr>
        <w:t>IGHTS</w:t>
      </w:r>
      <w:r>
        <w:rPr>
          <w:rFonts w:ascii="Arial" w:cs="Arial" w:eastAsia="Arial" w:hAnsi="Arial"/>
          <w:sz w:val="18"/>
          <w:szCs w:val="18"/>
          <w:color w:val="auto"/>
        </w:rPr>
        <w:t xml:space="preserve"> that are obtained or enhanced by registration, have been duly and timely made; including the payment of any fees related to P</w:t>
      </w:r>
      <w:r>
        <w:rPr>
          <w:rFonts w:ascii="Arial" w:cs="Arial" w:eastAsia="Arial" w:hAnsi="Arial"/>
          <w:sz w:val="12"/>
          <w:szCs w:val="12"/>
          <w:color w:val="auto"/>
        </w:rPr>
        <w:t>ATENTS</w:t>
      </w:r>
      <w:r>
        <w:rPr>
          <w:rFonts w:ascii="Arial" w:cs="Arial" w:eastAsia="Arial" w:hAnsi="Arial"/>
          <w:sz w:val="18"/>
          <w:szCs w:val="18"/>
          <w:color w:val="auto"/>
        </w:rPr>
        <w:t>, patent applications and T</w:t>
      </w:r>
      <w:r>
        <w:rPr>
          <w:rFonts w:ascii="Arial" w:cs="Arial" w:eastAsia="Arial" w:hAnsi="Arial"/>
          <w:sz w:val="12"/>
          <w:szCs w:val="12"/>
          <w:color w:val="auto"/>
        </w:rPr>
        <w:t>RADEMARKS</w:t>
      </w:r>
      <w:r>
        <w:rPr>
          <w:rFonts w:ascii="Arial" w:cs="Arial" w:eastAsia="Arial" w:hAnsi="Arial"/>
          <w:sz w:val="18"/>
          <w:szCs w:val="18"/>
          <w:color w:val="auto"/>
        </w:rPr>
        <w:t xml:space="preserve"> and the genuine use of the T</w:t>
      </w:r>
      <w:r>
        <w:rPr>
          <w:rFonts w:ascii="Arial" w:cs="Arial" w:eastAsia="Arial" w:hAnsi="Arial"/>
          <w:sz w:val="12"/>
          <w:szCs w:val="12"/>
          <w:color w:val="auto"/>
        </w:rPr>
        <w:t>RADEMARKS</w:t>
      </w:r>
      <w:r>
        <w:rPr>
          <w:rFonts w:ascii="Arial" w:cs="Arial" w:eastAsia="Arial" w:hAnsi="Arial"/>
          <w:sz w:val="18"/>
          <w:szCs w:val="18"/>
          <w:color w:val="auto"/>
        </w:rPr>
        <w:t xml:space="preserve"> and P</w:t>
      </w:r>
      <w:r>
        <w:rPr>
          <w:rFonts w:ascii="Arial" w:cs="Arial" w:eastAsia="Arial" w:hAnsi="Arial"/>
          <w:sz w:val="12"/>
          <w:szCs w:val="12"/>
          <w:color w:val="auto"/>
        </w:rPr>
        <w:t>ATENTS</w:t>
      </w:r>
      <w:r>
        <w:rPr>
          <w:rFonts w:ascii="Arial" w:cs="Arial" w:eastAsia="Arial" w:hAnsi="Arial"/>
          <w:sz w:val="18"/>
          <w:szCs w:val="18"/>
          <w:color w:val="auto"/>
        </w:rPr>
        <w:t>.</w:t>
      </w:r>
    </w:p>
    <w:p>
      <w:pPr>
        <w:spacing w:after="0" w:line="3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color w:val="auto"/>
        </w:rPr>
        <w:t>CERTAIN CONFIDENTIAL PORTIONS HAVE BEEN REDACTED FROM THIS EXHIBIT BECAUSE THEY ARE BOTH (i) NOT MATERIAL AND (ii) IS THE TYPE THAT THE COMPANY TREATS AS PRIVATE OR CONFIDENTIAL. INFORMATION THAT HAS BEEN OMITTED HAD BEEN IDENTIFIED IN THIS DOCUMENT WITH A PLACEHOLDER IDENTIFIED BY THE MARK “[*****]”.</w:t>
      </w:r>
    </w:p>
    <w:p>
      <w:pPr>
        <w:spacing w:after="0" w:line="189" w:lineRule="exact"/>
        <w:rPr>
          <w:sz w:val="20"/>
          <w:szCs w:val="20"/>
          <w:color w:val="auto"/>
        </w:rPr>
      </w:pPr>
    </w:p>
    <w:p>
      <w:pPr>
        <w:jc w:val="both"/>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w:t>
      </w:r>
      <w:r>
        <w:rPr>
          <w:rFonts w:ascii="Arial" w:cs="Arial" w:eastAsia="Arial" w:hAnsi="Arial"/>
          <w:sz w:val="12"/>
          <w:szCs w:val="12"/>
          <w:color w:val="auto"/>
        </w:rPr>
        <w:t>O THE BEST KNOWLEDGE OF</w:t>
      </w:r>
      <w:r>
        <w:rPr>
          <w:rFonts w:ascii="Arial" w:cs="Arial" w:eastAsia="Arial" w:hAnsi="Arial"/>
          <w:sz w:val="18"/>
          <w:szCs w:val="18"/>
          <w:color w:val="auto"/>
        </w:rPr>
        <w:t xml:space="preserve"> A</w:t>
      </w:r>
      <w:r>
        <w:rPr>
          <w:rFonts w:ascii="Arial" w:cs="Arial" w:eastAsia="Arial" w:hAnsi="Arial"/>
          <w:sz w:val="12"/>
          <w:szCs w:val="12"/>
          <w:color w:val="auto"/>
        </w:rPr>
        <w:t>FFIRIS</w:t>
      </w:r>
      <w:r>
        <w:rPr>
          <w:rFonts w:ascii="Arial" w:cs="Arial" w:eastAsia="Arial" w:hAnsi="Arial"/>
          <w:sz w:val="18"/>
          <w:szCs w:val="18"/>
          <w:color w:val="auto"/>
        </w:rPr>
        <w:t>, for any I</w:t>
      </w:r>
      <w:r>
        <w:rPr>
          <w:rFonts w:ascii="Arial" w:cs="Arial" w:eastAsia="Arial" w:hAnsi="Arial"/>
          <w:sz w:val="12"/>
          <w:szCs w:val="12"/>
          <w:color w:val="auto"/>
        </w:rPr>
        <w:t>NTELLECTUAL</w:t>
      </w:r>
      <w:r>
        <w:rPr>
          <w:rFonts w:ascii="Arial" w:cs="Arial" w:eastAsia="Arial" w:hAnsi="Arial"/>
          <w:sz w:val="18"/>
          <w:szCs w:val="18"/>
          <w:color w:val="auto"/>
        </w:rPr>
        <w:t xml:space="preserve"> P</w:t>
      </w:r>
      <w:r>
        <w:rPr>
          <w:rFonts w:ascii="Arial" w:cs="Arial" w:eastAsia="Arial" w:hAnsi="Arial"/>
          <w:sz w:val="12"/>
          <w:szCs w:val="12"/>
          <w:color w:val="auto"/>
        </w:rPr>
        <w:t>ROPERTY</w:t>
      </w:r>
      <w:r>
        <w:rPr>
          <w:rFonts w:ascii="Arial" w:cs="Arial" w:eastAsia="Arial" w:hAnsi="Arial"/>
          <w:sz w:val="18"/>
          <w:szCs w:val="18"/>
          <w:color w:val="auto"/>
        </w:rPr>
        <w:t xml:space="preserve"> R</w:t>
      </w:r>
      <w:r>
        <w:rPr>
          <w:rFonts w:ascii="Arial" w:cs="Arial" w:eastAsia="Arial" w:hAnsi="Arial"/>
          <w:sz w:val="12"/>
          <w:szCs w:val="12"/>
          <w:color w:val="auto"/>
        </w:rPr>
        <w:t>IGHTS</w:t>
      </w:r>
      <w:r>
        <w:rPr>
          <w:rFonts w:ascii="Arial" w:cs="Arial" w:eastAsia="Arial" w:hAnsi="Arial"/>
          <w:sz w:val="18"/>
          <w:szCs w:val="18"/>
          <w:color w:val="auto"/>
        </w:rPr>
        <w:t xml:space="preserve"> owned or controlled by a T</w:t>
      </w:r>
      <w:r>
        <w:rPr>
          <w:rFonts w:ascii="Arial" w:cs="Arial" w:eastAsia="Arial" w:hAnsi="Arial"/>
          <w:sz w:val="12"/>
          <w:szCs w:val="12"/>
          <w:color w:val="auto"/>
        </w:rPr>
        <w:t>HIRD</w:t>
      </w:r>
      <w:r>
        <w:rPr>
          <w:rFonts w:ascii="Arial" w:cs="Arial" w:eastAsia="Arial" w:hAnsi="Arial"/>
          <w:sz w:val="18"/>
          <w:szCs w:val="18"/>
          <w:color w:val="auto"/>
        </w:rPr>
        <w:t xml:space="preserve"> P</w:t>
      </w:r>
      <w:r>
        <w:rPr>
          <w:rFonts w:ascii="Arial" w:cs="Arial" w:eastAsia="Arial" w:hAnsi="Arial"/>
          <w:sz w:val="12"/>
          <w:szCs w:val="12"/>
          <w:color w:val="auto"/>
        </w:rPr>
        <w:t>ARTY</w:t>
      </w:r>
      <w:r>
        <w:rPr>
          <w:rFonts w:ascii="Arial" w:cs="Arial" w:eastAsia="Arial" w:hAnsi="Arial"/>
          <w:sz w:val="18"/>
          <w:szCs w:val="18"/>
          <w:color w:val="auto"/>
        </w:rPr>
        <w:t xml:space="preserve"> or proprietary information or proprietary materials owned or controlled by a T</w:t>
      </w:r>
      <w:r>
        <w:rPr>
          <w:rFonts w:ascii="Arial" w:cs="Arial" w:eastAsia="Arial" w:hAnsi="Arial"/>
          <w:sz w:val="12"/>
          <w:szCs w:val="12"/>
          <w:color w:val="auto"/>
        </w:rPr>
        <w:t>HIRD</w:t>
      </w:r>
      <w:r>
        <w:rPr>
          <w:rFonts w:ascii="Arial" w:cs="Arial" w:eastAsia="Arial" w:hAnsi="Arial"/>
          <w:sz w:val="18"/>
          <w:szCs w:val="18"/>
          <w:color w:val="auto"/>
        </w:rPr>
        <w:t xml:space="preserve"> P</w:t>
      </w:r>
      <w:r>
        <w:rPr>
          <w:rFonts w:ascii="Arial" w:cs="Arial" w:eastAsia="Arial" w:hAnsi="Arial"/>
          <w:sz w:val="12"/>
          <w:szCs w:val="12"/>
          <w:color w:val="auto"/>
        </w:rPr>
        <w:t>ARTY</w:t>
      </w:r>
      <w:r>
        <w:rPr>
          <w:rFonts w:ascii="Arial" w:cs="Arial" w:eastAsia="Arial" w:hAnsi="Arial"/>
          <w:sz w:val="18"/>
          <w:szCs w:val="18"/>
          <w:color w:val="auto"/>
        </w:rPr>
        <w:t xml:space="preserve"> used or incorporated in the P</w:t>
      </w:r>
      <w:r>
        <w:rPr>
          <w:rFonts w:ascii="Arial" w:cs="Arial" w:eastAsia="Arial" w:hAnsi="Arial"/>
          <w:sz w:val="12"/>
          <w:szCs w:val="12"/>
          <w:color w:val="auto"/>
        </w:rPr>
        <w:t>ROGRAMS</w:t>
      </w:r>
      <w:r>
        <w:rPr>
          <w:rFonts w:ascii="Arial" w:cs="Arial" w:eastAsia="Arial" w:hAnsi="Arial"/>
          <w:sz w:val="18"/>
          <w:szCs w:val="18"/>
          <w:color w:val="auto"/>
        </w:rPr>
        <w:t>, suitable licenses from such T</w:t>
      </w:r>
      <w:r>
        <w:rPr>
          <w:rFonts w:ascii="Arial" w:cs="Arial" w:eastAsia="Arial" w:hAnsi="Arial"/>
          <w:sz w:val="12"/>
          <w:szCs w:val="12"/>
          <w:color w:val="auto"/>
        </w:rPr>
        <w:t>HIRD</w:t>
      </w:r>
      <w:r>
        <w:rPr>
          <w:rFonts w:ascii="Arial" w:cs="Arial" w:eastAsia="Arial" w:hAnsi="Arial"/>
          <w:sz w:val="18"/>
          <w:szCs w:val="18"/>
          <w:color w:val="auto"/>
        </w:rPr>
        <w:t xml:space="preserve"> P</w:t>
      </w:r>
      <w:r>
        <w:rPr>
          <w:rFonts w:ascii="Arial" w:cs="Arial" w:eastAsia="Arial" w:hAnsi="Arial"/>
          <w:sz w:val="12"/>
          <w:szCs w:val="12"/>
          <w:color w:val="auto"/>
        </w:rPr>
        <w:t>ARTIES</w:t>
      </w:r>
      <w:r>
        <w:rPr>
          <w:rFonts w:ascii="Arial" w:cs="Arial" w:eastAsia="Arial" w:hAnsi="Arial"/>
          <w:sz w:val="18"/>
          <w:szCs w:val="18"/>
          <w:color w:val="auto"/>
        </w:rPr>
        <w:t xml:space="preserve"> have been obtained that permit ACIU to exercise the P</w:t>
      </w:r>
      <w:r>
        <w:rPr>
          <w:rFonts w:ascii="Arial" w:cs="Arial" w:eastAsia="Arial" w:hAnsi="Arial"/>
          <w:sz w:val="12"/>
          <w:szCs w:val="12"/>
          <w:color w:val="auto"/>
        </w:rPr>
        <w:t>ROGRAMS</w:t>
      </w:r>
      <w:r>
        <w:rPr>
          <w:rFonts w:ascii="Arial" w:cs="Arial" w:eastAsia="Arial" w:hAnsi="Arial"/>
          <w:sz w:val="18"/>
          <w:szCs w:val="18"/>
          <w:color w:val="auto"/>
        </w:rPr>
        <w:t xml:space="preserve"> IP listed in </w:t>
      </w:r>
      <w:r>
        <w:rPr>
          <w:rFonts w:ascii="Arial" w:cs="Arial" w:eastAsia="Arial" w:hAnsi="Arial"/>
          <w:sz w:val="18"/>
          <w:szCs w:val="18"/>
          <w:u w:val="single" w:color="auto"/>
          <w:color w:val="auto"/>
        </w:rPr>
        <w:t>A</w:t>
      </w:r>
      <w:r>
        <w:rPr>
          <w:rFonts w:ascii="Arial" w:cs="Arial" w:eastAsia="Arial" w:hAnsi="Arial"/>
          <w:sz w:val="12"/>
          <w:szCs w:val="12"/>
          <w:u w:val="single" w:color="auto"/>
          <w:color w:val="auto"/>
        </w:rPr>
        <w:t>NNEX</w:t>
      </w:r>
      <w:r>
        <w:rPr>
          <w:rFonts w:ascii="Arial" w:cs="Arial" w:eastAsia="Arial" w:hAnsi="Arial"/>
          <w:sz w:val="18"/>
          <w:szCs w:val="18"/>
          <w:color w:val="auto"/>
        </w:rPr>
        <w:t xml:space="preserve"> </w:t>
      </w:r>
      <w:r>
        <w:rPr>
          <w:rFonts w:ascii="Arial" w:cs="Arial" w:eastAsia="Arial" w:hAnsi="Arial"/>
          <w:sz w:val="18"/>
          <w:szCs w:val="18"/>
          <w:u w:val="single" w:color="auto"/>
          <w:color w:val="auto"/>
        </w:rPr>
        <w:t>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w:t>
      </w:r>
      <w:r>
        <w:rPr>
          <w:rFonts w:ascii="Arial" w:cs="Arial" w:eastAsia="Arial" w:hAnsi="Arial"/>
          <w:sz w:val="12"/>
          <w:szCs w:val="12"/>
          <w:u w:val="single" w:color="auto"/>
          <w:color w:val="auto"/>
        </w:rPr>
        <w:t>NNEX</w:t>
      </w:r>
      <w:r>
        <w:rPr>
          <w:rFonts w:ascii="Arial" w:cs="Arial" w:eastAsia="Arial" w:hAnsi="Arial"/>
          <w:sz w:val="18"/>
          <w:szCs w:val="18"/>
          <w:color w:val="auto"/>
        </w:rPr>
        <w:t xml:space="preserve"> </w:t>
      </w:r>
      <w:r>
        <w:rPr>
          <w:rFonts w:ascii="Arial" w:cs="Arial" w:eastAsia="Arial" w:hAnsi="Arial"/>
          <w:sz w:val="18"/>
          <w:szCs w:val="18"/>
          <w:u w:val="single" w:color="auto"/>
          <w:color w:val="auto"/>
        </w:rPr>
        <w:t>2</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claims have been made or threatened challenging the use, validity, subsistence or enforceability of the I</w:t>
      </w:r>
      <w:r>
        <w:rPr>
          <w:rFonts w:ascii="Arial" w:cs="Arial" w:eastAsia="Arial" w:hAnsi="Arial"/>
          <w:sz w:val="12"/>
          <w:szCs w:val="12"/>
          <w:color w:val="auto"/>
        </w:rPr>
        <w:t>NTELLECTUAL</w:t>
      </w:r>
      <w:r>
        <w:rPr>
          <w:rFonts w:ascii="Arial" w:cs="Arial" w:eastAsia="Arial" w:hAnsi="Arial"/>
          <w:sz w:val="18"/>
          <w:szCs w:val="18"/>
          <w:color w:val="auto"/>
        </w:rPr>
        <w:t xml:space="preserve"> P</w:t>
      </w:r>
      <w:r>
        <w:rPr>
          <w:rFonts w:ascii="Arial" w:cs="Arial" w:eastAsia="Arial" w:hAnsi="Arial"/>
          <w:sz w:val="12"/>
          <w:szCs w:val="12"/>
          <w:color w:val="auto"/>
        </w:rPr>
        <w:t>ROPERTY</w:t>
      </w:r>
      <w:r>
        <w:rPr>
          <w:rFonts w:ascii="Arial" w:cs="Arial" w:eastAsia="Arial" w:hAnsi="Arial"/>
          <w:sz w:val="18"/>
          <w:szCs w:val="18"/>
          <w:color w:val="auto"/>
        </w:rPr>
        <w:t xml:space="preserve"> R</w:t>
      </w:r>
      <w:r>
        <w:rPr>
          <w:rFonts w:ascii="Arial" w:cs="Arial" w:eastAsia="Arial" w:hAnsi="Arial"/>
          <w:sz w:val="12"/>
          <w:szCs w:val="12"/>
          <w:color w:val="auto"/>
        </w:rPr>
        <w:t>IGHTS</w:t>
      </w:r>
      <w:r>
        <w:rPr>
          <w:rFonts w:ascii="Arial" w:cs="Arial" w:eastAsia="Arial" w:hAnsi="Arial"/>
          <w:sz w:val="18"/>
          <w:szCs w:val="18"/>
          <w:color w:val="auto"/>
        </w:rPr>
        <w:t xml:space="preserve"> owned or used by A</w:t>
      </w:r>
      <w:r>
        <w:rPr>
          <w:rFonts w:ascii="Arial" w:cs="Arial" w:eastAsia="Arial" w:hAnsi="Arial"/>
          <w:sz w:val="12"/>
          <w:szCs w:val="12"/>
          <w:color w:val="auto"/>
        </w:rPr>
        <w:t>FFIRIS</w:t>
      </w:r>
      <w:r>
        <w:rPr>
          <w:rFonts w:ascii="Arial" w:cs="Arial" w:eastAsia="Arial" w:hAnsi="Arial"/>
          <w:sz w:val="18"/>
          <w:szCs w:val="18"/>
          <w:color w:val="auto"/>
        </w:rPr>
        <w:t>.</w:t>
      </w:r>
    </w:p>
    <w:p>
      <w:pPr>
        <w:spacing w:after="0" w:line="178" w:lineRule="exact"/>
        <w:rPr>
          <w:rFonts w:ascii="Arial" w:cs="Arial" w:eastAsia="Arial" w:hAnsi="Arial"/>
          <w:sz w:val="18"/>
          <w:szCs w:val="18"/>
          <w:color w:val="auto"/>
        </w:rPr>
      </w:pP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To </w:t>
      </w:r>
      <w:r>
        <w:rPr>
          <w:rFonts w:ascii="Arial" w:cs="Arial" w:eastAsia="Arial" w:hAnsi="Arial"/>
          <w:sz w:val="12"/>
          <w:szCs w:val="12"/>
          <w:color w:val="auto"/>
        </w:rPr>
        <w:t>THE BEST KNOWLEDGE OF</w:t>
      </w:r>
      <w:r>
        <w:rPr>
          <w:rFonts w:ascii="Arial" w:cs="Arial" w:eastAsia="Arial" w:hAnsi="Arial"/>
          <w:sz w:val="18"/>
          <w:szCs w:val="18"/>
          <w:color w:val="auto"/>
        </w:rPr>
        <w:t xml:space="preserve"> A</w:t>
      </w:r>
      <w:r>
        <w:rPr>
          <w:rFonts w:ascii="Arial" w:cs="Arial" w:eastAsia="Arial" w:hAnsi="Arial"/>
          <w:sz w:val="12"/>
          <w:szCs w:val="12"/>
          <w:color w:val="auto"/>
        </w:rPr>
        <w:t>FFIRIS</w:t>
      </w:r>
      <w:r>
        <w:rPr>
          <w:rFonts w:ascii="Arial" w:cs="Arial" w:eastAsia="Arial" w:hAnsi="Arial"/>
          <w:sz w:val="18"/>
          <w:szCs w:val="18"/>
          <w:color w:val="auto"/>
        </w:rPr>
        <w:t>: (i) the P</w:t>
      </w:r>
      <w:r>
        <w:rPr>
          <w:rFonts w:ascii="Arial" w:cs="Arial" w:eastAsia="Arial" w:hAnsi="Arial"/>
          <w:sz w:val="12"/>
          <w:szCs w:val="12"/>
          <w:color w:val="auto"/>
        </w:rPr>
        <w:t>ROGRAMS</w:t>
      </w:r>
      <w:r>
        <w:rPr>
          <w:rFonts w:ascii="Arial" w:cs="Arial" w:eastAsia="Arial" w:hAnsi="Arial"/>
          <w:sz w:val="18"/>
          <w:szCs w:val="18"/>
          <w:color w:val="auto"/>
        </w:rPr>
        <w:t xml:space="preserve"> do not infringe on any T</w:t>
      </w:r>
      <w:r>
        <w:rPr>
          <w:rFonts w:ascii="Arial" w:cs="Arial" w:eastAsia="Arial" w:hAnsi="Arial"/>
          <w:sz w:val="12"/>
          <w:szCs w:val="12"/>
          <w:color w:val="auto"/>
        </w:rPr>
        <w:t>HIRD</w:t>
      </w:r>
      <w:r>
        <w:rPr>
          <w:rFonts w:ascii="Arial" w:cs="Arial" w:eastAsia="Arial" w:hAnsi="Arial"/>
          <w:sz w:val="18"/>
          <w:szCs w:val="18"/>
          <w:color w:val="auto"/>
        </w:rPr>
        <w:t xml:space="preserve"> P</w:t>
      </w:r>
      <w:r>
        <w:rPr>
          <w:rFonts w:ascii="Arial" w:cs="Arial" w:eastAsia="Arial" w:hAnsi="Arial"/>
          <w:sz w:val="12"/>
          <w:szCs w:val="12"/>
          <w:color w:val="auto"/>
        </w:rPr>
        <w:t>ARTY</w:t>
      </w:r>
      <w:r>
        <w:rPr>
          <w:rFonts w:ascii="Arial" w:cs="Arial" w:eastAsia="Arial" w:hAnsi="Arial"/>
          <w:sz w:val="18"/>
          <w:szCs w:val="18"/>
          <w:color w:val="auto"/>
        </w:rPr>
        <w:t xml:space="preserve"> I</w:t>
      </w:r>
      <w:r>
        <w:rPr>
          <w:rFonts w:ascii="Arial" w:cs="Arial" w:eastAsia="Arial" w:hAnsi="Arial"/>
          <w:sz w:val="12"/>
          <w:szCs w:val="12"/>
          <w:color w:val="auto"/>
        </w:rPr>
        <w:t>NTELLECTUAL</w:t>
      </w:r>
      <w:r>
        <w:rPr>
          <w:rFonts w:ascii="Arial" w:cs="Arial" w:eastAsia="Arial" w:hAnsi="Arial"/>
          <w:sz w:val="18"/>
          <w:szCs w:val="18"/>
          <w:color w:val="auto"/>
        </w:rPr>
        <w:t xml:space="preserve"> P</w:t>
      </w:r>
      <w:r>
        <w:rPr>
          <w:rFonts w:ascii="Arial" w:cs="Arial" w:eastAsia="Arial" w:hAnsi="Arial"/>
          <w:sz w:val="12"/>
          <w:szCs w:val="12"/>
          <w:color w:val="auto"/>
        </w:rPr>
        <w:t>ROPERTY</w:t>
      </w:r>
      <w:r>
        <w:rPr>
          <w:rFonts w:ascii="Arial" w:cs="Arial" w:eastAsia="Arial" w:hAnsi="Arial"/>
          <w:sz w:val="18"/>
          <w:szCs w:val="18"/>
          <w:color w:val="auto"/>
        </w:rPr>
        <w:t xml:space="preserve"> R</w:t>
      </w:r>
      <w:r>
        <w:rPr>
          <w:rFonts w:ascii="Arial" w:cs="Arial" w:eastAsia="Arial" w:hAnsi="Arial"/>
          <w:sz w:val="12"/>
          <w:szCs w:val="12"/>
          <w:color w:val="auto"/>
        </w:rPr>
        <w:t>IGHTS</w:t>
      </w:r>
      <w:r>
        <w:rPr>
          <w:rFonts w:ascii="Arial" w:cs="Arial" w:eastAsia="Arial" w:hAnsi="Arial"/>
          <w:sz w:val="18"/>
          <w:szCs w:val="18"/>
          <w:color w:val="auto"/>
        </w:rPr>
        <w:t>; (ii) in particular, the</w:t>
      </w:r>
    </w:p>
    <w:p>
      <w:pPr>
        <w:jc w:val="both"/>
        <w:ind w:left="660"/>
        <w:spacing w:after="0" w:line="234" w:lineRule="auto"/>
        <w:rPr>
          <w:rFonts w:ascii="Arial" w:cs="Arial" w:eastAsia="Arial" w:hAnsi="Arial"/>
          <w:sz w:val="18"/>
          <w:szCs w:val="18"/>
          <w:color w:val="auto"/>
        </w:rPr>
      </w:pPr>
      <w:r>
        <w:rPr>
          <w:rFonts w:ascii="Arial" w:cs="Arial" w:eastAsia="Arial" w:hAnsi="Arial"/>
          <w:sz w:val="18"/>
          <w:szCs w:val="18"/>
          <w:color w:val="auto"/>
        </w:rPr>
        <w:t>research, development, testing, making, selling, using, importing, offering for sale, keeping, and selling of P</w:t>
      </w:r>
      <w:r>
        <w:rPr>
          <w:rFonts w:ascii="Arial" w:cs="Arial" w:eastAsia="Arial" w:hAnsi="Arial"/>
          <w:sz w:val="12"/>
          <w:szCs w:val="12"/>
          <w:color w:val="auto"/>
        </w:rPr>
        <w:t>RODUCTS</w:t>
      </w:r>
      <w:r>
        <w:rPr>
          <w:rFonts w:ascii="Arial" w:cs="Arial" w:eastAsia="Arial" w:hAnsi="Arial"/>
          <w:sz w:val="18"/>
          <w:szCs w:val="18"/>
          <w:color w:val="auto"/>
        </w:rPr>
        <w:t xml:space="preserve"> within the P</w:t>
      </w:r>
      <w:r>
        <w:rPr>
          <w:rFonts w:ascii="Arial" w:cs="Arial" w:eastAsia="Arial" w:hAnsi="Arial"/>
          <w:sz w:val="12"/>
          <w:szCs w:val="12"/>
          <w:color w:val="auto"/>
        </w:rPr>
        <w:t>ROGRAMS</w:t>
      </w:r>
      <w:r>
        <w:rPr>
          <w:rFonts w:ascii="Arial" w:cs="Arial" w:eastAsia="Arial" w:hAnsi="Arial"/>
          <w:sz w:val="18"/>
          <w:szCs w:val="18"/>
          <w:color w:val="auto"/>
        </w:rPr>
        <w:t xml:space="preserve"> pursuant to this A</w:t>
      </w:r>
      <w:r>
        <w:rPr>
          <w:rFonts w:ascii="Arial" w:cs="Arial" w:eastAsia="Arial" w:hAnsi="Arial"/>
          <w:sz w:val="12"/>
          <w:szCs w:val="12"/>
          <w:color w:val="auto"/>
        </w:rPr>
        <w:t>GREEMENT</w:t>
      </w:r>
      <w:r>
        <w:rPr>
          <w:rFonts w:ascii="Arial" w:cs="Arial" w:eastAsia="Arial" w:hAnsi="Arial"/>
          <w:sz w:val="18"/>
          <w:szCs w:val="18"/>
          <w:color w:val="auto"/>
        </w:rPr>
        <w:t xml:space="preserve"> do not infringe or conflict with any patent rights of a T</w:t>
      </w:r>
      <w:r>
        <w:rPr>
          <w:rFonts w:ascii="Arial" w:cs="Arial" w:eastAsia="Arial" w:hAnsi="Arial"/>
          <w:sz w:val="12"/>
          <w:szCs w:val="12"/>
          <w:color w:val="auto"/>
        </w:rPr>
        <w:t>HIRD</w:t>
      </w:r>
      <w:r>
        <w:rPr>
          <w:rFonts w:ascii="Arial" w:cs="Arial" w:eastAsia="Arial" w:hAnsi="Arial"/>
          <w:sz w:val="18"/>
          <w:szCs w:val="18"/>
          <w:color w:val="auto"/>
        </w:rPr>
        <w:t xml:space="preserve"> P</w:t>
      </w:r>
      <w:r>
        <w:rPr>
          <w:rFonts w:ascii="Arial" w:cs="Arial" w:eastAsia="Arial" w:hAnsi="Arial"/>
          <w:sz w:val="12"/>
          <w:szCs w:val="12"/>
          <w:color w:val="auto"/>
        </w:rPr>
        <w:t>ARTY</w:t>
      </w:r>
      <w:r>
        <w:rPr>
          <w:rFonts w:ascii="Arial" w:cs="Arial" w:eastAsia="Arial" w:hAnsi="Arial"/>
          <w:sz w:val="18"/>
          <w:szCs w:val="18"/>
          <w:color w:val="auto"/>
        </w:rPr>
        <w:t>. To the actual knowledge of the</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board of directors of A</w:t>
      </w:r>
      <w:r>
        <w:rPr>
          <w:rFonts w:ascii="Arial" w:cs="Arial" w:eastAsia="Arial" w:hAnsi="Arial"/>
          <w:sz w:val="12"/>
          <w:szCs w:val="12"/>
          <w:color w:val="auto"/>
        </w:rPr>
        <w:t>FFIRIS</w:t>
      </w:r>
      <w:r>
        <w:rPr>
          <w:rFonts w:ascii="Arial" w:cs="Arial" w:eastAsia="Arial" w:hAnsi="Arial"/>
          <w:sz w:val="18"/>
          <w:szCs w:val="18"/>
          <w:color w:val="auto"/>
        </w:rPr>
        <w:t xml:space="preserve"> no T</w:t>
      </w:r>
      <w:r>
        <w:rPr>
          <w:rFonts w:ascii="Arial" w:cs="Arial" w:eastAsia="Arial" w:hAnsi="Arial"/>
          <w:sz w:val="12"/>
          <w:szCs w:val="12"/>
          <w:color w:val="auto"/>
        </w:rPr>
        <w:t>HIRD</w:t>
      </w:r>
      <w:r>
        <w:rPr>
          <w:rFonts w:ascii="Arial" w:cs="Arial" w:eastAsia="Arial" w:hAnsi="Arial"/>
          <w:sz w:val="18"/>
          <w:szCs w:val="18"/>
          <w:color w:val="auto"/>
        </w:rPr>
        <w:t xml:space="preserve"> P</w:t>
      </w:r>
      <w:r>
        <w:rPr>
          <w:rFonts w:ascii="Arial" w:cs="Arial" w:eastAsia="Arial" w:hAnsi="Arial"/>
          <w:sz w:val="12"/>
          <w:szCs w:val="12"/>
          <w:color w:val="auto"/>
        </w:rPr>
        <w:t>ARTY</w:t>
      </w:r>
      <w:r>
        <w:rPr>
          <w:rFonts w:ascii="Arial" w:cs="Arial" w:eastAsia="Arial" w:hAnsi="Arial"/>
          <w:sz w:val="18"/>
          <w:szCs w:val="18"/>
          <w:color w:val="auto"/>
        </w:rPr>
        <w:t xml:space="preserve"> infringes on A</w:t>
      </w:r>
      <w:r>
        <w:rPr>
          <w:rFonts w:ascii="Arial" w:cs="Arial" w:eastAsia="Arial" w:hAnsi="Arial"/>
          <w:sz w:val="12"/>
          <w:szCs w:val="12"/>
          <w:color w:val="auto"/>
        </w:rPr>
        <w:t>FFIRIS</w:t>
      </w:r>
      <w:r>
        <w:rPr>
          <w:rFonts w:ascii="Arial" w:cs="Arial" w:eastAsia="Arial" w:hAnsi="Arial"/>
          <w:sz w:val="18"/>
          <w:szCs w:val="18"/>
          <w:color w:val="auto"/>
        </w:rPr>
        <w:t>' I</w:t>
      </w:r>
      <w:r>
        <w:rPr>
          <w:rFonts w:ascii="Arial" w:cs="Arial" w:eastAsia="Arial" w:hAnsi="Arial"/>
          <w:sz w:val="12"/>
          <w:szCs w:val="12"/>
          <w:color w:val="auto"/>
        </w:rPr>
        <w:t>NTELLECTUAL</w:t>
      </w:r>
      <w:r>
        <w:rPr>
          <w:rFonts w:ascii="Arial" w:cs="Arial" w:eastAsia="Arial" w:hAnsi="Arial"/>
          <w:sz w:val="18"/>
          <w:szCs w:val="18"/>
          <w:color w:val="auto"/>
        </w:rPr>
        <w:t xml:space="preserve"> P</w:t>
      </w:r>
      <w:r>
        <w:rPr>
          <w:rFonts w:ascii="Arial" w:cs="Arial" w:eastAsia="Arial" w:hAnsi="Arial"/>
          <w:sz w:val="12"/>
          <w:szCs w:val="12"/>
          <w:color w:val="auto"/>
        </w:rPr>
        <w:t>ROPERTY</w:t>
      </w:r>
      <w:r>
        <w:rPr>
          <w:rFonts w:ascii="Arial" w:cs="Arial" w:eastAsia="Arial" w:hAnsi="Arial"/>
          <w:sz w:val="18"/>
          <w:szCs w:val="18"/>
          <w:color w:val="auto"/>
        </w:rPr>
        <w:t xml:space="preserve"> R</w:t>
      </w:r>
      <w:r>
        <w:rPr>
          <w:rFonts w:ascii="Arial" w:cs="Arial" w:eastAsia="Arial" w:hAnsi="Arial"/>
          <w:sz w:val="12"/>
          <w:szCs w:val="12"/>
          <w:color w:val="auto"/>
        </w:rPr>
        <w:t>IGHTS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2"/>
          <w:szCs w:val="12"/>
          <w:color w:val="auto"/>
        </w:rPr>
        <w:t>FFIRIS</w:t>
      </w:r>
      <w:r>
        <w:rPr>
          <w:rFonts w:ascii="Arial" w:cs="Arial" w:eastAsia="Arial" w:hAnsi="Arial"/>
          <w:sz w:val="18"/>
          <w:szCs w:val="18"/>
          <w:color w:val="auto"/>
        </w:rPr>
        <w:t xml:space="preserve"> has taken all reasonable measures to protect their I</w:t>
      </w:r>
      <w:r>
        <w:rPr>
          <w:rFonts w:ascii="Arial" w:cs="Arial" w:eastAsia="Arial" w:hAnsi="Arial"/>
          <w:sz w:val="12"/>
          <w:szCs w:val="12"/>
          <w:color w:val="auto"/>
        </w:rPr>
        <w:t>NTELLECTUAL</w:t>
      </w:r>
      <w:r>
        <w:rPr>
          <w:rFonts w:ascii="Arial" w:cs="Arial" w:eastAsia="Arial" w:hAnsi="Arial"/>
          <w:sz w:val="18"/>
          <w:szCs w:val="18"/>
          <w:color w:val="auto"/>
        </w:rPr>
        <w:t xml:space="preserve"> P</w:t>
      </w:r>
      <w:r>
        <w:rPr>
          <w:rFonts w:ascii="Arial" w:cs="Arial" w:eastAsia="Arial" w:hAnsi="Arial"/>
          <w:sz w:val="12"/>
          <w:szCs w:val="12"/>
          <w:color w:val="auto"/>
        </w:rPr>
        <w:t>ROPERTY</w:t>
      </w:r>
      <w:r>
        <w:rPr>
          <w:rFonts w:ascii="Arial" w:cs="Arial" w:eastAsia="Arial" w:hAnsi="Arial"/>
          <w:sz w:val="18"/>
          <w:szCs w:val="18"/>
          <w:color w:val="auto"/>
        </w:rPr>
        <w:t xml:space="preserve"> R</w:t>
      </w:r>
      <w:r>
        <w:rPr>
          <w:rFonts w:ascii="Arial" w:cs="Arial" w:eastAsia="Arial" w:hAnsi="Arial"/>
          <w:sz w:val="12"/>
          <w:szCs w:val="12"/>
          <w:color w:val="auto"/>
        </w:rPr>
        <w:t>IGHTS</w:t>
      </w:r>
      <w:r>
        <w:rPr>
          <w:rFonts w:ascii="Arial" w:cs="Arial" w:eastAsia="Arial" w:hAnsi="Arial"/>
          <w:sz w:val="18"/>
          <w:szCs w:val="18"/>
          <w:color w:val="auto"/>
        </w:rPr>
        <w:t>, including measures to prevent disclosure of any of their know-how, trade secrets and business and technical information. A</w:t>
      </w:r>
      <w:r>
        <w:rPr>
          <w:rFonts w:ascii="Arial" w:cs="Arial" w:eastAsia="Arial" w:hAnsi="Arial"/>
          <w:sz w:val="12"/>
          <w:szCs w:val="12"/>
          <w:color w:val="auto"/>
        </w:rPr>
        <w:t>FFIRIS</w:t>
      </w:r>
      <w:r>
        <w:rPr>
          <w:rFonts w:ascii="Arial" w:cs="Arial" w:eastAsia="Arial" w:hAnsi="Arial"/>
          <w:sz w:val="18"/>
          <w:szCs w:val="18"/>
          <w:color w:val="auto"/>
        </w:rPr>
        <w:t xml:space="preserve"> has ensured that all I</w:t>
      </w:r>
      <w:r>
        <w:rPr>
          <w:rFonts w:ascii="Arial" w:cs="Arial" w:eastAsia="Arial" w:hAnsi="Arial"/>
          <w:sz w:val="12"/>
          <w:szCs w:val="12"/>
          <w:color w:val="auto"/>
        </w:rPr>
        <w:t>NTELLECTUAL</w:t>
      </w:r>
      <w:r>
        <w:rPr>
          <w:rFonts w:ascii="Arial" w:cs="Arial" w:eastAsia="Arial" w:hAnsi="Arial"/>
          <w:sz w:val="18"/>
          <w:szCs w:val="18"/>
          <w:color w:val="auto"/>
        </w:rPr>
        <w:t xml:space="preserve"> P</w:t>
      </w:r>
      <w:r>
        <w:rPr>
          <w:rFonts w:ascii="Arial" w:cs="Arial" w:eastAsia="Arial" w:hAnsi="Arial"/>
          <w:sz w:val="12"/>
          <w:szCs w:val="12"/>
          <w:color w:val="auto"/>
        </w:rPr>
        <w:t>ROPERTY</w:t>
      </w:r>
      <w:r>
        <w:rPr>
          <w:rFonts w:ascii="Arial" w:cs="Arial" w:eastAsia="Arial" w:hAnsi="Arial"/>
          <w:sz w:val="18"/>
          <w:szCs w:val="18"/>
          <w:color w:val="auto"/>
        </w:rPr>
        <w:t xml:space="preserve"> R</w:t>
      </w:r>
      <w:r>
        <w:rPr>
          <w:rFonts w:ascii="Arial" w:cs="Arial" w:eastAsia="Arial" w:hAnsi="Arial"/>
          <w:sz w:val="12"/>
          <w:szCs w:val="12"/>
          <w:color w:val="auto"/>
        </w:rPr>
        <w:t>IGHTS</w:t>
      </w:r>
      <w:r>
        <w:rPr>
          <w:rFonts w:ascii="Arial" w:cs="Arial" w:eastAsia="Arial" w:hAnsi="Arial"/>
          <w:sz w:val="18"/>
          <w:szCs w:val="18"/>
          <w:color w:val="auto"/>
        </w:rPr>
        <w:t xml:space="preserve"> in work results created or developed by their employees or consultants in the course of their activities for A</w:t>
      </w:r>
      <w:r>
        <w:rPr>
          <w:rFonts w:ascii="Arial" w:cs="Arial" w:eastAsia="Arial" w:hAnsi="Arial"/>
          <w:sz w:val="12"/>
          <w:szCs w:val="12"/>
          <w:color w:val="auto"/>
        </w:rPr>
        <w:t>FFIRIS</w:t>
      </w:r>
      <w:r>
        <w:rPr>
          <w:rFonts w:ascii="Arial" w:cs="Arial" w:eastAsia="Arial" w:hAnsi="Arial"/>
          <w:sz w:val="18"/>
          <w:szCs w:val="18"/>
          <w:color w:val="auto"/>
        </w:rPr>
        <w:t>, have vested in A</w:t>
      </w:r>
      <w:r>
        <w:rPr>
          <w:rFonts w:ascii="Arial" w:cs="Arial" w:eastAsia="Arial" w:hAnsi="Arial"/>
          <w:sz w:val="12"/>
          <w:szCs w:val="12"/>
          <w:color w:val="auto"/>
        </w:rPr>
        <w:t>FFIRIS</w:t>
      </w:r>
      <w:r>
        <w:rPr>
          <w:rFonts w:ascii="Arial" w:cs="Arial" w:eastAsia="Arial" w:hAnsi="Arial"/>
          <w:sz w:val="18"/>
          <w:szCs w:val="18"/>
          <w:color w:val="auto"/>
        </w:rPr>
        <w:t>. A</w:t>
      </w:r>
      <w:r>
        <w:rPr>
          <w:rFonts w:ascii="Arial" w:cs="Arial" w:eastAsia="Arial" w:hAnsi="Arial"/>
          <w:sz w:val="12"/>
          <w:szCs w:val="12"/>
          <w:color w:val="auto"/>
        </w:rPr>
        <w:t>FFIRIS</w:t>
      </w:r>
      <w:r>
        <w:rPr>
          <w:rFonts w:ascii="Arial" w:cs="Arial" w:eastAsia="Arial" w:hAnsi="Arial"/>
          <w:sz w:val="18"/>
          <w:szCs w:val="18"/>
          <w:color w:val="auto"/>
        </w:rPr>
        <w:t xml:space="preserve"> has paid all due remuneration to persons entitled to any compensation under the Austrian Patent Act 1970 (</w:t>
      </w:r>
      <w:r>
        <w:rPr>
          <w:rFonts w:ascii="Arial" w:cs="Arial" w:eastAsia="Arial" w:hAnsi="Arial"/>
          <w:sz w:val="18"/>
          <w:szCs w:val="18"/>
          <w:i w:val="1"/>
          <w:iCs w:val="1"/>
          <w:color w:val="auto"/>
        </w:rPr>
        <w:t>Patentgesetz 1970</w:t>
      </w:r>
      <w:r>
        <w:rPr>
          <w:rFonts w:ascii="Arial" w:cs="Arial" w:eastAsia="Arial" w:hAnsi="Arial"/>
          <w:sz w:val="18"/>
          <w:szCs w:val="18"/>
          <w:color w:val="auto"/>
        </w:rPr>
        <w:t>) in relation to employee inventions or agreements entered into until C</w:t>
      </w:r>
      <w:r>
        <w:rPr>
          <w:rFonts w:ascii="Arial" w:cs="Arial" w:eastAsia="Arial" w:hAnsi="Arial"/>
          <w:sz w:val="12"/>
          <w:szCs w:val="12"/>
          <w:color w:val="auto"/>
        </w:rPr>
        <w:t>LOSING</w:t>
      </w:r>
      <w:r>
        <w:rPr>
          <w:rFonts w:ascii="Arial" w:cs="Arial" w:eastAsia="Arial" w:hAnsi="Arial"/>
          <w:sz w:val="18"/>
          <w:szCs w:val="18"/>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11.1.5  Compliance with Laws</w:t>
      </w:r>
    </w:p>
    <w:p>
      <w:pPr>
        <w:spacing w:after="0" w:line="220" w:lineRule="exact"/>
        <w:rPr>
          <w:sz w:val="20"/>
          <w:szCs w:val="20"/>
          <w:color w:val="auto"/>
        </w:rPr>
      </w:pPr>
    </w:p>
    <w:p>
      <w:pPr>
        <w:jc w:val="both"/>
        <w:ind w:left="660" w:hanging="652"/>
        <w:spacing w:after="0" w:line="238"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w:t>
      </w:r>
      <w:r>
        <w:rPr>
          <w:rFonts w:ascii="Arial" w:cs="Arial" w:eastAsia="Arial" w:hAnsi="Arial"/>
          <w:sz w:val="12"/>
          <w:szCs w:val="12"/>
          <w:color w:val="auto"/>
        </w:rPr>
        <w:t>O THE BEST KNOWLEDGE OF</w:t>
      </w:r>
      <w:r>
        <w:rPr>
          <w:rFonts w:ascii="Arial" w:cs="Arial" w:eastAsia="Arial" w:hAnsi="Arial"/>
          <w:sz w:val="18"/>
          <w:szCs w:val="18"/>
          <w:color w:val="auto"/>
        </w:rPr>
        <w:t xml:space="preserve"> A</w:t>
      </w:r>
      <w:r>
        <w:rPr>
          <w:rFonts w:ascii="Arial" w:cs="Arial" w:eastAsia="Arial" w:hAnsi="Arial"/>
          <w:sz w:val="12"/>
          <w:szCs w:val="12"/>
          <w:color w:val="auto"/>
        </w:rPr>
        <w:t>FFIRIS</w:t>
      </w:r>
      <w:r>
        <w:rPr>
          <w:rFonts w:ascii="Arial" w:cs="Arial" w:eastAsia="Arial" w:hAnsi="Arial"/>
          <w:sz w:val="18"/>
          <w:szCs w:val="18"/>
          <w:color w:val="auto"/>
        </w:rPr>
        <w:t xml:space="preserve"> and only with regards to matters having a negative impact on the T</w:t>
      </w:r>
      <w:r>
        <w:rPr>
          <w:rFonts w:ascii="Arial" w:cs="Arial" w:eastAsia="Arial" w:hAnsi="Arial"/>
          <w:sz w:val="12"/>
          <w:szCs w:val="12"/>
          <w:color w:val="auto"/>
        </w:rPr>
        <w:t>RANSFERRED</w:t>
      </w:r>
      <w:r>
        <w:rPr>
          <w:rFonts w:ascii="Arial" w:cs="Arial" w:eastAsia="Arial" w:hAnsi="Arial"/>
          <w:sz w:val="18"/>
          <w:szCs w:val="18"/>
          <w:color w:val="auto"/>
        </w:rPr>
        <w:t xml:space="preserve"> A</w:t>
      </w:r>
      <w:r>
        <w:rPr>
          <w:rFonts w:ascii="Arial" w:cs="Arial" w:eastAsia="Arial" w:hAnsi="Arial"/>
          <w:sz w:val="12"/>
          <w:szCs w:val="12"/>
          <w:color w:val="auto"/>
        </w:rPr>
        <w:t>SSETS</w:t>
      </w:r>
      <w:r>
        <w:rPr>
          <w:rFonts w:ascii="Arial" w:cs="Arial" w:eastAsia="Arial" w:hAnsi="Arial"/>
          <w:sz w:val="18"/>
          <w:szCs w:val="18"/>
          <w:color w:val="auto"/>
        </w:rPr>
        <w:t>, A</w:t>
      </w:r>
      <w:r>
        <w:rPr>
          <w:rFonts w:ascii="Arial" w:cs="Arial" w:eastAsia="Arial" w:hAnsi="Arial"/>
          <w:sz w:val="12"/>
          <w:szCs w:val="12"/>
          <w:color w:val="auto"/>
        </w:rPr>
        <w:t>FFIRIS</w:t>
      </w:r>
      <w:r>
        <w:rPr>
          <w:rFonts w:ascii="Arial" w:cs="Arial" w:eastAsia="Arial" w:hAnsi="Arial"/>
          <w:sz w:val="18"/>
          <w:szCs w:val="18"/>
          <w:color w:val="auto"/>
        </w:rPr>
        <w:t xml:space="preserve"> is and has in the past 5 (five) years always been in compliance with the relevant applicable laws, regulations (including environmental, employment, antitrust and data protection laws and regulations) in order to use the T</w:t>
      </w:r>
      <w:r>
        <w:rPr>
          <w:rFonts w:ascii="Arial" w:cs="Arial" w:eastAsia="Arial" w:hAnsi="Arial"/>
          <w:sz w:val="12"/>
          <w:szCs w:val="12"/>
          <w:color w:val="auto"/>
        </w:rPr>
        <w:t>RANSFERRED</w:t>
      </w:r>
      <w:r>
        <w:rPr>
          <w:rFonts w:ascii="Arial" w:cs="Arial" w:eastAsia="Arial" w:hAnsi="Arial"/>
          <w:sz w:val="18"/>
          <w:szCs w:val="18"/>
          <w:color w:val="auto"/>
        </w:rPr>
        <w:t xml:space="preserve"> A</w:t>
      </w:r>
      <w:r>
        <w:rPr>
          <w:rFonts w:ascii="Arial" w:cs="Arial" w:eastAsia="Arial" w:hAnsi="Arial"/>
          <w:sz w:val="12"/>
          <w:szCs w:val="12"/>
          <w:color w:val="auto"/>
        </w:rPr>
        <w:t>SSETS</w:t>
      </w:r>
      <w:r>
        <w:rPr>
          <w:rFonts w:ascii="Arial" w:cs="Arial" w:eastAsia="Arial" w:hAnsi="Arial"/>
          <w:sz w:val="18"/>
          <w:szCs w:val="18"/>
          <w:color w:val="auto"/>
        </w:rPr>
        <w:t>. T</w:t>
      </w:r>
      <w:r>
        <w:rPr>
          <w:rFonts w:ascii="Arial" w:cs="Arial" w:eastAsia="Arial" w:hAnsi="Arial"/>
          <w:sz w:val="12"/>
          <w:szCs w:val="12"/>
          <w:color w:val="auto"/>
        </w:rPr>
        <w:t>O THE BEST KNOWLEDGE OF</w:t>
      </w:r>
      <w:r>
        <w:rPr>
          <w:rFonts w:ascii="Arial" w:cs="Arial" w:eastAsia="Arial" w:hAnsi="Arial"/>
          <w:sz w:val="18"/>
          <w:szCs w:val="18"/>
          <w:color w:val="auto"/>
        </w:rPr>
        <w:t xml:space="preserve"> A</w:t>
      </w:r>
      <w:r>
        <w:rPr>
          <w:rFonts w:ascii="Arial" w:cs="Arial" w:eastAsia="Arial" w:hAnsi="Arial"/>
          <w:sz w:val="12"/>
          <w:szCs w:val="12"/>
          <w:color w:val="auto"/>
        </w:rPr>
        <w:t>FFIRIS</w:t>
      </w:r>
      <w:r>
        <w:rPr>
          <w:rFonts w:ascii="Arial" w:cs="Arial" w:eastAsia="Arial" w:hAnsi="Arial"/>
          <w:sz w:val="18"/>
          <w:szCs w:val="18"/>
          <w:color w:val="auto"/>
        </w:rPr>
        <w:t xml:space="preserve"> and only with regards to matters having a negative impact on the T</w:t>
      </w:r>
      <w:r>
        <w:rPr>
          <w:rFonts w:ascii="Arial" w:cs="Arial" w:eastAsia="Arial" w:hAnsi="Arial"/>
          <w:sz w:val="12"/>
          <w:szCs w:val="12"/>
          <w:color w:val="auto"/>
        </w:rPr>
        <w:t>RANSFERRED</w:t>
      </w:r>
      <w:r>
        <w:rPr>
          <w:rFonts w:ascii="Arial" w:cs="Arial" w:eastAsia="Arial" w:hAnsi="Arial"/>
          <w:sz w:val="18"/>
          <w:szCs w:val="18"/>
          <w:color w:val="auto"/>
        </w:rPr>
        <w:t xml:space="preserve"> A</w:t>
      </w:r>
      <w:r>
        <w:rPr>
          <w:rFonts w:ascii="Arial" w:cs="Arial" w:eastAsia="Arial" w:hAnsi="Arial"/>
          <w:sz w:val="12"/>
          <w:szCs w:val="12"/>
          <w:color w:val="auto"/>
        </w:rPr>
        <w:t>SSETS</w:t>
      </w:r>
      <w:r>
        <w:rPr>
          <w:rFonts w:ascii="Arial" w:cs="Arial" w:eastAsia="Arial" w:hAnsi="Arial"/>
          <w:sz w:val="18"/>
          <w:szCs w:val="18"/>
          <w:color w:val="auto"/>
        </w:rPr>
        <w:t>, there are no administrative, criminal or other investigations or proceedings pending or threatened in writing against A</w:t>
      </w:r>
      <w:r>
        <w:rPr>
          <w:rFonts w:ascii="Arial" w:cs="Arial" w:eastAsia="Arial" w:hAnsi="Arial"/>
          <w:sz w:val="12"/>
          <w:szCs w:val="12"/>
          <w:color w:val="auto"/>
        </w:rPr>
        <w:t>FFIRIS</w:t>
      </w:r>
      <w:r>
        <w:rPr>
          <w:rFonts w:ascii="Arial" w:cs="Arial" w:eastAsia="Arial" w:hAnsi="Arial"/>
          <w:sz w:val="18"/>
          <w:szCs w:val="18"/>
          <w:color w:val="auto"/>
        </w:rPr>
        <w:t xml:space="preserve"> , which would result in a restriction of the use of</w:t>
      </w:r>
    </w:p>
    <w:p>
      <w:pPr>
        <w:ind w:left="660"/>
        <w:spacing w:after="0" w:line="234" w:lineRule="auto"/>
        <w:rPr>
          <w:rFonts w:ascii="Arial" w:cs="Arial" w:eastAsia="Arial" w:hAnsi="Arial"/>
          <w:sz w:val="18"/>
          <w:szCs w:val="18"/>
          <w:color w:val="auto"/>
        </w:rPr>
      </w:pPr>
      <w:r>
        <w:rPr>
          <w:rFonts w:ascii="Arial" w:cs="Arial" w:eastAsia="Arial" w:hAnsi="Arial"/>
          <w:sz w:val="18"/>
          <w:szCs w:val="18"/>
          <w:color w:val="auto"/>
        </w:rPr>
        <w:t>the T</w:t>
      </w:r>
      <w:r>
        <w:rPr>
          <w:rFonts w:ascii="Arial" w:cs="Arial" w:eastAsia="Arial" w:hAnsi="Arial"/>
          <w:sz w:val="12"/>
          <w:szCs w:val="12"/>
          <w:color w:val="auto"/>
        </w:rPr>
        <w:t>RANSFERRED</w:t>
      </w:r>
      <w:r>
        <w:rPr>
          <w:rFonts w:ascii="Arial" w:cs="Arial" w:eastAsia="Arial" w:hAnsi="Arial"/>
          <w:sz w:val="18"/>
          <w:szCs w:val="18"/>
          <w:color w:val="auto"/>
        </w:rPr>
        <w:t xml:space="preserve"> A</w:t>
      </w:r>
      <w:r>
        <w:rPr>
          <w:rFonts w:ascii="Arial" w:cs="Arial" w:eastAsia="Arial" w:hAnsi="Arial"/>
          <w:sz w:val="12"/>
          <w:szCs w:val="12"/>
          <w:color w:val="auto"/>
        </w:rPr>
        <w:t>SSETS</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jc w:val="both"/>
        <w:ind w:left="660" w:hanging="652"/>
        <w:spacing w:after="0" w:line="241"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2"/>
          <w:szCs w:val="12"/>
          <w:color w:val="auto"/>
        </w:rPr>
        <w:t>FFIRIS</w:t>
      </w:r>
      <w:r>
        <w:rPr>
          <w:rFonts w:ascii="Arial" w:cs="Arial" w:eastAsia="Arial" w:hAnsi="Arial"/>
          <w:sz w:val="18"/>
          <w:szCs w:val="18"/>
          <w:color w:val="auto"/>
        </w:rPr>
        <w:t xml:space="preserve"> has, and has in the past 5 (five) years always had, all authorizations, permits, licenses and certificates granted or issued by a governmental authority or private institution ("</w:t>
      </w:r>
      <w:r>
        <w:rPr>
          <w:rFonts w:ascii="Arial" w:cs="Arial" w:eastAsia="Arial" w:hAnsi="Arial"/>
          <w:sz w:val="18"/>
          <w:szCs w:val="18"/>
          <w:b w:val="1"/>
          <w:bCs w:val="1"/>
          <w:color w:val="auto"/>
        </w:rPr>
        <w:t>P</w:t>
      </w:r>
      <w:r>
        <w:rPr>
          <w:rFonts w:ascii="Arial" w:cs="Arial" w:eastAsia="Arial" w:hAnsi="Arial"/>
          <w:sz w:val="12"/>
          <w:szCs w:val="12"/>
          <w:b w:val="1"/>
          <w:bCs w:val="1"/>
          <w:color w:val="auto"/>
        </w:rPr>
        <w:t>ERMITS</w:t>
      </w:r>
      <w:r>
        <w:rPr>
          <w:rFonts w:ascii="Arial" w:cs="Arial" w:eastAsia="Arial" w:hAnsi="Arial"/>
          <w:sz w:val="18"/>
          <w:szCs w:val="18"/>
          <w:color w:val="auto"/>
        </w:rPr>
        <w:t>") necessary to use the P</w:t>
      </w:r>
      <w:r>
        <w:rPr>
          <w:rFonts w:ascii="Arial" w:cs="Arial" w:eastAsia="Arial" w:hAnsi="Arial"/>
          <w:sz w:val="12"/>
          <w:szCs w:val="12"/>
          <w:color w:val="auto"/>
        </w:rPr>
        <w:t>ROGRAMS</w:t>
      </w:r>
      <w:r>
        <w:rPr>
          <w:rFonts w:ascii="Arial" w:cs="Arial" w:eastAsia="Arial" w:hAnsi="Arial"/>
          <w:sz w:val="18"/>
          <w:szCs w:val="18"/>
          <w:color w:val="auto"/>
        </w:rPr>
        <w:t xml:space="preserve"> in accordance with applicable laws. All such P</w:t>
      </w:r>
      <w:r>
        <w:rPr>
          <w:rFonts w:ascii="Arial" w:cs="Arial" w:eastAsia="Arial" w:hAnsi="Arial"/>
          <w:sz w:val="12"/>
          <w:szCs w:val="12"/>
          <w:color w:val="auto"/>
        </w:rPr>
        <w:t>ERMITS</w:t>
      </w:r>
      <w:r>
        <w:rPr>
          <w:rFonts w:ascii="Arial" w:cs="Arial" w:eastAsia="Arial" w:hAnsi="Arial"/>
          <w:sz w:val="18"/>
          <w:szCs w:val="18"/>
          <w:color w:val="auto"/>
        </w:rPr>
        <w:t xml:space="preserve"> still needed to use the P</w:t>
      </w:r>
      <w:r>
        <w:rPr>
          <w:rFonts w:ascii="Arial" w:cs="Arial" w:eastAsia="Arial" w:hAnsi="Arial"/>
          <w:sz w:val="12"/>
          <w:szCs w:val="12"/>
          <w:color w:val="auto"/>
        </w:rPr>
        <w:t>ROGRAMS</w:t>
      </w:r>
      <w:r>
        <w:rPr>
          <w:rFonts w:ascii="Arial" w:cs="Arial" w:eastAsia="Arial" w:hAnsi="Arial"/>
          <w:sz w:val="18"/>
          <w:szCs w:val="18"/>
          <w:color w:val="auto"/>
        </w:rPr>
        <w:t xml:space="preserve"> in accordance with applicable laws are in full force and effect and there are, to </w:t>
      </w:r>
      <w:r>
        <w:rPr>
          <w:rFonts w:ascii="Arial" w:cs="Arial" w:eastAsia="Arial" w:hAnsi="Arial"/>
          <w:sz w:val="12"/>
          <w:szCs w:val="12"/>
          <w:color w:val="auto"/>
        </w:rPr>
        <w:t>THE BEST</w:t>
      </w:r>
      <w:r>
        <w:rPr>
          <w:rFonts w:ascii="Arial" w:cs="Arial" w:eastAsia="Arial" w:hAnsi="Arial"/>
          <w:sz w:val="18"/>
          <w:szCs w:val="18"/>
          <w:color w:val="auto"/>
        </w:rPr>
        <w:t xml:space="preserve"> </w:t>
      </w:r>
      <w:r>
        <w:rPr>
          <w:rFonts w:ascii="Arial" w:cs="Arial" w:eastAsia="Arial" w:hAnsi="Arial"/>
          <w:sz w:val="12"/>
          <w:szCs w:val="12"/>
          <w:color w:val="auto"/>
        </w:rPr>
        <w:t xml:space="preserve">KNOWLEDGE OF </w:t>
      </w:r>
      <w:r>
        <w:rPr>
          <w:rFonts w:ascii="Arial" w:cs="Arial" w:eastAsia="Arial" w:hAnsi="Arial"/>
          <w:sz w:val="17"/>
          <w:szCs w:val="17"/>
          <w:color w:val="auto"/>
        </w:rPr>
        <w:t>A</w:t>
      </w:r>
      <w:r>
        <w:rPr>
          <w:rFonts w:ascii="Arial" w:cs="Arial" w:eastAsia="Arial" w:hAnsi="Arial"/>
          <w:sz w:val="12"/>
          <w:szCs w:val="12"/>
          <w:color w:val="auto"/>
        </w:rPr>
        <w:t>FFIRIS</w:t>
      </w:r>
      <w:r>
        <w:rPr>
          <w:rFonts w:ascii="Arial" w:cs="Arial" w:eastAsia="Arial" w:hAnsi="Arial"/>
          <w:sz w:val="17"/>
          <w:szCs w:val="17"/>
          <w:color w:val="auto"/>
        </w:rPr>
        <w:t>, no circumstances likely to result in, any partial or full suspension, revocation, adverse modification or non-renewal of any such P</w:t>
      </w:r>
      <w:r>
        <w:rPr>
          <w:rFonts w:ascii="Arial" w:cs="Arial" w:eastAsia="Arial" w:hAnsi="Arial"/>
          <w:sz w:val="12"/>
          <w:szCs w:val="12"/>
          <w:color w:val="auto"/>
        </w:rPr>
        <w:t>ERMITS</w:t>
      </w:r>
      <w:r>
        <w:rPr>
          <w:rFonts w:ascii="Arial" w:cs="Arial" w:eastAsia="Arial" w:hAnsi="Arial"/>
          <w:sz w:val="17"/>
          <w:szCs w:val="17"/>
          <w:color w:val="auto"/>
        </w:rPr>
        <w:t xml:space="preserve"> still needed.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11.1.6  Fair Disclosure</w:t>
      </w:r>
    </w:p>
    <w:p>
      <w:pPr>
        <w:spacing w:after="0" w:line="220" w:lineRule="exact"/>
        <w:rPr>
          <w:sz w:val="20"/>
          <w:szCs w:val="20"/>
          <w:color w:val="auto"/>
        </w:rPr>
      </w:pPr>
    </w:p>
    <w:p>
      <w:pPr>
        <w:ind w:left="5500" w:right="60" w:hanging="5492"/>
        <w:spacing w:after="0" w:line="606" w:lineRule="auto"/>
        <w:tabs>
          <w:tab w:leader="none" w:pos="657"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facts and circumstances which have been F</w:t>
      </w:r>
      <w:r>
        <w:rPr>
          <w:rFonts w:ascii="Arial" w:cs="Arial" w:eastAsia="Arial" w:hAnsi="Arial"/>
          <w:sz w:val="12"/>
          <w:szCs w:val="12"/>
          <w:color w:val="auto"/>
        </w:rPr>
        <w:t>AIRLY</w:t>
      </w:r>
      <w:r>
        <w:rPr>
          <w:rFonts w:ascii="Arial" w:cs="Arial" w:eastAsia="Arial" w:hAnsi="Arial"/>
          <w:sz w:val="18"/>
          <w:szCs w:val="18"/>
          <w:color w:val="auto"/>
        </w:rPr>
        <w:t xml:space="preserve"> D</w:t>
      </w:r>
      <w:r>
        <w:rPr>
          <w:rFonts w:ascii="Arial" w:cs="Arial" w:eastAsia="Arial" w:hAnsi="Arial"/>
          <w:sz w:val="12"/>
          <w:szCs w:val="12"/>
          <w:color w:val="auto"/>
        </w:rPr>
        <w:t>ISCLOSED</w:t>
      </w:r>
      <w:r>
        <w:rPr>
          <w:rFonts w:ascii="Arial" w:cs="Arial" w:eastAsia="Arial" w:hAnsi="Arial"/>
          <w:sz w:val="18"/>
          <w:szCs w:val="18"/>
          <w:color w:val="auto"/>
        </w:rPr>
        <w:t xml:space="preserve"> in the virtual data room provided by Brainloop under [*****] are correct.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spacing w:after="0"/>
        <w:tabs>
          <w:tab w:leader="none" w:pos="64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7"/>
          <w:szCs w:val="17"/>
          <w:b w:val="1"/>
          <w:bCs w:val="1"/>
          <w:color w:val="auto"/>
        </w:rPr>
        <w:t>Representations and Warranties of ACIU</w:t>
      </w:r>
    </w:p>
    <w:p>
      <w:pPr>
        <w:spacing w:after="0" w:line="220" w:lineRule="exact"/>
        <w:rPr>
          <w:sz w:val="20"/>
          <w:szCs w:val="20"/>
          <w:color w:val="auto"/>
        </w:rPr>
      </w:pPr>
    </w:p>
    <w:p>
      <w:pPr>
        <w:jc w:val="both"/>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Subject to the limitations set forth in S</w:t>
      </w:r>
      <w:r>
        <w:rPr>
          <w:rFonts w:ascii="Arial" w:cs="Arial" w:eastAsia="Arial" w:hAnsi="Arial"/>
          <w:sz w:val="12"/>
          <w:szCs w:val="12"/>
          <w:color w:val="auto"/>
        </w:rPr>
        <w:t>ECTION</w:t>
      </w:r>
      <w:r>
        <w:rPr>
          <w:rFonts w:ascii="Arial" w:cs="Arial" w:eastAsia="Arial" w:hAnsi="Arial"/>
          <w:sz w:val="18"/>
          <w:szCs w:val="18"/>
          <w:color w:val="auto"/>
        </w:rPr>
        <w:t xml:space="preserve"> 12 (Remedies), ACIU hereby represents and warrants to A</w:t>
      </w:r>
      <w:r>
        <w:rPr>
          <w:rFonts w:ascii="Arial" w:cs="Arial" w:eastAsia="Arial" w:hAnsi="Arial"/>
          <w:sz w:val="12"/>
          <w:szCs w:val="12"/>
          <w:color w:val="auto"/>
        </w:rPr>
        <w:t>FFIRIS</w:t>
      </w:r>
      <w:r>
        <w:rPr>
          <w:rFonts w:ascii="Arial" w:cs="Arial" w:eastAsia="Arial" w:hAnsi="Arial"/>
          <w:sz w:val="18"/>
          <w:szCs w:val="18"/>
          <w:color w:val="auto"/>
        </w:rPr>
        <w:t xml:space="preserve"> that the representations and warranties set forth in this S</w:t>
      </w:r>
      <w:r>
        <w:rPr>
          <w:rFonts w:ascii="Arial" w:cs="Arial" w:eastAsia="Arial" w:hAnsi="Arial"/>
          <w:sz w:val="12"/>
          <w:szCs w:val="12"/>
          <w:color w:val="auto"/>
        </w:rPr>
        <w:t>ECTION</w:t>
      </w:r>
      <w:r>
        <w:rPr>
          <w:rFonts w:ascii="Arial" w:cs="Arial" w:eastAsia="Arial" w:hAnsi="Arial"/>
          <w:sz w:val="18"/>
          <w:szCs w:val="18"/>
          <w:color w:val="auto"/>
        </w:rPr>
        <w:t xml:space="preserve"> 11.2 (Representations and Warranties of ACIU) are true and accurate in all respects as of signing and as of C</w:t>
      </w:r>
      <w:r>
        <w:rPr>
          <w:rFonts w:ascii="Arial" w:cs="Arial" w:eastAsia="Arial" w:hAnsi="Arial"/>
          <w:sz w:val="12"/>
          <w:szCs w:val="12"/>
          <w:color w:val="auto"/>
        </w:rPr>
        <w:t>LOSING</w:t>
      </w:r>
      <w:r>
        <w:rPr>
          <w:rFonts w:ascii="Arial" w:cs="Arial" w:eastAsia="Arial" w:hAnsi="Arial"/>
          <w:sz w:val="18"/>
          <w:szCs w:val="18"/>
          <w:color w:val="auto"/>
        </w:rPr>
        <w:t>, unless explicitly otherwise specified hereafter.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11.2.1  Capacity</w:t>
      </w:r>
    </w:p>
    <w:p>
      <w:pPr>
        <w:spacing w:after="0" w:line="220" w:lineRule="exact"/>
        <w:rPr>
          <w:sz w:val="20"/>
          <w:szCs w:val="20"/>
          <w:color w:val="auto"/>
        </w:rPr>
      </w:pPr>
    </w:p>
    <w:p>
      <w:pPr>
        <w:ind w:left="660" w:hanging="652"/>
        <w:spacing w:after="0" w:line="246"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ACIU has the right and capacity to execute this A</w:t>
      </w:r>
      <w:r>
        <w:rPr>
          <w:rFonts w:ascii="Arial" w:cs="Arial" w:eastAsia="Arial" w:hAnsi="Arial"/>
          <w:sz w:val="12"/>
          <w:szCs w:val="12"/>
          <w:color w:val="auto"/>
        </w:rPr>
        <w:t>GREEMENT</w:t>
      </w:r>
      <w:r>
        <w:rPr>
          <w:rFonts w:ascii="Arial" w:cs="Arial" w:eastAsia="Arial" w:hAnsi="Arial"/>
          <w:sz w:val="18"/>
          <w:szCs w:val="18"/>
          <w:color w:val="auto"/>
        </w:rPr>
        <w:t xml:space="preserve"> and perform its obligations thereunder. This A</w:t>
      </w:r>
      <w:r>
        <w:rPr>
          <w:rFonts w:ascii="Arial" w:cs="Arial" w:eastAsia="Arial" w:hAnsi="Arial"/>
          <w:sz w:val="12"/>
          <w:szCs w:val="12"/>
          <w:color w:val="auto"/>
        </w:rPr>
        <w:t>GREEMENT</w:t>
      </w:r>
      <w:r>
        <w:rPr>
          <w:rFonts w:ascii="Arial" w:cs="Arial" w:eastAsia="Arial" w:hAnsi="Arial"/>
          <w:sz w:val="18"/>
          <w:szCs w:val="18"/>
          <w:color w:val="auto"/>
        </w:rPr>
        <w:t xml:space="preserve"> constitutes valid and binding obligations of ACIU, enforceable in accordance with its terms.</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ACIU is duly established, duly registered, validly incorporated and validly existing under the applicable laws of Switzerland.</w:t>
      </w:r>
    </w:p>
    <w:p>
      <w:pPr>
        <w:spacing w:after="0" w:line="198"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Upon R</w:t>
      </w:r>
      <w:r>
        <w:rPr>
          <w:rFonts w:ascii="Arial" w:cs="Arial" w:eastAsia="Arial" w:hAnsi="Arial"/>
          <w:sz w:val="12"/>
          <w:szCs w:val="12"/>
          <w:color w:val="auto"/>
        </w:rPr>
        <w:t>EGISTRATION</w:t>
      </w:r>
      <w:r>
        <w:rPr>
          <w:rFonts w:ascii="Arial" w:cs="Arial" w:eastAsia="Arial" w:hAnsi="Arial"/>
          <w:sz w:val="18"/>
          <w:szCs w:val="18"/>
          <w:color w:val="auto"/>
        </w:rPr>
        <w:t>, (i) ACIU will convey to A</w:t>
      </w:r>
      <w:r>
        <w:rPr>
          <w:rFonts w:ascii="Arial" w:cs="Arial" w:eastAsia="Arial" w:hAnsi="Arial"/>
          <w:sz w:val="12"/>
          <w:szCs w:val="12"/>
          <w:color w:val="auto"/>
        </w:rPr>
        <w:t>FFIRIS</w:t>
      </w:r>
      <w:r>
        <w:rPr>
          <w:rFonts w:ascii="Arial" w:cs="Arial" w:eastAsia="Arial" w:hAnsi="Arial"/>
          <w:sz w:val="18"/>
          <w:szCs w:val="18"/>
          <w:color w:val="auto"/>
        </w:rPr>
        <w:t xml:space="preserve"> and A</w:t>
      </w:r>
      <w:r>
        <w:rPr>
          <w:rFonts w:ascii="Arial" w:cs="Arial" w:eastAsia="Arial" w:hAnsi="Arial"/>
          <w:sz w:val="12"/>
          <w:szCs w:val="12"/>
          <w:color w:val="auto"/>
        </w:rPr>
        <w:t>FFIRIS</w:t>
      </w:r>
      <w:r>
        <w:rPr>
          <w:rFonts w:ascii="Arial" w:cs="Arial" w:eastAsia="Arial" w:hAnsi="Arial"/>
          <w:sz w:val="18"/>
          <w:szCs w:val="18"/>
          <w:color w:val="auto"/>
        </w:rPr>
        <w:t xml:space="preserve"> will acquire valid title to ACIU S</w:t>
      </w:r>
      <w:r>
        <w:rPr>
          <w:rFonts w:ascii="Arial" w:cs="Arial" w:eastAsia="Arial" w:hAnsi="Arial"/>
          <w:sz w:val="12"/>
          <w:szCs w:val="12"/>
          <w:color w:val="auto"/>
        </w:rPr>
        <w:t>HARES</w:t>
      </w:r>
      <w:r>
        <w:rPr>
          <w:rFonts w:ascii="Arial" w:cs="Arial" w:eastAsia="Arial" w:hAnsi="Arial"/>
          <w:sz w:val="18"/>
          <w:szCs w:val="18"/>
          <w:color w:val="auto"/>
        </w:rPr>
        <w:t>, free and clear of any L</w:t>
      </w:r>
      <w:r>
        <w:rPr>
          <w:rFonts w:ascii="Arial" w:cs="Arial" w:eastAsia="Arial" w:hAnsi="Arial"/>
          <w:sz w:val="12"/>
          <w:szCs w:val="12"/>
          <w:color w:val="auto"/>
        </w:rPr>
        <w:t>IEN</w:t>
      </w:r>
      <w:r>
        <w:rPr>
          <w:rFonts w:ascii="Arial" w:cs="Arial" w:eastAsia="Arial" w:hAnsi="Arial"/>
          <w:sz w:val="18"/>
          <w:szCs w:val="18"/>
          <w:color w:val="auto"/>
        </w:rPr>
        <w:t>, except for L</w:t>
      </w:r>
      <w:r>
        <w:rPr>
          <w:rFonts w:ascii="Arial" w:cs="Arial" w:eastAsia="Arial" w:hAnsi="Arial"/>
          <w:sz w:val="12"/>
          <w:szCs w:val="12"/>
          <w:color w:val="auto"/>
        </w:rPr>
        <w:t>IENS</w:t>
      </w:r>
      <w:r>
        <w:rPr>
          <w:rFonts w:ascii="Arial" w:cs="Arial" w:eastAsia="Arial" w:hAnsi="Arial"/>
          <w:sz w:val="18"/>
          <w:szCs w:val="18"/>
          <w:color w:val="auto"/>
        </w:rPr>
        <w:t xml:space="preserve"> resulting by an agreement between ACIU and the A</w:t>
      </w:r>
      <w:r>
        <w:rPr>
          <w:rFonts w:ascii="Arial" w:cs="Arial" w:eastAsia="Arial" w:hAnsi="Arial"/>
          <w:sz w:val="12"/>
          <w:szCs w:val="12"/>
          <w:color w:val="auto"/>
        </w:rPr>
        <w:t>FFIRIS</w:t>
      </w:r>
      <w:r>
        <w:rPr>
          <w:rFonts w:ascii="Arial" w:cs="Arial" w:eastAsia="Arial" w:hAnsi="Arial"/>
          <w:sz w:val="18"/>
          <w:szCs w:val="18"/>
          <w:color w:val="auto"/>
        </w:rPr>
        <w:t xml:space="preserve"> S</w:t>
      </w:r>
      <w:r>
        <w:rPr>
          <w:rFonts w:ascii="Arial" w:cs="Arial" w:eastAsia="Arial" w:hAnsi="Arial"/>
          <w:sz w:val="12"/>
          <w:szCs w:val="12"/>
          <w:color w:val="auto"/>
        </w:rPr>
        <w:t>HAREHOLDERS</w:t>
      </w:r>
      <w:r>
        <w:rPr>
          <w:rFonts w:ascii="Arial" w:cs="Arial" w:eastAsia="Arial" w:hAnsi="Arial"/>
          <w:sz w:val="18"/>
          <w:szCs w:val="18"/>
          <w:color w:val="auto"/>
        </w:rPr>
        <w:t xml:space="preserve"> as evidenced in Annex E), and (ii) A</w:t>
      </w:r>
      <w:r>
        <w:rPr>
          <w:rFonts w:ascii="Arial" w:cs="Arial" w:eastAsia="Arial" w:hAnsi="Arial"/>
          <w:sz w:val="12"/>
          <w:szCs w:val="12"/>
          <w:color w:val="auto"/>
        </w:rPr>
        <w:t>FFIRIS</w:t>
      </w:r>
      <w:r>
        <w:rPr>
          <w:rFonts w:ascii="Arial" w:cs="Arial" w:eastAsia="Arial" w:hAnsi="Arial"/>
          <w:sz w:val="18"/>
          <w:szCs w:val="18"/>
          <w:color w:val="auto"/>
        </w:rPr>
        <w:t xml:space="preserve"> shall, subject to the rights and obligations contained in the agreement with the A</w:t>
      </w:r>
      <w:r>
        <w:rPr>
          <w:rFonts w:ascii="Arial" w:cs="Arial" w:eastAsia="Arial" w:hAnsi="Arial"/>
          <w:sz w:val="12"/>
          <w:szCs w:val="12"/>
          <w:color w:val="auto"/>
        </w:rPr>
        <w:t>FFIRIS SHAREHOLDERS</w:t>
      </w:r>
      <w:r>
        <w:rPr>
          <w:rFonts w:ascii="Arial" w:cs="Arial" w:eastAsia="Arial" w:hAnsi="Arial"/>
          <w:sz w:val="18"/>
          <w:szCs w:val="18"/>
          <w:color w:val="auto"/>
        </w:rPr>
        <w:t xml:space="preserve"> as evidenced in A</w:t>
      </w:r>
      <w:r>
        <w:rPr>
          <w:rFonts w:ascii="Arial" w:cs="Arial" w:eastAsia="Arial" w:hAnsi="Arial"/>
          <w:sz w:val="12"/>
          <w:szCs w:val="12"/>
          <w:color w:val="auto"/>
        </w:rPr>
        <w:t>NNEX</w:t>
      </w:r>
      <w:r>
        <w:rPr>
          <w:rFonts w:ascii="Arial" w:cs="Arial" w:eastAsia="Arial" w:hAnsi="Arial"/>
          <w:sz w:val="18"/>
          <w:szCs w:val="18"/>
          <w:color w:val="auto"/>
        </w:rPr>
        <w:t xml:space="preserve"> E), be entitled to all of the rights attached to or arising from the ACIU S</w:t>
      </w:r>
      <w:r>
        <w:rPr>
          <w:rFonts w:ascii="Arial" w:cs="Arial" w:eastAsia="Arial" w:hAnsi="Arial"/>
          <w:sz w:val="12"/>
          <w:szCs w:val="12"/>
          <w:color w:val="auto"/>
        </w:rPr>
        <w:t>HARES</w:t>
      </w:r>
      <w:r>
        <w:rPr>
          <w:rFonts w:ascii="Arial" w:cs="Arial" w:eastAsia="Arial" w:hAnsi="Arial"/>
          <w:sz w:val="18"/>
          <w:szCs w:val="18"/>
          <w:color w:val="auto"/>
        </w:rPr>
        <w:t xml:space="preserve"> that are ranked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existing ACIU shares in terms of dividend and voting rights.</w:t>
      </w:r>
    </w:p>
    <w:p>
      <w:pPr>
        <w:spacing w:after="0" w:line="188"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With respect to ACIU, neither any bankruptcy, insolvency or similar proceeding has been initiated or threatened, nor has the initiation of such proceedings been rejected due to the lack of sufficient assets. There are no events and no facts, matters, circumstances or events that any member of the board of directors of ACIU was or could have become aware of (</w:t>
      </w:r>
      <w:r>
        <w:rPr>
          <w:rFonts w:ascii="Arial" w:cs="Arial" w:eastAsia="Arial" w:hAnsi="Arial"/>
          <w:sz w:val="18"/>
          <w:szCs w:val="18"/>
          <w:i w:val="1"/>
          <w:iCs w:val="1"/>
          <w:color w:val="auto"/>
        </w:rPr>
        <w:t>Kennen oder Kennenmüssen</w:t>
      </w:r>
      <w:r>
        <w:rPr>
          <w:rFonts w:ascii="Arial" w:cs="Arial" w:eastAsia="Arial" w:hAnsi="Arial"/>
          <w:sz w:val="18"/>
          <w:szCs w:val="18"/>
          <w:color w:val="auto"/>
        </w:rPr>
        <w:t>) that under Swiss laws would necessitate or justify the initiation of any bankruptcy, insolvency or similar proceeding with respect to ACIU (cf., e.g. Art. 725 CO).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11.2.2  No Proceedings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8"/>
          <w:szCs w:val="18"/>
          <w:color w:val="auto"/>
        </w:rPr>
        <w:t>There are no proceedings pending against the ACIU seeking to prohibit or limit the consummation of the T</w:t>
      </w:r>
      <w:r>
        <w:rPr>
          <w:rFonts w:ascii="Arial" w:cs="Arial" w:eastAsia="Arial" w:hAnsi="Arial"/>
          <w:sz w:val="12"/>
          <w:szCs w:val="12"/>
          <w:color w:val="auto"/>
        </w:rPr>
        <w:t>RANSFER</w:t>
      </w:r>
      <w:r>
        <w:rPr>
          <w:rFonts w:ascii="Arial" w:cs="Arial" w:eastAsia="Arial" w:hAnsi="Arial"/>
          <w:sz w:val="18"/>
          <w:szCs w:val="18"/>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11.2.3  ACIU's Due Diligences</w:t>
      </w:r>
    </w:p>
    <w:p>
      <w:pPr>
        <w:spacing w:after="0" w:line="220" w:lineRule="exact"/>
        <w:rPr>
          <w:sz w:val="20"/>
          <w:szCs w:val="20"/>
          <w:color w:val="auto"/>
        </w:rPr>
      </w:pPr>
    </w:p>
    <w:p>
      <w:pPr>
        <w:ind w:left="660" w:hanging="652"/>
        <w:spacing w:after="0" w:line="246"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ACIU is not aware of any matter or circumstance that constitutes, or could reasonably be expected to constitute the basis of a misrepresentation or breach of warranty pursuant to S</w:t>
      </w:r>
      <w:r>
        <w:rPr>
          <w:rFonts w:ascii="Arial" w:cs="Arial" w:eastAsia="Arial" w:hAnsi="Arial"/>
          <w:sz w:val="12"/>
          <w:szCs w:val="12"/>
          <w:color w:val="auto"/>
        </w:rPr>
        <w:t>ECTION</w:t>
      </w:r>
      <w:r>
        <w:rPr>
          <w:rFonts w:ascii="Arial" w:cs="Arial" w:eastAsia="Arial" w:hAnsi="Arial"/>
          <w:sz w:val="18"/>
          <w:szCs w:val="18"/>
          <w:color w:val="auto"/>
        </w:rPr>
        <w:t xml:space="preserve"> 11.1 (Representations and Warranties of A</w:t>
      </w:r>
      <w:r>
        <w:rPr>
          <w:rFonts w:ascii="Arial" w:cs="Arial" w:eastAsia="Arial" w:hAnsi="Arial"/>
          <w:sz w:val="12"/>
          <w:szCs w:val="12"/>
          <w:color w:val="auto"/>
        </w:rPr>
        <w:t>FFIRIS</w:t>
      </w:r>
      <w:r>
        <w:rPr>
          <w:rFonts w:ascii="Arial" w:cs="Arial" w:eastAsia="Arial" w:hAnsi="Arial"/>
          <w:sz w:val="18"/>
          <w:szCs w:val="18"/>
          <w:color w:val="auto"/>
        </w:rPr>
        <w:t>).</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Remedies</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7"/>
          <w:szCs w:val="17"/>
          <w:b w:val="1"/>
          <w:bCs w:val="1"/>
          <w:color w:val="auto"/>
        </w:rPr>
        <w:t>Notice of Breach (</w:t>
      </w:r>
      <w:r>
        <w:rPr>
          <w:rFonts w:ascii="Arial" w:cs="Arial" w:eastAsia="Arial" w:hAnsi="Arial"/>
          <w:sz w:val="17"/>
          <w:szCs w:val="17"/>
          <w:b w:val="1"/>
          <w:bCs w:val="1"/>
          <w:i w:val="1"/>
          <w:iCs w:val="1"/>
          <w:color w:val="auto"/>
        </w:rPr>
        <w:t>Rügefrist</w:t>
      </w:r>
      <w:r>
        <w:rPr>
          <w:rFonts w:ascii="Arial" w:cs="Arial" w:eastAsia="Arial" w:hAnsi="Arial"/>
          <w:sz w:val="17"/>
          <w:szCs w:val="17"/>
          <w:b w:val="1"/>
          <w:bCs w:val="1"/>
          <w:color w:val="auto"/>
        </w:rPr>
        <w:t>)</w:t>
      </w:r>
    </w:p>
    <w:p>
      <w:pPr>
        <w:spacing w:after="0" w:line="220" w:lineRule="exact"/>
        <w:rPr>
          <w:sz w:val="20"/>
          <w:szCs w:val="20"/>
          <w:color w:val="auto"/>
        </w:rPr>
      </w:pPr>
    </w:p>
    <w:p>
      <w:pPr>
        <w:jc w:val="both"/>
        <w:ind w:left="660" w:hanging="65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Within 20 (twenty) B</w:t>
      </w:r>
      <w:r>
        <w:rPr>
          <w:rFonts w:ascii="Arial" w:cs="Arial" w:eastAsia="Arial" w:hAnsi="Arial"/>
          <w:sz w:val="12"/>
          <w:szCs w:val="12"/>
          <w:color w:val="auto"/>
        </w:rPr>
        <w:t>USINESS</w:t>
      </w:r>
      <w:r>
        <w:rPr>
          <w:rFonts w:ascii="Arial" w:cs="Arial" w:eastAsia="Arial" w:hAnsi="Arial"/>
          <w:sz w:val="18"/>
          <w:szCs w:val="18"/>
          <w:color w:val="auto"/>
        </w:rPr>
        <w:t xml:space="preserve"> D</w:t>
      </w:r>
      <w:r>
        <w:rPr>
          <w:rFonts w:ascii="Arial" w:cs="Arial" w:eastAsia="Arial" w:hAnsi="Arial"/>
          <w:sz w:val="12"/>
          <w:szCs w:val="12"/>
          <w:color w:val="auto"/>
        </w:rPr>
        <w:t>AYS</w:t>
      </w:r>
      <w:r>
        <w:rPr>
          <w:rFonts w:ascii="Arial" w:cs="Arial" w:eastAsia="Arial" w:hAnsi="Arial"/>
          <w:sz w:val="18"/>
          <w:szCs w:val="18"/>
          <w:color w:val="auto"/>
        </w:rPr>
        <w:t xml:space="preserve"> after ACIU having obtained knowledge of a misrepresentation or breach of warranty pursuant to S</w:t>
      </w:r>
      <w:r>
        <w:rPr>
          <w:rFonts w:ascii="Arial" w:cs="Arial" w:eastAsia="Arial" w:hAnsi="Arial"/>
          <w:sz w:val="12"/>
          <w:szCs w:val="12"/>
          <w:color w:val="auto"/>
        </w:rPr>
        <w:t>ECTION</w:t>
      </w:r>
      <w:r>
        <w:rPr>
          <w:rFonts w:ascii="Arial" w:cs="Arial" w:eastAsia="Arial" w:hAnsi="Arial"/>
          <w:sz w:val="18"/>
          <w:szCs w:val="18"/>
          <w:color w:val="auto"/>
        </w:rPr>
        <w:t xml:space="preserve"> 11.1 (Representations and Warranties of A</w:t>
      </w:r>
      <w:r>
        <w:rPr>
          <w:rFonts w:ascii="Arial" w:cs="Arial" w:eastAsia="Arial" w:hAnsi="Arial"/>
          <w:sz w:val="12"/>
          <w:szCs w:val="12"/>
          <w:color w:val="auto"/>
        </w:rPr>
        <w:t>FFIRIS</w:t>
      </w:r>
      <w:r>
        <w:rPr>
          <w:rFonts w:ascii="Arial" w:cs="Arial" w:eastAsia="Arial" w:hAnsi="Arial"/>
          <w:sz w:val="18"/>
          <w:szCs w:val="18"/>
          <w:color w:val="auto"/>
        </w:rPr>
        <w:t>) and the resulting damage, ACIU shall deliver to A</w:t>
      </w:r>
      <w:r>
        <w:rPr>
          <w:rFonts w:ascii="Arial" w:cs="Arial" w:eastAsia="Arial" w:hAnsi="Arial"/>
          <w:sz w:val="12"/>
          <w:szCs w:val="12"/>
          <w:color w:val="auto"/>
        </w:rPr>
        <w:t>FFIRIS</w:t>
      </w:r>
      <w:r>
        <w:rPr>
          <w:rFonts w:ascii="Arial" w:cs="Arial" w:eastAsia="Arial" w:hAnsi="Arial"/>
          <w:sz w:val="18"/>
          <w:szCs w:val="18"/>
          <w:color w:val="auto"/>
        </w:rPr>
        <w:t xml:space="preserve"> a notice in writing describing in reasonable</w:t>
      </w:r>
    </w:p>
    <w:p>
      <w:pPr>
        <w:spacing w:after="0" w:line="2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color w:val="auto"/>
        </w:rPr>
        <w:t>CERTAIN CONFIDENTIAL PORTIONS HAVE BEEN REDACTED FROM THIS EXHIBIT BECAUSE THEY ARE BOTH (i) NOT MATERIAL AND (ii) IS THE TYPE THAT THE COMPANY TREATS AS PRIVATE OR CONFIDENTIAL. INFORMATION THAT HAS BEEN OMITTED HAD BEEN IDENTIFIED IN THIS DOCUMENT WITH A PLACEHOLDER IDENTIFIED BY THE MARK “[*****]”.</w:t>
      </w:r>
    </w:p>
    <w:p>
      <w:pPr>
        <w:spacing w:after="0" w:line="189" w:lineRule="exact"/>
        <w:rPr>
          <w:sz w:val="20"/>
          <w:szCs w:val="20"/>
          <w:color w:val="auto"/>
        </w:rPr>
      </w:pPr>
    </w:p>
    <w:p>
      <w:pPr>
        <w:ind w:left="660"/>
        <w:spacing w:after="0" w:line="246" w:lineRule="auto"/>
        <w:rPr>
          <w:sz w:val="20"/>
          <w:szCs w:val="20"/>
          <w:color w:val="auto"/>
        </w:rPr>
      </w:pPr>
      <w:r>
        <w:rPr>
          <w:rFonts w:ascii="Arial" w:cs="Arial" w:eastAsia="Arial" w:hAnsi="Arial"/>
          <w:sz w:val="18"/>
          <w:szCs w:val="18"/>
          <w:color w:val="auto"/>
        </w:rPr>
        <w:t>details (including a good faith estimate of the D</w:t>
      </w:r>
      <w:r>
        <w:rPr>
          <w:rFonts w:ascii="Arial" w:cs="Arial" w:eastAsia="Arial" w:hAnsi="Arial"/>
          <w:sz w:val="12"/>
          <w:szCs w:val="12"/>
          <w:color w:val="auto"/>
        </w:rPr>
        <w:t>AMAGES</w:t>
      </w:r>
      <w:r>
        <w:rPr>
          <w:rFonts w:ascii="Arial" w:cs="Arial" w:eastAsia="Arial" w:hAnsi="Arial"/>
          <w:sz w:val="18"/>
          <w:szCs w:val="18"/>
          <w:color w:val="auto"/>
        </w:rPr>
        <w:t xml:space="preserve"> claimed) the underlying facts of the misrepresentation to the extent then known ("</w:t>
      </w:r>
      <w:r>
        <w:rPr>
          <w:rFonts w:ascii="Arial" w:cs="Arial" w:eastAsia="Arial" w:hAnsi="Arial"/>
          <w:sz w:val="18"/>
          <w:szCs w:val="18"/>
          <w:b w:val="1"/>
          <w:bCs w:val="1"/>
          <w:color w:val="auto"/>
        </w:rPr>
        <w:t>N</w:t>
      </w:r>
      <w:r>
        <w:rPr>
          <w:rFonts w:ascii="Arial" w:cs="Arial" w:eastAsia="Arial" w:hAnsi="Arial"/>
          <w:sz w:val="12"/>
          <w:szCs w:val="12"/>
          <w:b w:val="1"/>
          <w:bCs w:val="1"/>
          <w:color w:val="auto"/>
        </w:rPr>
        <w:t>OTICE OF</w:t>
      </w:r>
      <w:r>
        <w:rPr>
          <w:rFonts w:ascii="Arial" w:cs="Arial" w:eastAsia="Arial" w:hAnsi="Arial"/>
          <w:sz w:val="18"/>
          <w:szCs w:val="18"/>
          <w:color w:val="auto"/>
        </w:rPr>
        <w:t xml:space="preserve"> </w:t>
      </w:r>
      <w:r>
        <w:rPr>
          <w:rFonts w:ascii="Arial" w:cs="Arial" w:eastAsia="Arial" w:hAnsi="Arial"/>
          <w:sz w:val="18"/>
          <w:szCs w:val="18"/>
          <w:b w:val="1"/>
          <w:bCs w:val="1"/>
          <w:color w:val="auto"/>
        </w:rPr>
        <w:t>B</w:t>
      </w:r>
      <w:r>
        <w:rPr>
          <w:rFonts w:ascii="Arial" w:cs="Arial" w:eastAsia="Arial" w:hAnsi="Arial"/>
          <w:sz w:val="12"/>
          <w:szCs w:val="12"/>
          <w:b w:val="1"/>
          <w:bCs w:val="1"/>
          <w:color w:val="auto"/>
        </w:rPr>
        <w:t>REACH</w:t>
      </w:r>
      <w:r>
        <w:rPr>
          <w:rFonts w:ascii="Arial" w:cs="Arial" w:eastAsia="Arial" w:hAnsi="Arial"/>
          <w:sz w:val="18"/>
          <w:szCs w:val="18"/>
          <w:color w:val="auto"/>
        </w:rPr>
        <w:t>"). For the avoidance of doubt, such notification period shall in no event start before C</w:t>
      </w:r>
      <w:r>
        <w:rPr>
          <w:rFonts w:ascii="Arial" w:cs="Arial" w:eastAsia="Arial" w:hAnsi="Arial"/>
          <w:sz w:val="12"/>
          <w:szCs w:val="12"/>
          <w:color w:val="auto"/>
        </w:rPr>
        <w:t>LOSING</w:t>
      </w:r>
      <w:r>
        <w:rPr>
          <w:rFonts w:ascii="Arial" w:cs="Arial" w:eastAsia="Arial" w:hAnsi="Arial"/>
          <w:sz w:val="18"/>
          <w:szCs w:val="18"/>
          <w:color w:val="auto"/>
        </w:rPr>
        <w:t>.</w:t>
      </w:r>
    </w:p>
    <w:p>
      <w:pPr>
        <w:spacing w:after="0" w:line="183" w:lineRule="exact"/>
        <w:rPr>
          <w:sz w:val="20"/>
          <w:szCs w:val="20"/>
          <w:color w:val="auto"/>
        </w:rPr>
      </w:pPr>
    </w:p>
    <w:p>
      <w:pPr>
        <w:ind w:left="660" w:hanging="652"/>
        <w:spacing w:after="0" w:line="246"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Failure to give duly and timely notice as set forth in the preceding paragraph shall not exclude or limit A</w:t>
      </w:r>
      <w:r>
        <w:rPr>
          <w:rFonts w:ascii="Arial" w:cs="Arial" w:eastAsia="Arial" w:hAnsi="Arial"/>
          <w:sz w:val="12"/>
          <w:szCs w:val="12"/>
          <w:color w:val="auto"/>
        </w:rPr>
        <w:t>FFIRIS</w:t>
      </w:r>
      <w:r>
        <w:rPr>
          <w:rFonts w:ascii="Arial" w:cs="Arial" w:eastAsia="Arial" w:hAnsi="Arial"/>
          <w:sz w:val="18"/>
          <w:szCs w:val="18"/>
          <w:color w:val="auto"/>
        </w:rPr>
        <w:t>' liability related to such breach, except to the extent ACIU '</w:t>
      </w:r>
      <w:r>
        <w:rPr>
          <w:rFonts w:ascii="Arial" w:cs="Arial" w:eastAsia="Arial" w:hAnsi="Arial"/>
          <w:sz w:val="12"/>
          <w:szCs w:val="12"/>
          <w:color w:val="auto"/>
        </w:rPr>
        <w:t>S</w:t>
      </w:r>
      <w:r>
        <w:rPr>
          <w:rFonts w:ascii="Arial" w:cs="Arial" w:eastAsia="Arial" w:hAnsi="Arial"/>
          <w:sz w:val="18"/>
          <w:szCs w:val="18"/>
          <w:color w:val="auto"/>
        </w:rPr>
        <w:t xml:space="preserve"> failure to duly and timely notify A</w:t>
      </w:r>
      <w:r>
        <w:rPr>
          <w:rFonts w:ascii="Arial" w:cs="Arial" w:eastAsia="Arial" w:hAnsi="Arial"/>
          <w:sz w:val="12"/>
          <w:szCs w:val="12"/>
          <w:color w:val="auto"/>
        </w:rPr>
        <w:t>FFIRIS</w:t>
      </w:r>
      <w:r>
        <w:rPr>
          <w:rFonts w:ascii="Arial" w:cs="Arial" w:eastAsia="Arial" w:hAnsi="Arial"/>
          <w:sz w:val="18"/>
          <w:szCs w:val="18"/>
          <w:color w:val="auto"/>
        </w:rPr>
        <w:t xml:space="preserve"> caused and/or increased the potential damage.</w:t>
      </w:r>
    </w:p>
    <w:p>
      <w:pPr>
        <w:spacing w:after="0" w:line="165" w:lineRule="exact"/>
        <w:rPr>
          <w:rFonts w:ascii="Arial" w:cs="Arial" w:eastAsia="Arial" w:hAnsi="Arial"/>
          <w:sz w:val="18"/>
          <w:szCs w:val="18"/>
          <w:color w:val="auto"/>
        </w:rPr>
      </w:pPr>
    </w:p>
    <w:p>
      <w:pPr>
        <w:ind w:left="660" w:hanging="652"/>
        <w:spacing w:after="0" w:line="26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This S</w:t>
      </w:r>
      <w:r>
        <w:rPr>
          <w:rFonts w:ascii="Arial" w:cs="Arial" w:eastAsia="Arial" w:hAnsi="Arial"/>
          <w:sz w:val="12"/>
          <w:szCs w:val="12"/>
          <w:color w:val="auto"/>
        </w:rPr>
        <w:t>ECTION</w:t>
      </w:r>
      <w:r>
        <w:rPr>
          <w:rFonts w:ascii="Arial" w:cs="Arial" w:eastAsia="Arial" w:hAnsi="Arial"/>
          <w:sz w:val="18"/>
          <w:szCs w:val="18"/>
          <w:color w:val="auto"/>
        </w:rPr>
        <w:t xml:space="preserve"> 12.1 (Notice of Breach (</w:t>
      </w:r>
      <w:r>
        <w:rPr>
          <w:rFonts w:ascii="Arial" w:cs="Arial" w:eastAsia="Arial" w:hAnsi="Arial"/>
          <w:sz w:val="18"/>
          <w:szCs w:val="18"/>
          <w:i w:val="1"/>
          <w:iCs w:val="1"/>
          <w:color w:val="auto"/>
        </w:rPr>
        <w:t>Rügefrist</w:t>
      </w:r>
      <w:r>
        <w:rPr>
          <w:rFonts w:ascii="Arial" w:cs="Arial" w:eastAsia="Arial" w:hAnsi="Arial"/>
          <w:sz w:val="18"/>
          <w:szCs w:val="18"/>
          <w:color w:val="auto"/>
        </w:rPr>
        <w:t>)) shall be in lieu of, and supersede, article 201 CO, the applicability of which is hereby waived in full by the P</w:t>
      </w:r>
      <w:r>
        <w:rPr>
          <w:rFonts w:ascii="Arial" w:cs="Arial" w:eastAsia="Arial" w:hAnsi="Arial"/>
          <w:sz w:val="12"/>
          <w:szCs w:val="12"/>
          <w:color w:val="auto"/>
        </w:rPr>
        <w:t>ARTIES</w:t>
      </w:r>
      <w:r>
        <w:rPr>
          <w:rFonts w:ascii="Arial" w:cs="Arial" w:eastAsia="Arial" w:hAnsi="Arial"/>
          <w:sz w:val="18"/>
          <w:szCs w:val="18"/>
          <w:color w:val="auto"/>
        </w:rPr>
        <w:t>.</w:t>
      </w:r>
    </w:p>
    <w:p>
      <w:pPr>
        <w:spacing w:after="0" w:line="14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7"/>
          <w:szCs w:val="17"/>
          <w:b w:val="1"/>
          <w:bCs w:val="1"/>
          <w:color w:val="auto"/>
        </w:rPr>
        <w:t>A</w:t>
      </w:r>
      <w:r>
        <w:rPr>
          <w:rFonts w:ascii="Arial" w:cs="Arial" w:eastAsia="Arial" w:hAnsi="Arial"/>
          <w:sz w:val="11"/>
          <w:szCs w:val="11"/>
          <w:b w:val="1"/>
          <w:bCs w:val="1"/>
          <w:color w:val="auto"/>
        </w:rPr>
        <w:t>FFIRIS</w:t>
      </w:r>
      <w:r>
        <w:rPr>
          <w:rFonts w:ascii="Arial" w:cs="Arial" w:eastAsia="Arial" w:hAnsi="Arial"/>
          <w:sz w:val="17"/>
          <w:szCs w:val="17"/>
          <w:b w:val="1"/>
          <w:bCs w:val="1"/>
          <w:color w:val="auto"/>
        </w:rPr>
        <w:t>' Right to Cure and A</w:t>
      </w:r>
      <w:r>
        <w:rPr>
          <w:rFonts w:ascii="Arial" w:cs="Arial" w:eastAsia="Arial" w:hAnsi="Arial"/>
          <w:sz w:val="11"/>
          <w:szCs w:val="11"/>
          <w:b w:val="1"/>
          <w:bCs w:val="1"/>
          <w:color w:val="auto"/>
        </w:rPr>
        <w:t>FFIRIS</w:t>
      </w:r>
      <w:r>
        <w:rPr>
          <w:rFonts w:ascii="Arial" w:cs="Arial" w:eastAsia="Arial" w:hAnsi="Arial"/>
          <w:sz w:val="17"/>
          <w:szCs w:val="17"/>
          <w:b w:val="1"/>
          <w:bCs w:val="1"/>
          <w:color w:val="auto"/>
        </w:rPr>
        <w:t>' Liability</w:t>
      </w:r>
    </w:p>
    <w:p>
      <w:pPr>
        <w:spacing w:after="0" w:line="220" w:lineRule="exact"/>
        <w:rPr>
          <w:sz w:val="20"/>
          <w:szCs w:val="20"/>
          <w:color w:val="auto"/>
        </w:rPr>
      </w:pPr>
    </w:p>
    <w:p>
      <w:pPr>
        <w:jc w:val="both"/>
        <w:ind w:left="660" w:hanging="652"/>
        <w:spacing w:after="0" w:line="238"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With respect to a misrepresentation or breach of warranty notified by ACIU to A</w:t>
      </w:r>
      <w:r>
        <w:rPr>
          <w:rFonts w:ascii="Arial" w:cs="Arial" w:eastAsia="Arial" w:hAnsi="Arial"/>
          <w:sz w:val="12"/>
          <w:szCs w:val="12"/>
          <w:color w:val="auto"/>
        </w:rPr>
        <w:t>FFIRIS</w:t>
      </w:r>
      <w:r>
        <w:rPr>
          <w:rFonts w:ascii="Arial" w:cs="Arial" w:eastAsia="Arial" w:hAnsi="Arial"/>
          <w:sz w:val="18"/>
          <w:szCs w:val="18"/>
          <w:color w:val="auto"/>
        </w:rPr>
        <w:t xml:space="preserve"> pursuant to S</w:t>
      </w:r>
      <w:r>
        <w:rPr>
          <w:rFonts w:ascii="Arial" w:cs="Arial" w:eastAsia="Arial" w:hAnsi="Arial"/>
          <w:sz w:val="12"/>
          <w:szCs w:val="12"/>
          <w:color w:val="auto"/>
        </w:rPr>
        <w:t>ECTION</w:t>
      </w:r>
      <w:r>
        <w:rPr>
          <w:rFonts w:ascii="Arial" w:cs="Arial" w:eastAsia="Arial" w:hAnsi="Arial"/>
          <w:sz w:val="18"/>
          <w:szCs w:val="18"/>
          <w:color w:val="auto"/>
        </w:rPr>
        <w:t xml:space="preserve"> 12.1 (N</w:t>
      </w:r>
      <w:r>
        <w:rPr>
          <w:rFonts w:ascii="Arial" w:cs="Arial" w:eastAsia="Arial" w:hAnsi="Arial"/>
          <w:sz w:val="12"/>
          <w:szCs w:val="12"/>
          <w:color w:val="auto"/>
        </w:rPr>
        <w:t>OTICE OF</w:t>
      </w:r>
      <w:r>
        <w:rPr>
          <w:rFonts w:ascii="Arial" w:cs="Arial" w:eastAsia="Arial" w:hAnsi="Arial"/>
          <w:sz w:val="18"/>
          <w:szCs w:val="18"/>
          <w:color w:val="auto"/>
        </w:rPr>
        <w:t xml:space="preserve"> B</w:t>
      </w:r>
      <w:r>
        <w:rPr>
          <w:rFonts w:ascii="Arial" w:cs="Arial" w:eastAsia="Arial" w:hAnsi="Arial"/>
          <w:sz w:val="12"/>
          <w:szCs w:val="12"/>
          <w:color w:val="auto"/>
        </w:rPr>
        <w:t>REACH</w:t>
      </w:r>
      <w:r>
        <w:rPr>
          <w:rFonts w:ascii="Arial" w:cs="Arial" w:eastAsia="Arial" w:hAnsi="Arial"/>
          <w:sz w:val="18"/>
          <w:szCs w:val="18"/>
          <w:color w:val="auto"/>
        </w:rPr>
        <w:t xml:space="preserve"> (</w:t>
      </w:r>
      <w:r>
        <w:rPr>
          <w:rFonts w:ascii="Arial" w:cs="Arial" w:eastAsia="Arial" w:hAnsi="Arial"/>
          <w:sz w:val="18"/>
          <w:szCs w:val="18"/>
          <w:i w:val="1"/>
          <w:iCs w:val="1"/>
          <w:color w:val="auto"/>
        </w:rPr>
        <w:t>Rügefrist</w:t>
      </w:r>
      <w:r>
        <w:rPr>
          <w:rFonts w:ascii="Arial" w:cs="Arial" w:eastAsia="Arial" w:hAnsi="Arial"/>
          <w:sz w:val="18"/>
          <w:szCs w:val="18"/>
          <w:color w:val="auto"/>
        </w:rPr>
        <w:t>)), A</w:t>
      </w:r>
      <w:r>
        <w:rPr>
          <w:rFonts w:ascii="Arial" w:cs="Arial" w:eastAsia="Arial" w:hAnsi="Arial"/>
          <w:sz w:val="12"/>
          <w:szCs w:val="12"/>
          <w:color w:val="auto"/>
        </w:rPr>
        <w:t>FFIRIS</w:t>
      </w:r>
      <w:r>
        <w:rPr>
          <w:rFonts w:ascii="Arial" w:cs="Arial" w:eastAsia="Arial" w:hAnsi="Arial"/>
          <w:sz w:val="18"/>
          <w:szCs w:val="18"/>
          <w:color w:val="auto"/>
        </w:rPr>
        <w:t xml:space="preserve"> shall have the right (but not the obligation), within 30 (thirty) B</w:t>
      </w:r>
      <w:r>
        <w:rPr>
          <w:rFonts w:ascii="Arial" w:cs="Arial" w:eastAsia="Arial" w:hAnsi="Arial"/>
          <w:sz w:val="12"/>
          <w:szCs w:val="12"/>
          <w:color w:val="auto"/>
        </w:rPr>
        <w:t>USINESS</w:t>
      </w:r>
      <w:r>
        <w:rPr>
          <w:rFonts w:ascii="Arial" w:cs="Arial" w:eastAsia="Arial" w:hAnsi="Arial"/>
          <w:sz w:val="18"/>
          <w:szCs w:val="18"/>
          <w:color w:val="auto"/>
        </w:rPr>
        <w:t xml:space="preserve"> D</w:t>
      </w:r>
      <w:r>
        <w:rPr>
          <w:rFonts w:ascii="Arial" w:cs="Arial" w:eastAsia="Arial" w:hAnsi="Arial"/>
          <w:sz w:val="12"/>
          <w:szCs w:val="12"/>
          <w:color w:val="auto"/>
        </w:rPr>
        <w:t>AYS</w:t>
      </w:r>
      <w:r>
        <w:rPr>
          <w:rFonts w:ascii="Arial" w:cs="Arial" w:eastAsia="Arial" w:hAnsi="Arial"/>
          <w:sz w:val="18"/>
          <w:szCs w:val="18"/>
          <w:color w:val="auto"/>
        </w:rPr>
        <w:t xml:space="preserve"> after receipt of the respective N</w:t>
      </w:r>
      <w:r>
        <w:rPr>
          <w:rFonts w:ascii="Arial" w:cs="Arial" w:eastAsia="Arial" w:hAnsi="Arial"/>
          <w:sz w:val="12"/>
          <w:szCs w:val="12"/>
          <w:color w:val="auto"/>
        </w:rPr>
        <w:t>OTICE OF</w:t>
      </w:r>
      <w:r>
        <w:rPr>
          <w:rFonts w:ascii="Arial" w:cs="Arial" w:eastAsia="Arial" w:hAnsi="Arial"/>
          <w:sz w:val="18"/>
          <w:szCs w:val="18"/>
          <w:color w:val="auto"/>
        </w:rPr>
        <w:t xml:space="preserve"> B</w:t>
      </w:r>
      <w:r>
        <w:rPr>
          <w:rFonts w:ascii="Arial" w:cs="Arial" w:eastAsia="Arial" w:hAnsi="Arial"/>
          <w:sz w:val="12"/>
          <w:szCs w:val="12"/>
          <w:color w:val="auto"/>
        </w:rPr>
        <w:t>REACH</w:t>
      </w:r>
      <w:r>
        <w:rPr>
          <w:rFonts w:ascii="Arial" w:cs="Arial" w:eastAsia="Arial" w:hAnsi="Arial"/>
          <w:sz w:val="18"/>
          <w:szCs w:val="18"/>
          <w:color w:val="auto"/>
        </w:rPr>
        <w:t>, to bring ACIU in the same position in which it would have been if no misrepresentation or breach of warranty had occurred (</w:t>
      </w:r>
      <w:r>
        <w:rPr>
          <w:rFonts w:ascii="Arial" w:cs="Arial" w:eastAsia="Arial" w:hAnsi="Arial"/>
          <w:sz w:val="18"/>
          <w:szCs w:val="18"/>
          <w:i w:val="1"/>
          <w:iCs w:val="1"/>
          <w:color w:val="auto"/>
        </w:rPr>
        <w:t>Naturalrestitution</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jc w:val="both"/>
        <w:ind w:left="660" w:hanging="652"/>
        <w:spacing w:after="0" w:line="23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and to the extent such cure cannot or is not effected within such time period pursuant to Section 12.2, A</w:t>
      </w:r>
      <w:r>
        <w:rPr>
          <w:rFonts w:ascii="Arial" w:cs="Arial" w:eastAsia="Arial" w:hAnsi="Arial"/>
          <w:sz w:val="12"/>
          <w:szCs w:val="12"/>
          <w:color w:val="auto"/>
        </w:rPr>
        <w:t>FFIRIS</w:t>
      </w:r>
      <w:r>
        <w:rPr>
          <w:rFonts w:ascii="Arial" w:cs="Arial" w:eastAsia="Arial" w:hAnsi="Arial"/>
          <w:sz w:val="18"/>
          <w:szCs w:val="18"/>
          <w:color w:val="auto"/>
        </w:rPr>
        <w:t xml:space="preserve"> shall, irrespective of any fault, be liable to, and compensate, ACIU for direct damages (</w:t>
      </w:r>
      <w:r>
        <w:rPr>
          <w:rFonts w:ascii="Arial" w:cs="Arial" w:eastAsia="Arial" w:hAnsi="Arial"/>
          <w:sz w:val="18"/>
          <w:szCs w:val="18"/>
          <w:i w:val="1"/>
          <w:iCs w:val="1"/>
          <w:color w:val="auto"/>
        </w:rPr>
        <w:t>Direkter Schaden</w:t>
      </w:r>
      <w:r>
        <w:rPr>
          <w:rFonts w:ascii="Arial" w:cs="Arial" w:eastAsia="Arial" w:hAnsi="Arial"/>
          <w:sz w:val="18"/>
          <w:szCs w:val="18"/>
          <w:color w:val="auto"/>
        </w:rPr>
        <w:t>) (which for the avoidance of doubt include contractual cancellation fees which ACIU has to pay as a result of a misrepresentation or breach of warranty by A</w:t>
      </w:r>
      <w:r>
        <w:rPr>
          <w:rFonts w:ascii="Arial" w:cs="Arial" w:eastAsia="Arial" w:hAnsi="Arial"/>
          <w:sz w:val="12"/>
          <w:szCs w:val="12"/>
          <w:color w:val="auto"/>
        </w:rPr>
        <w:t>FFIRIS</w:t>
      </w:r>
      <w:r>
        <w:rPr>
          <w:rFonts w:ascii="Arial" w:cs="Arial" w:eastAsia="Arial" w:hAnsi="Arial"/>
          <w:sz w:val="18"/>
          <w:szCs w:val="18"/>
          <w:color w:val="auto"/>
        </w:rPr>
        <w:t>) ("</w:t>
      </w:r>
      <w:r>
        <w:rPr>
          <w:rFonts w:ascii="Arial" w:cs="Arial" w:eastAsia="Arial" w:hAnsi="Arial"/>
          <w:sz w:val="18"/>
          <w:szCs w:val="18"/>
          <w:b w:val="1"/>
          <w:bCs w:val="1"/>
          <w:color w:val="auto"/>
        </w:rPr>
        <w:t>D</w:t>
      </w:r>
      <w:r>
        <w:rPr>
          <w:rFonts w:ascii="Arial" w:cs="Arial" w:eastAsia="Arial" w:hAnsi="Arial"/>
          <w:sz w:val="12"/>
          <w:szCs w:val="12"/>
          <w:b w:val="1"/>
          <w:bCs w:val="1"/>
          <w:color w:val="auto"/>
        </w:rPr>
        <w:t>AMAGE</w:t>
      </w:r>
      <w:r>
        <w:rPr>
          <w:rFonts w:ascii="Arial" w:cs="Arial" w:eastAsia="Arial" w:hAnsi="Arial"/>
          <w:sz w:val="18"/>
          <w:szCs w:val="18"/>
          <w:color w:val="auto"/>
        </w:rPr>
        <w:t>"), incurred or sustained by ACIU to establish the state represented in S</w:t>
      </w:r>
      <w:r>
        <w:rPr>
          <w:rFonts w:ascii="Arial" w:cs="Arial" w:eastAsia="Arial" w:hAnsi="Arial"/>
          <w:sz w:val="12"/>
          <w:szCs w:val="12"/>
          <w:color w:val="auto"/>
        </w:rPr>
        <w:t>ECTION</w:t>
      </w:r>
      <w:r>
        <w:rPr>
          <w:rFonts w:ascii="Arial" w:cs="Arial" w:eastAsia="Arial" w:hAnsi="Arial"/>
          <w:sz w:val="18"/>
          <w:szCs w:val="18"/>
          <w:color w:val="auto"/>
        </w:rPr>
        <w:t xml:space="preserve"> 11.1 (Representations and Warranties of A</w:t>
      </w:r>
      <w:r>
        <w:rPr>
          <w:rFonts w:ascii="Arial" w:cs="Arial" w:eastAsia="Arial" w:hAnsi="Arial"/>
          <w:sz w:val="12"/>
          <w:szCs w:val="12"/>
          <w:color w:val="auto"/>
        </w:rPr>
        <w:t>FFIRIS</w:t>
      </w:r>
      <w:r>
        <w:rPr>
          <w:rFonts w:ascii="Arial" w:cs="Arial" w:eastAsia="Arial" w:hAnsi="Arial"/>
          <w:sz w:val="18"/>
          <w:szCs w:val="18"/>
          <w:color w:val="auto"/>
        </w:rPr>
        <w:t>) or otherwise incurred by such misrepresentation or breach of warranty. For the avoidance of doubt, ACIU shall not be entitled to claim any indirect and consequential damages (including loss of profits, interest or penalties or any multiplies, if any, applied by ACIU to determine the P</w:t>
      </w:r>
      <w:r>
        <w:rPr>
          <w:rFonts w:ascii="Arial" w:cs="Arial" w:eastAsia="Arial" w:hAnsi="Arial"/>
          <w:sz w:val="12"/>
          <w:szCs w:val="12"/>
          <w:color w:val="auto"/>
        </w:rPr>
        <w:t>URCHASE</w:t>
      </w:r>
      <w:r>
        <w:rPr>
          <w:rFonts w:ascii="Arial" w:cs="Arial" w:eastAsia="Arial" w:hAnsi="Arial"/>
          <w:sz w:val="18"/>
          <w:szCs w:val="18"/>
          <w:color w:val="auto"/>
        </w:rPr>
        <w:t xml:space="preserve"> P</w:t>
      </w:r>
      <w:r>
        <w:rPr>
          <w:rFonts w:ascii="Arial" w:cs="Arial" w:eastAsia="Arial" w:hAnsi="Arial"/>
          <w:sz w:val="12"/>
          <w:szCs w:val="12"/>
          <w:color w:val="auto"/>
        </w:rPr>
        <w:t>RICE</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2"/>
          <w:szCs w:val="12"/>
          <w:color w:val="auto"/>
        </w:rPr>
        <w:t>FFIRIS</w:t>
      </w:r>
      <w:r>
        <w:rPr>
          <w:rFonts w:ascii="Arial" w:cs="Arial" w:eastAsia="Arial" w:hAnsi="Arial"/>
          <w:sz w:val="18"/>
          <w:szCs w:val="18"/>
          <w:color w:val="auto"/>
        </w:rPr>
        <w:t xml:space="preserve"> has in its sole discretion the right (but not the obligation) to compensate such D</w:t>
      </w:r>
      <w:r>
        <w:rPr>
          <w:rFonts w:ascii="Arial" w:cs="Arial" w:eastAsia="Arial" w:hAnsi="Arial"/>
          <w:sz w:val="12"/>
          <w:szCs w:val="12"/>
          <w:color w:val="auto"/>
        </w:rPr>
        <w:t>AMAGE</w:t>
      </w:r>
      <w:r>
        <w:rPr>
          <w:rFonts w:ascii="Arial" w:cs="Arial" w:eastAsia="Arial" w:hAnsi="Arial"/>
          <w:sz w:val="18"/>
          <w:szCs w:val="18"/>
          <w:color w:val="auto"/>
        </w:rPr>
        <w:t xml:space="preserve"> either by (i) a payment in cash or (ii) returning to ACIU ACIU S</w:t>
      </w:r>
      <w:r>
        <w:rPr>
          <w:rFonts w:ascii="Arial" w:cs="Arial" w:eastAsia="Arial" w:hAnsi="Arial"/>
          <w:sz w:val="12"/>
          <w:szCs w:val="12"/>
          <w:color w:val="auto"/>
        </w:rPr>
        <w:t>HARES</w:t>
      </w:r>
      <w:r>
        <w:rPr>
          <w:rFonts w:ascii="Arial" w:cs="Arial" w:eastAsia="Arial" w:hAnsi="Arial"/>
          <w:sz w:val="18"/>
          <w:szCs w:val="18"/>
          <w:color w:val="auto"/>
        </w:rPr>
        <w:t xml:space="preserve"> corresponding to the D</w:t>
      </w:r>
      <w:r>
        <w:rPr>
          <w:rFonts w:ascii="Arial" w:cs="Arial" w:eastAsia="Arial" w:hAnsi="Arial"/>
          <w:sz w:val="12"/>
          <w:szCs w:val="12"/>
          <w:color w:val="auto"/>
        </w:rPr>
        <w:t>AMAGE</w:t>
      </w:r>
      <w:r>
        <w:rPr>
          <w:rFonts w:ascii="Arial" w:cs="Arial" w:eastAsia="Arial" w:hAnsi="Arial"/>
          <w:sz w:val="18"/>
          <w:szCs w:val="18"/>
          <w:color w:val="auto"/>
        </w:rPr>
        <w:t>; in the latter case (i.e. (ii)) the calculation of the compensation (i.e. the amount of ACIU S</w:t>
      </w:r>
      <w:r>
        <w:rPr>
          <w:rFonts w:ascii="Arial" w:cs="Arial" w:eastAsia="Arial" w:hAnsi="Arial"/>
          <w:sz w:val="12"/>
          <w:szCs w:val="12"/>
          <w:color w:val="auto"/>
        </w:rPr>
        <w:t>HARES</w:t>
      </w:r>
      <w:r>
        <w:rPr>
          <w:rFonts w:ascii="Arial" w:cs="Arial" w:eastAsia="Arial" w:hAnsi="Arial"/>
          <w:sz w:val="18"/>
          <w:szCs w:val="18"/>
          <w:color w:val="auto"/>
        </w:rPr>
        <w:t xml:space="preserve"> to be returned to ACIU) is made at a valuation of US$ 8.26 per ACIU share or at the A</w:t>
      </w:r>
      <w:r>
        <w:rPr>
          <w:rFonts w:ascii="Arial" w:cs="Arial" w:eastAsia="Arial" w:hAnsi="Arial"/>
          <w:sz w:val="12"/>
          <w:szCs w:val="12"/>
          <w:color w:val="auto"/>
        </w:rPr>
        <w:t>DJUSTED</w:t>
      </w:r>
      <w:r>
        <w:rPr>
          <w:rFonts w:ascii="Arial" w:cs="Arial" w:eastAsia="Arial" w:hAnsi="Arial"/>
          <w:sz w:val="18"/>
          <w:szCs w:val="18"/>
          <w:color w:val="auto"/>
        </w:rPr>
        <w:t xml:space="preserve"> S</w:t>
      </w:r>
      <w:r>
        <w:rPr>
          <w:rFonts w:ascii="Arial" w:cs="Arial" w:eastAsia="Arial" w:hAnsi="Arial"/>
          <w:sz w:val="12"/>
          <w:szCs w:val="12"/>
          <w:color w:val="auto"/>
        </w:rPr>
        <w:t>HARE</w:t>
      </w:r>
      <w:r>
        <w:rPr>
          <w:rFonts w:ascii="Arial" w:cs="Arial" w:eastAsia="Arial" w:hAnsi="Arial"/>
          <w:sz w:val="18"/>
          <w:szCs w:val="18"/>
          <w:color w:val="auto"/>
        </w:rPr>
        <w:t xml:space="preserve"> V</w:t>
      </w:r>
      <w:r>
        <w:rPr>
          <w:rFonts w:ascii="Arial" w:cs="Arial" w:eastAsia="Arial" w:hAnsi="Arial"/>
          <w:sz w:val="12"/>
          <w:szCs w:val="12"/>
          <w:color w:val="auto"/>
        </w:rPr>
        <w:t>ALUE</w:t>
      </w:r>
      <w:r>
        <w:rPr>
          <w:rFonts w:ascii="Arial" w:cs="Arial" w:eastAsia="Arial" w:hAnsi="Arial"/>
          <w:sz w:val="18"/>
          <w:szCs w:val="18"/>
          <w:color w:val="auto"/>
        </w:rPr>
        <w:t>, if such A</w:t>
      </w:r>
      <w:r>
        <w:rPr>
          <w:rFonts w:ascii="Arial" w:cs="Arial" w:eastAsia="Arial" w:hAnsi="Arial"/>
          <w:sz w:val="12"/>
          <w:szCs w:val="12"/>
          <w:color w:val="auto"/>
        </w:rPr>
        <w:t>DJUSTED</w:t>
      </w:r>
      <w:r>
        <w:rPr>
          <w:rFonts w:ascii="Arial" w:cs="Arial" w:eastAsia="Arial" w:hAnsi="Arial"/>
          <w:sz w:val="18"/>
          <w:szCs w:val="18"/>
          <w:color w:val="auto"/>
        </w:rPr>
        <w:t xml:space="preserve"> S</w:t>
      </w:r>
      <w:r>
        <w:rPr>
          <w:rFonts w:ascii="Arial" w:cs="Arial" w:eastAsia="Arial" w:hAnsi="Arial"/>
          <w:sz w:val="12"/>
          <w:szCs w:val="12"/>
          <w:color w:val="auto"/>
        </w:rPr>
        <w:t>HARE</w:t>
      </w:r>
      <w:r>
        <w:rPr>
          <w:rFonts w:ascii="Arial" w:cs="Arial" w:eastAsia="Arial" w:hAnsi="Arial"/>
          <w:sz w:val="18"/>
          <w:szCs w:val="18"/>
          <w:color w:val="auto"/>
        </w:rPr>
        <w:t xml:space="preserve"> V</w:t>
      </w:r>
      <w:r>
        <w:rPr>
          <w:rFonts w:ascii="Arial" w:cs="Arial" w:eastAsia="Arial" w:hAnsi="Arial"/>
          <w:sz w:val="12"/>
          <w:szCs w:val="12"/>
          <w:color w:val="auto"/>
        </w:rPr>
        <w:t>ALUE</w:t>
      </w:r>
      <w:r>
        <w:rPr>
          <w:rFonts w:ascii="Arial" w:cs="Arial" w:eastAsia="Arial" w:hAnsi="Arial"/>
          <w:sz w:val="18"/>
          <w:szCs w:val="18"/>
          <w:color w:val="auto"/>
        </w:rPr>
        <w:t xml:space="preserve"> was used for the payment of the P</w:t>
      </w:r>
      <w:r>
        <w:rPr>
          <w:rFonts w:ascii="Arial" w:cs="Arial" w:eastAsia="Arial" w:hAnsi="Arial"/>
          <w:sz w:val="12"/>
          <w:szCs w:val="12"/>
          <w:color w:val="auto"/>
        </w:rPr>
        <w:t>URCHASE</w:t>
      </w:r>
      <w:r>
        <w:rPr>
          <w:rFonts w:ascii="Arial" w:cs="Arial" w:eastAsia="Arial" w:hAnsi="Arial"/>
          <w:sz w:val="18"/>
          <w:szCs w:val="18"/>
          <w:color w:val="auto"/>
        </w:rPr>
        <w:t xml:space="preserve"> P</w:t>
      </w:r>
      <w:r>
        <w:rPr>
          <w:rFonts w:ascii="Arial" w:cs="Arial" w:eastAsia="Arial" w:hAnsi="Arial"/>
          <w:sz w:val="12"/>
          <w:szCs w:val="12"/>
          <w:color w:val="auto"/>
        </w:rPr>
        <w:t>RICE</w:t>
      </w:r>
      <w:r>
        <w:rPr>
          <w:rFonts w:ascii="Arial" w:cs="Arial" w:eastAsia="Arial" w:hAnsi="Arial"/>
          <w:sz w:val="18"/>
          <w:szCs w:val="18"/>
          <w:color w:val="auto"/>
        </w:rPr>
        <w:t xml:space="preserve"> in accordance with S</w:t>
      </w:r>
      <w:r>
        <w:rPr>
          <w:rFonts w:ascii="Arial" w:cs="Arial" w:eastAsia="Arial" w:hAnsi="Arial"/>
          <w:sz w:val="12"/>
          <w:szCs w:val="12"/>
          <w:color w:val="auto"/>
        </w:rPr>
        <w:t>ECTION</w:t>
      </w:r>
      <w:r>
        <w:rPr>
          <w:rFonts w:ascii="Arial" w:cs="Arial" w:eastAsia="Arial" w:hAnsi="Arial"/>
          <w:sz w:val="18"/>
          <w:szCs w:val="18"/>
          <w:color w:val="auto"/>
        </w:rPr>
        <w:t xml:space="preserve"> 4 (the "</w:t>
      </w:r>
      <w:r>
        <w:rPr>
          <w:rFonts w:ascii="Arial" w:cs="Arial" w:eastAsia="Arial" w:hAnsi="Arial"/>
          <w:sz w:val="18"/>
          <w:szCs w:val="18"/>
          <w:b w:val="1"/>
          <w:bCs w:val="1"/>
          <w:color w:val="auto"/>
        </w:rPr>
        <w:t>S</w:t>
      </w:r>
      <w:r>
        <w:rPr>
          <w:rFonts w:ascii="Arial" w:cs="Arial" w:eastAsia="Arial" w:hAnsi="Arial"/>
          <w:sz w:val="12"/>
          <w:szCs w:val="12"/>
          <w:b w:val="1"/>
          <w:bCs w:val="1"/>
          <w:color w:val="auto"/>
        </w:rPr>
        <w:t>OLE</w:t>
      </w:r>
      <w:r>
        <w:rPr>
          <w:rFonts w:ascii="Arial" w:cs="Arial" w:eastAsia="Arial" w:hAnsi="Arial"/>
          <w:sz w:val="18"/>
          <w:szCs w:val="18"/>
          <w:color w:val="auto"/>
        </w:rPr>
        <w:t xml:space="preserve"> </w:t>
      </w:r>
      <w:r>
        <w:rPr>
          <w:rFonts w:ascii="Arial" w:cs="Arial" w:eastAsia="Arial" w:hAnsi="Arial"/>
          <w:sz w:val="18"/>
          <w:szCs w:val="18"/>
          <w:b w:val="1"/>
          <w:bCs w:val="1"/>
          <w:color w:val="auto"/>
        </w:rPr>
        <w:t>R</w:t>
      </w:r>
      <w:r>
        <w:rPr>
          <w:rFonts w:ascii="Arial" w:cs="Arial" w:eastAsia="Arial" w:hAnsi="Arial"/>
          <w:sz w:val="12"/>
          <w:szCs w:val="12"/>
          <w:b w:val="1"/>
          <w:bCs w:val="1"/>
          <w:color w:val="auto"/>
        </w:rPr>
        <w:t>EMEDY</w:t>
      </w:r>
      <w:r>
        <w:rPr>
          <w:rFonts w:ascii="Arial" w:cs="Arial" w:eastAsia="Arial" w:hAnsi="Arial"/>
          <w:sz w:val="18"/>
          <w:szCs w:val="18"/>
          <w:color w:val="auto"/>
        </w:rPr>
        <w:t>"). For the avoidance of doubt, A</w:t>
      </w:r>
      <w:r>
        <w:rPr>
          <w:rFonts w:ascii="Arial" w:cs="Arial" w:eastAsia="Arial" w:hAnsi="Arial"/>
          <w:sz w:val="12"/>
          <w:szCs w:val="12"/>
          <w:color w:val="auto"/>
        </w:rPr>
        <w:t>FFIRIS</w:t>
      </w:r>
      <w:r>
        <w:rPr>
          <w:rFonts w:ascii="Arial" w:cs="Arial" w:eastAsia="Arial" w:hAnsi="Arial"/>
          <w:sz w:val="18"/>
          <w:szCs w:val="18"/>
          <w:color w:val="auto"/>
        </w:rPr>
        <w:t xml:space="preserve"> is not obliged to compensate any D</w:t>
      </w:r>
      <w:r>
        <w:rPr>
          <w:rFonts w:ascii="Arial" w:cs="Arial" w:eastAsia="Arial" w:hAnsi="Arial"/>
          <w:sz w:val="12"/>
          <w:szCs w:val="12"/>
          <w:color w:val="auto"/>
        </w:rPr>
        <w:t>AMAGE</w:t>
      </w:r>
      <w:r>
        <w:rPr>
          <w:rFonts w:ascii="Arial" w:cs="Arial" w:eastAsia="Arial" w:hAnsi="Arial"/>
          <w:sz w:val="18"/>
          <w:szCs w:val="18"/>
          <w:color w:val="auto"/>
        </w:rPr>
        <w:t xml:space="preserve"> by a payment in cash.</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7"/>
          <w:szCs w:val="17"/>
          <w:b w:val="1"/>
          <w:bCs w:val="1"/>
          <w:color w:val="auto"/>
        </w:rPr>
        <w:t>Term of Representations and Warranties</w:t>
      </w:r>
    </w:p>
    <w:p>
      <w:pPr>
        <w:spacing w:after="0" w:line="220" w:lineRule="exact"/>
        <w:rPr>
          <w:sz w:val="20"/>
          <w:szCs w:val="20"/>
          <w:color w:val="auto"/>
        </w:rPr>
      </w:pPr>
    </w:p>
    <w:p>
      <w:pPr>
        <w:ind w:left="660" w:hanging="652"/>
        <w:spacing w:after="0" w:line="246"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representations and warranties set forth in S</w:t>
      </w:r>
      <w:r>
        <w:rPr>
          <w:rFonts w:ascii="Arial" w:cs="Arial" w:eastAsia="Arial" w:hAnsi="Arial"/>
          <w:sz w:val="12"/>
          <w:szCs w:val="12"/>
          <w:color w:val="auto"/>
        </w:rPr>
        <w:t>ECTION</w:t>
      </w:r>
      <w:r>
        <w:rPr>
          <w:rFonts w:ascii="Arial" w:cs="Arial" w:eastAsia="Arial" w:hAnsi="Arial"/>
          <w:sz w:val="18"/>
          <w:szCs w:val="18"/>
          <w:color w:val="auto"/>
        </w:rPr>
        <w:t xml:space="preserve"> 11.1 (Representations and Warranties of A</w:t>
      </w:r>
      <w:r>
        <w:rPr>
          <w:rFonts w:ascii="Arial" w:cs="Arial" w:eastAsia="Arial" w:hAnsi="Arial"/>
          <w:sz w:val="12"/>
          <w:szCs w:val="12"/>
          <w:color w:val="auto"/>
        </w:rPr>
        <w:t>FFIRIS</w:t>
      </w:r>
      <w:r>
        <w:rPr>
          <w:rFonts w:ascii="Arial" w:cs="Arial" w:eastAsia="Arial" w:hAnsi="Arial"/>
          <w:sz w:val="18"/>
          <w:szCs w:val="18"/>
          <w:color w:val="auto"/>
        </w:rPr>
        <w:t>) shall continue to be in effect as follows:</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representations in S</w:t>
      </w:r>
      <w:r>
        <w:rPr>
          <w:rFonts w:ascii="Arial" w:cs="Arial" w:eastAsia="Arial" w:hAnsi="Arial"/>
          <w:sz w:val="12"/>
          <w:szCs w:val="12"/>
          <w:color w:val="auto"/>
        </w:rPr>
        <w:t>ECTION</w:t>
      </w:r>
      <w:r>
        <w:rPr>
          <w:rFonts w:ascii="Arial" w:cs="Arial" w:eastAsia="Arial" w:hAnsi="Arial"/>
          <w:sz w:val="18"/>
          <w:szCs w:val="18"/>
          <w:color w:val="auto"/>
        </w:rPr>
        <w:t xml:space="preserve"> 11.1.1 (Capacity, No Authorizations) shall expire [*****] years from C</w:t>
      </w:r>
      <w:r>
        <w:rPr>
          <w:rFonts w:ascii="Arial" w:cs="Arial" w:eastAsia="Arial" w:hAnsi="Arial"/>
          <w:sz w:val="12"/>
          <w:szCs w:val="12"/>
          <w:color w:val="auto"/>
        </w:rPr>
        <w:t>LOSING</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other representations in S</w:t>
      </w:r>
      <w:r>
        <w:rPr>
          <w:rFonts w:ascii="Arial" w:cs="Arial" w:eastAsia="Arial" w:hAnsi="Arial"/>
          <w:sz w:val="12"/>
          <w:szCs w:val="12"/>
          <w:color w:val="auto"/>
        </w:rPr>
        <w:t>ECTION</w:t>
      </w:r>
      <w:r>
        <w:rPr>
          <w:rFonts w:ascii="Arial" w:cs="Arial" w:eastAsia="Arial" w:hAnsi="Arial"/>
          <w:sz w:val="18"/>
          <w:szCs w:val="18"/>
          <w:color w:val="auto"/>
        </w:rPr>
        <w:t xml:space="preserve"> 11.1 (Representations and Warranties of A</w:t>
      </w:r>
      <w:r>
        <w:rPr>
          <w:rFonts w:ascii="Arial" w:cs="Arial" w:eastAsia="Arial" w:hAnsi="Arial"/>
          <w:sz w:val="12"/>
          <w:szCs w:val="12"/>
          <w:color w:val="auto"/>
        </w:rPr>
        <w:t>FFIRIS</w:t>
      </w:r>
      <w:r>
        <w:rPr>
          <w:rFonts w:ascii="Arial" w:cs="Arial" w:eastAsia="Arial" w:hAnsi="Arial"/>
          <w:sz w:val="18"/>
          <w:szCs w:val="18"/>
          <w:color w:val="auto"/>
        </w:rPr>
        <w:t>) shall [*****] months from C</w:t>
      </w:r>
      <w:r>
        <w:rPr>
          <w:rFonts w:ascii="Arial" w:cs="Arial" w:eastAsia="Arial" w:hAnsi="Arial"/>
          <w:sz w:val="12"/>
          <w:szCs w:val="12"/>
          <w:color w:val="auto"/>
        </w:rPr>
        <w:t>LOSING</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660" w:right="20" w:hanging="652"/>
        <w:spacing w:after="0" w:line="246"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It being understood, that ACIU shall not be excluded from bringing any claim against A</w:t>
      </w:r>
      <w:r>
        <w:rPr>
          <w:rFonts w:ascii="Arial" w:cs="Arial" w:eastAsia="Arial" w:hAnsi="Arial"/>
          <w:sz w:val="12"/>
          <w:szCs w:val="12"/>
          <w:color w:val="auto"/>
        </w:rPr>
        <w:t>FFIRIS</w:t>
      </w:r>
      <w:r>
        <w:rPr>
          <w:rFonts w:ascii="Arial" w:cs="Arial" w:eastAsia="Arial" w:hAnsi="Arial"/>
          <w:sz w:val="18"/>
          <w:szCs w:val="18"/>
          <w:color w:val="auto"/>
        </w:rPr>
        <w:t xml:space="preserve"> for misrepresentation or breach of warranty after such dates, if such claim has been notified by ACIU</w:t>
      </w: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color w:val="auto"/>
        </w:rPr>
        <w:t>CERTAIN CONFIDENTIAL PORTIONS HAVE BEEN REDACTED FROM THIS EXHIBIT BECAUSE THEY ARE BOTH (i) NOT MATERIAL AND (ii) IS THE TYPE THAT THE COMPANY TREATS AS PRIVATE OR CONFIDENTIAL. INFORMATION THAT HAS BEEN OMITTED HAD BEEN IDENTIFIED IN THIS DOCUMENT WITH A PLACEHOLDER IDENTIFIED BY THE MARK “[*****]”.</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A</w:t>
      </w:r>
      <w:r>
        <w:rPr>
          <w:rFonts w:ascii="Arial" w:cs="Arial" w:eastAsia="Arial" w:hAnsi="Arial"/>
          <w:sz w:val="12"/>
          <w:szCs w:val="12"/>
          <w:color w:val="auto"/>
        </w:rPr>
        <w:t>FFIRIS</w:t>
      </w:r>
      <w:r>
        <w:rPr>
          <w:rFonts w:ascii="Arial" w:cs="Arial" w:eastAsia="Arial" w:hAnsi="Arial"/>
          <w:sz w:val="18"/>
          <w:szCs w:val="18"/>
          <w:color w:val="auto"/>
        </w:rPr>
        <w:t xml:space="preserve"> in accordance with S</w:t>
      </w:r>
      <w:r>
        <w:rPr>
          <w:rFonts w:ascii="Arial" w:cs="Arial" w:eastAsia="Arial" w:hAnsi="Arial"/>
          <w:sz w:val="12"/>
          <w:szCs w:val="12"/>
          <w:color w:val="auto"/>
        </w:rPr>
        <w:t>ECTION</w:t>
      </w:r>
      <w:r>
        <w:rPr>
          <w:rFonts w:ascii="Arial" w:cs="Arial" w:eastAsia="Arial" w:hAnsi="Arial"/>
          <w:sz w:val="18"/>
          <w:szCs w:val="18"/>
          <w:color w:val="auto"/>
        </w:rPr>
        <w:t xml:space="preserve"> 12.1 (N</w:t>
      </w:r>
      <w:r>
        <w:rPr>
          <w:rFonts w:ascii="Arial" w:cs="Arial" w:eastAsia="Arial" w:hAnsi="Arial"/>
          <w:sz w:val="12"/>
          <w:szCs w:val="12"/>
          <w:color w:val="auto"/>
        </w:rPr>
        <w:t>OTICE OF</w:t>
      </w:r>
      <w:r>
        <w:rPr>
          <w:rFonts w:ascii="Arial" w:cs="Arial" w:eastAsia="Arial" w:hAnsi="Arial"/>
          <w:sz w:val="18"/>
          <w:szCs w:val="18"/>
          <w:color w:val="auto"/>
        </w:rPr>
        <w:t xml:space="preserve"> B</w:t>
      </w:r>
      <w:r>
        <w:rPr>
          <w:rFonts w:ascii="Arial" w:cs="Arial" w:eastAsia="Arial" w:hAnsi="Arial"/>
          <w:sz w:val="12"/>
          <w:szCs w:val="12"/>
          <w:color w:val="auto"/>
        </w:rPr>
        <w:t>REACH</w:t>
      </w:r>
      <w:r>
        <w:rPr>
          <w:rFonts w:ascii="Arial" w:cs="Arial" w:eastAsia="Arial" w:hAnsi="Arial"/>
          <w:sz w:val="18"/>
          <w:szCs w:val="18"/>
          <w:color w:val="auto"/>
        </w:rPr>
        <w:t xml:space="preserve"> (</w:t>
      </w:r>
      <w:r>
        <w:rPr>
          <w:rFonts w:ascii="Arial" w:cs="Arial" w:eastAsia="Arial" w:hAnsi="Arial"/>
          <w:sz w:val="18"/>
          <w:szCs w:val="18"/>
          <w:i w:val="1"/>
          <w:iCs w:val="1"/>
          <w:color w:val="auto"/>
        </w:rPr>
        <w:t>Rügefrist</w:t>
      </w:r>
      <w:r>
        <w:rPr>
          <w:rFonts w:ascii="Arial" w:cs="Arial" w:eastAsia="Arial" w:hAnsi="Arial"/>
          <w:sz w:val="18"/>
          <w:szCs w:val="18"/>
          <w:color w:val="auto"/>
        </w:rPr>
        <w:t>)) before the applicable expiry date.</w:t>
      </w:r>
    </w:p>
    <w:p>
      <w:pPr>
        <w:spacing w:after="0" w:line="216" w:lineRule="exact"/>
        <w:rPr>
          <w:sz w:val="20"/>
          <w:szCs w:val="20"/>
          <w:color w:val="auto"/>
        </w:rPr>
      </w:pPr>
    </w:p>
    <w:p>
      <w:pPr>
        <w:ind w:left="660" w:hanging="652"/>
        <w:spacing w:after="0" w:line="246"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This S</w:t>
      </w:r>
      <w:r>
        <w:rPr>
          <w:rFonts w:ascii="Arial" w:cs="Arial" w:eastAsia="Arial" w:hAnsi="Arial"/>
          <w:sz w:val="12"/>
          <w:szCs w:val="12"/>
          <w:color w:val="auto"/>
        </w:rPr>
        <w:t>ECTION</w:t>
      </w:r>
      <w:r>
        <w:rPr>
          <w:rFonts w:ascii="Arial" w:cs="Arial" w:eastAsia="Arial" w:hAnsi="Arial"/>
          <w:sz w:val="18"/>
          <w:szCs w:val="18"/>
          <w:color w:val="auto"/>
        </w:rPr>
        <w:t xml:space="preserve"> 12.3 (Term of Representations and Warranties) shall be in lieu of, and supersede, article 210 CO, the applicability of which is hereby waived by the P</w:t>
      </w:r>
      <w:r>
        <w:rPr>
          <w:rFonts w:ascii="Arial" w:cs="Arial" w:eastAsia="Arial" w:hAnsi="Arial"/>
          <w:sz w:val="12"/>
          <w:szCs w:val="12"/>
          <w:color w:val="auto"/>
        </w:rPr>
        <w:t>ARTIES</w:t>
      </w:r>
      <w:r>
        <w:rPr>
          <w:rFonts w:ascii="Arial" w:cs="Arial" w:eastAsia="Arial" w:hAnsi="Arial"/>
          <w:sz w:val="18"/>
          <w:szCs w:val="18"/>
          <w:color w:val="auto"/>
        </w:rPr>
        <w:t>.</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7"/>
          <w:szCs w:val="17"/>
          <w:b w:val="1"/>
          <w:bCs w:val="1"/>
          <w:color w:val="auto"/>
        </w:rPr>
        <w:t>Limitations on A</w:t>
      </w:r>
      <w:r>
        <w:rPr>
          <w:rFonts w:ascii="Arial" w:cs="Arial" w:eastAsia="Arial" w:hAnsi="Arial"/>
          <w:sz w:val="11"/>
          <w:szCs w:val="11"/>
          <w:b w:val="1"/>
          <w:bCs w:val="1"/>
          <w:color w:val="auto"/>
        </w:rPr>
        <w:t>FFIRIS</w:t>
      </w:r>
      <w:r>
        <w:rPr>
          <w:rFonts w:ascii="Arial" w:cs="Arial" w:eastAsia="Arial" w:hAnsi="Arial"/>
          <w:sz w:val="17"/>
          <w:szCs w:val="17"/>
          <w:b w:val="1"/>
          <w:bCs w:val="1"/>
          <w:color w:val="auto"/>
        </w:rPr>
        <w:t>' Liability for Misrepresentation and Breach of Warranty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12.4.1  De Minimis and Threshold</w:t>
      </w:r>
    </w:p>
    <w:p>
      <w:pPr>
        <w:spacing w:after="0" w:line="220" w:lineRule="exact"/>
        <w:rPr>
          <w:sz w:val="20"/>
          <w:szCs w:val="20"/>
          <w:color w:val="auto"/>
        </w:rPr>
      </w:pPr>
    </w:p>
    <w:p>
      <w:pPr>
        <w:ind w:left="660" w:hanging="652"/>
        <w:spacing w:after="0" w:line="246"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Subject to the provisions below, A</w:t>
      </w:r>
      <w:r>
        <w:rPr>
          <w:rFonts w:ascii="Arial" w:cs="Arial" w:eastAsia="Arial" w:hAnsi="Arial"/>
          <w:sz w:val="12"/>
          <w:szCs w:val="12"/>
          <w:color w:val="auto"/>
        </w:rPr>
        <w:t>FFIRIS</w:t>
      </w:r>
      <w:r>
        <w:rPr>
          <w:rFonts w:ascii="Arial" w:cs="Arial" w:eastAsia="Arial" w:hAnsi="Arial"/>
          <w:sz w:val="18"/>
          <w:szCs w:val="18"/>
          <w:color w:val="auto"/>
        </w:rPr>
        <w:t xml:space="preserve"> shall not be liable for claims of ACIU for misrepresentations or breaches of warranties under S</w:t>
      </w:r>
      <w:r>
        <w:rPr>
          <w:rFonts w:ascii="Arial" w:cs="Arial" w:eastAsia="Arial" w:hAnsi="Arial"/>
          <w:sz w:val="12"/>
          <w:szCs w:val="12"/>
          <w:color w:val="auto"/>
        </w:rPr>
        <w:t>ECTION</w:t>
      </w:r>
      <w:r>
        <w:rPr>
          <w:rFonts w:ascii="Arial" w:cs="Arial" w:eastAsia="Arial" w:hAnsi="Arial"/>
          <w:sz w:val="18"/>
          <w:szCs w:val="18"/>
          <w:color w:val="auto"/>
        </w:rPr>
        <w:t xml:space="preserve"> 11.1 (Representations and Warranties of A</w:t>
      </w:r>
      <w:r>
        <w:rPr>
          <w:rFonts w:ascii="Arial" w:cs="Arial" w:eastAsia="Arial" w:hAnsi="Arial"/>
          <w:sz w:val="12"/>
          <w:szCs w:val="12"/>
          <w:color w:val="auto"/>
        </w:rPr>
        <w:t>FFIRIS</w:t>
      </w:r>
      <w:r>
        <w:rPr>
          <w:rFonts w:ascii="Arial" w:cs="Arial" w:eastAsia="Arial" w:hAnsi="Arial"/>
          <w:sz w:val="18"/>
          <w:szCs w:val="18"/>
          <w:color w:val="auto"/>
        </w:rPr>
        <w:t>) unless</w:t>
      </w:r>
    </w:p>
    <w:p>
      <w:pPr>
        <w:spacing w:after="0" w:line="161" w:lineRule="exact"/>
        <w:rPr>
          <w:rFonts w:ascii="Arial" w:cs="Arial" w:eastAsia="Arial" w:hAnsi="Arial"/>
          <w:sz w:val="18"/>
          <w:szCs w:val="18"/>
          <w:color w:val="auto"/>
        </w:rPr>
      </w:pPr>
    </w:p>
    <w:p>
      <w:pPr>
        <w:jc w:val="both"/>
        <w:ind w:left="1300" w:hanging="644"/>
        <w:spacing w:after="0" w:line="247"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each such claim equals or exceeds, on a stand-alone basis, the amount of US$ [*****] ("</w:t>
      </w:r>
      <w:r>
        <w:rPr>
          <w:rFonts w:ascii="Arial" w:cs="Arial" w:eastAsia="Arial" w:hAnsi="Arial"/>
          <w:sz w:val="18"/>
          <w:szCs w:val="18"/>
          <w:b w:val="1"/>
          <w:bCs w:val="1"/>
          <w:color w:val="auto"/>
        </w:rPr>
        <w:t>D</w:t>
      </w:r>
      <w:r>
        <w:rPr>
          <w:rFonts w:ascii="Arial" w:cs="Arial" w:eastAsia="Arial" w:hAnsi="Arial"/>
          <w:sz w:val="12"/>
          <w:szCs w:val="12"/>
          <w:b w:val="1"/>
          <w:bCs w:val="1"/>
          <w:color w:val="auto"/>
        </w:rPr>
        <w:t>E</w:t>
      </w:r>
      <w:r>
        <w:rPr>
          <w:rFonts w:ascii="Arial" w:cs="Arial" w:eastAsia="Arial" w:hAnsi="Arial"/>
          <w:sz w:val="18"/>
          <w:szCs w:val="18"/>
          <w:color w:val="auto"/>
        </w:rPr>
        <w:t xml:space="preserve"> </w:t>
      </w:r>
      <w:r>
        <w:rPr>
          <w:rFonts w:ascii="Arial" w:cs="Arial" w:eastAsia="Arial" w:hAnsi="Arial"/>
          <w:sz w:val="18"/>
          <w:szCs w:val="18"/>
          <w:b w:val="1"/>
          <w:bCs w:val="1"/>
          <w:color w:val="auto"/>
        </w:rPr>
        <w:t>M</w:t>
      </w:r>
      <w:r>
        <w:rPr>
          <w:rFonts w:ascii="Arial" w:cs="Arial" w:eastAsia="Arial" w:hAnsi="Arial"/>
          <w:sz w:val="12"/>
          <w:szCs w:val="12"/>
          <w:b w:val="1"/>
          <w:bCs w:val="1"/>
          <w:color w:val="auto"/>
        </w:rPr>
        <w:t>INIMIS</w:t>
      </w:r>
      <w:r>
        <w:rPr>
          <w:rFonts w:ascii="Arial" w:cs="Arial" w:eastAsia="Arial" w:hAnsi="Arial"/>
          <w:sz w:val="18"/>
          <w:szCs w:val="18"/>
          <w:color w:val="auto"/>
        </w:rPr>
        <w:t>"); it being understood that for the calculation of the De Minimis, a series of claims shall be regarded as one single claim if such claims are based on substantially the same factual circumstances after application of all other limitation pursuant to this S</w:t>
      </w:r>
      <w:r>
        <w:rPr>
          <w:rFonts w:ascii="Arial" w:cs="Arial" w:eastAsia="Arial" w:hAnsi="Arial"/>
          <w:sz w:val="12"/>
          <w:szCs w:val="12"/>
          <w:color w:val="auto"/>
        </w:rPr>
        <w:t>ECTION</w:t>
      </w:r>
      <w:r>
        <w:rPr>
          <w:rFonts w:ascii="Arial" w:cs="Arial" w:eastAsia="Arial" w:hAnsi="Arial"/>
          <w:sz w:val="18"/>
          <w:szCs w:val="18"/>
          <w:color w:val="auto"/>
        </w:rPr>
        <w:t xml:space="preserve"> 12, irrespective of whether they are brought by one or several claimants; and</w:t>
      </w:r>
    </w:p>
    <w:p>
      <w:pPr>
        <w:spacing w:after="0" w:line="160" w:lineRule="exact"/>
        <w:rPr>
          <w:rFonts w:ascii="Arial" w:cs="Arial" w:eastAsia="Arial" w:hAnsi="Arial"/>
          <w:sz w:val="18"/>
          <w:szCs w:val="18"/>
          <w:color w:val="auto"/>
        </w:rPr>
      </w:pPr>
    </w:p>
    <w:p>
      <w:pPr>
        <w:ind w:left="1300" w:hanging="644"/>
        <w:spacing w:after="0"/>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aggregate amount of the individual amounts described in i) equals or exceeds US$ [*****] ("</w:t>
      </w:r>
      <w:r>
        <w:rPr>
          <w:rFonts w:ascii="Arial" w:cs="Arial" w:eastAsia="Arial" w:hAnsi="Arial"/>
          <w:sz w:val="18"/>
          <w:szCs w:val="18"/>
          <w:b w:val="1"/>
          <w:bCs w:val="1"/>
          <w:color w:val="auto"/>
        </w:rPr>
        <w:t>T</w:t>
      </w:r>
      <w:r>
        <w:rPr>
          <w:rFonts w:ascii="Arial" w:cs="Arial" w:eastAsia="Arial" w:hAnsi="Arial"/>
          <w:sz w:val="12"/>
          <w:szCs w:val="12"/>
          <w:b w:val="1"/>
          <w:bCs w:val="1"/>
          <w:color w:val="auto"/>
        </w:rPr>
        <w:t>HRESHOLD</w:t>
      </w:r>
      <w:r>
        <w:rPr>
          <w:rFonts w:ascii="Arial" w:cs="Arial" w:eastAsia="Arial" w:hAnsi="Arial"/>
          <w:sz w:val="18"/>
          <w:szCs w:val="18"/>
          <w:color w:val="auto"/>
        </w:rPr>
        <w:t>"),</w:t>
      </w:r>
    </w:p>
    <w:p>
      <w:pPr>
        <w:spacing w:after="0" w:line="220" w:lineRule="exact"/>
        <w:rPr>
          <w:rFonts w:ascii="Arial" w:cs="Arial" w:eastAsia="Arial" w:hAnsi="Arial"/>
          <w:sz w:val="18"/>
          <w:szCs w:val="18"/>
          <w:color w:val="auto"/>
        </w:rPr>
      </w:pPr>
    </w:p>
    <w:p>
      <w:pPr>
        <w:ind w:left="660" w:hanging="652"/>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whereupon any amount that is less the D</w:t>
      </w:r>
      <w:r>
        <w:rPr>
          <w:rFonts w:ascii="Arial" w:cs="Arial" w:eastAsia="Arial" w:hAnsi="Arial"/>
          <w:sz w:val="12"/>
          <w:szCs w:val="12"/>
          <w:color w:val="auto"/>
        </w:rPr>
        <w:t>E</w:t>
      </w:r>
      <w:r>
        <w:rPr>
          <w:rFonts w:ascii="Arial" w:cs="Arial" w:eastAsia="Arial" w:hAnsi="Arial"/>
          <w:sz w:val="18"/>
          <w:szCs w:val="18"/>
          <w:color w:val="auto"/>
        </w:rPr>
        <w:t xml:space="preserve"> M</w:t>
      </w:r>
      <w:r>
        <w:rPr>
          <w:rFonts w:ascii="Arial" w:cs="Arial" w:eastAsia="Arial" w:hAnsi="Arial"/>
          <w:sz w:val="12"/>
          <w:szCs w:val="12"/>
          <w:color w:val="auto"/>
        </w:rPr>
        <w:t>INIMIS</w:t>
      </w:r>
      <w:r>
        <w:rPr>
          <w:rFonts w:ascii="Arial" w:cs="Arial" w:eastAsia="Arial" w:hAnsi="Arial"/>
          <w:sz w:val="18"/>
          <w:szCs w:val="18"/>
          <w:color w:val="auto"/>
        </w:rPr>
        <w:t xml:space="preserve"> or the T</w:t>
      </w:r>
      <w:r>
        <w:rPr>
          <w:rFonts w:ascii="Arial" w:cs="Arial" w:eastAsia="Arial" w:hAnsi="Arial"/>
          <w:sz w:val="12"/>
          <w:szCs w:val="12"/>
          <w:color w:val="auto"/>
        </w:rPr>
        <w:t>HRESHOLD</w:t>
      </w:r>
      <w:r>
        <w:rPr>
          <w:rFonts w:ascii="Arial" w:cs="Arial" w:eastAsia="Arial" w:hAnsi="Arial"/>
          <w:sz w:val="18"/>
          <w:szCs w:val="18"/>
          <w:color w:val="auto"/>
        </w:rPr>
        <w:t xml:space="preserve"> shall be disregarded for all purposes.</w:t>
      </w:r>
    </w:p>
    <w:p>
      <w:pPr>
        <w:spacing w:after="0" w:line="198"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However, the above limitations shall not apply for claims brought under S</w:t>
      </w:r>
      <w:r>
        <w:rPr>
          <w:rFonts w:ascii="Arial" w:cs="Arial" w:eastAsia="Arial" w:hAnsi="Arial"/>
          <w:sz w:val="12"/>
          <w:szCs w:val="12"/>
          <w:color w:val="auto"/>
        </w:rPr>
        <w:t>ECTIONS</w:t>
      </w:r>
      <w:r>
        <w:rPr>
          <w:rFonts w:ascii="Arial" w:cs="Arial" w:eastAsia="Arial" w:hAnsi="Arial"/>
          <w:sz w:val="18"/>
          <w:szCs w:val="18"/>
          <w:color w:val="auto"/>
        </w:rPr>
        <w:t xml:space="preserve"> 11.1.1 (Capacity, No Authorizations), or in case of willful misconduct or gross negligence of A</w:t>
      </w:r>
      <w:r>
        <w:rPr>
          <w:rFonts w:ascii="Arial" w:cs="Arial" w:eastAsia="Arial" w:hAnsi="Arial"/>
          <w:sz w:val="12"/>
          <w:szCs w:val="12"/>
          <w:color w:val="auto"/>
        </w:rPr>
        <w:t>FFIRIS</w:t>
      </w:r>
      <w:r>
        <w:rPr>
          <w:rFonts w:ascii="Arial" w:cs="Arial" w:eastAsia="Arial" w:hAnsi="Arial"/>
          <w:sz w:val="18"/>
          <w:szCs w:val="18"/>
          <w:color w:val="auto"/>
        </w:rPr>
        <w:t>, for which claims A</w:t>
      </w:r>
      <w:r>
        <w:rPr>
          <w:rFonts w:ascii="Arial" w:cs="Arial" w:eastAsia="Arial" w:hAnsi="Arial"/>
          <w:sz w:val="12"/>
          <w:szCs w:val="12"/>
          <w:color w:val="auto"/>
        </w:rPr>
        <w:t>FFIRIS</w:t>
      </w:r>
      <w:r>
        <w:rPr>
          <w:rFonts w:ascii="Arial" w:cs="Arial" w:eastAsia="Arial" w:hAnsi="Arial"/>
          <w:sz w:val="18"/>
          <w:szCs w:val="18"/>
          <w:color w:val="auto"/>
        </w:rPr>
        <w:t xml:space="preserve"> shall be liable from the first US$ on in any case.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12.4.2  Cap</w:t>
      </w:r>
    </w:p>
    <w:p>
      <w:pPr>
        <w:spacing w:after="0" w:line="220" w:lineRule="exact"/>
        <w:rPr>
          <w:sz w:val="20"/>
          <w:szCs w:val="20"/>
          <w:color w:val="auto"/>
        </w:rPr>
      </w:pPr>
    </w:p>
    <w:p>
      <w:pPr>
        <w:ind w:left="660" w:right="20" w:hanging="652"/>
        <w:spacing w:after="0" w:line="246"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Subject to the provisions below, A</w:t>
      </w:r>
      <w:r>
        <w:rPr>
          <w:rFonts w:ascii="Arial" w:cs="Arial" w:eastAsia="Arial" w:hAnsi="Arial"/>
          <w:sz w:val="12"/>
          <w:szCs w:val="12"/>
          <w:color w:val="auto"/>
        </w:rPr>
        <w:t>FFIRIS</w:t>
      </w:r>
      <w:r>
        <w:rPr>
          <w:rFonts w:ascii="Arial" w:cs="Arial" w:eastAsia="Arial" w:hAnsi="Arial"/>
          <w:sz w:val="18"/>
          <w:szCs w:val="18"/>
          <w:color w:val="auto"/>
        </w:rPr>
        <w:t>' liability for claims of ACIU for misrepresentations or breaches of warranties under S</w:t>
      </w:r>
      <w:r>
        <w:rPr>
          <w:rFonts w:ascii="Arial" w:cs="Arial" w:eastAsia="Arial" w:hAnsi="Arial"/>
          <w:sz w:val="12"/>
          <w:szCs w:val="12"/>
          <w:color w:val="auto"/>
        </w:rPr>
        <w:t>ECTION</w:t>
      </w:r>
      <w:r>
        <w:rPr>
          <w:rFonts w:ascii="Arial" w:cs="Arial" w:eastAsia="Arial" w:hAnsi="Arial"/>
          <w:sz w:val="18"/>
          <w:szCs w:val="18"/>
          <w:color w:val="auto"/>
        </w:rPr>
        <w:t xml:space="preserve"> 11.1 (Representations and Warranties of A</w:t>
      </w:r>
      <w:r>
        <w:rPr>
          <w:rFonts w:ascii="Arial" w:cs="Arial" w:eastAsia="Arial" w:hAnsi="Arial"/>
          <w:sz w:val="12"/>
          <w:szCs w:val="12"/>
          <w:color w:val="auto"/>
        </w:rPr>
        <w:t>FFIRIS</w:t>
      </w:r>
      <w:r>
        <w:rPr>
          <w:rFonts w:ascii="Arial" w:cs="Arial" w:eastAsia="Arial" w:hAnsi="Arial"/>
          <w:sz w:val="18"/>
          <w:szCs w:val="18"/>
          <w:color w:val="auto"/>
        </w:rPr>
        <w:t>) shall in aggregate be limited to [*****]% of the P</w:t>
      </w:r>
      <w:r>
        <w:rPr>
          <w:rFonts w:ascii="Arial" w:cs="Arial" w:eastAsia="Arial" w:hAnsi="Arial"/>
          <w:sz w:val="12"/>
          <w:szCs w:val="12"/>
          <w:color w:val="auto"/>
        </w:rPr>
        <w:t>URCHASE</w:t>
      </w:r>
      <w:r>
        <w:rPr>
          <w:rFonts w:ascii="Arial" w:cs="Arial" w:eastAsia="Arial" w:hAnsi="Arial"/>
          <w:sz w:val="18"/>
          <w:szCs w:val="18"/>
          <w:color w:val="auto"/>
        </w:rPr>
        <w:t xml:space="preserve"> P</w:t>
      </w:r>
      <w:r>
        <w:rPr>
          <w:rFonts w:ascii="Arial" w:cs="Arial" w:eastAsia="Arial" w:hAnsi="Arial"/>
          <w:sz w:val="12"/>
          <w:szCs w:val="12"/>
          <w:color w:val="auto"/>
        </w:rPr>
        <w:t>RICE</w:t>
      </w:r>
      <w:r>
        <w:rPr>
          <w:rFonts w:ascii="Arial" w:cs="Arial" w:eastAsia="Arial" w:hAnsi="Arial"/>
          <w:sz w:val="18"/>
          <w:szCs w:val="18"/>
          <w:color w:val="auto"/>
        </w:rPr>
        <w:t xml:space="preserve"> ("</w:t>
      </w:r>
      <w:r>
        <w:rPr>
          <w:rFonts w:ascii="Arial" w:cs="Arial" w:eastAsia="Arial" w:hAnsi="Arial"/>
          <w:sz w:val="18"/>
          <w:szCs w:val="18"/>
          <w:b w:val="1"/>
          <w:bCs w:val="1"/>
          <w:color w:val="auto"/>
        </w:rPr>
        <w:t>C</w:t>
      </w:r>
      <w:r>
        <w:rPr>
          <w:rFonts w:ascii="Arial" w:cs="Arial" w:eastAsia="Arial" w:hAnsi="Arial"/>
          <w:sz w:val="12"/>
          <w:szCs w:val="12"/>
          <w:b w:val="1"/>
          <w:bCs w:val="1"/>
          <w:color w:val="auto"/>
        </w:rPr>
        <w:t>AP</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However, the above C</w:t>
      </w:r>
      <w:r>
        <w:rPr>
          <w:rFonts w:ascii="Arial" w:cs="Arial" w:eastAsia="Arial" w:hAnsi="Arial"/>
          <w:sz w:val="12"/>
          <w:szCs w:val="12"/>
          <w:color w:val="auto"/>
        </w:rPr>
        <w:t>AP</w:t>
      </w:r>
      <w:r>
        <w:rPr>
          <w:rFonts w:ascii="Arial" w:cs="Arial" w:eastAsia="Arial" w:hAnsi="Arial"/>
          <w:sz w:val="18"/>
          <w:szCs w:val="18"/>
          <w:color w:val="auto"/>
        </w:rPr>
        <w:t xml:space="preserve"> shall not apply to claims brought under S</w:t>
      </w:r>
      <w:r>
        <w:rPr>
          <w:rFonts w:ascii="Arial" w:cs="Arial" w:eastAsia="Arial" w:hAnsi="Arial"/>
          <w:sz w:val="12"/>
          <w:szCs w:val="12"/>
          <w:color w:val="auto"/>
        </w:rPr>
        <w:t>ECTIONS</w:t>
      </w:r>
      <w:r>
        <w:rPr>
          <w:rFonts w:ascii="Arial" w:cs="Arial" w:eastAsia="Arial" w:hAnsi="Arial"/>
          <w:sz w:val="18"/>
          <w:szCs w:val="18"/>
          <w:color w:val="auto"/>
        </w:rPr>
        <w:t xml:space="preserve"> 11.1.1 (C</w:t>
      </w:r>
      <w:r>
        <w:rPr>
          <w:rFonts w:ascii="Arial" w:cs="Arial" w:eastAsia="Arial" w:hAnsi="Arial"/>
          <w:sz w:val="12"/>
          <w:szCs w:val="12"/>
          <w:color w:val="auto"/>
        </w:rPr>
        <w:t>APACITY</w:t>
      </w:r>
      <w:r>
        <w:rPr>
          <w:rFonts w:ascii="Arial" w:cs="Arial" w:eastAsia="Arial" w:hAnsi="Arial"/>
          <w:sz w:val="18"/>
          <w:szCs w:val="18"/>
          <w:color w:val="auto"/>
        </w:rPr>
        <w:t>, No Authorizations) or in case of willful misconduct of A</w:t>
      </w:r>
      <w:r>
        <w:rPr>
          <w:rFonts w:ascii="Arial" w:cs="Arial" w:eastAsia="Arial" w:hAnsi="Arial"/>
          <w:sz w:val="12"/>
          <w:szCs w:val="12"/>
          <w:color w:val="auto"/>
        </w:rPr>
        <w:t>FFIRIS</w:t>
      </w:r>
      <w:r>
        <w:rPr>
          <w:rFonts w:ascii="Arial" w:cs="Arial" w:eastAsia="Arial" w:hAnsi="Arial"/>
          <w:sz w:val="18"/>
          <w:szCs w:val="18"/>
          <w:color w:val="auto"/>
        </w:rPr>
        <w:t>, for which claims the C</w:t>
      </w:r>
      <w:r>
        <w:rPr>
          <w:rFonts w:ascii="Arial" w:cs="Arial" w:eastAsia="Arial" w:hAnsi="Arial"/>
          <w:sz w:val="12"/>
          <w:szCs w:val="12"/>
          <w:color w:val="auto"/>
        </w:rPr>
        <w:t>AP</w:t>
      </w:r>
      <w:r>
        <w:rPr>
          <w:rFonts w:ascii="Arial" w:cs="Arial" w:eastAsia="Arial" w:hAnsi="Arial"/>
          <w:sz w:val="18"/>
          <w:szCs w:val="18"/>
          <w:color w:val="auto"/>
        </w:rPr>
        <w:t xml:space="preserve"> shall be equal to 100% of the P</w:t>
      </w:r>
      <w:r>
        <w:rPr>
          <w:rFonts w:ascii="Arial" w:cs="Arial" w:eastAsia="Arial" w:hAnsi="Arial"/>
          <w:sz w:val="12"/>
          <w:szCs w:val="12"/>
          <w:color w:val="auto"/>
        </w:rPr>
        <w:t>URCHASE</w:t>
      </w:r>
      <w:r>
        <w:rPr>
          <w:rFonts w:ascii="Arial" w:cs="Arial" w:eastAsia="Arial" w:hAnsi="Arial"/>
          <w:sz w:val="18"/>
          <w:szCs w:val="18"/>
          <w:color w:val="auto"/>
        </w:rPr>
        <w:t xml:space="preserve"> P</w:t>
      </w:r>
      <w:r>
        <w:rPr>
          <w:rFonts w:ascii="Arial" w:cs="Arial" w:eastAsia="Arial" w:hAnsi="Arial"/>
          <w:sz w:val="12"/>
          <w:szCs w:val="12"/>
          <w:color w:val="auto"/>
        </w:rPr>
        <w:t>RICE</w:t>
      </w:r>
      <w:r>
        <w:rPr>
          <w:rFonts w:ascii="Arial" w:cs="Arial" w:eastAsia="Arial" w:hAnsi="Arial"/>
          <w:sz w:val="18"/>
          <w:szCs w:val="18"/>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12.4.3  Further Limitations</w:t>
      </w:r>
    </w:p>
    <w:p>
      <w:pPr>
        <w:spacing w:after="0" w:line="220" w:lineRule="exact"/>
        <w:rPr>
          <w:sz w:val="20"/>
          <w:szCs w:val="20"/>
          <w:color w:val="auto"/>
        </w:rPr>
      </w:pPr>
    </w:p>
    <w:p>
      <w:pPr>
        <w:ind w:left="660" w:right="20" w:hanging="652"/>
        <w:spacing w:after="0" w:line="246"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2"/>
          <w:szCs w:val="12"/>
          <w:color w:val="auto"/>
        </w:rPr>
        <w:t>FFIRIS</w:t>
      </w:r>
      <w:r>
        <w:rPr>
          <w:rFonts w:ascii="Arial" w:cs="Arial" w:eastAsia="Arial" w:hAnsi="Arial"/>
          <w:sz w:val="18"/>
          <w:szCs w:val="18"/>
          <w:color w:val="auto"/>
        </w:rPr>
        <w:t>' liability for a claim for misrepresentations or breaches of warranties under S</w:t>
      </w:r>
      <w:r>
        <w:rPr>
          <w:rFonts w:ascii="Arial" w:cs="Arial" w:eastAsia="Arial" w:hAnsi="Arial"/>
          <w:sz w:val="12"/>
          <w:szCs w:val="12"/>
          <w:color w:val="auto"/>
        </w:rPr>
        <w:t>ECTION</w:t>
      </w:r>
      <w:r>
        <w:rPr>
          <w:rFonts w:ascii="Arial" w:cs="Arial" w:eastAsia="Arial" w:hAnsi="Arial"/>
          <w:sz w:val="18"/>
          <w:szCs w:val="18"/>
          <w:color w:val="auto"/>
        </w:rPr>
        <w:t xml:space="preserve"> 11.1 (Representations and Warranties of A</w:t>
      </w:r>
      <w:r>
        <w:rPr>
          <w:rFonts w:ascii="Arial" w:cs="Arial" w:eastAsia="Arial" w:hAnsi="Arial"/>
          <w:sz w:val="12"/>
          <w:szCs w:val="12"/>
          <w:color w:val="auto"/>
        </w:rPr>
        <w:t>FFIRIS</w:t>
      </w:r>
      <w:r>
        <w:rPr>
          <w:rFonts w:ascii="Arial" w:cs="Arial" w:eastAsia="Arial" w:hAnsi="Arial"/>
          <w:sz w:val="18"/>
          <w:szCs w:val="18"/>
          <w:color w:val="auto"/>
        </w:rPr>
        <w:t>) shall be reduced or excluded, as the case may be, if and to the extent:</w:t>
      </w: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ind w:left="1300" w:hanging="644"/>
        <w:spacing w:after="0" w:line="246" w:lineRule="auto"/>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ACIU has failed to mitigate the loss or damage as required under Swiss law regarding such claim (in particular has failed to notify A</w:t>
      </w:r>
      <w:r>
        <w:rPr>
          <w:rFonts w:ascii="Arial" w:cs="Arial" w:eastAsia="Arial" w:hAnsi="Arial"/>
          <w:sz w:val="12"/>
          <w:szCs w:val="12"/>
          <w:color w:val="auto"/>
        </w:rPr>
        <w:t>FFIRIS</w:t>
      </w:r>
      <w:r>
        <w:rPr>
          <w:rFonts w:ascii="Arial" w:cs="Arial" w:eastAsia="Arial" w:hAnsi="Arial"/>
          <w:sz w:val="18"/>
          <w:szCs w:val="18"/>
          <w:color w:val="auto"/>
        </w:rPr>
        <w:t xml:space="preserve"> of a claim in accordance with S</w:t>
      </w:r>
      <w:r>
        <w:rPr>
          <w:rFonts w:ascii="Arial" w:cs="Arial" w:eastAsia="Arial" w:hAnsi="Arial"/>
          <w:sz w:val="12"/>
          <w:szCs w:val="12"/>
          <w:color w:val="auto"/>
        </w:rPr>
        <w:t>ECTION</w:t>
      </w:r>
      <w:r>
        <w:rPr>
          <w:rFonts w:ascii="Arial" w:cs="Arial" w:eastAsia="Arial" w:hAnsi="Arial"/>
          <w:sz w:val="18"/>
          <w:szCs w:val="18"/>
          <w:color w:val="auto"/>
        </w:rPr>
        <w:t xml:space="preserve"> 12.1 of this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300" w:right="20" w:hanging="644"/>
        <w:spacing w:after="0" w:line="246" w:lineRule="auto"/>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ACIU has recovered from a </w:t>
      </w:r>
      <w:r>
        <w:rPr>
          <w:rFonts w:ascii="Arial" w:cs="Arial" w:eastAsia="Arial" w:hAnsi="Arial"/>
          <w:sz w:val="12"/>
          <w:szCs w:val="12"/>
          <w:color w:val="auto"/>
        </w:rPr>
        <w:t>THIRD PARTY</w:t>
      </w:r>
      <w:r>
        <w:rPr>
          <w:rFonts w:ascii="Arial" w:cs="Arial" w:eastAsia="Arial" w:hAnsi="Arial"/>
          <w:sz w:val="18"/>
          <w:szCs w:val="18"/>
          <w:color w:val="auto"/>
        </w:rPr>
        <w:t>, in particular an insurance, compensation with respect to the subject matter of such claim (net of all related costs and premium increases which shall be compensated by A</w:t>
      </w:r>
      <w:r>
        <w:rPr>
          <w:rFonts w:ascii="Arial" w:cs="Arial" w:eastAsia="Arial" w:hAnsi="Arial"/>
          <w:sz w:val="12"/>
          <w:szCs w:val="12"/>
          <w:color w:val="auto"/>
        </w:rPr>
        <w:t>FFIRIS</w:t>
      </w:r>
      <w:r>
        <w:rPr>
          <w:rFonts w:ascii="Arial" w:cs="Arial" w:eastAsia="Arial" w:hAnsi="Arial"/>
          <w:sz w:val="18"/>
          <w:szCs w:val="18"/>
          <w:color w:val="auto"/>
        </w:rPr>
        <w:t xml:space="preserve"> as part of the D</w:t>
      </w:r>
      <w:r>
        <w:rPr>
          <w:rFonts w:ascii="Arial" w:cs="Arial" w:eastAsia="Arial" w:hAnsi="Arial"/>
          <w:sz w:val="12"/>
          <w:szCs w:val="12"/>
          <w:color w:val="auto"/>
        </w:rPr>
        <w:t>AMAGE</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1300" w:hanging="644"/>
        <w:spacing w:after="0" w:line="237" w:lineRule="auto"/>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that the facts, matters, events or circumstances forming the basis for such claim (i) are contained in this A</w:t>
      </w:r>
      <w:r>
        <w:rPr>
          <w:rFonts w:ascii="Arial" w:cs="Arial" w:eastAsia="Arial" w:hAnsi="Arial"/>
          <w:sz w:val="12"/>
          <w:szCs w:val="12"/>
          <w:color w:val="auto"/>
        </w:rPr>
        <w:t>GREEMENT</w:t>
      </w:r>
      <w:r>
        <w:rPr>
          <w:rFonts w:ascii="Arial" w:cs="Arial" w:eastAsia="Arial" w:hAnsi="Arial"/>
          <w:sz w:val="18"/>
          <w:szCs w:val="18"/>
          <w:color w:val="auto"/>
        </w:rPr>
        <w:t>, (ii) were known to ACIU at signing, (iii) were available in the following public registers one B</w:t>
      </w:r>
      <w:r>
        <w:rPr>
          <w:rFonts w:ascii="Arial" w:cs="Arial" w:eastAsia="Arial" w:hAnsi="Arial"/>
          <w:sz w:val="12"/>
          <w:szCs w:val="12"/>
          <w:color w:val="auto"/>
        </w:rPr>
        <w:t>USINESS</w:t>
      </w:r>
      <w:r>
        <w:rPr>
          <w:rFonts w:ascii="Arial" w:cs="Arial" w:eastAsia="Arial" w:hAnsi="Arial"/>
          <w:sz w:val="18"/>
          <w:szCs w:val="18"/>
          <w:color w:val="auto"/>
        </w:rPr>
        <w:t xml:space="preserve"> D</w:t>
      </w:r>
      <w:r>
        <w:rPr>
          <w:rFonts w:ascii="Arial" w:cs="Arial" w:eastAsia="Arial" w:hAnsi="Arial"/>
          <w:sz w:val="12"/>
          <w:szCs w:val="12"/>
          <w:color w:val="auto"/>
        </w:rPr>
        <w:t>AY</w:t>
      </w:r>
      <w:r>
        <w:rPr>
          <w:rFonts w:ascii="Arial" w:cs="Arial" w:eastAsia="Arial" w:hAnsi="Arial"/>
          <w:sz w:val="18"/>
          <w:szCs w:val="18"/>
          <w:color w:val="auto"/>
        </w:rPr>
        <w:t xml:space="preserve"> prior to the date of this A</w:t>
      </w:r>
      <w:r>
        <w:rPr>
          <w:rFonts w:ascii="Arial" w:cs="Arial" w:eastAsia="Arial" w:hAnsi="Arial"/>
          <w:sz w:val="12"/>
          <w:szCs w:val="12"/>
          <w:color w:val="auto"/>
        </w:rPr>
        <w:t>GREEMENT</w:t>
      </w:r>
      <w:r>
        <w:rPr>
          <w:rFonts w:ascii="Arial" w:cs="Arial" w:eastAsia="Arial" w:hAnsi="Arial"/>
          <w:sz w:val="18"/>
          <w:szCs w:val="18"/>
          <w:color w:val="auto"/>
        </w:rPr>
        <w:t>: the registers in the main ledger (</w:t>
      </w:r>
      <w:r>
        <w:rPr>
          <w:rFonts w:ascii="Arial" w:cs="Arial" w:eastAsia="Arial" w:hAnsi="Arial"/>
          <w:sz w:val="18"/>
          <w:szCs w:val="18"/>
          <w:i w:val="1"/>
          <w:iCs w:val="1"/>
          <w:color w:val="auto"/>
        </w:rPr>
        <w:t>Hauptbuch</w:t>
      </w:r>
      <w:r>
        <w:rPr>
          <w:rFonts w:ascii="Arial" w:cs="Arial" w:eastAsia="Arial" w:hAnsi="Arial"/>
          <w:sz w:val="18"/>
          <w:szCs w:val="18"/>
          <w:color w:val="auto"/>
        </w:rPr>
        <w:t>) of the Austrian commercial registry (</w:t>
      </w:r>
      <w:r>
        <w:rPr>
          <w:rFonts w:ascii="Arial" w:cs="Arial" w:eastAsia="Arial" w:hAnsi="Arial"/>
          <w:sz w:val="18"/>
          <w:szCs w:val="18"/>
          <w:i w:val="1"/>
          <w:iCs w:val="1"/>
          <w:color w:val="auto"/>
        </w:rPr>
        <w:t>Firmenbuch</w:t>
      </w:r>
      <w:r>
        <w:rPr>
          <w:rFonts w:ascii="Arial" w:cs="Arial" w:eastAsia="Arial" w:hAnsi="Arial"/>
          <w:sz w:val="18"/>
          <w:szCs w:val="18"/>
          <w:color w:val="auto"/>
        </w:rPr>
        <w:t>) under registration number FN 240538 h, excluding and without reference to the documents contained in the ledger of documents (</w:t>
      </w:r>
      <w:r>
        <w:rPr>
          <w:rFonts w:ascii="Arial" w:cs="Arial" w:eastAsia="Arial" w:hAnsi="Arial"/>
          <w:sz w:val="18"/>
          <w:szCs w:val="18"/>
          <w:i w:val="1"/>
          <w:iCs w:val="1"/>
          <w:color w:val="auto"/>
        </w:rPr>
        <w:t>Urkundensammlung</w:t>
      </w:r>
      <w:r>
        <w:rPr>
          <w:rFonts w:ascii="Arial" w:cs="Arial" w:eastAsia="Arial" w:hAnsi="Arial"/>
          <w:sz w:val="18"/>
          <w:szCs w:val="18"/>
          <w:color w:val="auto"/>
        </w:rPr>
        <w:t>) or in the following trademark registers (x) Registry of the European Union Intellectual Property Office (EUIPO), (y) Registry of the World Intellectual Property Organization (WIPO) (z) Austrian Trademark Register (</w:t>
      </w:r>
      <w:r>
        <w:rPr>
          <w:rFonts w:ascii="Arial" w:cs="Arial" w:eastAsia="Arial" w:hAnsi="Arial"/>
          <w:sz w:val="18"/>
          <w:szCs w:val="18"/>
          <w:i w:val="1"/>
          <w:iCs w:val="1"/>
          <w:color w:val="auto"/>
        </w:rPr>
        <w:t>Österreichisches Markenregister</w:t>
      </w:r>
      <w:r>
        <w:rPr>
          <w:rFonts w:ascii="Arial" w:cs="Arial" w:eastAsia="Arial" w:hAnsi="Arial"/>
          <w:sz w:val="18"/>
          <w:szCs w:val="18"/>
          <w:color w:val="auto"/>
        </w:rPr>
        <w:t>), or (iv) were F</w:t>
      </w:r>
      <w:r>
        <w:rPr>
          <w:rFonts w:ascii="Arial" w:cs="Arial" w:eastAsia="Arial" w:hAnsi="Arial"/>
          <w:sz w:val="12"/>
          <w:szCs w:val="12"/>
          <w:color w:val="auto"/>
        </w:rPr>
        <w:t>AIRLY</w:t>
      </w:r>
      <w:r>
        <w:rPr>
          <w:rFonts w:ascii="Arial" w:cs="Arial" w:eastAsia="Arial" w:hAnsi="Arial"/>
          <w:sz w:val="18"/>
          <w:szCs w:val="18"/>
          <w:color w:val="auto"/>
        </w:rPr>
        <w:t xml:space="preserve"> D</w:t>
      </w:r>
      <w:r>
        <w:rPr>
          <w:rFonts w:ascii="Arial" w:cs="Arial" w:eastAsia="Arial" w:hAnsi="Arial"/>
          <w:sz w:val="12"/>
          <w:szCs w:val="12"/>
          <w:color w:val="auto"/>
        </w:rPr>
        <w:t>ISCLOSED</w:t>
      </w:r>
      <w:r>
        <w:rPr>
          <w:rFonts w:ascii="Arial" w:cs="Arial" w:eastAsia="Arial" w:hAnsi="Arial"/>
          <w:sz w:val="18"/>
          <w:szCs w:val="18"/>
          <w:color w:val="auto"/>
        </w:rPr>
        <w:t xml:space="preserve"> to ACIU and/or its advisors;</w:t>
      </w:r>
    </w:p>
    <w:p>
      <w:pPr>
        <w:spacing w:after="0" w:line="189" w:lineRule="exact"/>
        <w:rPr>
          <w:rFonts w:ascii="Arial" w:cs="Arial" w:eastAsia="Arial" w:hAnsi="Arial"/>
          <w:sz w:val="18"/>
          <w:szCs w:val="18"/>
          <w:color w:val="auto"/>
        </w:rPr>
      </w:pPr>
    </w:p>
    <w:p>
      <w:pPr>
        <w:ind w:left="1300" w:hanging="64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such liability is resulting from a change in law after C</w:t>
      </w:r>
      <w:r>
        <w:rPr>
          <w:rFonts w:ascii="Arial" w:cs="Arial" w:eastAsia="Arial" w:hAnsi="Arial"/>
          <w:sz w:val="12"/>
          <w:szCs w:val="12"/>
          <w:color w:val="auto"/>
        </w:rPr>
        <w:t>LOSING</w:t>
      </w:r>
      <w:r>
        <w:rPr>
          <w:rFonts w:ascii="Arial" w:cs="Arial" w:eastAsia="Arial" w:hAnsi="Arial"/>
          <w:sz w:val="18"/>
          <w:szCs w:val="18"/>
          <w:color w:val="auto"/>
        </w:rPr>
        <w:t>; or</w:t>
      </w:r>
    </w:p>
    <w:p>
      <w:pPr>
        <w:spacing w:after="0" w:line="198" w:lineRule="exact"/>
        <w:rPr>
          <w:rFonts w:ascii="Arial" w:cs="Arial" w:eastAsia="Arial" w:hAnsi="Arial"/>
          <w:sz w:val="18"/>
          <w:szCs w:val="18"/>
          <w:color w:val="auto"/>
        </w:rPr>
      </w:pPr>
    </w:p>
    <w:p>
      <w:pPr>
        <w:ind w:left="1300" w:hanging="644"/>
        <w:spacing w:after="0" w:line="246" w:lineRule="auto"/>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ACIU has received a repayment, set-off or reduction of T</w:t>
      </w:r>
      <w:r>
        <w:rPr>
          <w:rFonts w:ascii="Arial" w:cs="Arial" w:eastAsia="Arial" w:hAnsi="Arial"/>
          <w:sz w:val="12"/>
          <w:szCs w:val="12"/>
          <w:color w:val="auto"/>
        </w:rPr>
        <w:t>AXES</w:t>
      </w:r>
      <w:r>
        <w:rPr>
          <w:rFonts w:ascii="Arial" w:cs="Arial" w:eastAsia="Arial" w:hAnsi="Arial"/>
          <w:sz w:val="18"/>
          <w:szCs w:val="18"/>
          <w:color w:val="auto"/>
        </w:rPr>
        <w:t xml:space="preserve"> which they would not have received but for the circumstances giving rise to the respective claim.</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12.5</w:t>
        <w:tab/>
        <w:t>Remedies of A</w:t>
      </w:r>
      <w:r>
        <w:rPr>
          <w:rFonts w:ascii="Arial" w:cs="Arial" w:eastAsia="Arial" w:hAnsi="Arial"/>
          <w:sz w:val="12"/>
          <w:szCs w:val="12"/>
          <w:b w:val="1"/>
          <w:bCs w:val="1"/>
          <w:color w:val="auto"/>
        </w:rPr>
        <w:t>FFIRIS</w:t>
      </w:r>
    </w:p>
    <w:p>
      <w:pPr>
        <w:spacing w:after="0" w:line="202" w:lineRule="exact"/>
        <w:rPr>
          <w:sz w:val="20"/>
          <w:szCs w:val="20"/>
          <w:color w:val="auto"/>
        </w:rPr>
      </w:pPr>
    </w:p>
    <w:p>
      <w:pPr>
        <w:jc w:val="both"/>
        <w:ind w:left="660" w:hanging="652"/>
        <w:spacing w:after="0" w:line="245"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provisions of S</w:t>
      </w:r>
      <w:r>
        <w:rPr>
          <w:rFonts w:ascii="Arial" w:cs="Arial" w:eastAsia="Arial" w:hAnsi="Arial"/>
          <w:sz w:val="12"/>
          <w:szCs w:val="12"/>
          <w:color w:val="auto"/>
        </w:rPr>
        <w:t>ECTION</w:t>
      </w:r>
      <w:r>
        <w:rPr>
          <w:rFonts w:ascii="Arial" w:cs="Arial" w:eastAsia="Arial" w:hAnsi="Arial"/>
          <w:sz w:val="18"/>
          <w:szCs w:val="18"/>
          <w:color w:val="auto"/>
        </w:rPr>
        <w:t xml:space="preserve"> 12.1 (N</w:t>
      </w:r>
      <w:r>
        <w:rPr>
          <w:rFonts w:ascii="Arial" w:cs="Arial" w:eastAsia="Arial" w:hAnsi="Arial"/>
          <w:sz w:val="12"/>
          <w:szCs w:val="12"/>
          <w:color w:val="auto"/>
        </w:rPr>
        <w:t>OTICE OF</w:t>
      </w:r>
      <w:r>
        <w:rPr>
          <w:rFonts w:ascii="Arial" w:cs="Arial" w:eastAsia="Arial" w:hAnsi="Arial"/>
          <w:sz w:val="18"/>
          <w:szCs w:val="18"/>
          <w:color w:val="auto"/>
        </w:rPr>
        <w:t xml:space="preserve"> B</w:t>
      </w:r>
      <w:r>
        <w:rPr>
          <w:rFonts w:ascii="Arial" w:cs="Arial" w:eastAsia="Arial" w:hAnsi="Arial"/>
          <w:sz w:val="12"/>
          <w:szCs w:val="12"/>
          <w:color w:val="auto"/>
        </w:rPr>
        <w:t>REACH</w:t>
      </w:r>
      <w:r>
        <w:rPr>
          <w:rFonts w:ascii="Arial" w:cs="Arial" w:eastAsia="Arial" w:hAnsi="Arial"/>
          <w:sz w:val="18"/>
          <w:szCs w:val="18"/>
          <w:color w:val="auto"/>
        </w:rPr>
        <w:t xml:space="preserve"> (</w:t>
      </w:r>
      <w:r>
        <w:rPr>
          <w:rFonts w:ascii="Arial" w:cs="Arial" w:eastAsia="Arial" w:hAnsi="Arial"/>
          <w:sz w:val="18"/>
          <w:szCs w:val="18"/>
          <w:i w:val="1"/>
          <w:iCs w:val="1"/>
          <w:color w:val="auto"/>
        </w:rPr>
        <w:t>Rügefrist</w:t>
      </w:r>
      <w:r>
        <w:rPr>
          <w:rFonts w:ascii="Arial" w:cs="Arial" w:eastAsia="Arial" w:hAnsi="Arial"/>
          <w:sz w:val="18"/>
          <w:szCs w:val="18"/>
          <w:color w:val="auto"/>
        </w:rPr>
        <w:t xml:space="preserve">)) to 12.4 (Limitations on Affiris' Liability for Misrepresentation and Breach of Warranty)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with respect to any misrepresentation or breach of warranty by ACIU under S</w:t>
      </w:r>
      <w:r>
        <w:rPr>
          <w:rFonts w:ascii="Arial" w:cs="Arial" w:eastAsia="Arial" w:hAnsi="Arial"/>
          <w:sz w:val="12"/>
          <w:szCs w:val="12"/>
          <w:color w:val="auto"/>
        </w:rPr>
        <w:t>ECTION</w:t>
      </w:r>
      <w:r>
        <w:rPr>
          <w:rFonts w:ascii="Arial" w:cs="Arial" w:eastAsia="Arial" w:hAnsi="Arial"/>
          <w:sz w:val="18"/>
          <w:szCs w:val="18"/>
          <w:color w:val="auto"/>
        </w:rPr>
        <w:t xml:space="preserve"> 11.2 (Representations and Warranties of ACIU), except of that S</w:t>
      </w:r>
      <w:r>
        <w:rPr>
          <w:rFonts w:ascii="Arial" w:cs="Arial" w:eastAsia="Arial" w:hAnsi="Arial"/>
          <w:sz w:val="12"/>
          <w:szCs w:val="12"/>
          <w:color w:val="auto"/>
        </w:rPr>
        <w:t>ECTION</w:t>
      </w:r>
      <w:r>
        <w:rPr>
          <w:rFonts w:ascii="Arial" w:cs="Arial" w:eastAsia="Arial" w:hAnsi="Arial"/>
          <w:sz w:val="18"/>
          <w:szCs w:val="18"/>
          <w:color w:val="auto"/>
        </w:rPr>
        <w:t xml:space="preserve"> 12.2 shall explicitly not apply and ACIU shall compensate any D</w:t>
      </w:r>
      <w:r>
        <w:rPr>
          <w:rFonts w:ascii="Arial" w:cs="Arial" w:eastAsia="Arial" w:hAnsi="Arial"/>
          <w:sz w:val="12"/>
          <w:szCs w:val="12"/>
          <w:color w:val="auto"/>
        </w:rPr>
        <w:t>AMAGE</w:t>
      </w:r>
      <w:r>
        <w:rPr>
          <w:rFonts w:ascii="Arial" w:cs="Arial" w:eastAsia="Arial" w:hAnsi="Arial"/>
          <w:sz w:val="18"/>
          <w:szCs w:val="18"/>
          <w:color w:val="auto"/>
        </w:rPr>
        <w:t xml:space="preserve"> in cash.</w:t>
      </w:r>
    </w:p>
    <w:p>
      <w:pPr>
        <w:spacing w:after="0" w:line="16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12.6</w:t>
      </w:r>
      <w:r>
        <w:rPr>
          <w:sz w:val="20"/>
          <w:szCs w:val="20"/>
          <w:color w:val="auto"/>
        </w:rPr>
        <w:tab/>
      </w:r>
      <w:r>
        <w:rPr>
          <w:rFonts w:ascii="Arial" w:cs="Arial" w:eastAsia="Arial" w:hAnsi="Arial"/>
          <w:sz w:val="17"/>
          <w:szCs w:val="17"/>
          <w:b w:val="1"/>
          <w:bCs w:val="1"/>
          <w:color w:val="auto"/>
        </w:rPr>
        <w:t>Remedies Exclusive</w:t>
      </w:r>
    </w:p>
    <w:p>
      <w:pPr>
        <w:spacing w:after="0" w:line="220" w:lineRule="exact"/>
        <w:rPr>
          <w:sz w:val="20"/>
          <w:szCs w:val="20"/>
          <w:color w:val="auto"/>
        </w:rPr>
      </w:pPr>
    </w:p>
    <w:p>
      <w:pPr>
        <w:jc w:val="both"/>
        <w:ind w:left="660" w:hanging="652"/>
        <w:spacing w:after="0" w:line="23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remedies in this S</w:t>
      </w:r>
      <w:r>
        <w:rPr>
          <w:rFonts w:ascii="Arial" w:cs="Arial" w:eastAsia="Arial" w:hAnsi="Arial"/>
          <w:sz w:val="12"/>
          <w:szCs w:val="12"/>
          <w:color w:val="auto"/>
        </w:rPr>
        <w:t>ECTION</w:t>
      </w:r>
      <w:r>
        <w:rPr>
          <w:rFonts w:ascii="Arial" w:cs="Arial" w:eastAsia="Arial" w:hAnsi="Arial"/>
          <w:sz w:val="18"/>
          <w:szCs w:val="18"/>
          <w:color w:val="auto"/>
        </w:rPr>
        <w:t xml:space="preserve"> 12 (Remedies) for misrepresentations or breach of warranties under S</w:t>
      </w:r>
      <w:r>
        <w:rPr>
          <w:rFonts w:ascii="Arial" w:cs="Arial" w:eastAsia="Arial" w:hAnsi="Arial"/>
          <w:sz w:val="12"/>
          <w:szCs w:val="12"/>
          <w:color w:val="auto"/>
        </w:rPr>
        <w:t>ECTION</w:t>
      </w:r>
      <w:r>
        <w:rPr>
          <w:rFonts w:ascii="Arial" w:cs="Arial" w:eastAsia="Arial" w:hAnsi="Arial"/>
          <w:sz w:val="18"/>
          <w:szCs w:val="18"/>
          <w:color w:val="auto"/>
        </w:rPr>
        <w:t xml:space="preserve"> 11 (Representations and Warranties) shall be in lieu of, and not in addition to, the remedies provided by applicable statutory law. All other remedies, including, but not limited to, the right to rescind this A</w:t>
      </w:r>
      <w:r>
        <w:rPr>
          <w:rFonts w:ascii="Arial" w:cs="Arial" w:eastAsia="Arial" w:hAnsi="Arial"/>
          <w:sz w:val="12"/>
          <w:szCs w:val="12"/>
          <w:color w:val="auto"/>
        </w:rPr>
        <w:t>GREEMENT</w:t>
      </w:r>
      <w:r>
        <w:rPr>
          <w:rFonts w:ascii="Arial" w:cs="Arial" w:eastAsia="Arial" w:hAnsi="Arial"/>
          <w:sz w:val="18"/>
          <w:szCs w:val="18"/>
          <w:color w:val="auto"/>
        </w:rPr>
        <w:t xml:space="preserve"> following C</w:t>
      </w:r>
      <w:r>
        <w:rPr>
          <w:rFonts w:ascii="Arial" w:cs="Arial" w:eastAsia="Arial" w:hAnsi="Arial"/>
          <w:sz w:val="12"/>
          <w:szCs w:val="12"/>
          <w:color w:val="auto"/>
        </w:rPr>
        <w:t>LOSING</w:t>
      </w:r>
      <w:r>
        <w:rPr>
          <w:rFonts w:ascii="Arial" w:cs="Arial" w:eastAsia="Arial" w:hAnsi="Arial"/>
          <w:sz w:val="18"/>
          <w:szCs w:val="18"/>
          <w:color w:val="auto"/>
        </w:rPr>
        <w:t>, shall not apply and are hereby explicitly waived and excluded to the greatest extent permissive under applicable law. In particular, and without limitation to the foregoing, the P</w:t>
      </w:r>
      <w:r>
        <w:rPr>
          <w:rFonts w:ascii="Arial" w:cs="Arial" w:eastAsia="Arial" w:hAnsi="Arial"/>
          <w:sz w:val="12"/>
          <w:szCs w:val="12"/>
          <w:color w:val="auto"/>
        </w:rPr>
        <w:t>ARTIES</w:t>
      </w:r>
      <w:r>
        <w:rPr>
          <w:rFonts w:ascii="Arial" w:cs="Arial" w:eastAsia="Arial" w:hAnsi="Arial"/>
          <w:sz w:val="18"/>
          <w:szCs w:val="18"/>
          <w:color w:val="auto"/>
        </w:rPr>
        <w:t xml:space="preserve"> explicitly waive and exclude any further claims and remedies irrespective of their nature, amount or legal basis arising out or in connection with this A</w:t>
      </w:r>
      <w:r>
        <w:rPr>
          <w:rFonts w:ascii="Arial" w:cs="Arial" w:eastAsia="Arial" w:hAnsi="Arial"/>
          <w:sz w:val="12"/>
          <w:szCs w:val="12"/>
          <w:color w:val="auto"/>
        </w:rPr>
        <w:t>GREEMENT</w:t>
      </w:r>
      <w:r>
        <w:rPr>
          <w:rFonts w:ascii="Arial" w:cs="Arial" w:eastAsia="Arial" w:hAnsi="Arial"/>
          <w:sz w:val="18"/>
          <w:szCs w:val="18"/>
          <w:color w:val="auto"/>
        </w:rPr>
        <w:t>. the right of contract rescission and of purchase price reduction under article 205 CO and article 24 CO. For the avoidance of doubt, this S</w:t>
      </w:r>
      <w:r>
        <w:rPr>
          <w:rFonts w:ascii="Arial" w:cs="Arial" w:eastAsia="Arial" w:hAnsi="Arial"/>
          <w:sz w:val="12"/>
          <w:szCs w:val="12"/>
          <w:color w:val="auto"/>
        </w:rPr>
        <w:t>ECTION</w:t>
      </w:r>
      <w:r>
        <w:rPr>
          <w:rFonts w:ascii="Arial" w:cs="Arial" w:eastAsia="Arial" w:hAnsi="Arial"/>
          <w:sz w:val="18"/>
          <w:szCs w:val="18"/>
          <w:color w:val="auto"/>
        </w:rPr>
        <w:t xml:space="preserve"> 12.6 (Remedies Exclusive) does not exclude articles 28 CO and 199 CO.</w:t>
      </w:r>
    </w:p>
    <w:p>
      <w:pPr>
        <w:spacing w:after="0" w:line="189" w:lineRule="exact"/>
        <w:rPr>
          <w:rFonts w:ascii="Arial" w:cs="Arial" w:eastAsia="Arial" w:hAnsi="Arial"/>
          <w:sz w:val="18"/>
          <w:szCs w:val="18"/>
          <w:color w:val="auto"/>
        </w:rPr>
      </w:pPr>
    </w:p>
    <w:p>
      <w:pPr>
        <w:jc w:val="both"/>
        <w:ind w:left="660" w:hanging="652"/>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Should ACIU claim a breach of a representation or warranty of A</w:t>
      </w:r>
      <w:r>
        <w:rPr>
          <w:rFonts w:ascii="Arial" w:cs="Arial" w:eastAsia="Arial" w:hAnsi="Arial"/>
          <w:sz w:val="12"/>
          <w:szCs w:val="12"/>
          <w:color w:val="auto"/>
        </w:rPr>
        <w:t>FFIRIS</w:t>
      </w:r>
      <w:r>
        <w:rPr>
          <w:rFonts w:ascii="Arial" w:cs="Arial" w:eastAsia="Arial" w:hAnsi="Arial"/>
          <w:sz w:val="18"/>
          <w:szCs w:val="18"/>
          <w:color w:val="auto"/>
        </w:rPr>
        <w:t xml:space="preserve"> (as contained in S</w:t>
      </w:r>
      <w:r>
        <w:rPr>
          <w:rFonts w:ascii="Arial" w:cs="Arial" w:eastAsia="Arial" w:hAnsi="Arial"/>
          <w:sz w:val="12"/>
          <w:szCs w:val="12"/>
          <w:color w:val="auto"/>
        </w:rPr>
        <w:t>ECTION</w:t>
      </w:r>
      <w:r>
        <w:rPr>
          <w:rFonts w:ascii="Arial" w:cs="Arial" w:eastAsia="Arial" w:hAnsi="Arial"/>
          <w:sz w:val="18"/>
          <w:szCs w:val="18"/>
          <w:color w:val="auto"/>
        </w:rPr>
        <w:t xml:space="preserve"> 11.1) because of certain facts, matters, circumstances or events and should such breach arguably relate to more than one of those representations and warranties with different trigger</w:t>
      </w:r>
    </w:p>
    <w:p>
      <w:pPr>
        <w:spacing w:after="0" w:line="2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ind w:left="660"/>
        <w:spacing w:after="0" w:line="246" w:lineRule="auto"/>
        <w:rPr>
          <w:sz w:val="20"/>
          <w:szCs w:val="20"/>
          <w:color w:val="auto"/>
        </w:rPr>
      </w:pPr>
      <w:r>
        <w:rPr>
          <w:rFonts w:ascii="Arial" w:cs="Arial" w:eastAsia="Arial" w:hAnsi="Arial"/>
          <w:sz w:val="18"/>
          <w:szCs w:val="18"/>
          <w:color w:val="auto"/>
        </w:rPr>
        <w:t>conditions (e.g. one containing a knowledge qualifier and the other not), then the trigger conditions of the more specific representation and warranty shall also apply to any other potentially applicable representation or warranty of A</w:t>
      </w:r>
      <w:r>
        <w:rPr>
          <w:rFonts w:ascii="Arial" w:cs="Arial" w:eastAsia="Arial" w:hAnsi="Arial"/>
          <w:sz w:val="12"/>
          <w:szCs w:val="12"/>
          <w:color w:val="auto"/>
        </w:rPr>
        <w:t>FFIRIS</w:t>
      </w:r>
      <w:r>
        <w:rPr>
          <w:rFonts w:ascii="Arial" w:cs="Arial" w:eastAsia="Arial" w:hAnsi="Arial"/>
          <w:sz w:val="18"/>
          <w:szCs w:val="18"/>
          <w:color w:val="auto"/>
        </w:rPr>
        <w:t>.</w:t>
      </w:r>
    </w:p>
    <w:p>
      <w:pPr>
        <w:spacing w:after="0" w:line="183" w:lineRule="exact"/>
        <w:rPr>
          <w:sz w:val="20"/>
          <w:szCs w:val="20"/>
          <w:color w:val="auto"/>
        </w:rPr>
      </w:pPr>
    </w:p>
    <w:p>
      <w:pPr>
        <w:jc w:val="both"/>
        <w:ind w:left="660" w:hanging="652"/>
        <w:spacing w:after="0" w:line="238"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the avoidance of doubt, the limitations set forth in this S</w:t>
      </w:r>
      <w:r>
        <w:rPr>
          <w:rFonts w:ascii="Arial" w:cs="Arial" w:eastAsia="Arial" w:hAnsi="Arial"/>
          <w:sz w:val="12"/>
          <w:szCs w:val="12"/>
          <w:color w:val="auto"/>
        </w:rPr>
        <w:t>ECTION</w:t>
      </w:r>
      <w:r>
        <w:rPr>
          <w:rFonts w:ascii="Arial" w:cs="Arial" w:eastAsia="Arial" w:hAnsi="Arial"/>
          <w:sz w:val="18"/>
          <w:szCs w:val="18"/>
          <w:color w:val="auto"/>
        </w:rPr>
        <w:t xml:space="preserve"> 12 (Remedies) shall not limit any liability or obligation of A</w:t>
      </w:r>
      <w:r>
        <w:rPr>
          <w:rFonts w:ascii="Arial" w:cs="Arial" w:eastAsia="Arial" w:hAnsi="Arial"/>
          <w:sz w:val="12"/>
          <w:szCs w:val="12"/>
          <w:color w:val="auto"/>
        </w:rPr>
        <w:t>FFIRIS</w:t>
      </w:r>
      <w:r>
        <w:rPr>
          <w:rFonts w:ascii="Arial" w:cs="Arial" w:eastAsia="Arial" w:hAnsi="Arial"/>
          <w:sz w:val="18"/>
          <w:szCs w:val="18"/>
          <w:color w:val="auto"/>
        </w:rPr>
        <w:t xml:space="preserve"> under this A</w:t>
      </w:r>
      <w:r>
        <w:rPr>
          <w:rFonts w:ascii="Arial" w:cs="Arial" w:eastAsia="Arial" w:hAnsi="Arial"/>
          <w:sz w:val="12"/>
          <w:szCs w:val="12"/>
          <w:color w:val="auto"/>
        </w:rPr>
        <w:t>GREEMENT</w:t>
      </w:r>
      <w:r>
        <w:rPr>
          <w:rFonts w:ascii="Arial" w:cs="Arial" w:eastAsia="Arial" w:hAnsi="Arial"/>
          <w:sz w:val="18"/>
          <w:szCs w:val="18"/>
          <w:color w:val="auto"/>
        </w:rPr>
        <w:t xml:space="preserve"> other than for misrepresentations or breach of warranties under S</w:t>
      </w:r>
      <w:r>
        <w:rPr>
          <w:rFonts w:ascii="Arial" w:cs="Arial" w:eastAsia="Arial" w:hAnsi="Arial"/>
          <w:sz w:val="12"/>
          <w:szCs w:val="12"/>
          <w:color w:val="auto"/>
        </w:rPr>
        <w:t>ECTION</w:t>
      </w:r>
      <w:r>
        <w:rPr>
          <w:rFonts w:ascii="Arial" w:cs="Arial" w:eastAsia="Arial" w:hAnsi="Arial"/>
          <w:sz w:val="18"/>
          <w:szCs w:val="18"/>
          <w:color w:val="auto"/>
        </w:rPr>
        <w:t xml:space="preserve"> 11.1 (Representations and Warranties of A</w:t>
      </w:r>
      <w:r>
        <w:rPr>
          <w:rFonts w:ascii="Arial" w:cs="Arial" w:eastAsia="Arial" w:hAnsi="Arial"/>
          <w:sz w:val="12"/>
          <w:szCs w:val="12"/>
          <w:color w:val="auto"/>
        </w:rPr>
        <w:t>FFIRIS</w:t>
      </w:r>
      <w:r>
        <w:rPr>
          <w:rFonts w:ascii="Arial" w:cs="Arial" w:eastAsia="Arial" w:hAnsi="Arial"/>
          <w:sz w:val="18"/>
          <w:szCs w:val="18"/>
          <w:color w:val="auto"/>
        </w:rPr>
        <w:t>). Notwithstanding anything to the contrary in this A</w:t>
      </w:r>
      <w:r>
        <w:rPr>
          <w:rFonts w:ascii="Arial" w:cs="Arial" w:eastAsia="Arial" w:hAnsi="Arial"/>
          <w:sz w:val="12"/>
          <w:szCs w:val="12"/>
          <w:color w:val="auto"/>
        </w:rPr>
        <w:t>GREEMENT</w:t>
      </w:r>
      <w:r>
        <w:rPr>
          <w:rFonts w:ascii="Arial" w:cs="Arial" w:eastAsia="Arial" w:hAnsi="Arial"/>
          <w:sz w:val="18"/>
          <w:szCs w:val="18"/>
          <w:color w:val="auto"/>
        </w:rPr>
        <w:t>, no claim or right of ACIU shall be limited in any way due to the fact that any P</w:t>
      </w:r>
      <w:r>
        <w:rPr>
          <w:rFonts w:ascii="Arial" w:cs="Arial" w:eastAsia="Arial" w:hAnsi="Arial"/>
          <w:sz w:val="12"/>
          <w:szCs w:val="12"/>
          <w:color w:val="auto"/>
        </w:rPr>
        <w:t>ARTY</w:t>
      </w:r>
      <w:r>
        <w:rPr>
          <w:rFonts w:ascii="Arial" w:cs="Arial" w:eastAsia="Arial" w:hAnsi="Arial"/>
          <w:sz w:val="18"/>
          <w:szCs w:val="18"/>
          <w:color w:val="auto"/>
        </w:rPr>
        <w:t xml:space="preserve"> conducts any investigation (including on site environmental investigations), correctly informs any authority regarding any facts or correctly follows accounting principles, be it prior or following C</w:t>
      </w:r>
      <w:r>
        <w:rPr>
          <w:rFonts w:ascii="Arial" w:cs="Arial" w:eastAsia="Arial" w:hAnsi="Arial"/>
          <w:sz w:val="12"/>
          <w:szCs w:val="12"/>
          <w:color w:val="auto"/>
        </w:rPr>
        <w:t>LOSING</w:t>
      </w:r>
      <w:r>
        <w:rPr>
          <w:rFonts w:ascii="Arial" w:cs="Arial" w:eastAsia="Arial" w:hAnsi="Arial"/>
          <w:sz w:val="18"/>
          <w:szCs w:val="18"/>
          <w:color w:val="auto"/>
        </w:rPr>
        <w:t>.</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b w:val="1"/>
          <w:bCs w:val="1"/>
          <w:color w:val="auto"/>
        </w:rPr>
        <w:t>Indemnities</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7"/>
          <w:szCs w:val="17"/>
          <w:b w:val="1"/>
          <w:bCs w:val="1"/>
          <w:color w:val="auto"/>
        </w:rPr>
        <w:t>Indemnities by A</w:t>
      </w:r>
      <w:r>
        <w:rPr>
          <w:rFonts w:ascii="Arial" w:cs="Arial" w:eastAsia="Arial" w:hAnsi="Arial"/>
          <w:sz w:val="11"/>
          <w:szCs w:val="11"/>
          <w:b w:val="1"/>
          <w:bCs w:val="1"/>
          <w:color w:val="auto"/>
        </w:rPr>
        <w:t>FFIRIS</w:t>
      </w:r>
    </w:p>
    <w:p>
      <w:pPr>
        <w:spacing w:after="0" w:line="220" w:lineRule="exact"/>
        <w:rPr>
          <w:sz w:val="20"/>
          <w:szCs w:val="20"/>
          <w:color w:val="auto"/>
        </w:rPr>
      </w:pPr>
    </w:p>
    <w:p>
      <w:pPr>
        <w:ind w:left="660" w:hanging="652"/>
        <w:spacing w:after="0" w:line="246"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2"/>
          <w:szCs w:val="12"/>
          <w:color w:val="auto"/>
        </w:rPr>
        <w:t>FFIRIS</w:t>
      </w:r>
      <w:r>
        <w:rPr>
          <w:rFonts w:ascii="Arial" w:cs="Arial" w:eastAsia="Arial" w:hAnsi="Arial"/>
          <w:sz w:val="18"/>
          <w:szCs w:val="18"/>
          <w:color w:val="auto"/>
        </w:rPr>
        <w:t xml:space="preserve"> shall, with effect from the date of this A</w:t>
      </w:r>
      <w:r>
        <w:rPr>
          <w:rFonts w:ascii="Arial" w:cs="Arial" w:eastAsia="Arial" w:hAnsi="Arial"/>
          <w:sz w:val="12"/>
          <w:szCs w:val="12"/>
          <w:color w:val="auto"/>
        </w:rPr>
        <w:t>GREEMENT</w:t>
      </w:r>
      <w:r>
        <w:rPr>
          <w:rFonts w:ascii="Arial" w:cs="Arial" w:eastAsia="Arial" w:hAnsi="Arial"/>
          <w:sz w:val="18"/>
          <w:szCs w:val="18"/>
          <w:color w:val="auto"/>
        </w:rPr>
        <w:t xml:space="preserve"> and to the fullest extent permitted by applicable law, indemnify on demand and hold harmless ACIU for any liabilities or expense suffered or incurred by any of them and resulting from:</w:t>
      </w:r>
    </w:p>
    <w:p>
      <w:pPr>
        <w:spacing w:after="0" w:line="183" w:lineRule="exact"/>
        <w:rPr>
          <w:rFonts w:ascii="Arial" w:cs="Arial" w:eastAsia="Arial" w:hAnsi="Arial"/>
          <w:sz w:val="18"/>
          <w:szCs w:val="18"/>
          <w:color w:val="auto"/>
        </w:rPr>
      </w:pPr>
    </w:p>
    <w:p>
      <w:pPr>
        <w:jc w:val="both"/>
        <w:ind w:left="660" w:hanging="652"/>
        <w:spacing w:after="0" w:line="23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claim made or brought by a T</w:t>
      </w:r>
      <w:r>
        <w:rPr>
          <w:rFonts w:ascii="Arial" w:cs="Arial" w:eastAsia="Arial" w:hAnsi="Arial"/>
          <w:sz w:val="12"/>
          <w:szCs w:val="12"/>
          <w:color w:val="auto"/>
        </w:rPr>
        <w:t>HIRD</w:t>
      </w:r>
      <w:r>
        <w:rPr>
          <w:rFonts w:ascii="Arial" w:cs="Arial" w:eastAsia="Arial" w:hAnsi="Arial"/>
          <w:sz w:val="18"/>
          <w:szCs w:val="18"/>
          <w:color w:val="auto"/>
        </w:rPr>
        <w:t xml:space="preserve"> P</w:t>
      </w:r>
      <w:r>
        <w:rPr>
          <w:rFonts w:ascii="Arial" w:cs="Arial" w:eastAsia="Arial" w:hAnsi="Arial"/>
          <w:sz w:val="12"/>
          <w:szCs w:val="12"/>
          <w:color w:val="auto"/>
        </w:rPr>
        <w:t>ARTY</w:t>
      </w:r>
      <w:r>
        <w:rPr>
          <w:rFonts w:ascii="Arial" w:cs="Arial" w:eastAsia="Arial" w:hAnsi="Arial"/>
          <w:sz w:val="18"/>
          <w:szCs w:val="18"/>
          <w:color w:val="auto"/>
        </w:rPr>
        <w:t xml:space="preserve"> against or with respect to any obligations, liabilities, contracts or other parts of the business of A</w:t>
      </w:r>
      <w:r>
        <w:rPr>
          <w:rFonts w:ascii="Arial" w:cs="Arial" w:eastAsia="Arial" w:hAnsi="Arial"/>
          <w:sz w:val="12"/>
          <w:szCs w:val="12"/>
          <w:color w:val="auto"/>
        </w:rPr>
        <w:t>FFIRIS</w:t>
      </w:r>
      <w:r>
        <w:rPr>
          <w:rFonts w:ascii="Arial" w:cs="Arial" w:eastAsia="Arial" w:hAnsi="Arial"/>
          <w:sz w:val="18"/>
          <w:szCs w:val="18"/>
          <w:color w:val="auto"/>
        </w:rPr>
        <w:t xml:space="preserve">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transferred hereunder, but made or brought against ACIU (including for the avoidance of doubt and to the extent applicable any claims made on the basis of any statutory provisions prescribing liability for acquirers regarding parts of the business of A</w:t>
      </w:r>
      <w:r>
        <w:rPr>
          <w:rFonts w:ascii="Arial" w:cs="Arial" w:eastAsia="Arial" w:hAnsi="Arial"/>
          <w:sz w:val="12"/>
          <w:szCs w:val="12"/>
          <w:color w:val="auto"/>
        </w:rPr>
        <w:t>FFIRIS</w:t>
      </w:r>
      <w:r>
        <w:rPr>
          <w:rFonts w:ascii="Arial" w:cs="Arial" w:eastAsia="Arial" w:hAnsi="Arial"/>
          <w:sz w:val="18"/>
          <w:szCs w:val="18"/>
          <w:color w:val="auto"/>
        </w:rPr>
        <w:t xml:space="preserve">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transferred hereunder); for the avoidance of doubt, A</w:t>
      </w:r>
      <w:r>
        <w:rPr>
          <w:rFonts w:ascii="Arial" w:cs="Arial" w:eastAsia="Arial" w:hAnsi="Arial"/>
          <w:sz w:val="12"/>
          <w:szCs w:val="12"/>
          <w:color w:val="auto"/>
        </w:rPr>
        <w:t>FFIRIS</w:t>
      </w:r>
      <w:r>
        <w:rPr>
          <w:rFonts w:ascii="Arial" w:cs="Arial" w:eastAsia="Arial" w:hAnsi="Arial"/>
          <w:sz w:val="18"/>
          <w:szCs w:val="18"/>
          <w:color w:val="auto"/>
        </w:rPr>
        <w:t xml:space="preserve"> shall not be liable (and therefore shall not indemnify and hold harmless ACIU) for any claims arising from or in connection with any rights and assets transferred under or in connection with this A</w:t>
      </w:r>
      <w:r>
        <w:rPr>
          <w:rFonts w:ascii="Arial" w:cs="Arial" w:eastAsia="Arial" w:hAnsi="Arial"/>
          <w:sz w:val="12"/>
          <w:szCs w:val="12"/>
          <w:color w:val="auto"/>
        </w:rPr>
        <w:t>GREEMENT</w:t>
      </w:r>
      <w:r>
        <w:rPr>
          <w:rFonts w:ascii="Arial" w:cs="Arial" w:eastAsia="Arial" w:hAnsi="Arial"/>
          <w:sz w:val="18"/>
          <w:szCs w:val="18"/>
          <w:color w:val="auto"/>
        </w:rPr>
        <w:t xml:space="preserve"> from A</w:t>
      </w:r>
      <w:r>
        <w:rPr>
          <w:rFonts w:ascii="Arial" w:cs="Arial" w:eastAsia="Arial" w:hAnsi="Arial"/>
          <w:sz w:val="12"/>
          <w:szCs w:val="12"/>
          <w:color w:val="auto"/>
        </w:rPr>
        <w:t>FFIRIS</w:t>
      </w:r>
      <w:r>
        <w:rPr>
          <w:rFonts w:ascii="Arial" w:cs="Arial" w:eastAsia="Arial" w:hAnsi="Arial"/>
          <w:sz w:val="18"/>
          <w:szCs w:val="18"/>
          <w:color w:val="auto"/>
        </w:rPr>
        <w:t xml:space="preserve"> to ACIU;</w:t>
      </w:r>
    </w:p>
    <w:p>
      <w:pPr>
        <w:spacing w:after="0" w:line="191" w:lineRule="exact"/>
        <w:rPr>
          <w:rFonts w:ascii="Arial" w:cs="Arial" w:eastAsia="Arial" w:hAnsi="Arial"/>
          <w:sz w:val="18"/>
          <w:szCs w:val="18"/>
          <w:color w:val="auto"/>
        </w:rPr>
      </w:pPr>
    </w:p>
    <w:p>
      <w:pPr>
        <w:jc w:val="both"/>
        <w:ind w:left="660" w:hanging="652"/>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claim made or brought by a T</w:t>
      </w:r>
      <w:r>
        <w:rPr>
          <w:rFonts w:ascii="Arial" w:cs="Arial" w:eastAsia="Arial" w:hAnsi="Arial"/>
          <w:sz w:val="12"/>
          <w:szCs w:val="12"/>
          <w:color w:val="auto"/>
        </w:rPr>
        <w:t>HIRD</w:t>
      </w:r>
      <w:r>
        <w:rPr>
          <w:rFonts w:ascii="Arial" w:cs="Arial" w:eastAsia="Arial" w:hAnsi="Arial"/>
          <w:sz w:val="18"/>
          <w:szCs w:val="18"/>
          <w:color w:val="auto"/>
        </w:rPr>
        <w:t xml:space="preserve"> P</w:t>
      </w:r>
      <w:r>
        <w:rPr>
          <w:rFonts w:ascii="Arial" w:cs="Arial" w:eastAsia="Arial" w:hAnsi="Arial"/>
          <w:sz w:val="12"/>
          <w:szCs w:val="12"/>
          <w:color w:val="auto"/>
        </w:rPr>
        <w:t>ARTY</w:t>
      </w:r>
      <w:r>
        <w:rPr>
          <w:rFonts w:ascii="Arial" w:cs="Arial" w:eastAsia="Arial" w:hAnsi="Arial"/>
          <w:sz w:val="18"/>
          <w:szCs w:val="18"/>
          <w:color w:val="auto"/>
        </w:rPr>
        <w:t xml:space="preserve"> under the Advisory Services Agreement dated 17 October 2019 between A</w:t>
      </w:r>
      <w:r>
        <w:rPr>
          <w:rFonts w:ascii="Arial" w:cs="Arial" w:eastAsia="Arial" w:hAnsi="Arial"/>
          <w:sz w:val="12"/>
          <w:szCs w:val="12"/>
          <w:color w:val="auto"/>
        </w:rPr>
        <w:t>FFIRIS</w:t>
      </w:r>
      <w:r>
        <w:rPr>
          <w:rFonts w:ascii="Arial" w:cs="Arial" w:eastAsia="Arial" w:hAnsi="Arial"/>
          <w:sz w:val="18"/>
          <w:szCs w:val="18"/>
          <w:color w:val="auto"/>
        </w:rPr>
        <w:t xml:space="preserve"> and Lynx Financial, Shanghai, against ACIU. For the avoidance of doubt, the P</w:t>
      </w:r>
      <w:r>
        <w:rPr>
          <w:rFonts w:ascii="Arial" w:cs="Arial" w:eastAsia="Arial" w:hAnsi="Arial"/>
          <w:sz w:val="12"/>
          <w:szCs w:val="12"/>
          <w:color w:val="auto"/>
        </w:rPr>
        <w:t>ARTIES</w:t>
      </w:r>
      <w:r>
        <w:rPr>
          <w:rFonts w:ascii="Arial" w:cs="Arial" w:eastAsia="Arial" w:hAnsi="Arial"/>
          <w:sz w:val="18"/>
          <w:szCs w:val="18"/>
          <w:color w:val="auto"/>
        </w:rPr>
        <w:t xml:space="preserve"> note that the Advisory Services Agreement between A</w:t>
      </w:r>
      <w:r>
        <w:rPr>
          <w:rFonts w:ascii="Arial" w:cs="Arial" w:eastAsia="Arial" w:hAnsi="Arial"/>
          <w:sz w:val="12"/>
          <w:szCs w:val="12"/>
          <w:color w:val="auto"/>
        </w:rPr>
        <w:t>FFIRIS</w:t>
      </w:r>
      <w:r>
        <w:rPr>
          <w:rFonts w:ascii="Arial" w:cs="Arial" w:eastAsia="Arial" w:hAnsi="Arial"/>
          <w:sz w:val="18"/>
          <w:szCs w:val="18"/>
          <w:color w:val="auto"/>
        </w:rPr>
        <w:t xml:space="preserve"> and Lynx Financial or any obligations and rights thereunder shall not transfer to ACIU under this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660" w:right="20" w:hanging="652"/>
        <w:spacing w:after="0" w:line="246"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claim pertaining to T</w:t>
      </w:r>
      <w:r>
        <w:rPr>
          <w:rFonts w:ascii="Arial" w:cs="Arial" w:eastAsia="Arial" w:hAnsi="Arial"/>
          <w:sz w:val="12"/>
          <w:szCs w:val="12"/>
          <w:color w:val="auto"/>
        </w:rPr>
        <w:t>AXES</w:t>
      </w:r>
      <w:r>
        <w:rPr>
          <w:rFonts w:ascii="Arial" w:cs="Arial" w:eastAsia="Arial" w:hAnsi="Arial"/>
          <w:sz w:val="18"/>
          <w:szCs w:val="18"/>
          <w:color w:val="auto"/>
        </w:rPr>
        <w:t xml:space="preserve"> of A</w:t>
      </w:r>
      <w:r>
        <w:rPr>
          <w:rFonts w:ascii="Arial" w:cs="Arial" w:eastAsia="Arial" w:hAnsi="Arial"/>
          <w:sz w:val="12"/>
          <w:szCs w:val="12"/>
          <w:color w:val="auto"/>
        </w:rPr>
        <w:t>FFIRIS</w:t>
      </w:r>
      <w:r>
        <w:rPr>
          <w:rFonts w:ascii="Arial" w:cs="Arial" w:eastAsia="Arial" w:hAnsi="Arial"/>
          <w:sz w:val="18"/>
          <w:szCs w:val="18"/>
          <w:color w:val="auto"/>
        </w:rPr>
        <w:t xml:space="preserve"> (regardless of whether as primary debtor or based on a secondary liability, as original debtor or successor in each case under any applicable law).</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7"/>
          <w:szCs w:val="17"/>
          <w:b w:val="1"/>
          <w:bCs w:val="1"/>
          <w:color w:val="auto"/>
        </w:rPr>
        <w:t>Indemnities by ACIU</w:t>
      </w:r>
    </w:p>
    <w:p>
      <w:pPr>
        <w:spacing w:after="0" w:line="220" w:lineRule="exact"/>
        <w:rPr>
          <w:sz w:val="20"/>
          <w:szCs w:val="20"/>
          <w:color w:val="auto"/>
        </w:rPr>
      </w:pPr>
    </w:p>
    <w:p>
      <w:pPr>
        <w:ind w:left="660" w:right="20" w:hanging="652"/>
        <w:spacing w:after="0" w:line="246"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ACIU shall, with effect from the date of this A</w:t>
      </w:r>
      <w:r>
        <w:rPr>
          <w:rFonts w:ascii="Arial" w:cs="Arial" w:eastAsia="Arial" w:hAnsi="Arial"/>
          <w:sz w:val="12"/>
          <w:szCs w:val="12"/>
          <w:color w:val="auto"/>
        </w:rPr>
        <w:t>GREEMENT</w:t>
      </w:r>
      <w:r>
        <w:rPr>
          <w:rFonts w:ascii="Arial" w:cs="Arial" w:eastAsia="Arial" w:hAnsi="Arial"/>
          <w:sz w:val="18"/>
          <w:szCs w:val="18"/>
          <w:color w:val="auto"/>
        </w:rPr>
        <w:t xml:space="preserve"> and to the fullest extent permitted by applicable law, indemnify on demand and hold harmless A</w:t>
      </w:r>
      <w:r>
        <w:rPr>
          <w:rFonts w:ascii="Arial" w:cs="Arial" w:eastAsia="Arial" w:hAnsi="Arial"/>
          <w:sz w:val="12"/>
          <w:szCs w:val="12"/>
          <w:color w:val="auto"/>
        </w:rPr>
        <w:t>FFIRIS</w:t>
      </w:r>
      <w:r>
        <w:rPr>
          <w:rFonts w:ascii="Arial" w:cs="Arial" w:eastAsia="Arial" w:hAnsi="Arial"/>
          <w:sz w:val="18"/>
          <w:szCs w:val="18"/>
          <w:color w:val="auto"/>
        </w:rPr>
        <w:t xml:space="preserve"> for any liabilities or expense suffered or incurred by any of them and resulting from:</w:t>
      </w:r>
    </w:p>
    <w:p>
      <w:pPr>
        <w:spacing w:after="0" w:line="183"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fact that A</w:t>
      </w:r>
      <w:r>
        <w:rPr>
          <w:rFonts w:ascii="Arial" w:cs="Arial" w:eastAsia="Arial" w:hAnsi="Arial"/>
          <w:sz w:val="12"/>
          <w:szCs w:val="12"/>
          <w:color w:val="auto"/>
        </w:rPr>
        <w:t>FFIRIS</w:t>
      </w:r>
      <w:r>
        <w:rPr>
          <w:rFonts w:ascii="Arial" w:cs="Arial" w:eastAsia="Arial" w:hAnsi="Arial"/>
          <w:sz w:val="18"/>
          <w:szCs w:val="18"/>
          <w:color w:val="auto"/>
        </w:rPr>
        <w:t xml:space="preserve"> has maintained the T</w:t>
      </w:r>
      <w:r>
        <w:rPr>
          <w:rFonts w:ascii="Arial" w:cs="Arial" w:eastAsia="Arial" w:hAnsi="Arial"/>
          <w:sz w:val="12"/>
          <w:szCs w:val="12"/>
          <w:color w:val="auto"/>
        </w:rPr>
        <w:t>RANSFERRED</w:t>
      </w:r>
      <w:r>
        <w:rPr>
          <w:rFonts w:ascii="Arial" w:cs="Arial" w:eastAsia="Arial" w:hAnsi="Arial"/>
          <w:sz w:val="18"/>
          <w:szCs w:val="18"/>
          <w:color w:val="auto"/>
        </w:rPr>
        <w:t xml:space="preserve"> A</w:t>
      </w:r>
      <w:r>
        <w:rPr>
          <w:rFonts w:ascii="Arial" w:cs="Arial" w:eastAsia="Arial" w:hAnsi="Arial"/>
          <w:sz w:val="12"/>
          <w:szCs w:val="12"/>
          <w:color w:val="auto"/>
        </w:rPr>
        <w:t>SSETS</w:t>
      </w:r>
      <w:r>
        <w:rPr>
          <w:rFonts w:ascii="Arial" w:cs="Arial" w:eastAsia="Arial" w:hAnsi="Arial"/>
          <w:sz w:val="18"/>
          <w:szCs w:val="18"/>
          <w:color w:val="auto"/>
        </w:rPr>
        <w:t xml:space="preserve"> in its own name but on behalf and at the risk of ACIU, i.e. on a fiduciary basis pursuant to S</w:t>
      </w:r>
      <w:r>
        <w:rPr>
          <w:rFonts w:ascii="Arial" w:cs="Arial" w:eastAsia="Arial" w:hAnsi="Arial"/>
          <w:sz w:val="12"/>
          <w:szCs w:val="12"/>
          <w:color w:val="auto"/>
        </w:rPr>
        <w:t>ECTION</w:t>
      </w:r>
      <w:r>
        <w:rPr>
          <w:rFonts w:ascii="Arial" w:cs="Arial" w:eastAsia="Arial" w:hAnsi="Arial"/>
          <w:sz w:val="18"/>
          <w:szCs w:val="18"/>
          <w:color w:val="auto"/>
        </w:rPr>
        <w:t xml:space="preserve"> 9.</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performance of the actions under S</w:t>
      </w:r>
      <w:r>
        <w:rPr>
          <w:rFonts w:ascii="Arial" w:cs="Arial" w:eastAsia="Arial" w:hAnsi="Arial"/>
          <w:sz w:val="12"/>
          <w:szCs w:val="12"/>
          <w:color w:val="auto"/>
        </w:rPr>
        <w:t>ECTION</w:t>
      </w:r>
      <w:r>
        <w:rPr>
          <w:rFonts w:ascii="Arial" w:cs="Arial" w:eastAsia="Arial" w:hAnsi="Arial"/>
          <w:sz w:val="18"/>
          <w:szCs w:val="18"/>
          <w:color w:val="auto"/>
        </w:rPr>
        <w:t xml:space="preserve"> 6.3 of this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660" w:hanging="652"/>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claim made or brought by a T</w:t>
      </w:r>
      <w:r>
        <w:rPr>
          <w:rFonts w:ascii="Arial" w:cs="Arial" w:eastAsia="Arial" w:hAnsi="Arial"/>
          <w:sz w:val="12"/>
          <w:szCs w:val="12"/>
          <w:color w:val="auto"/>
        </w:rPr>
        <w:t>HIRD</w:t>
      </w:r>
      <w:r>
        <w:rPr>
          <w:rFonts w:ascii="Arial" w:cs="Arial" w:eastAsia="Arial" w:hAnsi="Arial"/>
          <w:sz w:val="18"/>
          <w:szCs w:val="18"/>
          <w:color w:val="auto"/>
        </w:rPr>
        <w:t xml:space="preserve"> P</w:t>
      </w:r>
      <w:r>
        <w:rPr>
          <w:rFonts w:ascii="Arial" w:cs="Arial" w:eastAsia="Arial" w:hAnsi="Arial"/>
          <w:sz w:val="12"/>
          <w:szCs w:val="12"/>
          <w:color w:val="auto"/>
        </w:rPr>
        <w:t>ARTY</w:t>
      </w:r>
      <w:r>
        <w:rPr>
          <w:rFonts w:ascii="Arial" w:cs="Arial" w:eastAsia="Arial" w:hAnsi="Arial"/>
          <w:sz w:val="18"/>
          <w:szCs w:val="18"/>
          <w:color w:val="auto"/>
        </w:rPr>
        <w:t xml:space="preserve"> against or with respect to the T</w:t>
      </w:r>
      <w:r>
        <w:rPr>
          <w:rFonts w:ascii="Arial" w:cs="Arial" w:eastAsia="Arial" w:hAnsi="Arial"/>
          <w:sz w:val="12"/>
          <w:szCs w:val="12"/>
          <w:color w:val="auto"/>
        </w:rPr>
        <w:t>RANSFERRED</w:t>
      </w:r>
      <w:r>
        <w:rPr>
          <w:rFonts w:ascii="Arial" w:cs="Arial" w:eastAsia="Arial" w:hAnsi="Arial"/>
          <w:sz w:val="18"/>
          <w:szCs w:val="18"/>
          <w:color w:val="auto"/>
        </w:rPr>
        <w:t xml:space="preserve"> A</w:t>
      </w:r>
      <w:r>
        <w:rPr>
          <w:rFonts w:ascii="Arial" w:cs="Arial" w:eastAsia="Arial" w:hAnsi="Arial"/>
          <w:sz w:val="12"/>
          <w:szCs w:val="12"/>
          <w:color w:val="auto"/>
        </w:rPr>
        <w:t>SSETS</w:t>
      </w:r>
      <w:r>
        <w:rPr>
          <w:rFonts w:ascii="Arial" w:cs="Arial" w:eastAsia="Arial" w:hAnsi="Arial"/>
          <w:sz w:val="18"/>
          <w:szCs w:val="18"/>
          <w:color w:val="auto"/>
        </w:rPr>
        <w:t>, but made or brought against A</w:t>
      </w:r>
      <w:r>
        <w:rPr>
          <w:rFonts w:ascii="Arial" w:cs="Arial" w:eastAsia="Arial" w:hAnsi="Arial"/>
          <w:sz w:val="12"/>
          <w:szCs w:val="12"/>
          <w:color w:val="auto"/>
        </w:rPr>
        <w:t>FFIRIS</w:t>
      </w:r>
      <w:r>
        <w:rPr>
          <w:rFonts w:ascii="Arial" w:cs="Arial" w:eastAsia="Arial" w:hAnsi="Arial"/>
          <w:sz w:val="18"/>
          <w:szCs w:val="18"/>
          <w:color w:val="auto"/>
        </w:rPr>
        <w:t>.</w:t>
      </w:r>
    </w:p>
    <w:p>
      <w:pPr>
        <w:spacing w:after="0" w:line="30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color w:val="auto"/>
        </w:rPr>
        <w:t>CERTAIN CONFIDENTIAL PORTIONS HAVE BEEN REDACTED FROM THIS EXHIBIT BECAUSE THEY ARE BOTH (i) NOT MATERIAL AND (ii) IS THE TYPE THAT THE COMPANY TREATS AS PRIVATE OR CONFIDENTIAL. INFORMATION THAT HAS BEEN OMITTED HAD BEEN IDENTIFIED IN THIS DOCUMENT WITH A PLACEHOLDER IDENTIFIED BY THE MARK “[*****]”.</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b w:val="1"/>
          <w:bCs w:val="1"/>
          <w:color w:val="auto"/>
        </w:rPr>
        <w:t>Covenants</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7"/>
          <w:szCs w:val="17"/>
          <w:b w:val="1"/>
          <w:bCs w:val="1"/>
          <w:color w:val="auto"/>
        </w:rPr>
        <w:t>PIPE Agreement</w:t>
      </w:r>
    </w:p>
    <w:p>
      <w:pPr>
        <w:spacing w:after="0" w:line="220" w:lineRule="exact"/>
        <w:rPr>
          <w:sz w:val="20"/>
          <w:szCs w:val="20"/>
          <w:color w:val="auto"/>
        </w:rPr>
      </w:pPr>
    </w:p>
    <w:p>
      <w:pPr>
        <w:jc w:val="both"/>
        <w:ind w:left="660" w:hanging="652"/>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Concurrently with the signing of this A</w:t>
      </w:r>
      <w:r>
        <w:rPr>
          <w:rFonts w:ascii="Arial" w:cs="Arial" w:eastAsia="Arial" w:hAnsi="Arial"/>
          <w:sz w:val="12"/>
          <w:szCs w:val="12"/>
          <w:color w:val="auto"/>
        </w:rPr>
        <w:t>GREEMENT</w:t>
      </w:r>
      <w:r>
        <w:rPr>
          <w:rFonts w:ascii="Arial" w:cs="Arial" w:eastAsia="Arial" w:hAnsi="Arial"/>
          <w:sz w:val="18"/>
          <w:szCs w:val="18"/>
          <w:color w:val="auto"/>
        </w:rPr>
        <w:t>, the A</w:t>
      </w:r>
      <w:r>
        <w:rPr>
          <w:rFonts w:ascii="Arial" w:cs="Arial" w:eastAsia="Arial" w:hAnsi="Arial"/>
          <w:sz w:val="12"/>
          <w:szCs w:val="12"/>
          <w:color w:val="auto"/>
        </w:rPr>
        <w:t>FFIRIS</w:t>
      </w:r>
      <w:r>
        <w:rPr>
          <w:rFonts w:ascii="Arial" w:cs="Arial" w:eastAsia="Arial" w:hAnsi="Arial"/>
          <w:sz w:val="18"/>
          <w:szCs w:val="18"/>
          <w:color w:val="auto"/>
        </w:rPr>
        <w:t xml:space="preserve"> S</w:t>
      </w:r>
      <w:r>
        <w:rPr>
          <w:rFonts w:ascii="Arial" w:cs="Arial" w:eastAsia="Arial" w:hAnsi="Arial"/>
          <w:sz w:val="12"/>
          <w:szCs w:val="12"/>
          <w:color w:val="auto"/>
        </w:rPr>
        <w:t>HAREHOLDERS</w:t>
      </w:r>
      <w:r>
        <w:rPr>
          <w:rFonts w:ascii="Arial" w:cs="Arial" w:eastAsia="Arial" w:hAnsi="Arial"/>
          <w:sz w:val="18"/>
          <w:szCs w:val="18"/>
          <w:color w:val="auto"/>
        </w:rPr>
        <w:t xml:space="preserve"> and ACIU will sign an agreement in the form of </w:t>
      </w:r>
      <w:r>
        <w:rPr>
          <w:rFonts w:ascii="Arial" w:cs="Arial" w:eastAsia="Arial" w:hAnsi="Arial"/>
          <w:sz w:val="18"/>
          <w:szCs w:val="18"/>
          <w:u w:val="single" w:color="auto"/>
          <w:color w:val="auto"/>
        </w:rPr>
        <w:t>A</w:t>
      </w:r>
      <w:r>
        <w:rPr>
          <w:rFonts w:ascii="Arial" w:cs="Arial" w:eastAsia="Arial" w:hAnsi="Arial"/>
          <w:sz w:val="12"/>
          <w:szCs w:val="12"/>
          <w:u w:val="single" w:color="auto"/>
          <w:color w:val="auto"/>
        </w:rPr>
        <w:t>NNEX</w:t>
      </w:r>
      <w:r>
        <w:rPr>
          <w:rFonts w:ascii="Arial" w:cs="Arial" w:eastAsia="Arial" w:hAnsi="Arial"/>
          <w:sz w:val="18"/>
          <w:szCs w:val="18"/>
          <w:color w:val="auto"/>
        </w:rPr>
        <w:t xml:space="preserve"> </w:t>
      </w:r>
      <w:r>
        <w:rPr>
          <w:rFonts w:ascii="Arial" w:cs="Arial" w:eastAsia="Arial" w:hAnsi="Arial"/>
          <w:sz w:val="18"/>
          <w:szCs w:val="18"/>
          <w:u w:val="single" w:color="auto"/>
          <w:color w:val="auto"/>
        </w:rPr>
        <w:t>4</w:t>
      </w:r>
      <w:r>
        <w:rPr>
          <w:rFonts w:ascii="Arial" w:cs="Arial" w:eastAsia="Arial" w:hAnsi="Arial"/>
          <w:sz w:val="18"/>
          <w:szCs w:val="18"/>
          <w:color w:val="auto"/>
        </w:rPr>
        <w:t xml:space="preserve"> providing for the A</w:t>
      </w:r>
      <w:r>
        <w:rPr>
          <w:rFonts w:ascii="Arial" w:cs="Arial" w:eastAsia="Arial" w:hAnsi="Arial"/>
          <w:sz w:val="12"/>
          <w:szCs w:val="12"/>
          <w:color w:val="auto"/>
        </w:rPr>
        <w:t>FFIRIS</w:t>
      </w:r>
      <w:r>
        <w:rPr>
          <w:rFonts w:ascii="Arial" w:cs="Arial" w:eastAsia="Arial" w:hAnsi="Arial"/>
          <w:sz w:val="18"/>
          <w:szCs w:val="18"/>
          <w:color w:val="auto"/>
        </w:rPr>
        <w:t xml:space="preserve"> S</w:t>
      </w:r>
      <w:r>
        <w:rPr>
          <w:rFonts w:ascii="Arial" w:cs="Arial" w:eastAsia="Arial" w:hAnsi="Arial"/>
          <w:sz w:val="12"/>
          <w:szCs w:val="12"/>
          <w:color w:val="auto"/>
        </w:rPr>
        <w:t>HAREHOLDERS</w:t>
      </w:r>
      <w:r>
        <w:rPr>
          <w:rFonts w:ascii="Arial" w:cs="Arial" w:eastAsia="Arial" w:hAnsi="Arial"/>
          <w:sz w:val="18"/>
          <w:szCs w:val="18"/>
          <w:color w:val="auto"/>
        </w:rPr>
        <w:t xml:space="preserve"> to acquire a convertible note issued by ACIU and convertible into ACIU shares to be issued by ACIU upon terms and conditions of such P</w:t>
      </w:r>
      <w:r>
        <w:rPr>
          <w:rFonts w:ascii="Arial" w:cs="Arial" w:eastAsia="Arial" w:hAnsi="Arial"/>
          <w:sz w:val="12"/>
          <w:szCs w:val="12"/>
          <w:color w:val="auto"/>
        </w:rPr>
        <w:t>IPE</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14.2</w:t>
        <w:tab/>
        <w:t>Agreements with N</w:t>
      </w:r>
      <w:r>
        <w:rPr>
          <w:rFonts w:ascii="Arial" w:cs="Arial" w:eastAsia="Arial" w:hAnsi="Arial"/>
          <w:sz w:val="12"/>
          <w:szCs w:val="12"/>
          <w:b w:val="1"/>
          <w:bCs w:val="1"/>
          <w:color w:val="auto"/>
        </w:rPr>
        <w:t>ECESSARY</w:t>
      </w:r>
      <w:r>
        <w:rPr>
          <w:rFonts w:ascii="Arial" w:cs="Arial" w:eastAsia="Arial" w:hAnsi="Arial"/>
          <w:sz w:val="18"/>
          <w:szCs w:val="18"/>
          <w:b w:val="1"/>
          <w:bCs w:val="1"/>
          <w:color w:val="auto"/>
        </w:rPr>
        <w:t xml:space="preserve"> V</w:t>
      </w:r>
      <w:r>
        <w:rPr>
          <w:rFonts w:ascii="Arial" w:cs="Arial" w:eastAsia="Arial" w:hAnsi="Arial"/>
          <w:sz w:val="12"/>
          <w:szCs w:val="12"/>
          <w:b w:val="1"/>
          <w:bCs w:val="1"/>
          <w:color w:val="auto"/>
        </w:rPr>
        <w:t>ENDORS</w:t>
      </w:r>
    </w:p>
    <w:p>
      <w:pPr>
        <w:spacing w:after="0" w:line="220" w:lineRule="exact"/>
        <w:rPr>
          <w:sz w:val="20"/>
          <w:szCs w:val="20"/>
          <w:color w:val="auto"/>
        </w:rPr>
      </w:pPr>
    </w:p>
    <w:p>
      <w:pPr>
        <w:jc w:val="both"/>
        <w:ind w:left="660" w:hanging="652"/>
        <w:spacing w:after="0" w:line="238"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With effect as of C</w:t>
      </w:r>
      <w:r>
        <w:rPr>
          <w:rFonts w:ascii="Arial" w:cs="Arial" w:eastAsia="Arial" w:hAnsi="Arial"/>
          <w:sz w:val="12"/>
          <w:szCs w:val="12"/>
          <w:color w:val="auto"/>
        </w:rPr>
        <w:t>LOSING</w:t>
      </w:r>
      <w:r>
        <w:rPr>
          <w:rFonts w:ascii="Arial" w:cs="Arial" w:eastAsia="Arial" w:hAnsi="Arial"/>
          <w:sz w:val="18"/>
          <w:szCs w:val="18"/>
          <w:color w:val="auto"/>
        </w:rPr>
        <w:t>, A</w:t>
      </w:r>
      <w:r>
        <w:rPr>
          <w:rFonts w:ascii="Arial" w:cs="Arial" w:eastAsia="Arial" w:hAnsi="Arial"/>
          <w:sz w:val="12"/>
          <w:szCs w:val="12"/>
          <w:color w:val="auto"/>
        </w:rPr>
        <w:t>FFIRIS</w:t>
      </w:r>
      <w:r>
        <w:rPr>
          <w:rFonts w:ascii="Arial" w:cs="Arial" w:eastAsia="Arial" w:hAnsi="Arial"/>
          <w:sz w:val="18"/>
          <w:szCs w:val="18"/>
          <w:color w:val="auto"/>
        </w:rPr>
        <w:t xml:space="preserve"> uses its best efforts to support ACIU in placing work orders to book manufacturing slots with each of the N</w:t>
      </w:r>
      <w:r>
        <w:rPr>
          <w:rFonts w:ascii="Arial" w:cs="Arial" w:eastAsia="Arial" w:hAnsi="Arial"/>
          <w:sz w:val="12"/>
          <w:szCs w:val="12"/>
          <w:color w:val="auto"/>
        </w:rPr>
        <w:t>ECESSARY</w:t>
      </w:r>
      <w:r>
        <w:rPr>
          <w:rFonts w:ascii="Arial" w:cs="Arial" w:eastAsia="Arial" w:hAnsi="Arial"/>
          <w:sz w:val="18"/>
          <w:szCs w:val="18"/>
          <w:color w:val="auto"/>
        </w:rPr>
        <w:t xml:space="preserve"> V</w:t>
      </w:r>
      <w:r>
        <w:rPr>
          <w:rFonts w:ascii="Arial" w:cs="Arial" w:eastAsia="Arial" w:hAnsi="Arial"/>
          <w:sz w:val="12"/>
          <w:szCs w:val="12"/>
          <w:color w:val="auto"/>
        </w:rPr>
        <w:t>ENDORS</w:t>
      </w:r>
      <w:r>
        <w:rPr>
          <w:rFonts w:ascii="Arial" w:cs="Arial" w:eastAsia="Arial" w:hAnsi="Arial"/>
          <w:sz w:val="18"/>
          <w:szCs w:val="18"/>
          <w:color w:val="auto"/>
        </w:rPr>
        <w:t xml:space="preserve"> and to agree on contractual terms with the N</w:t>
      </w:r>
      <w:r>
        <w:rPr>
          <w:rFonts w:ascii="Arial" w:cs="Arial" w:eastAsia="Arial" w:hAnsi="Arial"/>
          <w:sz w:val="12"/>
          <w:szCs w:val="12"/>
          <w:color w:val="auto"/>
        </w:rPr>
        <w:t>ECESSARY</w:t>
      </w:r>
      <w:r>
        <w:rPr>
          <w:rFonts w:ascii="Arial" w:cs="Arial" w:eastAsia="Arial" w:hAnsi="Arial"/>
          <w:sz w:val="18"/>
          <w:szCs w:val="18"/>
          <w:color w:val="auto"/>
        </w:rPr>
        <w:t xml:space="preserve"> V</w:t>
      </w:r>
      <w:r>
        <w:rPr>
          <w:rFonts w:ascii="Arial" w:cs="Arial" w:eastAsia="Arial" w:hAnsi="Arial"/>
          <w:sz w:val="12"/>
          <w:szCs w:val="12"/>
          <w:color w:val="auto"/>
        </w:rPr>
        <w:t>ENDORS</w:t>
      </w:r>
      <w:r>
        <w:rPr>
          <w:rFonts w:ascii="Arial" w:cs="Arial" w:eastAsia="Arial" w:hAnsi="Arial"/>
          <w:sz w:val="18"/>
          <w:szCs w:val="18"/>
          <w:color w:val="auto"/>
        </w:rPr>
        <w:t xml:space="preserve"> for manufacturing services, either according to the terms and conditions of the master service agreements that each of these N</w:t>
      </w:r>
      <w:r>
        <w:rPr>
          <w:rFonts w:ascii="Arial" w:cs="Arial" w:eastAsia="Arial" w:hAnsi="Arial"/>
          <w:sz w:val="12"/>
          <w:szCs w:val="12"/>
          <w:color w:val="auto"/>
        </w:rPr>
        <w:t>ECESSARY</w:t>
      </w:r>
      <w:r>
        <w:rPr>
          <w:rFonts w:ascii="Arial" w:cs="Arial" w:eastAsia="Arial" w:hAnsi="Arial"/>
          <w:sz w:val="18"/>
          <w:szCs w:val="18"/>
          <w:color w:val="auto"/>
        </w:rPr>
        <w:t xml:space="preserve"> V</w:t>
      </w:r>
      <w:r>
        <w:rPr>
          <w:rFonts w:ascii="Arial" w:cs="Arial" w:eastAsia="Arial" w:hAnsi="Arial"/>
          <w:sz w:val="12"/>
          <w:szCs w:val="12"/>
          <w:color w:val="auto"/>
        </w:rPr>
        <w:t>ENDORS</w:t>
      </w:r>
      <w:r>
        <w:rPr>
          <w:rFonts w:ascii="Arial" w:cs="Arial" w:eastAsia="Arial" w:hAnsi="Arial"/>
          <w:sz w:val="18"/>
          <w:szCs w:val="18"/>
          <w:color w:val="auto"/>
        </w:rPr>
        <w:t xml:space="preserve"> has with A</w:t>
      </w:r>
      <w:r>
        <w:rPr>
          <w:rFonts w:ascii="Arial" w:cs="Arial" w:eastAsia="Arial" w:hAnsi="Arial"/>
          <w:sz w:val="12"/>
          <w:szCs w:val="12"/>
          <w:color w:val="auto"/>
        </w:rPr>
        <w:t>FFIRIS</w:t>
      </w:r>
      <w:r>
        <w:rPr>
          <w:rFonts w:ascii="Arial" w:cs="Arial" w:eastAsia="Arial" w:hAnsi="Arial"/>
          <w:sz w:val="18"/>
          <w:szCs w:val="18"/>
          <w:color w:val="auto"/>
        </w:rPr>
        <w:t>, or, if preferable to both ACIU and the respective N</w:t>
      </w:r>
      <w:r>
        <w:rPr>
          <w:rFonts w:ascii="Arial" w:cs="Arial" w:eastAsia="Arial" w:hAnsi="Arial"/>
          <w:sz w:val="12"/>
          <w:szCs w:val="12"/>
          <w:color w:val="auto"/>
        </w:rPr>
        <w:t>ECESSARY</w:t>
      </w:r>
      <w:r>
        <w:rPr>
          <w:rFonts w:ascii="Arial" w:cs="Arial" w:eastAsia="Arial" w:hAnsi="Arial"/>
          <w:sz w:val="18"/>
          <w:szCs w:val="18"/>
          <w:color w:val="auto"/>
        </w:rPr>
        <w:t xml:space="preserve"> V</w:t>
      </w:r>
      <w:r>
        <w:rPr>
          <w:rFonts w:ascii="Arial" w:cs="Arial" w:eastAsia="Arial" w:hAnsi="Arial"/>
          <w:sz w:val="12"/>
          <w:szCs w:val="12"/>
          <w:color w:val="auto"/>
        </w:rPr>
        <w:t>ENDORS</w:t>
      </w:r>
      <w:r>
        <w:rPr>
          <w:rFonts w:ascii="Arial" w:cs="Arial" w:eastAsia="Arial" w:hAnsi="Arial"/>
          <w:sz w:val="18"/>
          <w:szCs w:val="18"/>
          <w:color w:val="auto"/>
        </w:rPr>
        <w:t>, such N</w:t>
      </w:r>
      <w:r>
        <w:rPr>
          <w:rFonts w:ascii="Arial" w:cs="Arial" w:eastAsia="Arial" w:hAnsi="Arial"/>
          <w:sz w:val="12"/>
          <w:szCs w:val="12"/>
          <w:color w:val="auto"/>
        </w:rPr>
        <w:t>ECESSARY</w:t>
      </w:r>
      <w:r>
        <w:rPr>
          <w:rFonts w:ascii="Arial" w:cs="Arial" w:eastAsia="Arial" w:hAnsi="Arial"/>
          <w:sz w:val="18"/>
          <w:szCs w:val="18"/>
          <w:color w:val="auto"/>
        </w:rPr>
        <w:t xml:space="preserve"> V</w:t>
      </w:r>
      <w:r>
        <w:rPr>
          <w:rFonts w:ascii="Arial" w:cs="Arial" w:eastAsia="Arial" w:hAnsi="Arial"/>
          <w:sz w:val="12"/>
          <w:szCs w:val="12"/>
          <w:color w:val="auto"/>
        </w:rPr>
        <w:t>ENDOR</w:t>
      </w:r>
      <w:r>
        <w:rPr>
          <w:rFonts w:ascii="Arial" w:cs="Arial" w:eastAsia="Arial" w:hAnsi="Arial"/>
          <w:sz w:val="18"/>
          <w:szCs w:val="18"/>
          <w:color w:val="auto"/>
        </w:rPr>
        <w:t>’s terms and conditions.</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7"/>
          <w:szCs w:val="17"/>
          <w:b w:val="1"/>
          <w:bCs w:val="1"/>
          <w:color w:val="auto"/>
        </w:rPr>
        <w:t>Licenses for A</w:t>
      </w:r>
      <w:r>
        <w:rPr>
          <w:rFonts w:ascii="Arial" w:cs="Arial" w:eastAsia="Arial" w:hAnsi="Arial"/>
          <w:sz w:val="11"/>
          <w:szCs w:val="11"/>
          <w:b w:val="1"/>
          <w:bCs w:val="1"/>
          <w:color w:val="auto"/>
        </w:rPr>
        <w:t>FFIRIS</w:t>
      </w:r>
    </w:p>
    <w:p>
      <w:pPr>
        <w:spacing w:after="0" w:line="220" w:lineRule="exact"/>
        <w:rPr>
          <w:sz w:val="20"/>
          <w:szCs w:val="20"/>
          <w:color w:val="auto"/>
        </w:rPr>
      </w:pPr>
    </w:p>
    <w:p>
      <w:pPr>
        <w:jc w:val="both"/>
        <w:ind w:left="660" w:hanging="652"/>
        <w:spacing w:after="0" w:line="236"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Effective upon and subject to C</w:t>
      </w:r>
      <w:r>
        <w:rPr>
          <w:rFonts w:ascii="Arial" w:cs="Arial" w:eastAsia="Arial" w:hAnsi="Arial"/>
          <w:sz w:val="12"/>
          <w:szCs w:val="12"/>
          <w:color w:val="auto"/>
        </w:rPr>
        <w:t>LOSING</w:t>
      </w:r>
      <w:r>
        <w:rPr>
          <w:rFonts w:ascii="Arial" w:cs="Arial" w:eastAsia="Arial" w:hAnsi="Arial"/>
          <w:sz w:val="18"/>
          <w:szCs w:val="18"/>
          <w:color w:val="auto"/>
        </w:rPr>
        <w:t>, ACIU hereby provides an irrevocable and non-terminable (except for a termination for good cause) (</w:t>
      </w:r>
      <w:r>
        <w:rPr>
          <w:rFonts w:ascii="Arial" w:cs="Arial" w:eastAsia="Arial" w:hAnsi="Arial"/>
          <w:sz w:val="18"/>
          <w:szCs w:val="18"/>
          <w:i w:val="1"/>
          <w:iCs w:val="1"/>
          <w:color w:val="auto"/>
        </w:rPr>
        <w:t>unwiderruflich und unkündbar</w:t>
      </w:r>
      <w:r>
        <w:rPr>
          <w:rFonts w:ascii="Arial" w:cs="Arial" w:eastAsia="Arial" w:hAnsi="Arial"/>
          <w:sz w:val="18"/>
          <w:szCs w:val="18"/>
          <w:color w:val="auto"/>
        </w:rPr>
        <w:t>) license to A</w:t>
      </w:r>
      <w:r>
        <w:rPr>
          <w:rFonts w:ascii="Arial" w:cs="Arial" w:eastAsia="Arial" w:hAnsi="Arial"/>
          <w:sz w:val="12"/>
          <w:szCs w:val="12"/>
          <w:color w:val="auto"/>
        </w:rPr>
        <w:t>FFIRIS</w:t>
      </w:r>
      <w:r>
        <w:rPr>
          <w:rFonts w:ascii="Arial" w:cs="Arial" w:eastAsia="Arial" w:hAnsi="Arial"/>
          <w:sz w:val="18"/>
          <w:szCs w:val="18"/>
          <w:color w:val="auto"/>
        </w:rPr>
        <w:t xml:space="preserve"> for the use of the T</w:t>
      </w:r>
      <w:r>
        <w:rPr>
          <w:rFonts w:ascii="Arial" w:cs="Arial" w:eastAsia="Arial" w:hAnsi="Arial"/>
          <w:sz w:val="12"/>
          <w:szCs w:val="12"/>
          <w:color w:val="auto"/>
        </w:rPr>
        <w:t>RADEMARKS</w:t>
      </w:r>
      <w:r>
        <w:rPr>
          <w:rFonts w:ascii="Arial" w:cs="Arial" w:eastAsia="Arial" w:hAnsi="Arial"/>
          <w:sz w:val="18"/>
          <w:szCs w:val="18"/>
          <w:color w:val="auto"/>
        </w:rPr>
        <w:t>, the K</w:t>
      </w:r>
      <w:r>
        <w:rPr>
          <w:rFonts w:ascii="Arial" w:cs="Arial" w:eastAsia="Arial" w:hAnsi="Arial"/>
          <w:sz w:val="12"/>
          <w:szCs w:val="12"/>
          <w:color w:val="auto"/>
        </w:rPr>
        <w:t>NOW</w:t>
      </w:r>
      <w:r>
        <w:rPr>
          <w:rFonts w:ascii="Arial" w:cs="Arial" w:eastAsia="Arial" w:hAnsi="Arial"/>
          <w:sz w:val="18"/>
          <w:szCs w:val="18"/>
          <w:color w:val="auto"/>
        </w:rPr>
        <w:t>-H</w:t>
      </w:r>
      <w:r>
        <w:rPr>
          <w:rFonts w:ascii="Arial" w:cs="Arial" w:eastAsia="Arial" w:hAnsi="Arial"/>
          <w:sz w:val="12"/>
          <w:szCs w:val="12"/>
          <w:color w:val="auto"/>
        </w:rPr>
        <w:t>OW</w:t>
      </w:r>
      <w:r>
        <w:rPr>
          <w:rFonts w:ascii="Arial" w:cs="Arial" w:eastAsia="Arial" w:hAnsi="Arial"/>
          <w:sz w:val="18"/>
          <w:szCs w:val="18"/>
          <w:color w:val="auto"/>
        </w:rPr>
        <w:t xml:space="preserve"> and of the specific P</w:t>
      </w:r>
      <w:r>
        <w:rPr>
          <w:rFonts w:ascii="Arial" w:cs="Arial" w:eastAsia="Arial" w:hAnsi="Arial"/>
          <w:sz w:val="12"/>
          <w:szCs w:val="12"/>
          <w:color w:val="auto"/>
        </w:rPr>
        <w:t>ATENTS</w:t>
      </w:r>
      <w:r>
        <w:rPr>
          <w:rFonts w:ascii="Arial" w:cs="Arial" w:eastAsia="Arial" w:hAnsi="Arial"/>
          <w:sz w:val="18"/>
          <w:szCs w:val="18"/>
          <w:color w:val="auto"/>
        </w:rPr>
        <w:t xml:space="preserve"> derived from the [*****] patent family ("</w:t>
      </w:r>
      <w:r>
        <w:rPr>
          <w:rFonts w:ascii="Arial" w:cs="Arial" w:eastAsia="Arial" w:hAnsi="Arial"/>
          <w:sz w:val="18"/>
          <w:szCs w:val="18"/>
          <w:b w:val="1"/>
          <w:bCs w:val="1"/>
          <w:color w:val="auto"/>
        </w:rPr>
        <w:t>L</w:t>
      </w:r>
      <w:r>
        <w:rPr>
          <w:rFonts w:ascii="Arial" w:cs="Arial" w:eastAsia="Arial" w:hAnsi="Arial"/>
          <w:sz w:val="12"/>
          <w:szCs w:val="12"/>
          <w:b w:val="1"/>
          <w:bCs w:val="1"/>
          <w:color w:val="auto"/>
        </w:rPr>
        <w:t>ICENSE</w:t>
      </w:r>
      <w:r>
        <w:rPr>
          <w:rFonts w:ascii="Arial" w:cs="Arial" w:eastAsia="Arial" w:hAnsi="Arial"/>
          <w:sz w:val="18"/>
          <w:szCs w:val="18"/>
          <w:b w:val="1"/>
          <w:bCs w:val="1"/>
          <w:color w:val="auto"/>
        </w:rPr>
        <w:t>-B</w:t>
      </w:r>
      <w:r>
        <w:rPr>
          <w:rFonts w:ascii="Arial" w:cs="Arial" w:eastAsia="Arial" w:hAnsi="Arial"/>
          <w:sz w:val="12"/>
          <w:szCs w:val="12"/>
          <w:b w:val="1"/>
          <w:bCs w:val="1"/>
          <w:color w:val="auto"/>
        </w:rPr>
        <w:t>ACK</w:t>
      </w:r>
      <w:r>
        <w:rPr>
          <w:rFonts w:ascii="Arial" w:cs="Arial" w:eastAsia="Arial" w:hAnsi="Arial"/>
          <w:sz w:val="18"/>
          <w:szCs w:val="18"/>
          <w:color w:val="auto"/>
        </w:rPr>
        <w:t>"), such L</w:t>
      </w:r>
      <w:r>
        <w:rPr>
          <w:rFonts w:ascii="Arial" w:cs="Arial" w:eastAsia="Arial" w:hAnsi="Arial"/>
          <w:sz w:val="12"/>
          <w:szCs w:val="12"/>
          <w:color w:val="auto"/>
        </w:rPr>
        <w:t>ICENSE</w:t>
      </w:r>
      <w:r>
        <w:rPr>
          <w:rFonts w:ascii="Arial" w:cs="Arial" w:eastAsia="Arial" w:hAnsi="Arial"/>
          <w:sz w:val="18"/>
          <w:szCs w:val="18"/>
          <w:color w:val="auto"/>
        </w:rPr>
        <w:t>-B</w:t>
      </w:r>
      <w:r>
        <w:rPr>
          <w:rFonts w:ascii="Arial" w:cs="Arial" w:eastAsia="Arial" w:hAnsi="Arial"/>
          <w:sz w:val="12"/>
          <w:szCs w:val="12"/>
          <w:color w:val="auto"/>
        </w:rPr>
        <w:t>ACK</w:t>
      </w:r>
      <w:r>
        <w:rPr>
          <w:rFonts w:ascii="Arial" w:cs="Arial" w:eastAsia="Arial" w:hAnsi="Arial"/>
          <w:sz w:val="18"/>
          <w:szCs w:val="18"/>
          <w:color w:val="auto"/>
        </w:rPr>
        <w:t xml:space="preserve"> to be strictly limited to allow A</w:t>
      </w:r>
      <w:r>
        <w:rPr>
          <w:rFonts w:ascii="Arial" w:cs="Arial" w:eastAsia="Arial" w:hAnsi="Arial"/>
          <w:sz w:val="12"/>
          <w:szCs w:val="12"/>
          <w:color w:val="auto"/>
        </w:rPr>
        <w:t>FFIRIS</w:t>
      </w:r>
      <w:r>
        <w:rPr>
          <w:rFonts w:ascii="Arial" w:cs="Arial" w:eastAsia="Arial" w:hAnsi="Arial"/>
          <w:sz w:val="18"/>
          <w:szCs w:val="18"/>
          <w:color w:val="auto"/>
        </w:rPr>
        <w:t xml:space="preserve"> to research, develop and commercialize its [*****] programs ("</w:t>
      </w:r>
      <w:r>
        <w:rPr>
          <w:rFonts w:ascii="Arial" w:cs="Arial" w:eastAsia="Arial" w:hAnsi="Arial"/>
          <w:sz w:val="18"/>
          <w:szCs w:val="18"/>
          <w:b w:val="1"/>
          <w:bCs w:val="1"/>
          <w:color w:val="auto"/>
        </w:rPr>
        <w:t>A</w:t>
      </w:r>
      <w:r>
        <w:rPr>
          <w:rFonts w:ascii="Arial" w:cs="Arial" w:eastAsia="Arial" w:hAnsi="Arial"/>
          <w:sz w:val="12"/>
          <w:szCs w:val="12"/>
          <w:b w:val="1"/>
          <w:bCs w:val="1"/>
          <w:color w:val="auto"/>
        </w:rPr>
        <w:t>FFIRIS</w:t>
      </w:r>
      <w:r>
        <w:rPr>
          <w:rFonts w:ascii="Arial" w:cs="Arial" w:eastAsia="Arial" w:hAnsi="Arial"/>
          <w:sz w:val="18"/>
          <w:szCs w:val="18"/>
          <w:color w:val="auto"/>
        </w:rPr>
        <w:t xml:space="preserve"> </w:t>
      </w:r>
      <w:r>
        <w:rPr>
          <w:rFonts w:ascii="Arial" w:cs="Arial" w:eastAsia="Arial" w:hAnsi="Arial"/>
          <w:sz w:val="18"/>
          <w:szCs w:val="18"/>
          <w:b w:val="1"/>
          <w:bCs w:val="1"/>
          <w:color w:val="auto"/>
        </w:rPr>
        <w:t>P</w:t>
      </w:r>
      <w:r>
        <w:rPr>
          <w:rFonts w:ascii="Arial" w:cs="Arial" w:eastAsia="Arial" w:hAnsi="Arial"/>
          <w:sz w:val="12"/>
          <w:szCs w:val="12"/>
          <w:b w:val="1"/>
          <w:bCs w:val="1"/>
          <w:color w:val="auto"/>
        </w:rPr>
        <w:t>ROGRAMS</w:t>
      </w:r>
      <w:r>
        <w:rPr>
          <w:rFonts w:ascii="Arial" w:cs="Arial" w:eastAsia="Arial" w:hAnsi="Arial"/>
          <w:sz w:val="18"/>
          <w:szCs w:val="18"/>
          <w:color w:val="auto"/>
        </w:rPr>
        <w:t>"); for the avoidance of doubt the L</w:t>
      </w:r>
      <w:r>
        <w:rPr>
          <w:rFonts w:ascii="Arial" w:cs="Arial" w:eastAsia="Arial" w:hAnsi="Arial"/>
          <w:sz w:val="12"/>
          <w:szCs w:val="12"/>
          <w:color w:val="auto"/>
        </w:rPr>
        <w:t>ICENSE</w:t>
      </w:r>
      <w:r>
        <w:rPr>
          <w:rFonts w:ascii="Arial" w:cs="Arial" w:eastAsia="Arial" w:hAnsi="Arial"/>
          <w:sz w:val="18"/>
          <w:szCs w:val="18"/>
          <w:color w:val="auto"/>
        </w:rPr>
        <w:t>-B</w:t>
      </w:r>
      <w:r>
        <w:rPr>
          <w:rFonts w:ascii="Arial" w:cs="Arial" w:eastAsia="Arial" w:hAnsi="Arial"/>
          <w:sz w:val="12"/>
          <w:szCs w:val="12"/>
          <w:color w:val="auto"/>
        </w:rPr>
        <w:t>ACK</w:t>
      </w:r>
      <w:r>
        <w:rPr>
          <w:rFonts w:ascii="Arial" w:cs="Arial" w:eastAsia="Arial" w:hAnsi="Arial"/>
          <w:sz w:val="18"/>
          <w:szCs w:val="18"/>
          <w:color w:val="auto"/>
        </w:rPr>
        <w:t xml:space="preserve"> may not be used in a manner which could damage the other T</w:t>
      </w:r>
      <w:r>
        <w:rPr>
          <w:rFonts w:ascii="Arial" w:cs="Arial" w:eastAsia="Arial" w:hAnsi="Arial"/>
          <w:sz w:val="12"/>
          <w:szCs w:val="12"/>
          <w:color w:val="auto"/>
        </w:rPr>
        <w:t>RANSFERRED</w:t>
      </w:r>
      <w:r>
        <w:rPr>
          <w:rFonts w:ascii="Arial" w:cs="Arial" w:eastAsia="Arial" w:hAnsi="Arial"/>
          <w:sz w:val="18"/>
          <w:szCs w:val="18"/>
          <w:color w:val="auto"/>
        </w:rPr>
        <w:t xml:space="preserve"> A</w:t>
      </w:r>
      <w:r>
        <w:rPr>
          <w:rFonts w:ascii="Arial" w:cs="Arial" w:eastAsia="Arial" w:hAnsi="Arial"/>
          <w:sz w:val="12"/>
          <w:szCs w:val="12"/>
          <w:color w:val="auto"/>
        </w:rPr>
        <w:t>SSETS</w:t>
      </w:r>
      <w:r>
        <w:rPr>
          <w:rFonts w:ascii="Arial" w:cs="Arial" w:eastAsia="Arial" w:hAnsi="Arial"/>
          <w:sz w:val="18"/>
          <w:szCs w:val="18"/>
          <w:color w:val="auto"/>
        </w:rPr>
        <w:t xml:space="preserve"> that are not covered by the </w:t>
      </w:r>
      <w:r>
        <w:rPr>
          <w:rFonts w:ascii="Arial" w:cs="Arial" w:eastAsia="Arial" w:hAnsi="Arial"/>
          <w:sz w:val="12"/>
          <w:szCs w:val="12"/>
          <w:color w:val="auto"/>
        </w:rPr>
        <w:t>LICENSE</w:t>
      </w:r>
      <w:r>
        <w:rPr>
          <w:rFonts w:ascii="Arial" w:cs="Arial" w:eastAsia="Arial" w:hAnsi="Arial"/>
          <w:sz w:val="18"/>
          <w:szCs w:val="18"/>
          <w:color w:val="auto"/>
        </w:rPr>
        <w:t>-</w:t>
      </w:r>
      <w:r>
        <w:rPr>
          <w:rFonts w:ascii="Arial" w:cs="Arial" w:eastAsia="Arial" w:hAnsi="Arial"/>
          <w:sz w:val="12"/>
          <w:szCs w:val="12"/>
          <w:color w:val="auto"/>
        </w:rPr>
        <w:t>BACK</w:t>
      </w:r>
      <w:r>
        <w:rPr>
          <w:rFonts w:ascii="Arial" w:cs="Arial" w:eastAsia="Arial" w:hAnsi="Arial"/>
          <w:sz w:val="18"/>
          <w:szCs w:val="18"/>
          <w:color w:val="auto"/>
        </w:rPr>
        <w:t>. The L</w:t>
      </w:r>
      <w:r>
        <w:rPr>
          <w:rFonts w:ascii="Arial" w:cs="Arial" w:eastAsia="Arial" w:hAnsi="Arial"/>
          <w:sz w:val="12"/>
          <w:szCs w:val="12"/>
          <w:color w:val="auto"/>
        </w:rPr>
        <w:t>ICENSE</w:t>
      </w:r>
      <w:r>
        <w:rPr>
          <w:rFonts w:ascii="Arial" w:cs="Arial" w:eastAsia="Arial" w:hAnsi="Arial"/>
          <w:sz w:val="18"/>
          <w:szCs w:val="18"/>
          <w:color w:val="auto"/>
        </w:rPr>
        <w:t>-B</w:t>
      </w:r>
      <w:r>
        <w:rPr>
          <w:rFonts w:ascii="Arial" w:cs="Arial" w:eastAsia="Arial" w:hAnsi="Arial"/>
          <w:sz w:val="12"/>
          <w:szCs w:val="12"/>
          <w:color w:val="auto"/>
        </w:rPr>
        <w:t>ACK</w:t>
      </w:r>
      <w:r>
        <w:rPr>
          <w:rFonts w:ascii="Arial" w:cs="Arial" w:eastAsia="Arial" w:hAnsi="Arial"/>
          <w:sz w:val="18"/>
          <w:szCs w:val="18"/>
          <w:color w:val="auto"/>
        </w:rPr>
        <w:t xml:space="preserve"> will be exclusive to A</w:t>
      </w:r>
      <w:r>
        <w:rPr>
          <w:rFonts w:ascii="Arial" w:cs="Arial" w:eastAsia="Arial" w:hAnsi="Arial"/>
          <w:sz w:val="12"/>
          <w:szCs w:val="12"/>
          <w:color w:val="auto"/>
        </w:rPr>
        <w:t>FFIRIS</w:t>
      </w:r>
      <w:r>
        <w:rPr>
          <w:rFonts w:ascii="Arial" w:cs="Arial" w:eastAsia="Arial" w:hAnsi="Arial"/>
          <w:sz w:val="18"/>
          <w:szCs w:val="18"/>
          <w:color w:val="auto"/>
        </w:rPr>
        <w:t xml:space="preserve"> (with the right to grant sublicenses) in the field of the A</w:t>
      </w:r>
      <w:r>
        <w:rPr>
          <w:rFonts w:ascii="Arial" w:cs="Arial" w:eastAsia="Arial" w:hAnsi="Arial"/>
          <w:sz w:val="12"/>
          <w:szCs w:val="12"/>
          <w:color w:val="auto"/>
        </w:rPr>
        <w:t>FFIRIS</w:t>
      </w:r>
      <w:r>
        <w:rPr>
          <w:rFonts w:ascii="Arial" w:cs="Arial" w:eastAsia="Arial" w:hAnsi="Arial"/>
          <w:sz w:val="18"/>
          <w:szCs w:val="18"/>
          <w:color w:val="auto"/>
        </w:rPr>
        <w:t xml:space="preserve"> P</w:t>
      </w:r>
      <w:r>
        <w:rPr>
          <w:rFonts w:ascii="Arial" w:cs="Arial" w:eastAsia="Arial" w:hAnsi="Arial"/>
          <w:sz w:val="12"/>
          <w:szCs w:val="12"/>
          <w:color w:val="auto"/>
        </w:rPr>
        <w:t>ROGRAMS</w:t>
      </w:r>
      <w:r>
        <w:rPr>
          <w:rFonts w:ascii="Arial" w:cs="Arial" w:eastAsia="Arial" w:hAnsi="Arial"/>
          <w:sz w:val="18"/>
          <w:szCs w:val="18"/>
          <w:color w:val="auto"/>
        </w:rPr>
        <w:t>, fully paid-up, royalty-free (</w:t>
      </w:r>
      <w:r>
        <w:rPr>
          <w:rFonts w:ascii="Arial" w:cs="Arial" w:eastAsia="Arial" w:hAnsi="Arial"/>
          <w:sz w:val="18"/>
          <w:szCs w:val="18"/>
          <w:i w:val="1"/>
          <w:iCs w:val="1"/>
          <w:color w:val="auto"/>
        </w:rPr>
        <w:t>unentgeltlich</w:t>
      </w:r>
      <w:r>
        <w:rPr>
          <w:rFonts w:ascii="Arial" w:cs="Arial" w:eastAsia="Arial" w:hAnsi="Arial"/>
          <w:sz w:val="18"/>
          <w:szCs w:val="18"/>
          <w:color w:val="auto"/>
        </w:rPr>
        <w:t>) and perpetual (except for a material breach of this A</w:t>
      </w:r>
      <w:r>
        <w:rPr>
          <w:rFonts w:ascii="Arial" w:cs="Arial" w:eastAsia="Arial" w:hAnsi="Arial"/>
          <w:sz w:val="12"/>
          <w:szCs w:val="12"/>
          <w:color w:val="auto"/>
        </w:rPr>
        <w:t>GREEMENT</w:t>
      </w:r>
      <w:r>
        <w:rPr>
          <w:rFonts w:ascii="Arial" w:cs="Arial" w:eastAsia="Arial" w:hAnsi="Arial"/>
          <w:sz w:val="18"/>
          <w:szCs w:val="18"/>
          <w:color w:val="auto"/>
        </w:rPr>
        <w:t xml:space="preserve"> by A</w:t>
      </w:r>
      <w:r>
        <w:rPr>
          <w:rFonts w:ascii="Arial" w:cs="Arial" w:eastAsia="Arial" w:hAnsi="Arial"/>
          <w:sz w:val="12"/>
          <w:szCs w:val="12"/>
          <w:color w:val="auto"/>
        </w:rPr>
        <w:t>FFIRIS</w:t>
      </w:r>
      <w:r>
        <w:rPr>
          <w:rFonts w:ascii="Arial" w:cs="Arial" w:eastAsia="Arial" w:hAnsi="Arial"/>
          <w:sz w:val="18"/>
          <w:szCs w:val="18"/>
          <w:color w:val="auto"/>
        </w:rPr>
        <w:t>). A</w:t>
      </w:r>
      <w:r>
        <w:rPr>
          <w:rFonts w:ascii="Arial" w:cs="Arial" w:eastAsia="Arial" w:hAnsi="Arial"/>
          <w:sz w:val="12"/>
          <w:szCs w:val="12"/>
          <w:color w:val="auto"/>
        </w:rPr>
        <w:t>FFIRIS</w:t>
      </w:r>
      <w:r>
        <w:rPr>
          <w:rFonts w:ascii="Arial" w:cs="Arial" w:eastAsia="Arial" w:hAnsi="Arial"/>
          <w:sz w:val="18"/>
          <w:szCs w:val="18"/>
          <w:color w:val="auto"/>
        </w:rPr>
        <w:t xml:space="preserve"> hereby accepts such license and undertakes not to challenge the validity of any P</w:t>
      </w:r>
      <w:r>
        <w:rPr>
          <w:rFonts w:ascii="Arial" w:cs="Arial" w:eastAsia="Arial" w:hAnsi="Arial"/>
          <w:sz w:val="12"/>
          <w:szCs w:val="12"/>
          <w:color w:val="auto"/>
        </w:rPr>
        <w:t>ROGRAMS</w:t>
      </w:r>
      <w:r>
        <w:rPr>
          <w:rFonts w:ascii="Arial" w:cs="Arial" w:eastAsia="Arial" w:hAnsi="Arial"/>
          <w:sz w:val="18"/>
          <w:szCs w:val="18"/>
          <w:color w:val="auto"/>
        </w:rPr>
        <w:t xml:space="preserve"> IP. A</w:t>
      </w:r>
      <w:r>
        <w:rPr>
          <w:rFonts w:ascii="Arial" w:cs="Arial" w:eastAsia="Arial" w:hAnsi="Arial"/>
          <w:sz w:val="12"/>
          <w:szCs w:val="12"/>
          <w:color w:val="auto"/>
        </w:rPr>
        <w:t>FFIRIS</w:t>
      </w:r>
      <w:r>
        <w:rPr>
          <w:rFonts w:ascii="Arial" w:cs="Arial" w:eastAsia="Arial" w:hAnsi="Arial"/>
          <w:sz w:val="18"/>
          <w:szCs w:val="18"/>
          <w:color w:val="auto"/>
        </w:rPr>
        <w:t xml:space="preserve"> shall be authorized to transfer or sublicense the L</w:t>
      </w:r>
      <w:r>
        <w:rPr>
          <w:rFonts w:ascii="Arial" w:cs="Arial" w:eastAsia="Arial" w:hAnsi="Arial"/>
          <w:sz w:val="12"/>
          <w:szCs w:val="12"/>
          <w:color w:val="auto"/>
        </w:rPr>
        <w:t>ICENSE</w:t>
      </w:r>
      <w:r>
        <w:rPr>
          <w:rFonts w:ascii="Arial" w:cs="Arial" w:eastAsia="Arial" w:hAnsi="Arial"/>
          <w:sz w:val="18"/>
          <w:szCs w:val="18"/>
          <w:color w:val="auto"/>
        </w:rPr>
        <w:t>-B</w:t>
      </w:r>
      <w:r>
        <w:rPr>
          <w:rFonts w:ascii="Arial" w:cs="Arial" w:eastAsia="Arial" w:hAnsi="Arial"/>
          <w:sz w:val="12"/>
          <w:szCs w:val="12"/>
          <w:color w:val="auto"/>
        </w:rPr>
        <w:t>ACK</w:t>
      </w:r>
      <w:r>
        <w:rPr>
          <w:rFonts w:ascii="Arial" w:cs="Arial" w:eastAsia="Arial" w:hAnsi="Arial"/>
          <w:sz w:val="18"/>
          <w:szCs w:val="18"/>
          <w:color w:val="auto"/>
        </w:rPr>
        <w:t xml:space="preserve"> to a T</w:t>
      </w:r>
      <w:r>
        <w:rPr>
          <w:rFonts w:ascii="Arial" w:cs="Arial" w:eastAsia="Arial" w:hAnsi="Arial"/>
          <w:sz w:val="12"/>
          <w:szCs w:val="12"/>
          <w:color w:val="auto"/>
        </w:rPr>
        <w:t>HIRD</w:t>
      </w:r>
      <w:r>
        <w:rPr>
          <w:rFonts w:ascii="Arial" w:cs="Arial" w:eastAsia="Arial" w:hAnsi="Arial"/>
          <w:sz w:val="18"/>
          <w:szCs w:val="18"/>
          <w:color w:val="auto"/>
        </w:rPr>
        <w:t xml:space="preserve"> P</w:t>
      </w:r>
      <w:r>
        <w:rPr>
          <w:rFonts w:ascii="Arial" w:cs="Arial" w:eastAsia="Arial" w:hAnsi="Arial"/>
          <w:sz w:val="12"/>
          <w:szCs w:val="12"/>
          <w:color w:val="auto"/>
        </w:rPr>
        <w:t>ARTY</w:t>
      </w:r>
      <w:r>
        <w:rPr>
          <w:rFonts w:ascii="Arial" w:cs="Arial" w:eastAsia="Arial" w:hAnsi="Arial"/>
          <w:sz w:val="18"/>
          <w:szCs w:val="18"/>
          <w:color w:val="auto"/>
        </w:rPr>
        <w:t xml:space="preserve"> acquirer or licensee of the A</w:t>
      </w:r>
      <w:r>
        <w:rPr>
          <w:rFonts w:ascii="Arial" w:cs="Arial" w:eastAsia="Arial" w:hAnsi="Arial"/>
          <w:sz w:val="12"/>
          <w:szCs w:val="12"/>
          <w:color w:val="auto"/>
        </w:rPr>
        <w:t>FFIRIS</w:t>
      </w:r>
      <w:r>
        <w:rPr>
          <w:rFonts w:ascii="Arial" w:cs="Arial" w:eastAsia="Arial" w:hAnsi="Arial"/>
          <w:sz w:val="18"/>
          <w:szCs w:val="18"/>
          <w:color w:val="auto"/>
        </w:rPr>
        <w:t xml:space="preserve"> P</w:t>
      </w:r>
      <w:r>
        <w:rPr>
          <w:rFonts w:ascii="Arial" w:cs="Arial" w:eastAsia="Arial" w:hAnsi="Arial"/>
          <w:sz w:val="12"/>
          <w:szCs w:val="12"/>
          <w:color w:val="auto"/>
        </w:rPr>
        <w:t>ROGRAMS</w:t>
      </w:r>
      <w:r>
        <w:rPr>
          <w:rFonts w:ascii="Arial" w:cs="Arial" w:eastAsia="Arial" w:hAnsi="Arial"/>
          <w:sz w:val="18"/>
          <w:szCs w:val="18"/>
          <w:color w:val="auto"/>
        </w:rPr>
        <w:t xml:space="preserve"> without ACIU’s prior consent, provided that such transfer or sublicense of the L</w:t>
      </w:r>
      <w:r>
        <w:rPr>
          <w:rFonts w:ascii="Arial" w:cs="Arial" w:eastAsia="Arial" w:hAnsi="Arial"/>
          <w:sz w:val="12"/>
          <w:szCs w:val="12"/>
          <w:color w:val="auto"/>
        </w:rPr>
        <w:t>ICENSE</w:t>
      </w:r>
      <w:r>
        <w:rPr>
          <w:rFonts w:ascii="Arial" w:cs="Arial" w:eastAsia="Arial" w:hAnsi="Arial"/>
          <w:sz w:val="18"/>
          <w:szCs w:val="18"/>
          <w:color w:val="auto"/>
        </w:rPr>
        <w:t>-B</w:t>
      </w:r>
      <w:r>
        <w:rPr>
          <w:rFonts w:ascii="Arial" w:cs="Arial" w:eastAsia="Arial" w:hAnsi="Arial"/>
          <w:sz w:val="12"/>
          <w:szCs w:val="12"/>
          <w:color w:val="auto"/>
        </w:rPr>
        <w:t>ACK</w:t>
      </w:r>
      <w:r>
        <w:rPr>
          <w:rFonts w:ascii="Arial" w:cs="Arial" w:eastAsia="Arial" w:hAnsi="Arial"/>
          <w:sz w:val="18"/>
          <w:szCs w:val="18"/>
          <w:color w:val="auto"/>
        </w:rPr>
        <w:t xml:space="preserve"> to the acquirer or licensee will be conditional upon such acquirer or licensee confirming to ACIU in writing that it agrees to practice the L</w:t>
      </w:r>
      <w:r>
        <w:rPr>
          <w:rFonts w:ascii="Arial" w:cs="Arial" w:eastAsia="Arial" w:hAnsi="Arial"/>
          <w:sz w:val="12"/>
          <w:szCs w:val="12"/>
          <w:color w:val="auto"/>
        </w:rPr>
        <w:t>ICENSE</w:t>
      </w:r>
      <w:r>
        <w:rPr>
          <w:rFonts w:ascii="Arial" w:cs="Arial" w:eastAsia="Arial" w:hAnsi="Arial"/>
          <w:sz w:val="18"/>
          <w:szCs w:val="18"/>
          <w:color w:val="auto"/>
        </w:rPr>
        <w:t>-B</w:t>
      </w:r>
      <w:r>
        <w:rPr>
          <w:rFonts w:ascii="Arial" w:cs="Arial" w:eastAsia="Arial" w:hAnsi="Arial"/>
          <w:sz w:val="12"/>
          <w:szCs w:val="12"/>
          <w:color w:val="auto"/>
        </w:rPr>
        <w:t>ACK</w:t>
      </w:r>
      <w:r>
        <w:rPr>
          <w:rFonts w:ascii="Arial" w:cs="Arial" w:eastAsia="Arial" w:hAnsi="Arial"/>
          <w:sz w:val="18"/>
          <w:szCs w:val="18"/>
          <w:color w:val="auto"/>
        </w:rPr>
        <w:t xml:space="preserve"> subject to the conditions provided herein, and that it shall not challenge the validity of any P</w:t>
      </w:r>
      <w:r>
        <w:rPr>
          <w:rFonts w:ascii="Arial" w:cs="Arial" w:eastAsia="Arial" w:hAnsi="Arial"/>
          <w:sz w:val="12"/>
          <w:szCs w:val="12"/>
          <w:color w:val="auto"/>
        </w:rPr>
        <w:t>ROGRAMS</w:t>
      </w:r>
      <w:r>
        <w:rPr>
          <w:rFonts w:ascii="Arial" w:cs="Arial" w:eastAsia="Arial" w:hAnsi="Arial"/>
          <w:sz w:val="18"/>
          <w:szCs w:val="18"/>
          <w:color w:val="auto"/>
        </w:rPr>
        <w:t xml:space="preserve"> IP.</w:t>
      </w:r>
    </w:p>
    <w:p>
      <w:pPr>
        <w:spacing w:after="0" w:line="191"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w:t>
      </w:r>
      <w:r>
        <w:rPr>
          <w:rFonts w:ascii="Arial" w:cs="Arial" w:eastAsia="Arial" w:hAnsi="Arial"/>
          <w:sz w:val="12"/>
          <w:szCs w:val="12"/>
          <w:color w:val="auto"/>
        </w:rPr>
        <w:t>ARTIES</w:t>
      </w:r>
      <w:r>
        <w:rPr>
          <w:rFonts w:ascii="Arial" w:cs="Arial" w:eastAsia="Arial" w:hAnsi="Arial"/>
          <w:sz w:val="18"/>
          <w:szCs w:val="18"/>
          <w:color w:val="auto"/>
        </w:rPr>
        <w:t xml:space="preserve"> shall execute all documents or statements and give all declarations regarding the rights and licenses granted under and required for A</w:t>
      </w:r>
      <w:r>
        <w:rPr>
          <w:rFonts w:ascii="Arial" w:cs="Arial" w:eastAsia="Arial" w:hAnsi="Arial"/>
          <w:sz w:val="12"/>
          <w:szCs w:val="12"/>
          <w:color w:val="auto"/>
        </w:rPr>
        <w:t>FFIRIS</w:t>
      </w:r>
      <w:r>
        <w:rPr>
          <w:rFonts w:ascii="Arial" w:cs="Arial" w:eastAsia="Arial" w:hAnsi="Arial"/>
          <w:sz w:val="18"/>
          <w:szCs w:val="18"/>
          <w:color w:val="auto"/>
        </w:rPr>
        <w:t>, its sub-licensees and assignees for the use of the L</w:t>
      </w:r>
      <w:r>
        <w:rPr>
          <w:rFonts w:ascii="Arial" w:cs="Arial" w:eastAsia="Arial" w:hAnsi="Arial"/>
          <w:sz w:val="12"/>
          <w:szCs w:val="12"/>
          <w:color w:val="auto"/>
        </w:rPr>
        <w:t>ICENSE</w:t>
      </w:r>
      <w:r>
        <w:rPr>
          <w:rFonts w:ascii="Arial" w:cs="Arial" w:eastAsia="Arial" w:hAnsi="Arial"/>
          <w:sz w:val="18"/>
          <w:szCs w:val="18"/>
          <w:color w:val="auto"/>
        </w:rPr>
        <w:t>-B</w:t>
      </w:r>
      <w:r>
        <w:rPr>
          <w:rFonts w:ascii="Arial" w:cs="Arial" w:eastAsia="Arial" w:hAnsi="Arial"/>
          <w:sz w:val="12"/>
          <w:szCs w:val="12"/>
          <w:color w:val="auto"/>
        </w:rPr>
        <w:t>ACK</w:t>
      </w:r>
      <w:r>
        <w:rPr>
          <w:rFonts w:ascii="Arial" w:cs="Arial" w:eastAsia="Arial" w:hAnsi="Arial"/>
          <w:sz w:val="18"/>
          <w:szCs w:val="18"/>
          <w:color w:val="auto"/>
        </w:rPr>
        <w:t>.</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14.4</w:t>
      </w:r>
      <w:r>
        <w:rPr>
          <w:sz w:val="20"/>
          <w:szCs w:val="20"/>
          <w:color w:val="auto"/>
        </w:rPr>
        <w:tab/>
      </w:r>
      <w:r>
        <w:rPr>
          <w:rFonts w:ascii="Arial" w:cs="Arial" w:eastAsia="Arial" w:hAnsi="Arial"/>
          <w:sz w:val="17"/>
          <w:szCs w:val="17"/>
          <w:b w:val="1"/>
          <w:bCs w:val="1"/>
          <w:color w:val="auto"/>
        </w:rPr>
        <w:t>Covenant of A</w:t>
      </w:r>
      <w:r>
        <w:rPr>
          <w:rFonts w:ascii="Arial" w:cs="Arial" w:eastAsia="Arial" w:hAnsi="Arial"/>
          <w:sz w:val="11"/>
          <w:szCs w:val="11"/>
          <w:b w:val="1"/>
          <w:bCs w:val="1"/>
          <w:color w:val="auto"/>
        </w:rPr>
        <w:t>FFIRIS</w:t>
      </w:r>
      <w:r>
        <w:rPr>
          <w:rFonts w:ascii="Arial" w:cs="Arial" w:eastAsia="Arial" w:hAnsi="Arial"/>
          <w:sz w:val="17"/>
          <w:szCs w:val="17"/>
          <w:b w:val="1"/>
          <w:bCs w:val="1"/>
          <w:color w:val="auto"/>
        </w:rPr>
        <w:t xml:space="preserve"> regarding ACIU S</w:t>
      </w:r>
      <w:r>
        <w:rPr>
          <w:rFonts w:ascii="Arial" w:cs="Arial" w:eastAsia="Arial" w:hAnsi="Arial"/>
          <w:sz w:val="11"/>
          <w:szCs w:val="11"/>
          <w:b w:val="1"/>
          <w:bCs w:val="1"/>
          <w:color w:val="auto"/>
        </w:rPr>
        <w:t>HARES</w:t>
      </w:r>
    </w:p>
    <w:p>
      <w:pPr>
        <w:spacing w:after="0" w:line="220" w:lineRule="exact"/>
        <w:rPr>
          <w:sz w:val="20"/>
          <w:szCs w:val="20"/>
          <w:color w:val="auto"/>
        </w:rPr>
      </w:pPr>
    </w:p>
    <w:p>
      <w:pPr>
        <w:jc w:val="both"/>
        <w:ind w:left="660" w:hanging="652"/>
        <w:spacing w:after="0" w:line="237"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2"/>
          <w:szCs w:val="12"/>
          <w:color w:val="auto"/>
        </w:rPr>
        <w:t>FFIRIS</w:t>
      </w:r>
      <w:r>
        <w:rPr>
          <w:rFonts w:ascii="Arial" w:cs="Arial" w:eastAsia="Arial" w:hAnsi="Arial"/>
          <w:sz w:val="18"/>
          <w:szCs w:val="18"/>
          <w:color w:val="auto"/>
        </w:rPr>
        <w:t xml:space="preserve"> understands that (i) the ACIU S</w:t>
      </w:r>
      <w:r>
        <w:rPr>
          <w:rFonts w:ascii="Arial" w:cs="Arial" w:eastAsia="Arial" w:hAnsi="Arial"/>
          <w:sz w:val="12"/>
          <w:szCs w:val="12"/>
          <w:color w:val="auto"/>
        </w:rPr>
        <w:t>HARES</w:t>
      </w:r>
      <w:r>
        <w:rPr>
          <w:rFonts w:ascii="Arial" w:cs="Arial" w:eastAsia="Arial" w:hAnsi="Arial"/>
          <w:sz w:val="18"/>
          <w:szCs w:val="18"/>
          <w:color w:val="auto"/>
        </w:rPr>
        <w:t xml:space="preserve"> issuable as P</w:t>
      </w:r>
      <w:r>
        <w:rPr>
          <w:rFonts w:ascii="Arial" w:cs="Arial" w:eastAsia="Arial" w:hAnsi="Arial"/>
          <w:sz w:val="12"/>
          <w:szCs w:val="12"/>
          <w:color w:val="auto"/>
        </w:rPr>
        <w:t>URCHASE</w:t>
      </w:r>
      <w:r>
        <w:rPr>
          <w:rFonts w:ascii="Arial" w:cs="Arial" w:eastAsia="Arial" w:hAnsi="Arial"/>
          <w:sz w:val="18"/>
          <w:szCs w:val="18"/>
          <w:color w:val="auto"/>
        </w:rPr>
        <w:t xml:space="preserve"> P</w:t>
      </w:r>
      <w:r>
        <w:rPr>
          <w:rFonts w:ascii="Arial" w:cs="Arial" w:eastAsia="Arial" w:hAnsi="Arial"/>
          <w:sz w:val="12"/>
          <w:szCs w:val="12"/>
          <w:color w:val="auto"/>
        </w:rPr>
        <w:t>RICE</w:t>
      </w:r>
      <w:r>
        <w:rPr>
          <w:rFonts w:ascii="Arial" w:cs="Arial" w:eastAsia="Arial" w:hAnsi="Arial"/>
          <w:sz w:val="18"/>
          <w:szCs w:val="18"/>
          <w:color w:val="auto"/>
        </w:rPr>
        <w:t xml:space="preserve"> hereunder will be issued in a transaction not involving any public offering within the meaning of the S</w:t>
      </w:r>
      <w:r>
        <w:rPr>
          <w:rFonts w:ascii="Arial" w:cs="Arial" w:eastAsia="Arial" w:hAnsi="Arial"/>
          <w:sz w:val="12"/>
          <w:szCs w:val="12"/>
          <w:color w:val="auto"/>
        </w:rPr>
        <w:t>ECURITIES</w:t>
      </w:r>
      <w:r>
        <w:rPr>
          <w:rFonts w:ascii="Arial" w:cs="Arial" w:eastAsia="Arial" w:hAnsi="Arial"/>
          <w:sz w:val="18"/>
          <w:szCs w:val="18"/>
          <w:color w:val="auto"/>
        </w:rPr>
        <w:t xml:space="preserve"> A</w:t>
      </w:r>
      <w:r>
        <w:rPr>
          <w:rFonts w:ascii="Arial" w:cs="Arial" w:eastAsia="Arial" w:hAnsi="Arial"/>
          <w:sz w:val="12"/>
          <w:szCs w:val="12"/>
          <w:color w:val="auto"/>
        </w:rPr>
        <w:t>CT</w:t>
      </w:r>
      <w:r>
        <w:rPr>
          <w:rFonts w:ascii="Arial" w:cs="Arial" w:eastAsia="Arial" w:hAnsi="Arial"/>
          <w:sz w:val="18"/>
          <w:szCs w:val="18"/>
          <w:color w:val="auto"/>
        </w:rPr>
        <w:t xml:space="preserve"> and that such ACIU S</w:t>
      </w:r>
      <w:r>
        <w:rPr>
          <w:rFonts w:ascii="Arial" w:cs="Arial" w:eastAsia="Arial" w:hAnsi="Arial"/>
          <w:sz w:val="12"/>
          <w:szCs w:val="12"/>
          <w:color w:val="auto"/>
        </w:rPr>
        <w:t>HARES</w:t>
      </w:r>
      <w:r>
        <w:rPr>
          <w:rFonts w:ascii="Arial" w:cs="Arial" w:eastAsia="Arial" w:hAnsi="Arial"/>
          <w:sz w:val="18"/>
          <w:szCs w:val="18"/>
          <w:color w:val="auto"/>
        </w:rPr>
        <w:t xml:space="preserve"> have not been registered under the S</w:t>
      </w:r>
      <w:r>
        <w:rPr>
          <w:rFonts w:ascii="Arial" w:cs="Arial" w:eastAsia="Arial" w:hAnsi="Arial"/>
          <w:sz w:val="12"/>
          <w:szCs w:val="12"/>
          <w:color w:val="auto"/>
        </w:rPr>
        <w:t>ECURITIES</w:t>
      </w:r>
      <w:r>
        <w:rPr>
          <w:rFonts w:ascii="Arial" w:cs="Arial" w:eastAsia="Arial" w:hAnsi="Arial"/>
          <w:sz w:val="18"/>
          <w:szCs w:val="18"/>
          <w:color w:val="auto"/>
        </w:rPr>
        <w:t xml:space="preserve"> A</w:t>
      </w:r>
      <w:r>
        <w:rPr>
          <w:rFonts w:ascii="Arial" w:cs="Arial" w:eastAsia="Arial" w:hAnsi="Arial"/>
          <w:sz w:val="12"/>
          <w:szCs w:val="12"/>
          <w:color w:val="auto"/>
        </w:rPr>
        <w:t>CT</w:t>
      </w:r>
      <w:r>
        <w:rPr>
          <w:rFonts w:ascii="Arial" w:cs="Arial" w:eastAsia="Arial" w:hAnsi="Arial"/>
          <w:sz w:val="18"/>
          <w:szCs w:val="18"/>
          <w:color w:val="auto"/>
        </w:rPr>
        <w:t>, (ii) such ACIU S</w:t>
      </w:r>
      <w:r>
        <w:rPr>
          <w:rFonts w:ascii="Arial" w:cs="Arial" w:eastAsia="Arial" w:hAnsi="Arial"/>
          <w:sz w:val="12"/>
          <w:szCs w:val="12"/>
          <w:color w:val="auto"/>
        </w:rPr>
        <w:t>HARES</w:t>
      </w:r>
      <w:r>
        <w:rPr>
          <w:rFonts w:ascii="Arial" w:cs="Arial" w:eastAsia="Arial" w:hAnsi="Arial"/>
          <w:sz w:val="18"/>
          <w:szCs w:val="18"/>
          <w:color w:val="auto"/>
        </w:rPr>
        <w:t xml:space="preserve"> may not be resold, transferred, pledged or otherwise disposed of by A</w:t>
      </w:r>
      <w:r>
        <w:rPr>
          <w:rFonts w:ascii="Arial" w:cs="Arial" w:eastAsia="Arial" w:hAnsi="Arial"/>
          <w:sz w:val="12"/>
          <w:szCs w:val="12"/>
          <w:color w:val="auto"/>
        </w:rPr>
        <w:t>FFIRIS</w:t>
      </w:r>
      <w:r>
        <w:rPr>
          <w:rFonts w:ascii="Arial" w:cs="Arial" w:eastAsia="Arial" w:hAnsi="Arial"/>
          <w:sz w:val="18"/>
          <w:szCs w:val="18"/>
          <w:color w:val="auto"/>
        </w:rPr>
        <w:t xml:space="preserve"> absent an effective registration statement under the S</w:t>
      </w:r>
      <w:r>
        <w:rPr>
          <w:rFonts w:ascii="Arial" w:cs="Arial" w:eastAsia="Arial" w:hAnsi="Arial"/>
          <w:sz w:val="12"/>
          <w:szCs w:val="12"/>
          <w:color w:val="auto"/>
        </w:rPr>
        <w:t>ECURITIES</w:t>
      </w:r>
      <w:r>
        <w:rPr>
          <w:rFonts w:ascii="Arial" w:cs="Arial" w:eastAsia="Arial" w:hAnsi="Arial"/>
          <w:sz w:val="18"/>
          <w:szCs w:val="18"/>
          <w:color w:val="auto"/>
        </w:rPr>
        <w:t xml:space="preserve"> A</w:t>
      </w:r>
      <w:r>
        <w:rPr>
          <w:rFonts w:ascii="Arial" w:cs="Arial" w:eastAsia="Arial" w:hAnsi="Arial"/>
          <w:sz w:val="12"/>
          <w:szCs w:val="12"/>
          <w:color w:val="auto"/>
        </w:rPr>
        <w:t>CT</w:t>
      </w:r>
      <w:r>
        <w:rPr>
          <w:rFonts w:ascii="Arial" w:cs="Arial" w:eastAsia="Arial" w:hAnsi="Arial"/>
          <w:sz w:val="18"/>
          <w:szCs w:val="18"/>
          <w:color w:val="auto"/>
        </w:rPr>
        <w:t>, except, subject to the holding period of the ACIU S</w:t>
      </w:r>
      <w:r>
        <w:rPr>
          <w:rFonts w:ascii="Arial" w:cs="Arial" w:eastAsia="Arial" w:hAnsi="Arial"/>
          <w:sz w:val="12"/>
          <w:szCs w:val="12"/>
          <w:color w:val="auto"/>
        </w:rPr>
        <w:t>HARES</w:t>
      </w:r>
      <w:r>
        <w:rPr>
          <w:rFonts w:ascii="Arial" w:cs="Arial" w:eastAsia="Arial" w:hAnsi="Arial"/>
          <w:sz w:val="18"/>
          <w:szCs w:val="18"/>
          <w:color w:val="auto"/>
        </w:rPr>
        <w:t xml:space="preserve"> agreed to between ACIU and the A</w:t>
      </w:r>
      <w:r>
        <w:rPr>
          <w:rFonts w:ascii="Arial" w:cs="Arial" w:eastAsia="Arial" w:hAnsi="Arial"/>
          <w:sz w:val="12"/>
          <w:szCs w:val="12"/>
          <w:color w:val="auto"/>
        </w:rPr>
        <w:t>FFIRIS</w:t>
      </w:r>
      <w:r>
        <w:rPr>
          <w:rFonts w:ascii="Arial" w:cs="Arial" w:eastAsia="Arial" w:hAnsi="Arial"/>
          <w:sz w:val="18"/>
          <w:szCs w:val="18"/>
          <w:color w:val="auto"/>
        </w:rPr>
        <w:t xml:space="preserve"> S</w:t>
      </w:r>
      <w:r>
        <w:rPr>
          <w:rFonts w:ascii="Arial" w:cs="Arial" w:eastAsia="Arial" w:hAnsi="Arial"/>
          <w:sz w:val="12"/>
          <w:szCs w:val="12"/>
          <w:color w:val="auto"/>
        </w:rPr>
        <w:t>HAREHOLDERS</w:t>
      </w:r>
      <w:r>
        <w:rPr>
          <w:rFonts w:ascii="Arial" w:cs="Arial" w:eastAsia="Arial" w:hAnsi="Arial"/>
          <w:sz w:val="18"/>
          <w:szCs w:val="18"/>
          <w:color w:val="auto"/>
        </w:rPr>
        <w:t>, (a) to ACIU or a subsidiary thereof, (b) to non-U.S. persons pursuant to offers and sales that occur solely outside the United</w:t>
      </w:r>
    </w:p>
    <w:p>
      <w:pPr>
        <w:spacing w:after="0" w:line="29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color w:val="auto"/>
        </w:rPr>
        <w:t>CERTAIN CONFIDENTIAL PORTIONS HAVE BEEN REDACTED FROM THIS EXHIBIT BECAUSE THEY ARE BOTH (i) NOT MATERIAL AND (ii) IS THE TYPE THAT THE COMPANY TREATS AS PRIVATE OR CONFIDENTIAL. INFORMATION THAT HAS BEEN OMITTED HAD BEEN IDENTIFIED IN THIS DOCUMENT WITH A PLACEHOLDER IDENTIFIED BY THE MARK “[*****]”.</w:t>
      </w:r>
    </w:p>
    <w:p>
      <w:pPr>
        <w:spacing w:after="0" w:line="189" w:lineRule="exact"/>
        <w:rPr>
          <w:sz w:val="20"/>
          <w:szCs w:val="20"/>
          <w:color w:val="auto"/>
        </w:rPr>
      </w:pPr>
    </w:p>
    <w:p>
      <w:pPr>
        <w:jc w:val="both"/>
        <w:ind w:left="660"/>
        <w:spacing w:after="0" w:line="249" w:lineRule="auto"/>
        <w:rPr>
          <w:sz w:val="20"/>
          <w:szCs w:val="20"/>
          <w:color w:val="auto"/>
        </w:rPr>
      </w:pPr>
      <w:r>
        <w:rPr>
          <w:rFonts w:ascii="Arial" w:cs="Arial" w:eastAsia="Arial" w:hAnsi="Arial"/>
          <w:sz w:val="18"/>
          <w:szCs w:val="18"/>
          <w:color w:val="auto"/>
        </w:rPr>
        <w:t>States within the meaning of Regulation S under the S</w:t>
      </w:r>
      <w:r>
        <w:rPr>
          <w:rFonts w:ascii="Arial" w:cs="Arial" w:eastAsia="Arial" w:hAnsi="Arial"/>
          <w:sz w:val="12"/>
          <w:szCs w:val="12"/>
          <w:color w:val="auto"/>
        </w:rPr>
        <w:t>ECURITIES</w:t>
      </w:r>
      <w:r>
        <w:rPr>
          <w:rFonts w:ascii="Arial" w:cs="Arial" w:eastAsia="Arial" w:hAnsi="Arial"/>
          <w:sz w:val="18"/>
          <w:szCs w:val="18"/>
          <w:color w:val="auto"/>
        </w:rPr>
        <w:t xml:space="preserve"> A</w:t>
      </w:r>
      <w:r>
        <w:rPr>
          <w:rFonts w:ascii="Arial" w:cs="Arial" w:eastAsia="Arial" w:hAnsi="Arial"/>
          <w:sz w:val="12"/>
          <w:szCs w:val="12"/>
          <w:color w:val="auto"/>
        </w:rPr>
        <w:t>CT</w:t>
      </w:r>
      <w:r>
        <w:rPr>
          <w:rFonts w:ascii="Arial" w:cs="Arial" w:eastAsia="Arial" w:hAnsi="Arial"/>
          <w:sz w:val="18"/>
          <w:szCs w:val="18"/>
          <w:color w:val="auto"/>
        </w:rPr>
        <w:t xml:space="preserve"> or (c) pursuant to another applicable exemption from the registration requirements of the S</w:t>
      </w:r>
      <w:r>
        <w:rPr>
          <w:rFonts w:ascii="Arial" w:cs="Arial" w:eastAsia="Arial" w:hAnsi="Arial"/>
          <w:sz w:val="12"/>
          <w:szCs w:val="12"/>
          <w:color w:val="auto"/>
        </w:rPr>
        <w:t>ECURITIES</w:t>
      </w:r>
      <w:r>
        <w:rPr>
          <w:rFonts w:ascii="Arial" w:cs="Arial" w:eastAsia="Arial" w:hAnsi="Arial"/>
          <w:sz w:val="18"/>
          <w:szCs w:val="18"/>
          <w:color w:val="auto"/>
        </w:rPr>
        <w:t xml:space="preserve"> A</w:t>
      </w:r>
      <w:r>
        <w:rPr>
          <w:rFonts w:ascii="Arial" w:cs="Arial" w:eastAsia="Arial" w:hAnsi="Arial"/>
          <w:sz w:val="12"/>
          <w:szCs w:val="12"/>
          <w:color w:val="auto"/>
        </w:rPr>
        <w:t>CT</w:t>
      </w:r>
      <w:r>
        <w:rPr>
          <w:rFonts w:ascii="Arial" w:cs="Arial" w:eastAsia="Arial" w:hAnsi="Arial"/>
          <w:sz w:val="18"/>
          <w:szCs w:val="18"/>
          <w:color w:val="auto"/>
        </w:rPr>
        <w:t>, and in each of cases (a), (b) and (c), in accordance with any applicable securities laws of the United States and any other jurisdiction, and (iii) such ACIU S</w:t>
      </w:r>
      <w:r>
        <w:rPr>
          <w:rFonts w:ascii="Arial" w:cs="Arial" w:eastAsia="Arial" w:hAnsi="Arial"/>
          <w:sz w:val="12"/>
          <w:szCs w:val="12"/>
          <w:color w:val="auto"/>
        </w:rPr>
        <w:t>HARES</w:t>
      </w:r>
      <w:r>
        <w:rPr>
          <w:rFonts w:ascii="Arial" w:cs="Arial" w:eastAsia="Arial" w:hAnsi="Arial"/>
          <w:sz w:val="18"/>
          <w:szCs w:val="18"/>
          <w:color w:val="auto"/>
        </w:rPr>
        <w:t xml:space="preserve"> shall be subject to a legend to such effect (provided that such legends will be eligible for removal upon compliance with the relevant resale provisions of Rule 144 promulgated under the S</w:t>
      </w:r>
      <w:r>
        <w:rPr>
          <w:rFonts w:ascii="Arial" w:cs="Arial" w:eastAsia="Arial" w:hAnsi="Arial"/>
          <w:sz w:val="12"/>
          <w:szCs w:val="12"/>
          <w:color w:val="auto"/>
        </w:rPr>
        <w:t>ECURITIES</w:t>
      </w:r>
      <w:r>
        <w:rPr>
          <w:rFonts w:ascii="Arial" w:cs="Arial" w:eastAsia="Arial" w:hAnsi="Arial"/>
          <w:sz w:val="18"/>
          <w:szCs w:val="18"/>
          <w:color w:val="auto"/>
        </w:rPr>
        <w:t xml:space="preserve"> A</w:t>
      </w:r>
      <w:r>
        <w:rPr>
          <w:rFonts w:ascii="Arial" w:cs="Arial" w:eastAsia="Arial" w:hAnsi="Arial"/>
          <w:sz w:val="12"/>
          <w:szCs w:val="12"/>
          <w:color w:val="auto"/>
        </w:rPr>
        <w:t>CT</w:t>
      </w:r>
      <w:r>
        <w:rPr>
          <w:rFonts w:ascii="Arial" w:cs="Arial" w:eastAsia="Arial" w:hAnsi="Arial"/>
          <w:sz w:val="18"/>
          <w:szCs w:val="18"/>
          <w:color w:val="auto"/>
        </w:rPr>
        <w:t>).</w:t>
      </w:r>
    </w:p>
    <w:p>
      <w:pPr>
        <w:spacing w:after="0" w:line="182" w:lineRule="exact"/>
        <w:rPr>
          <w:sz w:val="20"/>
          <w:szCs w:val="20"/>
          <w:color w:val="auto"/>
        </w:rPr>
      </w:pPr>
    </w:p>
    <w:p>
      <w:pPr>
        <w:jc w:val="both"/>
        <w:ind w:left="660" w:hanging="652"/>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2"/>
          <w:szCs w:val="12"/>
          <w:color w:val="auto"/>
        </w:rPr>
        <w:t>FFIRIS</w:t>
      </w:r>
      <w:r>
        <w:rPr>
          <w:rFonts w:ascii="Arial" w:cs="Arial" w:eastAsia="Arial" w:hAnsi="Arial"/>
          <w:sz w:val="18"/>
          <w:szCs w:val="18"/>
          <w:color w:val="auto"/>
        </w:rPr>
        <w:t xml:space="preserve"> hereby undertakes to observe, and to procure that its beneficial owners observe, respectively, the disclosure requirements for significant shareholdings in accordance with the applicable securities and corporate laws and any other requirements imposed by applicable laws or regulations in connection with the issuance of the ACIU S</w:t>
      </w:r>
      <w:r>
        <w:rPr>
          <w:rFonts w:ascii="Arial" w:cs="Arial" w:eastAsia="Arial" w:hAnsi="Arial"/>
          <w:sz w:val="12"/>
          <w:szCs w:val="12"/>
          <w:color w:val="auto"/>
        </w:rPr>
        <w:t>HARES</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660" w:right="20" w:hanging="652"/>
        <w:spacing w:after="0" w:line="246"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2"/>
          <w:szCs w:val="12"/>
          <w:color w:val="auto"/>
        </w:rPr>
        <w:t>FFIRIS</w:t>
      </w:r>
      <w:r>
        <w:rPr>
          <w:rFonts w:ascii="Arial" w:cs="Arial" w:eastAsia="Arial" w:hAnsi="Arial"/>
          <w:sz w:val="18"/>
          <w:szCs w:val="18"/>
          <w:color w:val="auto"/>
        </w:rPr>
        <w:t xml:space="preserve"> undertakes not to take any action, and to procure that none of its </w:t>
      </w:r>
      <w:r>
        <w:rPr>
          <w:rFonts w:ascii="Arial" w:cs="Arial" w:eastAsia="Arial" w:hAnsi="Arial"/>
          <w:sz w:val="12"/>
          <w:szCs w:val="12"/>
          <w:color w:val="auto"/>
        </w:rPr>
        <w:t>AFFILIATES</w:t>
      </w:r>
      <w:r>
        <w:rPr>
          <w:rFonts w:ascii="Arial" w:cs="Arial" w:eastAsia="Arial" w:hAnsi="Arial"/>
          <w:sz w:val="18"/>
          <w:szCs w:val="18"/>
          <w:color w:val="auto"/>
        </w:rPr>
        <w:t xml:space="preserve"> or any person acting on its behalf takes any action, in any jurisdiction that would constitute a public offering of the ACIU S</w:t>
      </w:r>
      <w:r>
        <w:rPr>
          <w:rFonts w:ascii="Arial" w:cs="Arial" w:eastAsia="Arial" w:hAnsi="Arial"/>
          <w:sz w:val="12"/>
          <w:szCs w:val="12"/>
          <w:color w:val="auto"/>
        </w:rPr>
        <w:t>HARES</w:t>
      </w:r>
      <w:r>
        <w:rPr>
          <w:rFonts w:ascii="Arial" w:cs="Arial" w:eastAsia="Arial" w:hAnsi="Arial"/>
          <w:sz w:val="18"/>
          <w:szCs w:val="18"/>
          <w:color w:val="auto"/>
        </w:rPr>
        <w:t xml:space="preserve"> pursuant to any applicable law or regulation.</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14.5</w:t>
      </w:r>
      <w:r>
        <w:rPr>
          <w:sz w:val="20"/>
          <w:szCs w:val="20"/>
          <w:color w:val="auto"/>
        </w:rPr>
        <w:tab/>
      </w:r>
      <w:r>
        <w:rPr>
          <w:rFonts w:ascii="Arial" w:cs="Arial" w:eastAsia="Arial" w:hAnsi="Arial"/>
          <w:sz w:val="17"/>
          <w:szCs w:val="17"/>
          <w:b w:val="1"/>
          <w:bCs w:val="1"/>
          <w:color w:val="auto"/>
        </w:rPr>
        <w:t>Non-Competition / Non-Solicitation</w:t>
      </w:r>
    </w:p>
    <w:p>
      <w:pPr>
        <w:spacing w:after="0" w:line="220" w:lineRule="exact"/>
        <w:rPr>
          <w:sz w:val="20"/>
          <w:szCs w:val="20"/>
          <w:color w:val="auto"/>
        </w:rPr>
      </w:pPr>
    </w:p>
    <w:p>
      <w:pPr>
        <w:ind w:left="660" w:right="20" w:hanging="652"/>
        <w:spacing w:after="0" w:line="246"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2"/>
          <w:szCs w:val="12"/>
          <w:color w:val="auto"/>
        </w:rPr>
        <w:t>FFIRIS</w:t>
      </w:r>
      <w:r>
        <w:rPr>
          <w:rFonts w:ascii="Arial" w:cs="Arial" w:eastAsia="Arial" w:hAnsi="Arial"/>
          <w:sz w:val="18"/>
          <w:szCs w:val="18"/>
          <w:color w:val="auto"/>
        </w:rPr>
        <w:t xml:space="preserve"> hereby undertakes for a period of [*****] years from C</w:t>
      </w:r>
      <w:r>
        <w:rPr>
          <w:rFonts w:ascii="Arial" w:cs="Arial" w:eastAsia="Arial" w:hAnsi="Arial"/>
          <w:sz w:val="12"/>
          <w:szCs w:val="12"/>
          <w:color w:val="auto"/>
        </w:rPr>
        <w:t>LOSING</w:t>
      </w:r>
      <w:r>
        <w:rPr>
          <w:rFonts w:ascii="Arial" w:cs="Arial" w:eastAsia="Arial" w:hAnsi="Arial"/>
          <w:sz w:val="18"/>
          <w:szCs w:val="18"/>
          <w:color w:val="auto"/>
        </w:rPr>
        <w:t>, not to directly or indirectly, be it as principal, employee, consultant or otherwise</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compete with ACIU with regard to the P</w:t>
      </w:r>
      <w:r>
        <w:rPr>
          <w:rFonts w:ascii="Arial" w:cs="Arial" w:eastAsia="Arial" w:hAnsi="Arial"/>
          <w:sz w:val="12"/>
          <w:szCs w:val="12"/>
          <w:color w:val="auto"/>
        </w:rPr>
        <w:t>ROGRAMS</w:t>
      </w:r>
      <w:r>
        <w:rPr>
          <w:rFonts w:ascii="Arial" w:cs="Arial" w:eastAsia="Arial" w:hAnsi="Arial"/>
          <w:sz w:val="18"/>
          <w:szCs w:val="18"/>
          <w:color w:val="auto"/>
        </w:rPr>
        <w:t>, including, for clarity, with regard to T</w:t>
      </w:r>
      <w:r>
        <w:rPr>
          <w:rFonts w:ascii="Arial" w:cs="Arial" w:eastAsia="Arial" w:hAnsi="Arial"/>
          <w:sz w:val="12"/>
          <w:szCs w:val="12"/>
          <w:color w:val="auto"/>
        </w:rPr>
        <w:t>ARGETS</w:t>
      </w:r>
      <w:r>
        <w:rPr>
          <w:rFonts w:ascii="Arial" w:cs="Arial" w:eastAsia="Arial" w:hAnsi="Arial"/>
          <w:sz w:val="18"/>
          <w:szCs w:val="18"/>
          <w:color w:val="auto"/>
        </w:rPr>
        <w:t xml:space="preserve"> in any way;</w:t>
      </w:r>
    </w:p>
    <w:p>
      <w:pPr>
        <w:spacing w:after="0" w:line="198" w:lineRule="exact"/>
        <w:rPr>
          <w:rFonts w:ascii="Arial" w:cs="Arial" w:eastAsia="Arial" w:hAnsi="Arial"/>
          <w:sz w:val="18"/>
          <w:szCs w:val="18"/>
          <w:color w:val="auto"/>
        </w:rPr>
      </w:pPr>
    </w:p>
    <w:p>
      <w:pPr>
        <w:ind w:left="1300" w:hanging="644"/>
        <w:spacing w:after="0" w:line="246" w:lineRule="auto"/>
        <w:tabs>
          <w:tab w:leader="none" w:pos="13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invest in, or lend money to, any T</w:t>
      </w:r>
      <w:r>
        <w:rPr>
          <w:rFonts w:ascii="Arial" w:cs="Arial" w:eastAsia="Arial" w:hAnsi="Arial"/>
          <w:sz w:val="12"/>
          <w:szCs w:val="12"/>
          <w:color w:val="auto"/>
        </w:rPr>
        <w:t>HIRD</w:t>
      </w:r>
      <w:r>
        <w:rPr>
          <w:rFonts w:ascii="Arial" w:cs="Arial" w:eastAsia="Arial" w:hAnsi="Arial"/>
          <w:sz w:val="18"/>
          <w:szCs w:val="18"/>
          <w:color w:val="auto"/>
        </w:rPr>
        <w:t xml:space="preserve"> P</w:t>
      </w:r>
      <w:r>
        <w:rPr>
          <w:rFonts w:ascii="Arial" w:cs="Arial" w:eastAsia="Arial" w:hAnsi="Arial"/>
          <w:sz w:val="12"/>
          <w:szCs w:val="12"/>
          <w:color w:val="auto"/>
        </w:rPr>
        <w:t>ARTY</w:t>
      </w:r>
      <w:r>
        <w:rPr>
          <w:rFonts w:ascii="Arial" w:cs="Arial" w:eastAsia="Arial" w:hAnsi="Arial"/>
          <w:sz w:val="18"/>
          <w:szCs w:val="18"/>
          <w:color w:val="auto"/>
        </w:rPr>
        <w:t xml:space="preserve"> directly or indirectly competing with ACIU (other than investments in a listed company not exceeding 5% of its voting rights);</w:t>
      </w:r>
    </w:p>
    <w:p>
      <w:pPr>
        <w:spacing w:after="0" w:line="183" w:lineRule="exact"/>
        <w:rPr>
          <w:rFonts w:ascii="Arial" w:cs="Arial" w:eastAsia="Arial" w:hAnsi="Arial"/>
          <w:sz w:val="18"/>
          <w:szCs w:val="18"/>
          <w:color w:val="auto"/>
        </w:rPr>
      </w:pPr>
    </w:p>
    <w:p>
      <w:pPr>
        <w:ind w:left="1300" w:hanging="644"/>
        <w:spacing w:after="0" w:line="246" w:lineRule="auto"/>
        <w:tabs>
          <w:tab w:leader="none" w:pos="13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solicit or entice away any employee, customer, supplier or other business partner of ACIU or discourage any T</w:t>
      </w:r>
      <w:r>
        <w:rPr>
          <w:rFonts w:ascii="Arial" w:cs="Arial" w:eastAsia="Arial" w:hAnsi="Arial"/>
          <w:sz w:val="12"/>
          <w:szCs w:val="12"/>
          <w:color w:val="auto"/>
        </w:rPr>
        <w:t>HIRD</w:t>
      </w:r>
      <w:r>
        <w:rPr>
          <w:rFonts w:ascii="Arial" w:cs="Arial" w:eastAsia="Arial" w:hAnsi="Arial"/>
          <w:sz w:val="18"/>
          <w:szCs w:val="18"/>
          <w:color w:val="auto"/>
        </w:rPr>
        <w:t xml:space="preserve"> P</w:t>
      </w:r>
      <w:r>
        <w:rPr>
          <w:rFonts w:ascii="Arial" w:cs="Arial" w:eastAsia="Arial" w:hAnsi="Arial"/>
          <w:sz w:val="12"/>
          <w:szCs w:val="12"/>
          <w:color w:val="auto"/>
        </w:rPr>
        <w:t>ARTY</w:t>
      </w:r>
      <w:r>
        <w:rPr>
          <w:rFonts w:ascii="Arial" w:cs="Arial" w:eastAsia="Arial" w:hAnsi="Arial"/>
          <w:sz w:val="18"/>
          <w:szCs w:val="18"/>
          <w:color w:val="auto"/>
        </w:rPr>
        <w:t xml:space="preserve"> from doing business with ACIU; or</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assist any T</w:t>
      </w:r>
      <w:r>
        <w:rPr>
          <w:rFonts w:ascii="Arial" w:cs="Arial" w:eastAsia="Arial" w:hAnsi="Arial"/>
          <w:sz w:val="12"/>
          <w:szCs w:val="12"/>
          <w:color w:val="auto"/>
        </w:rPr>
        <w:t>HIRD</w:t>
      </w:r>
      <w:r>
        <w:rPr>
          <w:rFonts w:ascii="Arial" w:cs="Arial" w:eastAsia="Arial" w:hAnsi="Arial"/>
          <w:sz w:val="18"/>
          <w:szCs w:val="18"/>
          <w:color w:val="auto"/>
        </w:rPr>
        <w:t xml:space="preserve"> P</w:t>
      </w:r>
      <w:r>
        <w:rPr>
          <w:rFonts w:ascii="Arial" w:cs="Arial" w:eastAsia="Arial" w:hAnsi="Arial"/>
          <w:sz w:val="12"/>
          <w:szCs w:val="12"/>
          <w:color w:val="auto"/>
        </w:rPr>
        <w:t>ARTY</w:t>
      </w:r>
      <w:r>
        <w:rPr>
          <w:rFonts w:ascii="Arial" w:cs="Arial" w:eastAsia="Arial" w:hAnsi="Arial"/>
          <w:sz w:val="18"/>
          <w:szCs w:val="18"/>
          <w:color w:val="auto"/>
        </w:rPr>
        <w:t xml:space="preserve"> in doing, or facilitate, any of the above.</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8"/>
          <w:szCs w:val="18"/>
          <w:b w:val="1"/>
          <w:bCs w:val="1"/>
          <w:color w:val="auto"/>
        </w:rPr>
        <w:t>Procedure for T</w:t>
      </w:r>
      <w:r>
        <w:rPr>
          <w:rFonts w:ascii="Arial" w:cs="Arial" w:eastAsia="Arial" w:hAnsi="Arial"/>
          <w:sz w:val="12"/>
          <w:szCs w:val="12"/>
          <w:b w:val="1"/>
          <w:bCs w:val="1"/>
          <w:color w:val="auto"/>
        </w:rPr>
        <w:t>HIRD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ARTY</w:t>
      </w:r>
      <w:r>
        <w:rPr>
          <w:rFonts w:ascii="Arial" w:cs="Arial" w:eastAsia="Arial" w:hAnsi="Arial"/>
          <w:sz w:val="18"/>
          <w:szCs w:val="18"/>
          <w:b w:val="1"/>
          <w:bCs w:val="1"/>
          <w:color w:val="auto"/>
        </w:rPr>
        <w:t xml:space="preserve"> claims</w:t>
      </w:r>
    </w:p>
    <w:p>
      <w:pPr>
        <w:spacing w:after="0" w:line="220" w:lineRule="exact"/>
        <w:rPr>
          <w:sz w:val="20"/>
          <w:szCs w:val="20"/>
          <w:color w:val="auto"/>
        </w:rPr>
      </w:pPr>
    </w:p>
    <w:p>
      <w:pPr>
        <w:jc w:val="both"/>
        <w:ind w:left="660" w:hanging="652"/>
        <w:spacing w:after="0" w:line="236"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case of any claim brought or threatened by a T</w:t>
      </w:r>
      <w:r>
        <w:rPr>
          <w:rFonts w:ascii="Arial" w:cs="Arial" w:eastAsia="Arial" w:hAnsi="Arial"/>
          <w:sz w:val="12"/>
          <w:szCs w:val="12"/>
          <w:color w:val="auto"/>
        </w:rPr>
        <w:t>HIRD</w:t>
      </w:r>
      <w:r>
        <w:rPr>
          <w:rFonts w:ascii="Arial" w:cs="Arial" w:eastAsia="Arial" w:hAnsi="Arial"/>
          <w:sz w:val="18"/>
          <w:szCs w:val="18"/>
          <w:color w:val="auto"/>
        </w:rPr>
        <w:t xml:space="preserve"> P</w:t>
      </w:r>
      <w:r>
        <w:rPr>
          <w:rFonts w:ascii="Arial" w:cs="Arial" w:eastAsia="Arial" w:hAnsi="Arial"/>
          <w:sz w:val="12"/>
          <w:szCs w:val="12"/>
          <w:color w:val="auto"/>
        </w:rPr>
        <w:t>ARTY</w:t>
      </w:r>
      <w:r>
        <w:rPr>
          <w:rFonts w:ascii="Arial" w:cs="Arial" w:eastAsia="Arial" w:hAnsi="Arial"/>
          <w:sz w:val="18"/>
          <w:szCs w:val="18"/>
          <w:color w:val="auto"/>
        </w:rPr>
        <w:t>, including claims brought by any public authority, against one P</w:t>
      </w:r>
      <w:r>
        <w:rPr>
          <w:rFonts w:ascii="Arial" w:cs="Arial" w:eastAsia="Arial" w:hAnsi="Arial"/>
          <w:sz w:val="12"/>
          <w:szCs w:val="12"/>
          <w:color w:val="auto"/>
        </w:rPr>
        <w:t>ARTY</w:t>
      </w:r>
      <w:r>
        <w:rPr>
          <w:rFonts w:ascii="Arial" w:cs="Arial" w:eastAsia="Arial" w:hAnsi="Arial"/>
          <w:sz w:val="18"/>
          <w:szCs w:val="18"/>
          <w:color w:val="auto"/>
        </w:rPr>
        <w:t xml:space="preserve"> (such P</w:t>
      </w:r>
      <w:r>
        <w:rPr>
          <w:rFonts w:ascii="Arial" w:cs="Arial" w:eastAsia="Arial" w:hAnsi="Arial"/>
          <w:sz w:val="12"/>
          <w:szCs w:val="12"/>
          <w:color w:val="auto"/>
        </w:rPr>
        <w:t>ARTY</w:t>
      </w:r>
      <w:r>
        <w:rPr>
          <w:rFonts w:ascii="Arial" w:cs="Arial" w:eastAsia="Arial" w:hAnsi="Arial"/>
          <w:sz w:val="18"/>
          <w:szCs w:val="18"/>
          <w:color w:val="auto"/>
        </w:rPr>
        <w:t xml:space="preserve"> the "</w:t>
      </w:r>
      <w:r>
        <w:rPr>
          <w:rFonts w:ascii="Arial" w:cs="Arial" w:eastAsia="Arial" w:hAnsi="Arial"/>
          <w:sz w:val="18"/>
          <w:szCs w:val="18"/>
          <w:b w:val="1"/>
          <w:bCs w:val="1"/>
          <w:color w:val="auto"/>
        </w:rPr>
        <w:t>I</w:t>
      </w:r>
      <w:r>
        <w:rPr>
          <w:rFonts w:ascii="Arial" w:cs="Arial" w:eastAsia="Arial" w:hAnsi="Arial"/>
          <w:sz w:val="12"/>
          <w:szCs w:val="12"/>
          <w:b w:val="1"/>
          <w:bCs w:val="1"/>
          <w:color w:val="auto"/>
        </w:rPr>
        <w:t>NDEMNIFIED</w:t>
      </w:r>
      <w:r>
        <w:rPr>
          <w:rFonts w:ascii="Arial" w:cs="Arial" w:eastAsia="Arial" w:hAnsi="Arial"/>
          <w:sz w:val="18"/>
          <w:szCs w:val="18"/>
          <w:color w:val="auto"/>
        </w:rPr>
        <w:t xml:space="preserve"> </w:t>
      </w:r>
      <w:r>
        <w:rPr>
          <w:rFonts w:ascii="Arial" w:cs="Arial" w:eastAsia="Arial" w:hAnsi="Arial"/>
          <w:sz w:val="18"/>
          <w:szCs w:val="18"/>
          <w:b w:val="1"/>
          <w:bCs w:val="1"/>
          <w:color w:val="auto"/>
        </w:rPr>
        <w:t>P</w:t>
      </w:r>
      <w:r>
        <w:rPr>
          <w:rFonts w:ascii="Arial" w:cs="Arial" w:eastAsia="Arial" w:hAnsi="Arial"/>
          <w:sz w:val="12"/>
          <w:szCs w:val="12"/>
          <w:b w:val="1"/>
          <w:bCs w:val="1"/>
          <w:color w:val="auto"/>
        </w:rPr>
        <w:t>ARTY</w:t>
      </w:r>
      <w:r>
        <w:rPr>
          <w:rFonts w:ascii="Arial" w:cs="Arial" w:eastAsia="Arial" w:hAnsi="Arial"/>
          <w:sz w:val="18"/>
          <w:szCs w:val="18"/>
          <w:color w:val="auto"/>
        </w:rPr>
        <w:t>") which is subject to an obligation of indemnification by the other P</w:t>
      </w:r>
      <w:r>
        <w:rPr>
          <w:rFonts w:ascii="Arial" w:cs="Arial" w:eastAsia="Arial" w:hAnsi="Arial"/>
          <w:sz w:val="12"/>
          <w:szCs w:val="12"/>
          <w:color w:val="auto"/>
        </w:rPr>
        <w:t>ARTY</w:t>
      </w:r>
      <w:r>
        <w:rPr>
          <w:rFonts w:ascii="Arial" w:cs="Arial" w:eastAsia="Arial" w:hAnsi="Arial"/>
          <w:sz w:val="18"/>
          <w:szCs w:val="18"/>
          <w:color w:val="auto"/>
        </w:rPr>
        <w:t xml:space="preserve"> under this A</w:t>
      </w:r>
      <w:r>
        <w:rPr>
          <w:rFonts w:ascii="Arial" w:cs="Arial" w:eastAsia="Arial" w:hAnsi="Arial"/>
          <w:sz w:val="12"/>
          <w:szCs w:val="12"/>
          <w:color w:val="auto"/>
        </w:rPr>
        <w:t>GREEMENT</w:t>
      </w:r>
      <w:r>
        <w:rPr>
          <w:rFonts w:ascii="Arial" w:cs="Arial" w:eastAsia="Arial" w:hAnsi="Arial"/>
          <w:sz w:val="18"/>
          <w:szCs w:val="18"/>
          <w:color w:val="auto"/>
        </w:rPr>
        <w:t xml:space="preserve"> in accordance with S</w:t>
      </w:r>
      <w:r>
        <w:rPr>
          <w:rFonts w:ascii="Arial" w:cs="Arial" w:eastAsia="Arial" w:hAnsi="Arial"/>
          <w:sz w:val="12"/>
          <w:szCs w:val="12"/>
          <w:color w:val="auto"/>
        </w:rPr>
        <w:t>ECTIONS</w:t>
      </w:r>
      <w:r>
        <w:rPr>
          <w:rFonts w:ascii="Arial" w:cs="Arial" w:eastAsia="Arial" w:hAnsi="Arial"/>
          <w:sz w:val="18"/>
          <w:szCs w:val="18"/>
          <w:color w:val="auto"/>
        </w:rPr>
        <w:t xml:space="preserve"> 11-13 of this A</w:t>
      </w:r>
      <w:r>
        <w:rPr>
          <w:rFonts w:ascii="Arial" w:cs="Arial" w:eastAsia="Arial" w:hAnsi="Arial"/>
          <w:sz w:val="12"/>
          <w:szCs w:val="12"/>
          <w:color w:val="auto"/>
        </w:rPr>
        <w:t>GREEMENT</w:t>
      </w:r>
      <w:r>
        <w:rPr>
          <w:rFonts w:ascii="Arial" w:cs="Arial" w:eastAsia="Arial" w:hAnsi="Arial"/>
          <w:sz w:val="18"/>
          <w:szCs w:val="18"/>
          <w:color w:val="auto"/>
        </w:rPr>
        <w:t>, the I</w:t>
      </w:r>
      <w:r>
        <w:rPr>
          <w:rFonts w:ascii="Arial" w:cs="Arial" w:eastAsia="Arial" w:hAnsi="Arial"/>
          <w:sz w:val="12"/>
          <w:szCs w:val="12"/>
          <w:color w:val="auto"/>
        </w:rPr>
        <w:t>NDEMNIFIED</w:t>
      </w:r>
      <w:r>
        <w:rPr>
          <w:rFonts w:ascii="Arial" w:cs="Arial" w:eastAsia="Arial" w:hAnsi="Arial"/>
          <w:sz w:val="18"/>
          <w:szCs w:val="18"/>
          <w:color w:val="auto"/>
        </w:rPr>
        <w:t xml:space="preserve"> P</w:t>
      </w:r>
      <w:r>
        <w:rPr>
          <w:rFonts w:ascii="Arial" w:cs="Arial" w:eastAsia="Arial" w:hAnsi="Arial"/>
          <w:sz w:val="12"/>
          <w:szCs w:val="12"/>
          <w:color w:val="auto"/>
        </w:rPr>
        <w:t>ARTY</w:t>
      </w:r>
      <w:r>
        <w:rPr>
          <w:rFonts w:ascii="Arial" w:cs="Arial" w:eastAsia="Arial" w:hAnsi="Arial"/>
          <w:sz w:val="18"/>
          <w:szCs w:val="18"/>
          <w:color w:val="auto"/>
        </w:rPr>
        <w:t xml:space="preserve"> shall give the other P</w:t>
      </w:r>
      <w:r>
        <w:rPr>
          <w:rFonts w:ascii="Arial" w:cs="Arial" w:eastAsia="Arial" w:hAnsi="Arial"/>
          <w:sz w:val="12"/>
          <w:szCs w:val="12"/>
          <w:color w:val="auto"/>
        </w:rPr>
        <w:t>ARTY</w:t>
      </w:r>
      <w:r>
        <w:rPr>
          <w:rFonts w:ascii="Arial" w:cs="Arial" w:eastAsia="Arial" w:hAnsi="Arial"/>
          <w:sz w:val="18"/>
          <w:szCs w:val="18"/>
          <w:color w:val="auto"/>
        </w:rPr>
        <w:t xml:space="preserve"> immediately (but in no event later than 7 (seven) B</w:t>
      </w:r>
      <w:r>
        <w:rPr>
          <w:rFonts w:ascii="Arial" w:cs="Arial" w:eastAsia="Arial" w:hAnsi="Arial"/>
          <w:sz w:val="12"/>
          <w:szCs w:val="12"/>
          <w:color w:val="auto"/>
        </w:rPr>
        <w:t>USINESS</w:t>
      </w:r>
      <w:r>
        <w:rPr>
          <w:rFonts w:ascii="Arial" w:cs="Arial" w:eastAsia="Arial" w:hAnsi="Arial"/>
          <w:sz w:val="18"/>
          <w:szCs w:val="18"/>
          <w:color w:val="auto"/>
        </w:rPr>
        <w:t xml:space="preserve"> D</w:t>
      </w:r>
      <w:r>
        <w:rPr>
          <w:rFonts w:ascii="Arial" w:cs="Arial" w:eastAsia="Arial" w:hAnsi="Arial"/>
          <w:sz w:val="12"/>
          <w:szCs w:val="12"/>
          <w:color w:val="auto"/>
        </w:rPr>
        <w:t>AYS</w:t>
      </w:r>
      <w:r>
        <w:rPr>
          <w:rFonts w:ascii="Arial" w:cs="Arial" w:eastAsia="Arial" w:hAnsi="Arial"/>
          <w:sz w:val="18"/>
          <w:szCs w:val="18"/>
          <w:color w:val="auto"/>
        </w:rPr>
        <w:t xml:space="preserve"> after becoming aware of the relevant facts, matters, circumstances or events) a written notice describing the claim of a T</w:t>
      </w:r>
      <w:r>
        <w:rPr>
          <w:rFonts w:ascii="Arial" w:cs="Arial" w:eastAsia="Arial" w:hAnsi="Arial"/>
          <w:sz w:val="12"/>
          <w:szCs w:val="12"/>
          <w:color w:val="auto"/>
        </w:rPr>
        <w:t>HIRD</w:t>
      </w:r>
      <w:r>
        <w:rPr>
          <w:rFonts w:ascii="Arial" w:cs="Arial" w:eastAsia="Arial" w:hAnsi="Arial"/>
          <w:sz w:val="18"/>
          <w:szCs w:val="18"/>
          <w:color w:val="auto"/>
        </w:rPr>
        <w:t xml:space="preserve"> P</w:t>
      </w:r>
      <w:r>
        <w:rPr>
          <w:rFonts w:ascii="Arial" w:cs="Arial" w:eastAsia="Arial" w:hAnsi="Arial"/>
          <w:sz w:val="12"/>
          <w:szCs w:val="12"/>
          <w:color w:val="auto"/>
        </w:rPr>
        <w:t>ARTY</w:t>
      </w:r>
      <w:r>
        <w:rPr>
          <w:rFonts w:ascii="Arial" w:cs="Arial" w:eastAsia="Arial" w:hAnsi="Arial"/>
          <w:sz w:val="18"/>
          <w:szCs w:val="18"/>
          <w:color w:val="auto"/>
        </w:rPr>
        <w:t xml:space="preserve"> in detail, including copies of all material written evidence thereof and indicating the estimated amount of D</w:t>
      </w:r>
      <w:r>
        <w:rPr>
          <w:rFonts w:ascii="Arial" w:cs="Arial" w:eastAsia="Arial" w:hAnsi="Arial"/>
          <w:sz w:val="12"/>
          <w:szCs w:val="12"/>
          <w:color w:val="auto"/>
        </w:rPr>
        <w:t>AMAGE</w:t>
      </w:r>
      <w:r>
        <w:rPr>
          <w:rFonts w:ascii="Arial" w:cs="Arial" w:eastAsia="Arial" w:hAnsi="Arial"/>
          <w:sz w:val="18"/>
          <w:szCs w:val="18"/>
          <w:color w:val="auto"/>
        </w:rPr>
        <w:t xml:space="preserve"> of such T</w:t>
      </w:r>
      <w:r>
        <w:rPr>
          <w:rFonts w:ascii="Arial" w:cs="Arial" w:eastAsia="Arial" w:hAnsi="Arial"/>
          <w:sz w:val="12"/>
          <w:szCs w:val="12"/>
          <w:color w:val="auto"/>
        </w:rPr>
        <w:t>HIRD</w:t>
      </w:r>
      <w:r>
        <w:rPr>
          <w:rFonts w:ascii="Arial" w:cs="Arial" w:eastAsia="Arial" w:hAnsi="Arial"/>
          <w:sz w:val="18"/>
          <w:szCs w:val="18"/>
          <w:color w:val="auto"/>
        </w:rPr>
        <w:t xml:space="preserve"> P</w:t>
      </w:r>
      <w:r>
        <w:rPr>
          <w:rFonts w:ascii="Arial" w:cs="Arial" w:eastAsia="Arial" w:hAnsi="Arial"/>
          <w:sz w:val="12"/>
          <w:szCs w:val="12"/>
          <w:color w:val="auto"/>
        </w:rPr>
        <w:t>ARTY</w:t>
      </w:r>
      <w:r>
        <w:rPr>
          <w:rFonts w:ascii="Arial" w:cs="Arial" w:eastAsia="Arial" w:hAnsi="Arial"/>
          <w:sz w:val="18"/>
          <w:szCs w:val="18"/>
          <w:color w:val="auto"/>
        </w:rPr>
        <w:t xml:space="preserve"> claim or proceeding. Failure to give such notice shall not, however, affect the I</w:t>
      </w:r>
      <w:r>
        <w:rPr>
          <w:rFonts w:ascii="Arial" w:cs="Arial" w:eastAsia="Arial" w:hAnsi="Arial"/>
          <w:sz w:val="12"/>
          <w:szCs w:val="12"/>
          <w:color w:val="auto"/>
        </w:rPr>
        <w:t>NDEMNIFIED</w:t>
      </w:r>
      <w:r>
        <w:rPr>
          <w:rFonts w:ascii="Arial" w:cs="Arial" w:eastAsia="Arial" w:hAnsi="Arial"/>
          <w:sz w:val="18"/>
          <w:szCs w:val="18"/>
          <w:color w:val="auto"/>
        </w:rPr>
        <w:t xml:space="preserve"> P</w:t>
      </w:r>
      <w:r>
        <w:rPr>
          <w:rFonts w:ascii="Arial" w:cs="Arial" w:eastAsia="Arial" w:hAnsi="Arial"/>
          <w:sz w:val="12"/>
          <w:szCs w:val="12"/>
          <w:color w:val="auto"/>
        </w:rPr>
        <w:t>ARTY</w:t>
      </w: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xml:space="preserve"> right to indemnification except to the extent the other P</w:t>
      </w:r>
      <w:r>
        <w:rPr>
          <w:rFonts w:ascii="Arial" w:cs="Arial" w:eastAsia="Arial" w:hAnsi="Arial"/>
          <w:sz w:val="12"/>
          <w:szCs w:val="12"/>
          <w:color w:val="auto"/>
        </w:rPr>
        <w:t>ARTY</w:t>
      </w:r>
      <w:r>
        <w:rPr>
          <w:rFonts w:ascii="Arial" w:cs="Arial" w:eastAsia="Arial" w:hAnsi="Arial"/>
          <w:sz w:val="18"/>
          <w:szCs w:val="18"/>
          <w:color w:val="auto"/>
        </w:rPr>
        <w:t xml:space="preserve"> is prejudiced by such failure. No admissions in relation to such claim of a T</w:t>
      </w:r>
      <w:r>
        <w:rPr>
          <w:rFonts w:ascii="Arial" w:cs="Arial" w:eastAsia="Arial" w:hAnsi="Arial"/>
          <w:sz w:val="12"/>
          <w:szCs w:val="12"/>
          <w:color w:val="auto"/>
        </w:rPr>
        <w:t>HIRD</w:t>
      </w:r>
      <w:r>
        <w:rPr>
          <w:rFonts w:ascii="Arial" w:cs="Arial" w:eastAsia="Arial" w:hAnsi="Arial"/>
          <w:sz w:val="18"/>
          <w:szCs w:val="18"/>
          <w:color w:val="auto"/>
        </w:rPr>
        <w:t xml:space="preserve"> P</w:t>
      </w:r>
      <w:r>
        <w:rPr>
          <w:rFonts w:ascii="Arial" w:cs="Arial" w:eastAsia="Arial" w:hAnsi="Arial"/>
          <w:sz w:val="12"/>
          <w:szCs w:val="12"/>
          <w:color w:val="auto"/>
        </w:rPr>
        <w:t>ARTY</w:t>
      </w:r>
      <w:r>
        <w:rPr>
          <w:rFonts w:ascii="Arial" w:cs="Arial" w:eastAsia="Arial" w:hAnsi="Arial"/>
          <w:sz w:val="18"/>
          <w:szCs w:val="18"/>
          <w:color w:val="auto"/>
        </w:rPr>
        <w:t xml:space="preserve"> shall be made by or on behalf of the I</w:t>
      </w:r>
      <w:r>
        <w:rPr>
          <w:rFonts w:ascii="Arial" w:cs="Arial" w:eastAsia="Arial" w:hAnsi="Arial"/>
          <w:sz w:val="12"/>
          <w:szCs w:val="12"/>
          <w:color w:val="auto"/>
        </w:rPr>
        <w:t>NDEMNIFIED</w:t>
      </w:r>
      <w:r>
        <w:rPr>
          <w:rFonts w:ascii="Arial" w:cs="Arial" w:eastAsia="Arial" w:hAnsi="Arial"/>
          <w:sz w:val="18"/>
          <w:szCs w:val="18"/>
          <w:color w:val="auto"/>
        </w:rPr>
        <w:t xml:space="preserve"> P</w:t>
      </w:r>
      <w:r>
        <w:rPr>
          <w:rFonts w:ascii="Arial" w:cs="Arial" w:eastAsia="Arial" w:hAnsi="Arial"/>
          <w:sz w:val="12"/>
          <w:szCs w:val="12"/>
          <w:color w:val="auto"/>
        </w:rPr>
        <w:t>ARTY</w:t>
      </w:r>
      <w:r>
        <w:rPr>
          <w:rFonts w:ascii="Arial" w:cs="Arial" w:eastAsia="Arial" w:hAnsi="Arial"/>
          <w:sz w:val="18"/>
          <w:szCs w:val="18"/>
          <w:color w:val="auto"/>
        </w:rPr>
        <w:t xml:space="preserve"> and the claim of such T</w:t>
      </w:r>
      <w:r>
        <w:rPr>
          <w:rFonts w:ascii="Arial" w:cs="Arial" w:eastAsia="Arial" w:hAnsi="Arial"/>
          <w:sz w:val="12"/>
          <w:szCs w:val="12"/>
          <w:color w:val="auto"/>
        </w:rPr>
        <w:t>HIRD</w:t>
      </w:r>
      <w:r>
        <w:rPr>
          <w:rFonts w:ascii="Arial" w:cs="Arial" w:eastAsia="Arial" w:hAnsi="Arial"/>
          <w:sz w:val="18"/>
          <w:szCs w:val="18"/>
          <w:color w:val="auto"/>
        </w:rPr>
        <w:t xml:space="preserve"> P</w:t>
      </w:r>
      <w:r>
        <w:rPr>
          <w:rFonts w:ascii="Arial" w:cs="Arial" w:eastAsia="Arial" w:hAnsi="Arial"/>
          <w:sz w:val="12"/>
          <w:szCs w:val="12"/>
          <w:color w:val="auto"/>
        </w:rPr>
        <w:t>ARTY</w:t>
      </w:r>
      <w:r>
        <w:rPr>
          <w:rFonts w:ascii="Arial" w:cs="Arial" w:eastAsia="Arial" w:hAnsi="Arial"/>
          <w:sz w:val="18"/>
          <w:szCs w:val="18"/>
          <w:color w:val="auto"/>
        </w:rPr>
        <w:t xml:space="preserve"> shall not be compromised, disposed of or settled without the prior written consent of the respective other P</w:t>
      </w:r>
      <w:r>
        <w:rPr>
          <w:rFonts w:ascii="Arial" w:cs="Arial" w:eastAsia="Arial" w:hAnsi="Arial"/>
          <w:sz w:val="12"/>
          <w:szCs w:val="12"/>
          <w:color w:val="auto"/>
        </w:rPr>
        <w:t>ARTY</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jc w:val="both"/>
        <w:ind w:left="660" w:hanging="652"/>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other P</w:t>
      </w:r>
      <w:r>
        <w:rPr>
          <w:rFonts w:ascii="Arial" w:cs="Arial" w:eastAsia="Arial" w:hAnsi="Arial"/>
          <w:sz w:val="12"/>
          <w:szCs w:val="12"/>
          <w:color w:val="auto"/>
        </w:rPr>
        <w:t>ARTY</w:t>
      </w:r>
      <w:r>
        <w:rPr>
          <w:rFonts w:ascii="Arial" w:cs="Arial" w:eastAsia="Arial" w:hAnsi="Arial"/>
          <w:sz w:val="18"/>
          <w:szCs w:val="18"/>
          <w:color w:val="auto"/>
        </w:rPr>
        <w:t xml:space="preserve"> shall then have twenty (20) B</w:t>
      </w:r>
      <w:r>
        <w:rPr>
          <w:rFonts w:ascii="Arial" w:cs="Arial" w:eastAsia="Arial" w:hAnsi="Arial"/>
          <w:sz w:val="12"/>
          <w:szCs w:val="12"/>
          <w:color w:val="auto"/>
        </w:rPr>
        <w:t>USINESS</w:t>
      </w:r>
      <w:r>
        <w:rPr>
          <w:rFonts w:ascii="Arial" w:cs="Arial" w:eastAsia="Arial" w:hAnsi="Arial"/>
          <w:sz w:val="18"/>
          <w:szCs w:val="18"/>
          <w:color w:val="auto"/>
        </w:rPr>
        <w:t xml:space="preserve"> D</w:t>
      </w:r>
      <w:r>
        <w:rPr>
          <w:rFonts w:ascii="Arial" w:cs="Arial" w:eastAsia="Arial" w:hAnsi="Arial"/>
          <w:sz w:val="12"/>
          <w:szCs w:val="12"/>
          <w:color w:val="auto"/>
        </w:rPr>
        <w:t>AYS</w:t>
      </w:r>
      <w:r>
        <w:rPr>
          <w:rFonts w:ascii="Arial" w:cs="Arial" w:eastAsia="Arial" w:hAnsi="Arial"/>
          <w:sz w:val="18"/>
          <w:szCs w:val="18"/>
          <w:color w:val="auto"/>
        </w:rPr>
        <w:t xml:space="preserve"> after receipt of such notice to notify the I</w:t>
      </w:r>
      <w:r>
        <w:rPr>
          <w:rFonts w:ascii="Arial" w:cs="Arial" w:eastAsia="Arial" w:hAnsi="Arial"/>
          <w:sz w:val="12"/>
          <w:szCs w:val="12"/>
          <w:color w:val="auto"/>
        </w:rPr>
        <w:t>NDEMNIFIED</w:t>
      </w:r>
      <w:r>
        <w:rPr>
          <w:rFonts w:ascii="Arial" w:cs="Arial" w:eastAsia="Arial" w:hAnsi="Arial"/>
          <w:sz w:val="18"/>
          <w:szCs w:val="18"/>
          <w:color w:val="auto"/>
        </w:rPr>
        <w:t xml:space="preserve"> P</w:t>
      </w:r>
      <w:r>
        <w:rPr>
          <w:rFonts w:ascii="Arial" w:cs="Arial" w:eastAsia="Arial" w:hAnsi="Arial"/>
          <w:sz w:val="12"/>
          <w:szCs w:val="12"/>
          <w:color w:val="auto"/>
        </w:rPr>
        <w:t>ARTY</w:t>
      </w:r>
      <w:r>
        <w:rPr>
          <w:rFonts w:ascii="Arial" w:cs="Arial" w:eastAsia="Arial" w:hAnsi="Arial"/>
          <w:sz w:val="18"/>
          <w:szCs w:val="18"/>
          <w:color w:val="auto"/>
        </w:rPr>
        <w:t xml:space="preserve"> that it elects to conduct and control the defense of such T</w:t>
      </w:r>
      <w:r>
        <w:rPr>
          <w:rFonts w:ascii="Arial" w:cs="Arial" w:eastAsia="Arial" w:hAnsi="Arial"/>
          <w:sz w:val="12"/>
          <w:szCs w:val="12"/>
          <w:color w:val="auto"/>
        </w:rPr>
        <w:t>HIRD</w:t>
      </w:r>
      <w:r>
        <w:rPr>
          <w:rFonts w:ascii="Arial" w:cs="Arial" w:eastAsia="Arial" w:hAnsi="Arial"/>
          <w:sz w:val="18"/>
          <w:szCs w:val="18"/>
          <w:color w:val="auto"/>
        </w:rPr>
        <w:t xml:space="preserve"> P</w:t>
      </w:r>
      <w:r>
        <w:rPr>
          <w:rFonts w:ascii="Arial" w:cs="Arial" w:eastAsia="Arial" w:hAnsi="Arial"/>
          <w:sz w:val="12"/>
          <w:szCs w:val="12"/>
          <w:color w:val="auto"/>
        </w:rPr>
        <w:t>ARTY</w:t>
      </w:r>
      <w:r>
        <w:rPr>
          <w:rFonts w:ascii="Arial" w:cs="Arial" w:eastAsia="Arial" w:hAnsi="Arial"/>
          <w:sz w:val="18"/>
          <w:szCs w:val="18"/>
          <w:color w:val="auto"/>
        </w:rPr>
        <w:t xml:space="preserve"> claims (the "</w:t>
      </w:r>
      <w:r>
        <w:rPr>
          <w:rFonts w:ascii="Arial" w:cs="Arial" w:eastAsia="Arial" w:hAnsi="Arial"/>
          <w:sz w:val="18"/>
          <w:szCs w:val="18"/>
          <w:b w:val="1"/>
          <w:bCs w:val="1"/>
          <w:color w:val="auto"/>
        </w:rPr>
        <w:t>N</w:t>
      </w:r>
      <w:r>
        <w:rPr>
          <w:rFonts w:ascii="Arial" w:cs="Arial" w:eastAsia="Arial" w:hAnsi="Arial"/>
          <w:sz w:val="12"/>
          <w:szCs w:val="12"/>
          <w:b w:val="1"/>
          <w:bCs w:val="1"/>
          <w:color w:val="auto"/>
        </w:rPr>
        <w:t>OTICE OF</w:t>
      </w:r>
      <w:r>
        <w:rPr>
          <w:rFonts w:ascii="Arial" w:cs="Arial" w:eastAsia="Arial" w:hAnsi="Arial"/>
          <w:sz w:val="18"/>
          <w:szCs w:val="18"/>
          <w:color w:val="auto"/>
        </w:rPr>
        <w:t xml:space="preserve"> </w:t>
      </w:r>
      <w:r>
        <w:rPr>
          <w:rFonts w:ascii="Arial" w:cs="Arial" w:eastAsia="Arial" w:hAnsi="Arial"/>
          <w:sz w:val="18"/>
          <w:szCs w:val="18"/>
          <w:b w:val="1"/>
          <w:bCs w:val="1"/>
          <w:color w:val="auto"/>
        </w:rPr>
        <w:t>D</w:t>
      </w:r>
      <w:r>
        <w:rPr>
          <w:rFonts w:ascii="Arial" w:cs="Arial" w:eastAsia="Arial" w:hAnsi="Arial"/>
          <w:sz w:val="12"/>
          <w:szCs w:val="12"/>
          <w:b w:val="1"/>
          <w:bCs w:val="1"/>
          <w:color w:val="auto"/>
        </w:rPr>
        <w:t>EFENSE</w:t>
      </w:r>
      <w:r>
        <w:rPr>
          <w:rFonts w:ascii="Arial" w:cs="Arial" w:eastAsia="Arial" w:hAnsi="Arial"/>
          <w:sz w:val="18"/>
          <w:szCs w:val="18"/>
          <w:color w:val="auto"/>
        </w:rPr>
        <w:t>"). If the other P</w:t>
      </w:r>
      <w:r>
        <w:rPr>
          <w:rFonts w:ascii="Arial" w:cs="Arial" w:eastAsia="Arial" w:hAnsi="Arial"/>
          <w:sz w:val="12"/>
          <w:szCs w:val="12"/>
          <w:color w:val="auto"/>
        </w:rPr>
        <w:t>ARTY</w:t>
      </w:r>
      <w:r>
        <w:rPr>
          <w:rFonts w:ascii="Arial" w:cs="Arial" w:eastAsia="Arial" w:hAnsi="Arial"/>
          <w:sz w:val="18"/>
          <w:szCs w:val="18"/>
          <w:color w:val="auto"/>
        </w:rPr>
        <w:t xml:space="preserve"> does not give a N</w:t>
      </w:r>
      <w:r>
        <w:rPr>
          <w:rFonts w:ascii="Arial" w:cs="Arial" w:eastAsia="Arial" w:hAnsi="Arial"/>
          <w:sz w:val="12"/>
          <w:szCs w:val="12"/>
          <w:color w:val="auto"/>
        </w:rPr>
        <w:t>OTICE OF</w:t>
      </w:r>
      <w:r>
        <w:rPr>
          <w:rFonts w:ascii="Arial" w:cs="Arial" w:eastAsia="Arial" w:hAnsi="Arial"/>
          <w:sz w:val="18"/>
          <w:szCs w:val="18"/>
          <w:color w:val="auto"/>
        </w:rPr>
        <w:t xml:space="preserve"> D</w:t>
      </w:r>
      <w:r>
        <w:rPr>
          <w:rFonts w:ascii="Arial" w:cs="Arial" w:eastAsia="Arial" w:hAnsi="Arial"/>
          <w:sz w:val="12"/>
          <w:szCs w:val="12"/>
          <w:color w:val="auto"/>
        </w:rPr>
        <w:t>EFENSE</w:t>
      </w:r>
      <w:r>
        <w:rPr>
          <w:rFonts w:ascii="Arial" w:cs="Arial" w:eastAsia="Arial" w:hAnsi="Arial"/>
          <w:sz w:val="18"/>
          <w:szCs w:val="18"/>
          <w:color w:val="auto"/>
        </w:rPr>
        <w:t>, the I</w:t>
      </w:r>
      <w:r>
        <w:rPr>
          <w:rFonts w:ascii="Arial" w:cs="Arial" w:eastAsia="Arial" w:hAnsi="Arial"/>
          <w:sz w:val="12"/>
          <w:szCs w:val="12"/>
          <w:color w:val="auto"/>
        </w:rPr>
        <w:t>NDEMNIFIED</w:t>
      </w:r>
      <w:r>
        <w:rPr>
          <w:rFonts w:ascii="Arial" w:cs="Arial" w:eastAsia="Arial" w:hAnsi="Arial"/>
          <w:sz w:val="18"/>
          <w:szCs w:val="18"/>
          <w:color w:val="auto"/>
        </w:rPr>
        <w:t xml:space="preserve"> P</w:t>
      </w:r>
      <w:r>
        <w:rPr>
          <w:rFonts w:ascii="Arial" w:cs="Arial" w:eastAsia="Arial" w:hAnsi="Arial"/>
          <w:sz w:val="12"/>
          <w:szCs w:val="12"/>
          <w:color w:val="auto"/>
        </w:rPr>
        <w:t>ARTY</w:t>
      </w:r>
      <w:r>
        <w:rPr>
          <w:rFonts w:ascii="Arial" w:cs="Arial" w:eastAsia="Arial" w:hAnsi="Arial"/>
          <w:sz w:val="18"/>
          <w:szCs w:val="18"/>
          <w:color w:val="auto"/>
        </w:rPr>
        <w:t xml:space="preserve"> shall have the right to defend or settle such claims or proceedings in its exclusive discretion</w:t>
      </w:r>
    </w:p>
    <w:p>
      <w:pPr>
        <w:spacing w:after="0" w:line="2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ind w:left="660"/>
        <w:spacing w:after="0"/>
        <w:rPr>
          <w:sz w:val="20"/>
          <w:szCs w:val="20"/>
          <w:color w:val="auto"/>
        </w:rPr>
      </w:pPr>
      <w:r>
        <w:rPr>
          <w:rFonts w:ascii="Arial" w:cs="Arial" w:eastAsia="Arial" w:hAnsi="Arial"/>
          <w:sz w:val="18"/>
          <w:szCs w:val="18"/>
          <w:color w:val="auto"/>
        </w:rPr>
        <w:t>and the other P</w:t>
      </w:r>
      <w:r>
        <w:rPr>
          <w:rFonts w:ascii="Arial" w:cs="Arial" w:eastAsia="Arial" w:hAnsi="Arial"/>
          <w:sz w:val="12"/>
          <w:szCs w:val="12"/>
          <w:color w:val="auto"/>
        </w:rPr>
        <w:t>ARTY</w:t>
      </w:r>
      <w:r>
        <w:rPr>
          <w:rFonts w:ascii="Arial" w:cs="Arial" w:eastAsia="Arial" w:hAnsi="Arial"/>
          <w:sz w:val="18"/>
          <w:szCs w:val="18"/>
          <w:color w:val="auto"/>
        </w:rPr>
        <w:t xml:space="preserve"> shall, upon request from the I</w:t>
      </w:r>
      <w:r>
        <w:rPr>
          <w:rFonts w:ascii="Arial" w:cs="Arial" w:eastAsia="Arial" w:hAnsi="Arial"/>
          <w:sz w:val="12"/>
          <w:szCs w:val="12"/>
          <w:color w:val="auto"/>
        </w:rPr>
        <w:t>NDEMNIFIED</w:t>
      </w:r>
      <w:r>
        <w:rPr>
          <w:rFonts w:ascii="Arial" w:cs="Arial" w:eastAsia="Arial" w:hAnsi="Arial"/>
          <w:sz w:val="18"/>
          <w:szCs w:val="18"/>
          <w:color w:val="auto"/>
        </w:rPr>
        <w:t xml:space="preserve"> P</w:t>
      </w:r>
      <w:r>
        <w:rPr>
          <w:rFonts w:ascii="Arial" w:cs="Arial" w:eastAsia="Arial" w:hAnsi="Arial"/>
          <w:sz w:val="12"/>
          <w:szCs w:val="12"/>
          <w:color w:val="auto"/>
        </w:rPr>
        <w:t>ARTY</w:t>
      </w:r>
      <w:r>
        <w:rPr>
          <w:rFonts w:ascii="Arial" w:cs="Arial" w:eastAsia="Arial" w:hAnsi="Arial"/>
          <w:sz w:val="18"/>
          <w:szCs w:val="18"/>
          <w:color w:val="auto"/>
        </w:rPr>
        <w:t>, promptly indemnify the I</w:t>
      </w:r>
      <w:r>
        <w:rPr>
          <w:rFonts w:ascii="Arial" w:cs="Arial" w:eastAsia="Arial" w:hAnsi="Arial"/>
          <w:sz w:val="12"/>
          <w:szCs w:val="12"/>
          <w:color w:val="auto"/>
        </w:rPr>
        <w:t>NDEMNIFIED</w:t>
      </w:r>
      <w:r>
        <w:rPr>
          <w:rFonts w:ascii="Arial" w:cs="Arial" w:eastAsia="Arial" w:hAnsi="Arial"/>
          <w:sz w:val="18"/>
          <w:szCs w:val="18"/>
          <w:color w:val="auto"/>
        </w:rPr>
        <w:t xml:space="preserve"> P</w:t>
      </w:r>
      <w:r>
        <w:rPr>
          <w:rFonts w:ascii="Arial" w:cs="Arial" w:eastAsia="Arial" w:hAnsi="Arial"/>
          <w:sz w:val="12"/>
          <w:szCs w:val="12"/>
          <w:color w:val="auto"/>
        </w:rPr>
        <w:t>ARTY</w:t>
      </w:r>
      <w:r>
        <w:rPr>
          <w:rFonts w:ascii="Arial" w:cs="Arial" w:eastAsia="Arial" w:hAnsi="Arial"/>
          <w:sz w:val="18"/>
          <w:szCs w:val="18"/>
          <w:color w:val="auto"/>
        </w:rPr>
        <w:t>.</w:t>
      </w:r>
    </w:p>
    <w:p>
      <w:pPr>
        <w:spacing w:after="0" w:line="176" w:lineRule="exact"/>
        <w:rPr>
          <w:sz w:val="20"/>
          <w:szCs w:val="20"/>
          <w:color w:val="auto"/>
        </w:rPr>
      </w:pPr>
    </w:p>
    <w:p>
      <w:pPr>
        <w:ind w:right="8400" w:firstLine="8"/>
        <w:spacing w:after="0" w:line="482" w:lineRule="auto"/>
        <w:tabs>
          <w:tab w:leader="none" w:pos="648"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 provisions 16.1 Announcements</w:t>
      </w:r>
    </w:p>
    <w:p>
      <w:pPr>
        <w:spacing w:after="0" w:line="1" w:lineRule="exact"/>
        <w:rPr>
          <w:sz w:val="20"/>
          <w:szCs w:val="20"/>
          <w:color w:val="auto"/>
        </w:rPr>
      </w:pPr>
    </w:p>
    <w:p>
      <w:pPr>
        <w:jc w:val="both"/>
        <w:ind w:left="660" w:hanging="652"/>
        <w:spacing w:after="0" w:line="23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w:t>
      </w:r>
      <w:r>
        <w:rPr>
          <w:rFonts w:ascii="Arial" w:cs="Arial" w:eastAsia="Arial" w:hAnsi="Arial"/>
          <w:sz w:val="12"/>
          <w:szCs w:val="12"/>
          <w:color w:val="auto"/>
        </w:rPr>
        <w:t>ARTIES</w:t>
      </w:r>
      <w:r>
        <w:rPr>
          <w:rFonts w:ascii="Arial" w:cs="Arial" w:eastAsia="Arial" w:hAnsi="Arial"/>
          <w:sz w:val="18"/>
          <w:szCs w:val="18"/>
          <w:color w:val="auto"/>
        </w:rPr>
        <w:t xml:space="preserve"> have agreed upon the content of the press releases set forth in </w:t>
      </w:r>
      <w:r>
        <w:rPr>
          <w:rFonts w:ascii="Arial" w:cs="Arial" w:eastAsia="Arial" w:hAnsi="Arial"/>
          <w:sz w:val="18"/>
          <w:szCs w:val="18"/>
          <w:u w:val="single" w:color="auto"/>
          <w:color w:val="auto"/>
        </w:rPr>
        <w:t>A</w:t>
      </w:r>
      <w:r>
        <w:rPr>
          <w:rFonts w:ascii="Arial" w:cs="Arial" w:eastAsia="Arial" w:hAnsi="Arial"/>
          <w:sz w:val="12"/>
          <w:szCs w:val="12"/>
          <w:u w:val="single" w:color="auto"/>
          <w:color w:val="auto"/>
        </w:rPr>
        <w:t>NNEX</w:t>
      </w:r>
      <w:r>
        <w:rPr>
          <w:rFonts w:ascii="Arial" w:cs="Arial" w:eastAsia="Arial" w:hAnsi="Arial"/>
          <w:sz w:val="18"/>
          <w:szCs w:val="18"/>
          <w:color w:val="auto"/>
        </w:rPr>
        <w:t xml:space="preserve"> </w:t>
      </w:r>
      <w:r>
        <w:rPr>
          <w:rFonts w:ascii="Arial" w:cs="Arial" w:eastAsia="Arial" w:hAnsi="Arial"/>
          <w:sz w:val="18"/>
          <w:szCs w:val="18"/>
          <w:u w:val="single" w:color="auto"/>
          <w:color w:val="auto"/>
        </w:rPr>
        <w:t>6</w:t>
      </w:r>
      <w:r>
        <w:rPr>
          <w:rFonts w:ascii="Arial" w:cs="Arial" w:eastAsia="Arial" w:hAnsi="Arial"/>
          <w:sz w:val="18"/>
          <w:szCs w:val="18"/>
          <w:color w:val="auto"/>
        </w:rPr>
        <w:t xml:space="preserve"> hereto, each of which shall be issued substantially in the forms attached hereto as </w:t>
      </w:r>
      <w:r>
        <w:rPr>
          <w:rFonts w:ascii="Arial" w:cs="Arial" w:eastAsia="Arial" w:hAnsi="Arial"/>
          <w:sz w:val="18"/>
          <w:szCs w:val="18"/>
          <w:u w:val="single" w:color="auto"/>
          <w:color w:val="auto"/>
        </w:rPr>
        <w:t>A</w:t>
      </w:r>
      <w:r>
        <w:rPr>
          <w:rFonts w:ascii="Arial" w:cs="Arial" w:eastAsia="Arial" w:hAnsi="Arial"/>
          <w:sz w:val="12"/>
          <w:szCs w:val="12"/>
          <w:u w:val="single" w:color="auto"/>
          <w:color w:val="auto"/>
        </w:rPr>
        <w:t>NNEX</w:t>
      </w:r>
      <w:r>
        <w:rPr>
          <w:rFonts w:ascii="Arial" w:cs="Arial" w:eastAsia="Arial" w:hAnsi="Arial"/>
          <w:sz w:val="18"/>
          <w:szCs w:val="18"/>
          <w:color w:val="auto"/>
        </w:rPr>
        <w:t xml:space="preserve"> </w:t>
      </w:r>
      <w:r>
        <w:rPr>
          <w:rFonts w:ascii="Arial" w:cs="Arial" w:eastAsia="Arial" w:hAnsi="Arial"/>
          <w:sz w:val="18"/>
          <w:szCs w:val="18"/>
          <w:u w:val="single" w:color="auto"/>
          <w:color w:val="auto"/>
        </w:rPr>
        <w:t>6</w:t>
      </w:r>
      <w:r>
        <w:rPr>
          <w:rFonts w:ascii="Arial" w:cs="Arial" w:eastAsia="Arial" w:hAnsi="Arial"/>
          <w:sz w:val="18"/>
          <w:szCs w:val="18"/>
          <w:color w:val="auto"/>
        </w:rPr>
        <w:t>, the release of which the P</w:t>
      </w:r>
      <w:r>
        <w:rPr>
          <w:rFonts w:ascii="Arial" w:cs="Arial" w:eastAsia="Arial" w:hAnsi="Arial"/>
          <w:sz w:val="12"/>
          <w:szCs w:val="12"/>
          <w:color w:val="auto"/>
        </w:rPr>
        <w:t>ARTIES</w:t>
      </w:r>
      <w:r>
        <w:rPr>
          <w:rFonts w:ascii="Arial" w:cs="Arial" w:eastAsia="Arial" w:hAnsi="Arial"/>
          <w:sz w:val="18"/>
          <w:szCs w:val="18"/>
          <w:color w:val="auto"/>
        </w:rPr>
        <w:t xml:space="preserve"> shall coordinate in order to accomplish such release promptly upon execution of this A</w:t>
      </w:r>
      <w:r>
        <w:rPr>
          <w:rFonts w:ascii="Arial" w:cs="Arial" w:eastAsia="Arial" w:hAnsi="Arial"/>
          <w:sz w:val="12"/>
          <w:szCs w:val="12"/>
          <w:color w:val="auto"/>
        </w:rPr>
        <w:t>GREEMENT</w:t>
      </w:r>
      <w:r>
        <w:rPr>
          <w:rFonts w:ascii="Arial" w:cs="Arial" w:eastAsia="Arial" w:hAnsi="Arial"/>
          <w:sz w:val="18"/>
          <w:szCs w:val="18"/>
          <w:color w:val="auto"/>
        </w:rPr>
        <w:t>. Neither P</w:t>
      </w:r>
      <w:r>
        <w:rPr>
          <w:rFonts w:ascii="Arial" w:cs="Arial" w:eastAsia="Arial" w:hAnsi="Arial"/>
          <w:sz w:val="12"/>
          <w:szCs w:val="12"/>
          <w:color w:val="auto"/>
        </w:rPr>
        <w:t>ARTY</w:t>
      </w:r>
      <w:r>
        <w:rPr>
          <w:rFonts w:ascii="Arial" w:cs="Arial" w:eastAsia="Arial" w:hAnsi="Arial"/>
          <w:sz w:val="18"/>
          <w:szCs w:val="18"/>
          <w:color w:val="auto"/>
        </w:rPr>
        <w:t xml:space="preserve"> shall issue any other public announcement, press release or other public disclosure regarding this A</w:t>
      </w:r>
      <w:r>
        <w:rPr>
          <w:rFonts w:ascii="Arial" w:cs="Arial" w:eastAsia="Arial" w:hAnsi="Arial"/>
          <w:sz w:val="12"/>
          <w:szCs w:val="12"/>
          <w:color w:val="auto"/>
        </w:rPr>
        <w:t>GREEMENT</w:t>
      </w:r>
      <w:r>
        <w:rPr>
          <w:rFonts w:ascii="Arial" w:cs="Arial" w:eastAsia="Arial" w:hAnsi="Arial"/>
          <w:sz w:val="18"/>
          <w:szCs w:val="18"/>
          <w:color w:val="auto"/>
        </w:rPr>
        <w:t xml:space="preserve"> or its subject matter without the other P</w:t>
      </w:r>
      <w:r>
        <w:rPr>
          <w:rFonts w:ascii="Arial" w:cs="Arial" w:eastAsia="Arial" w:hAnsi="Arial"/>
          <w:sz w:val="12"/>
          <w:szCs w:val="12"/>
          <w:color w:val="auto"/>
        </w:rPr>
        <w:t>ARTY</w:t>
      </w: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xml:space="preserve"> prior written consent, except for any such disclosure that is, in the opinion of the disclosing P</w:t>
      </w:r>
      <w:r>
        <w:rPr>
          <w:rFonts w:ascii="Arial" w:cs="Arial" w:eastAsia="Arial" w:hAnsi="Arial"/>
          <w:sz w:val="12"/>
          <w:szCs w:val="12"/>
          <w:color w:val="auto"/>
        </w:rPr>
        <w:t>ARTY</w:t>
      </w: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xml:space="preserve"> counsel, required by applicable law or the rules of a stock exchange on which the securities of the disclosing P</w:t>
      </w:r>
      <w:r>
        <w:rPr>
          <w:rFonts w:ascii="Arial" w:cs="Arial" w:eastAsia="Arial" w:hAnsi="Arial"/>
          <w:sz w:val="12"/>
          <w:szCs w:val="12"/>
          <w:color w:val="auto"/>
        </w:rPr>
        <w:t>ARTY</w:t>
      </w:r>
      <w:r>
        <w:rPr>
          <w:rFonts w:ascii="Arial" w:cs="Arial" w:eastAsia="Arial" w:hAnsi="Arial"/>
          <w:sz w:val="18"/>
          <w:szCs w:val="18"/>
          <w:color w:val="auto"/>
        </w:rPr>
        <w:t xml:space="preserve"> are listed.</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7"/>
          <w:szCs w:val="17"/>
          <w:b w:val="1"/>
          <w:bCs w:val="1"/>
          <w:color w:val="auto"/>
        </w:rPr>
        <w:t>Costs</w:t>
      </w:r>
    </w:p>
    <w:p>
      <w:pPr>
        <w:spacing w:after="0" w:line="220" w:lineRule="exact"/>
        <w:rPr>
          <w:sz w:val="20"/>
          <w:szCs w:val="20"/>
          <w:color w:val="auto"/>
        </w:rPr>
      </w:pPr>
    </w:p>
    <w:p>
      <w:pPr>
        <w:ind w:left="660" w:hanging="652"/>
        <w:spacing w:after="0" w:line="246"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Unless otherwise expressly agreed between the P</w:t>
      </w:r>
      <w:r>
        <w:rPr>
          <w:rFonts w:ascii="Arial" w:cs="Arial" w:eastAsia="Arial" w:hAnsi="Arial"/>
          <w:sz w:val="12"/>
          <w:szCs w:val="12"/>
          <w:color w:val="auto"/>
        </w:rPr>
        <w:t>ARTIES</w:t>
      </w:r>
      <w:r>
        <w:rPr>
          <w:rFonts w:ascii="Arial" w:cs="Arial" w:eastAsia="Arial" w:hAnsi="Arial"/>
          <w:sz w:val="18"/>
          <w:szCs w:val="18"/>
          <w:color w:val="auto"/>
        </w:rPr>
        <w:t>, each P</w:t>
      </w:r>
      <w:r>
        <w:rPr>
          <w:rFonts w:ascii="Arial" w:cs="Arial" w:eastAsia="Arial" w:hAnsi="Arial"/>
          <w:sz w:val="12"/>
          <w:szCs w:val="12"/>
          <w:color w:val="auto"/>
        </w:rPr>
        <w:t>ARTY</w:t>
      </w:r>
      <w:r>
        <w:rPr>
          <w:rFonts w:ascii="Arial" w:cs="Arial" w:eastAsia="Arial" w:hAnsi="Arial"/>
          <w:sz w:val="18"/>
          <w:szCs w:val="18"/>
          <w:color w:val="auto"/>
        </w:rPr>
        <w:t xml:space="preserve"> shall bear its own costs incurred in relation to this A</w:t>
      </w:r>
      <w:r>
        <w:rPr>
          <w:rFonts w:ascii="Arial" w:cs="Arial" w:eastAsia="Arial" w:hAnsi="Arial"/>
          <w:sz w:val="12"/>
          <w:szCs w:val="12"/>
          <w:color w:val="auto"/>
        </w:rPr>
        <w:t>GREEMENT</w:t>
      </w:r>
      <w:r>
        <w:rPr>
          <w:rFonts w:ascii="Arial" w:cs="Arial" w:eastAsia="Arial" w:hAnsi="Arial"/>
          <w:sz w:val="18"/>
          <w:szCs w:val="18"/>
          <w:color w:val="auto"/>
        </w:rPr>
        <w:t xml:space="preserve"> and the T</w:t>
      </w:r>
      <w:r>
        <w:rPr>
          <w:rFonts w:ascii="Arial" w:cs="Arial" w:eastAsia="Arial" w:hAnsi="Arial"/>
          <w:sz w:val="12"/>
          <w:szCs w:val="12"/>
          <w:color w:val="auto"/>
        </w:rPr>
        <w:t>RANSFER</w:t>
      </w:r>
      <w:r>
        <w:rPr>
          <w:rFonts w:ascii="Arial" w:cs="Arial" w:eastAsia="Arial" w:hAnsi="Arial"/>
          <w:sz w:val="18"/>
          <w:szCs w:val="18"/>
          <w:color w:val="auto"/>
        </w:rPr>
        <w:t xml:space="preserve"> (including fees of attorneys, experts and advisors).</w:t>
      </w:r>
    </w:p>
    <w:p>
      <w:pPr>
        <w:spacing w:after="0" w:line="183"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documented costs and expenses in connection with the transfer of the T</w:t>
      </w:r>
      <w:r>
        <w:rPr>
          <w:rFonts w:ascii="Arial" w:cs="Arial" w:eastAsia="Arial" w:hAnsi="Arial"/>
          <w:sz w:val="12"/>
          <w:szCs w:val="12"/>
          <w:color w:val="auto"/>
        </w:rPr>
        <w:t>RANSFERRED</w:t>
      </w:r>
      <w:r>
        <w:rPr>
          <w:rFonts w:ascii="Arial" w:cs="Arial" w:eastAsia="Arial" w:hAnsi="Arial"/>
          <w:sz w:val="18"/>
          <w:szCs w:val="18"/>
          <w:color w:val="auto"/>
        </w:rPr>
        <w:t xml:space="preserve"> A</w:t>
      </w:r>
      <w:r>
        <w:rPr>
          <w:rFonts w:ascii="Arial" w:cs="Arial" w:eastAsia="Arial" w:hAnsi="Arial"/>
          <w:sz w:val="12"/>
          <w:szCs w:val="12"/>
          <w:color w:val="auto"/>
        </w:rPr>
        <w:t>SSETS</w:t>
      </w:r>
      <w:r>
        <w:rPr>
          <w:rFonts w:ascii="Arial" w:cs="Arial" w:eastAsia="Arial" w:hAnsi="Arial"/>
          <w:sz w:val="18"/>
          <w:szCs w:val="18"/>
          <w:color w:val="auto"/>
        </w:rPr>
        <w:t xml:space="preserve"> and the P</w:t>
      </w:r>
      <w:r>
        <w:rPr>
          <w:rFonts w:ascii="Arial" w:cs="Arial" w:eastAsia="Arial" w:hAnsi="Arial"/>
          <w:sz w:val="12"/>
          <w:szCs w:val="12"/>
          <w:color w:val="auto"/>
        </w:rPr>
        <w:t>ROGRAMS</w:t>
      </w:r>
      <w:r>
        <w:rPr>
          <w:rFonts w:ascii="Arial" w:cs="Arial" w:eastAsia="Arial" w:hAnsi="Arial"/>
          <w:sz w:val="18"/>
          <w:szCs w:val="18"/>
          <w:color w:val="auto"/>
        </w:rPr>
        <w:t xml:space="preserve"> (such as for IP, data, documents, information and materials, but, for the avoidance of doubt, excluding any fees of attorneys, experts and advisors) exceeding EUR 10'000 (Euro ten thousand) shall be borne by ACIU after pre-approval of such costs and expenses exceeding EUR 10'000 (Euro ten thousand) by ACIU.</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7"/>
          <w:szCs w:val="17"/>
          <w:b w:val="1"/>
          <w:bCs w:val="1"/>
          <w:color w:val="auto"/>
        </w:rPr>
        <w:t>Taxes</w:t>
      </w:r>
    </w:p>
    <w:p>
      <w:pPr>
        <w:spacing w:after="0" w:line="220" w:lineRule="exact"/>
        <w:rPr>
          <w:sz w:val="20"/>
          <w:szCs w:val="20"/>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Each P</w:t>
      </w:r>
      <w:r>
        <w:rPr>
          <w:rFonts w:ascii="Arial" w:cs="Arial" w:eastAsia="Arial" w:hAnsi="Arial"/>
          <w:sz w:val="12"/>
          <w:szCs w:val="12"/>
          <w:color w:val="auto"/>
        </w:rPr>
        <w:t>ARTY</w:t>
      </w:r>
      <w:r>
        <w:rPr>
          <w:rFonts w:ascii="Arial" w:cs="Arial" w:eastAsia="Arial" w:hAnsi="Arial"/>
          <w:sz w:val="18"/>
          <w:szCs w:val="18"/>
          <w:color w:val="auto"/>
        </w:rPr>
        <w:t xml:space="preserve"> shall bear all T</w:t>
      </w:r>
      <w:r>
        <w:rPr>
          <w:rFonts w:ascii="Arial" w:cs="Arial" w:eastAsia="Arial" w:hAnsi="Arial"/>
          <w:sz w:val="12"/>
          <w:szCs w:val="12"/>
          <w:color w:val="auto"/>
        </w:rPr>
        <w:t>AXES</w:t>
      </w:r>
      <w:r>
        <w:rPr>
          <w:rFonts w:ascii="Arial" w:cs="Arial" w:eastAsia="Arial" w:hAnsi="Arial"/>
          <w:sz w:val="18"/>
          <w:szCs w:val="18"/>
          <w:color w:val="auto"/>
        </w:rPr>
        <w:t xml:space="preserve"> for which it is liable under applicable law incurred in connection with the T</w:t>
      </w:r>
      <w:r>
        <w:rPr>
          <w:rFonts w:ascii="Arial" w:cs="Arial" w:eastAsia="Arial" w:hAnsi="Arial"/>
          <w:sz w:val="12"/>
          <w:szCs w:val="12"/>
          <w:color w:val="auto"/>
        </w:rPr>
        <w:t>RANSFER</w:t>
      </w:r>
      <w:r>
        <w:rPr>
          <w:rFonts w:ascii="Arial" w:cs="Arial" w:eastAsia="Arial" w:hAnsi="Arial"/>
          <w:sz w:val="18"/>
          <w:szCs w:val="18"/>
          <w:color w:val="auto"/>
        </w:rPr>
        <w:t xml:space="preserve"> or any part thereof.</w:t>
      </w:r>
    </w:p>
    <w:p>
      <w:pPr>
        <w:spacing w:after="0" w:line="198" w:lineRule="exact"/>
        <w:rPr>
          <w:rFonts w:ascii="Arial" w:cs="Arial" w:eastAsia="Arial" w:hAnsi="Arial"/>
          <w:sz w:val="18"/>
          <w:szCs w:val="18"/>
          <w:color w:val="auto"/>
        </w:rPr>
      </w:pPr>
    </w:p>
    <w:p>
      <w:pPr>
        <w:jc w:val="both"/>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This A</w:t>
      </w:r>
      <w:r>
        <w:rPr>
          <w:rFonts w:ascii="Arial" w:cs="Arial" w:eastAsia="Arial" w:hAnsi="Arial"/>
          <w:sz w:val="12"/>
          <w:szCs w:val="12"/>
          <w:color w:val="auto"/>
        </w:rPr>
        <w:t>GREEMENT</w:t>
      </w:r>
      <w:r>
        <w:rPr>
          <w:rFonts w:ascii="Arial" w:cs="Arial" w:eastAsia="Arial" w:hAnsi="Arial"/>
          <w:sz w:val="18"/>
          <w:szCs w:val="18"/>
          <w:color w:val="auto"/>
        </w:rPr>
        <w:t xml:space="preserve"> is established outside of Austria and the P</w:t>
      </w:r>
      <w:r>
        <w:rPr>
          <w:rFonts w:ascii="Arial" w:cs="Arial" w:eastAsia="Arial" w:hAnsi="Arial"/>
          <w:sz w:val="12"/>
          <w:szCs w:val="12"/>
          <w:color w:val="auto"/>
        </w:rPr>
        <w:t>ARTIES</w:t>
      </w:r>
      <w:r>
        <w:rPr>
          <w:rFonts w:ascii="Arial" w:cs="Arial" w:eastAsia="Arial" w:hAnsi="Arial"/>
          <w:sz w:val="18"/>
          <w:szCs w:val="18"/>
          <w:color w:val="auto"/>
        </w:rPr>
        <w:t xml:space="preserve"> commit not to set actions that would trigger Austrian stamp duty, except in case required to prove genuity of the document by official authorities or courts or in case genuity of the document is disputed by another P</w:t>
      </w:r>
      <w:r>
        <w:rPr>
          <w:rFonts w:ascii="Arial" w:cs="Arial" w:eastAsia="Arial" w:hAnsi="Arial"/>
          <w:sz w:val="12"/>
          <w:szCs w:val="12"/>
          <w:color w:val="auto"/>
        </w:rPr>
        <w:t>ARTY</w:t>
      </w:r>
      <w:r>
        <w:rPr>
          <w:rFonts w:ascii="Arial" w:cs="Arial" w:eastAsia="Arial" w:hAnsi="Arial"/>
          <w:sz w:val="18"/>
          <w:szCs w:val="18"/>
          <w:color w:val="auto"/>
        </w:rPr>
        <w:t>. Any possible Austrian stamp duty shall be borne equally by the P</w:t>
      </w:r>
      <w:r>
        <w:rPr>
          <w:rFonts w:ascii="Arial" w:cs="Arial" w:eastAsia="Arial" w:hAnsi="Arial"/>
          <w:sz w:val="12"/>
          <w:szCs w:val="12"/>
          <w:color w:val="auto"/>
        </w:rPr>
        <w:t>ARTIES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w:t>
      </w:r>
      <w:r>
        <w:rPr>
          <w:rFonts w:ascii="Arial" w:cs="Arial" w:eastAsia="Arial" w:hAnsi="Arial"/>
          <w:sz w:val="12"/>
          <w:szCs w:val="12"/>
          <w:color w:val="auto"/>
        </w:rPr>
        <w:t>ARTIES</w:t>
      </w:r>
      <w:r>
        <w:rPr>
          <w:rFonts w:ascii="Arial" w:cs="Arial" w:eastAsia="Arial" w:hAnsi="Arial"/>
          <w:sz w:val="18"/>
          <w:szCs w:val="18"/>
          <w:color w:val="auto"/>
        </w:rPr>
        <w:t xml:space="preserve"> agree that the Swiss stamp duty on the issuance of the ACIU S</w:t>
      </w:r>
      <w:r>
        <w:rPr>
          <w:rFonts w:ascii="Arial" w:cs="Arial" w:eastAsia="Arial" w:hAnsi="Arial"/>
          <w:sz w:val="12"/>
          <w:szCs w:val="12"/>
          <w:color w:val="auto"/>
        </w:rPr>
        <w:t>HARES</w:t>
      </w:r>
      <w:r>
        <w:rPr>
          <w:rFonts w:ascii="Arial" w:cs="Arial" w:eastAsia="Arial" w:hAnsi="Arial"/>
          <w:sz w:val="18"/>
          <w:szCs w:val="18"/>
          <w:color w:val="auto"/>
        </w:rPr>
        <w:t xml:space="preserve"> (</w:t>
      </w:r>
      <w:r>
        <w:rPr>
          <w:rFonts w:ascii="Arial" w:cs="Arial" w:eastAsia="Arial" w:hAnsi="Arial"/>
          <w:sz w:val="18"/>
          <w:szCs w:val="18"/>
          <w:i w:val="1"/>
          <w:iCs w:val="1"/>
          <w:color w:val="auto"/>
        </w:rPr>
        <w:t>Emissionsabgabe</w:t>
      </w:r>
      <w:r>
        <w:rPr>
          <w:rFonts w:ascii="Arial" w:cs="Arial" w:eastAsia="Arial" w:hAnsi="Arial"/>
          <w:sz w:val="18"/>
          <w:szCs w:val="18"/>
          <w:color w:val="auto"/>
        </w:rPr>
        <w:t>) shall be borne by ACIU.</w:t>
      </w:r>
    </w:p>
    <w:p>
      <w:pPr>
        <w:spacing w:after="0" w:line="216" w:lineRule="exact"/>
        <w:rPr>
          <w:rFonts w:ascii="Arial" w:cs="Arial" w:eastAsia="Arial" w:hAnsi="Arial"/>
          <w:sz w:val="18"/>
          <w:szCs w:val="18"/>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All sums payable under this A</w:t>
      </w:r>
      <w:r>
        <w:rPr>
          <w:rFonts w:ascii="Arial" w:cs="Arial" w:eastAsia="Arial" w:hAnsi="Arial"/>
          <w:sz w:val="12"/>
          <w:szCs w:val="12"/>
          <w:color w:val="auto"/>
        </w:rPr>
        <w:t>GREEMENT</w:t>
      </w:r>
      <w:r>
        <w:rPr>
          <w:rFonts w:ascii="Arial" w:cs="Arial" w:eastAsia="Arial" w:hAnsi="Arial"/>
          <w:sz w:val="18"/>
          <w:szCs w:val="18"/>
          <w:color w:val="auto"/>
        </w:rPr>
        <w:t xml:space="preserve"> are (unless expressly stated otherwise) exclusive of any applicable VAT.</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16.4</w:t>
      </w:r>
      <w:r>
        <w:rPr>
          <w:sz w:val="20"/>
          <w:szCs w:val="20"/>
          <w:color w:val="auto"/>
        </w:rPr>
        <w:tab/>
      </w:r>
      <w:r>
        <w:rPr>
          <w:rFonts w:ascii="Arial" w:cs="Arial" w:eastAsia="Arial" w:hAnsi="Arial"/>
          <w:sz w:val="17"/>
          <w:szCs w:val="17"/>
          <w:b w:val="1"/>
          <w:bCs w:val="1"/>
          <w:color w:val="auto"/>
        </w:rPr>
        <w:t>Amendments and modifications</w:t>
      </w:r>
    </w:p>
    <w:p>
      <w:pPr>
        <w:spacing w:after="0" w:line="220" w:lineRule="exact"/>
        <w:rPr>
          <w:sz w:val="20"/>
          <w:szCs w:val="20"/>
          <w:color w:val="auto"/>
        </w:rPr>
      </w:pPr>
    </w:p>
    <w:p>
      <w:pPr>
        <w:jc w:val="both"/>
        <w:ind w:left="660" w:hanging="652"/>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This A</w:t>
      </w:r>
      <w:r>
        <w:rPr>
          <w:rFonts w:ascii="Arial" w:cs="Arial" w:eastAsia="Arial" w:hAnsi="Arial"/>
          <w:sz w:val="12"/>
          <w:szCs w:val="12"/>
          <w:color w:val="auto"/>
        </w:rPr>
        <w:t>GREEMENT</w:t>
      </w:r>
      <w:r>
        <w:rPr>
          <w:rFonts w:ascii="Arial" w:cs="Arial" w:eastAsia="Arial" w:hAnsi="Arial"/>
          <w:sz w:val="18"/>
          <w:szCs w:val="18"/>
          <w:color w:val="auto"/>
        </w:rPr>
        <w:t>, including this S</w:t>
      </w:r>
      <w:r>
        <w:rPr>
          <w:rFonts w:ascii="Arial" w:cs="Arial" w:eastAsia="Arial" w:hAnsi="Arial"/>
          <w:sz w:val="12"/>
          <w:szCs w:val="12"/>
          <w:color w:val="auto"/>
        </w:rPr>
        <w:t>ECTION</w:t>
      </w:r>
      <w:r>
        <w:rPr>
          <w:rFonts w:ascii="Arial" w:cs="Arial" w:eastAsia="Arial" w:hAnsi="Arial"/>
          <w:sz w:val="18"/>
          <w:szCs w:val="18"/>
          <w:color w:val="auto"/>
        </w:rPr>
        <w:t xml:space="preserve"> 16.4, may only be amended or modified by a document in writing duly executed by the P</w:t>
      </w:r>
      <w:r>
        <w:rPr>
          <w:rFonts w:ascii="Arial" w:cs="Arial" w:eastAsia="Arial" w:hAnsi="Arial"/>
          <w:sz w:val="12"/>
          <w:szCs w:val="12"/>
          <w:color w:val="auto"/>
        </w:rPr>
        <w:t>ARTIES</w:t>
      </w:r>
      <w:r>
        <w:rPr>
          <w:rFonts w:ascii="Arial" w:cs="Arial" w:eastAsia="Arial" w:hAnsi="Arial"/>
          <w:sz w:val="18"/>
          <w:szCs w:val="18"/>
          <w:color w:val="auto"/>
        </w:rPr>
        <w:t xml:space="preserve"> (and, if required, notarized in a public deed, but only if the amendments or modifications relate to parts of this A</w:t>
      </w:r>
      <w:r>
        <w:rPr>
          <w:rFonts w:ascii="Arial" w:cs="Arial" w:eastAsia="Arial" w:hAnsi="Arial"/>
          <w:sz w:val="12"/>
          <w:szCs w:val="12"/>
          <w:color w:val="auto"/>
        </w:rPr>
        <w:t>GREEMENT</w:t>
      </w:r>
      <w:r>
        <w:rPr>
          <w:rFonts w:ascii="Arial" w:cs="Arial" w:eastAsia="Arial" w:hAnsi="Arial"/>
          <w:sz w:val="18"/>
          <w:szCs w:val="18"/>
          <w:color w:val="auto"/>
        </w:rPr>
        <w:t xml:space="preserve"> which mandatorily require to be notarized in a public deed).</w:t>
      </w:r>
    </w:p>
    <w:p>
      <w:pPr>
        <w:spacing w:after="0" w:line="2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0" w:name="page31"/>
    <w:bookmarkEnd w:id="30"/>
    <w:p>
      <w:pPr>
        <w:spacing w:after="0"/>
        <w:tabs>
          <w:tab w:leader="none" w:pos="640" w:val="left"/>
        </w:tabs>
        <w:rPr>
          <w:sz w:val="20"/>
          <w:szCs w:val="20"/>
          <w:color w:val="auto"/>
        </w:rPr>
      </w:pPr>
      <w:r>
        <w:rPr>
          <w:rFonts w:ascii="Arial" w:cs="Arial" w:eastAsia="Arial" w:hAnsi="Arial"/>
          <w:sz w:val="18"/>
          <w:szCs w:val="18"/>
          <w:b w:val="1"/>
          <w:bCs w:val="1"/>
          <w:color w:val="auto"/>
        </w:rPr>
        <w:t>16.5</w:t>
      </w:r>
      <w:r>
        <w:rPr>
          <w:sz w:val="20"/>
          <w:szCs w:val="20"/>
          <w:color w:val="auto"/>
        </w:rPr>
        <w:tab/>
      </w:r>
      <w:r>
        <w:rPr>
          <w:rFonts w:ascii="Arial" w:cs="Arial" w:eastAsia="Arial" w:hAnsi="Arial"/>
          <w:sz w:val="17"/>
          <w:szCs w:val="17"/>
          <w:b w:val="1"/>
          <w:bCs w:val="1"/>
          <w:color w:val="auto"/>
        </w:rPr>
        <w:t>Entire Agreement</w:t>
      </w:r>
    </w:p>
    <w:p>
      <w:pPr>
        <w:spacing w:after="0" w:line="220" w:lineRule="exact"/>
        <w:rPr>
          <w:sz w:val="20"/>
          <w:szCs w:val="20"/>
          <w:color w:val="auto"/>
        </w:rPr>
      </w:pPr>
    </w:p>
    <w:p>
      <w:pPr>
        <w:jc w:val="both"/>
        <w:ind w:left="660" w:hanging="652"/>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This A</w:t>
      </w:r>
      <w:r>
        <w:rPr>
          <w:rFonts w:ascii="Arial" w:cs="Arial" w:eastAsia="Arial" w:hAnsi="Arial"/>
          <w:sz w:val="12"/>
          <w:szCs w:val="12"/>
          <w:color w:val="auto"/>
        </w:rPr>
        <w:t>GREEMENT</w:t>
      </w:r>
      <w:r>
        <w:rPr>
          <w:rFonts w:ascii="Arial" w:cs="Arial" w:eastAsia="Arial" w:hAnsi="Arial"/>
          <w:sz w:val="18"/>
          <w:szCs w:val="18"/>
          <w:color w:val="auto"/>
        </w:rPr>
        <w:t xml:space="preserve"> together with its A</w:t>
      </w:r>
      <w:r>
        <w:rPr>
          <w:rFonts w:ascii="Arial" w:cs="Arial" w:eastAsia="Arial" w:hAnsi="Arial"/>
          <w:sz w:val="12"/>
          <w:szCs w:val="12"/>
          <w:color w:val="auto"/>
        </w:rPr>
        <w:t>NNEXES</w:t>
      </w:r>
      <w:r>
        <w:rPr>
          <w:rFonts w:ascii="Arial" w:cs="Arial" w:eastAsia="Arial" w:hAnsi="Arial"/>
          <w:sz w:val="18"/>
          <w:szCs w:val="18"/>
          <w:color w:val="auto"/>
        </w:rPr>
        <w:t xml:space="preserve"> and all documents and agreements it refers to constitutes the entire agreement between the P</w:t>
      </w:r>
      <w:r>
        <w:rPr>
          <w:rFonts w:ascii="Arial" w:cs="Arial" w:eastAsia="Arial" w:hAnsi="Arial"/>
          <w:sz w:val="12"/>
          <w:szCs w:val="12"/>
          <w:color w:val="auto"/>
        </w:rPr>
        <w:t>ARTIES</w:t>
      </w:r>
      <w:r>
        <w:rPr>
          <w:rFonts w:ascii="Arial" w:cs="Arial" w:eastAsia="Arial" w:hAnsi="Arial"/>
          <w:sz w:val="18"/>
          <w:szCs w:val="18"/>
          <w:color w:val="auto"/>
        </w:rPr>
        <w:t xml:space="preserve"> with respect to the subject matter of this A</w:t>
      </w:r>
      <w:r>
        <w:rPr>
          <w:rFonts w:ascii="Arial" w:cs="Arial" w:eastAsia="Arial" w:hAnsi="Arial"/>
          <w:sz w:val="12"/>
          <w:szCs w:val="12"/>
          <w:color w:val="auto"/>
        </w:rPr>
        <w:t>GREEMENT</w:t>
      </w:r>
      <w:r>
        <w:rPr>
          <w:rFonts w:ascii="Arial" w:cs="Arial" w:eastAsia="Arial" w:hAnsi="Arial"/>
          <w:sz w:val="18"/>
          <w:szCs w:val="18"/>
          <w:color w:val="auto"/>
        </w:rPr>
        <w:t xml:space="preserve"> and shall replace all other prior agreements or understandings of the P</w:t>
      </w:r>
      <w:r>
        <w:rPr>
          <w:rFonts w:ascii="Arial" w:cs="Arial" w:eastAsia="Arial" w:hAnsi="Arial"/>
          <w:sz w:val="12"/>
          <w:szCs w:val="12"/>
          <w:color w:val="auto"/>
        </w:rPr>
        <w:t>ARTIES</w:t>
      </w:r>
      <w:r>
        <w:rPr>
          <w:rFonts w:ascii="Arial" w:cs="Arial" w:eastAsia="Arial" w:hAnsi="Arial"/>
          <w:sz w:val="18"/>
          <w:szCs w:val="18"/>
          <w:color w:val="auto"/>
        </w:rPr>
        <w:t xml:space="preserve"> relating thereto.</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16.6</w:t>
      </w:r>
      <w:r>
        <w:rPr>
          <w:sz w:val="20"/>
          <w:szCs w:val="20"/>
          <w:color w:val="auto"/>
        </w:rPr>
        <w:tab/>
      </w:r>
      <w:r>
        <w:rPr>
          <w:rFonts w:ascii="Arial" w:cs="Arial" w:eastAsia="Arial" w:hAnsi="Arial"/>
          <w:sz w:val="17"/>
          <w:szCs w:val="17"/>
          <w:b w:val="1"/>
          <w:bCs w:val="1"/>
          <w:color w:val="auto"/>
        </w:rPr>
        <w:t>Transfer and assignment</w:t>
      </w:r>
    </w:p>
    <w:p>
      <w:pPr>
        <w:spacing w:after="0" w:line="220" w:lineRule="exact"/>
        <w:rPr>
          <w:sz w:val="20"/>
          <w:szCs w:val="20"/>
          <w:color w:val="auto"/>
        </w:rPr>
      </w:pPr>
    </w:p>
    <w:p>
      <w:pPr>
        <w:jc w:val="both"/>
        <w:ind w:left="660" w:hanging="652"/>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 P</w:t>
      </w:r>
      <w:r>
        <w:rPr>
          <w:rFonts w:ascii="Arial" w:cs="Arial" w:eastAsia="Arial" w:hAnsi="Arial"/>
          <w:sz w:val="12"/>
          <w:szCs w:val="12"/>
          <w:color w:val="auto"/>
        </w:rPr>
        <w:t>ARTY</w:t>
      </w:r>
      <w:r>
        <w:rPr>
          <w:rFonts w:ascii="Arial" w:cs="Arial" w:eastAsia="Arial" w:hAnsi="Arial"/>
          <w:sz w:val="18"/>
          <w:szCs w:val="18"/>
          <w:color w:val="auto"/>
        </w:rPr>
        <w:t xml:space="preserve"> may transfer or assign, in whole or in part, this A</w:t>
      </w:r>
      <w:r>
        <w:rPr>
          <w:rFonts w:ascii="Arial" w:cs="Arial" w:eastAsia="Arial" w:hAnsi="Arial"/>
          <w:sz w:val="12"/>
          <w:szCs w:val="12"/>
          <w:color w:val="auto"/>
        </w:rPr>
        <w:t>GREEMENT</w:t>
      </w:r>
      <w:r>
        <w:rPr>
          <w:rFonts w:ascii="Arial" w:cs="Arial" w:eastAsia="Arial" w:hAnsi="Arial"/>
          <w:sz w:val="18"/>
          <w:szCs w:val="18"/>
          <w:color w:val="auto"/>
        </w:rPr>
        <w:t xml:space="preserve"> or any of its rights or obligations under this A</w:t>
      </w:r>
      <w:r>
        <w:rPr>
          <w:rFonts w:ascii="Arial" w:cs="Arial" w:eastAsia="Arial" w:hAnsi="Arial"/>
          <w:sz w:val="12"/>
          <w:szCs w:val="12"/>
          <w:color w:val="auto"/>
        </w:rPr>
        <w:t>GREEMENT</w:t>
      </w:r>
      <w:r>
        <w:rPr>
          <w:rFonts w:ascii="Arial" w:cs="Arial" w:eastAsia="Arial" w:hAnsi="Arial"/>
          <w:sz w:val="18"/>
          <w:szCs w:val="18"/>
          <w:color w:val="auto"/>
        </w:rPr>
        <w:t xml:space="preserve"> to any person without the prior written consent of the other P</w:t>
      </w:r>
      <w:r>
        <w:rPr>
          <w:rFonts w:ascii="Arial" w:cs="Arial" w:eastAsia="Arial" w:hAnsi="Arial"/>
          <w:sz w:val="12"/>
          <w:szCs w:val="12"/>
          <w:color w:val="auto"/>
        </w:rPr>
        <w:t>ARTY</w:t>
      </w:r>
      <w:r>
        <w:rPr>
          <w:rFonts w:ascii="Arial" w:cs="Arial" w:eastAsia="Arial" w:hAnsi="Arial"/>
          <w:sz w:val="18"/>
          <w:szCs w:val="18"/>
          <w:color w:val="auto"/>
        </w:rPr>
        <w:t>, which shall not be unreasonably withheld. Any transfer or assignment made without such approval shall be null and void.</w:t>
      </w:r>
    </w:p>
    <w:p>
      <w:pPr>
        <w:spacing w:after="0" w:line="189" w:lineRule="exact"/>
        <w:rPr>
          <w:rFonts w:ascii="Arial" w:cs="Arial" w:eastAsia="Arial" w:hAnsi="Arial"/>
          <w:sz w:val="18"/>
          <w:szCs w:val="18"/>
          <w:color w:val="auto"/>
        </w:rPr>
      </w:pPr>
    </w:p>
    <w:p>
      <w:pPr>
        <w:jc w:val="both"/>
        <w:ind w:left="660" w:hanging="652"/>
        <w:spacing w:after="0" w:line="237"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However, notwithstanding the above, after R</w:t>
      </w:r>
      <w:r>
        <w:rPr>
          <w:rFonts w:ascii="Arial" w:cs="Arial" w:eastAsia="Arial" w:hAnsi="Arial"/>
          <w:sz w:val="12"/>
          <w:szCs w:val="12"/>
          <w:color w:val="auto"/>
        </w:rPr>
        <w:t>EGISTRATION</w:t>
      </w:r>
      <w:r>
        <w:rPr>
          <w:rFonts w:ascii="Arial" w:cs="Arial" w:eastAsia="Arial" w:hAnsi="Arial"/>
          <w:sz w:val="18"/>
          <w:szCs w:val="18"/>
          <w:color w:val="auto"/>
        </w:rPr>
        <w:t xml:space="preserve"> ACIU may assign or otherwise transfer this A</w:t>
      </w:r>
      <w:r>
        <w:rPr>
          <w:rFonts w:ascii="Arial" w:cs="Arial" w:eastAsia="Arial" w:hAnsi="Arial"/>
          <w:sz w:val="12"/>
          <w:szCs w:val="12"/>
          <w:color w:val="auto"/>
        </w:rPr>
        <w:t>GREEMENT</w:t>
      </w:r>
      <w:r>
        <w:rPr>
          <w:rFonts w:ascii="Arial" w:cs="Arial" w:eastAsia="Arial" w:hAnsi="Arial"/>
          <w:sz w:val="18"/>
          <w:szCs w:val="18"/>
          <w:color w:val="auto"/>
        </w:rPr>
        <w:t xml:space="preserve"> or its rights or obligations under this A</w:t>
      </w:r>
      <w:r>
        <w:rPr>
          <w:rFonts w:ascii="Arial" w:cs="Arial" w:eastAsia="Arial" w:hAnsi="Arial"/>
          <w:sz w:val="12"/>
          <w:szCs w:val="12"/>
          <w:color w:val="auto"/>
        </w:rPr>
        <w:t>GREEMENT</w:t>
      </w:r>
      <w:r>
        <w:rPr>
          <w:rFonts w:ascii="Arial" w:cs="Arial" w:eastAsia="Arial" w:hAnsi="Arial"/>
          <w:sz w:val="18"/>
          <w:szCs w:val="18"/>
          <w:color w:val="auto"/>
        </w:rPr>
        <w:t>, in whole or in part, without A</w:t>
      </w:r>
      <w:r>
        <w:rPr>
          <w:rFonts w:ascii="Arial" w:cs="Arial" w:eastAsia="Arial" w:hAnsi="Arial"/>
          <w:sz w:val="12"/>
          <w:szCs w:val="12"/>
          <w:color w:val="auto"/>
        </w:rPr>
        <w:t>FFIRIS</w:t>
      </w:r>
      <w:r>
        <w:rPr>
          <w:rFonts w:ascii="Arial" w:cs="Arial" w:eastAsia="Arial" w:hAnsi="Arial"/>
          <w:sz w:val="18"/>
          <w:szCs w:val="18"/>
          <w:color w:val="auto"/>
        </w:rPr>
        <w:t>’ consent (a) in connection with the transfer or sale of all or substantially all of the assets of ACIU to a T</w:t>
      </w:r>
      <w:r>
        <w:rPr>
          <w:rFonts w:ascii="Arial" w:cs="Arial" w:eastAsia="Arial" w:hAnsi="Arial"/>
          <w:sz w:val="12"/>
          <w:szCs w:val="12"/>
          <w:color w:val="auto"/>
        </w:rPr>
        <w:t>HIRD</w:t>
      </w:r>
      <w:r>
        <w:rPr>
          <w:rFonts w:ascii="Arial" w:cs="Arial" w:eastAsia="Arial" w:hAnsi="Arial"/>
          <w:sz w:val="18"/>
          <w:szCs w:val="18"/>
          <w:color w:val="auto"/>
        </w:rPr>
        <w:t xml:space="preserve"> P</w:t>
      </w:r>
      <w:r>
        <w:rPr>
          <w:rFonts w:ascii="Arial" w:cs="Arial" w:eastAsia="Arial" w:hAnsi="Arial"/>
          <w:sz w:val="12"/>
          <w:szCs w:val="12"/>
          <w:color w:val="auto"/>
        </w:rPr>
        <w:t>ARTY</w:t>
      </w:r>
      <w:r>
        <w:rPr>
          <w:rFonts w:ascii="Arial" w:cs="Arial" w:eastAsia="Arial" w:hAnsi="Arial"/>
          <w:sz w:val="18"/>
          <w:szCs w:val="18"/>
          <w:color w:val="auto"/>
        </w:rPr>
        <w:t>, whether by merger, sale of stock, sale of assets or otherwise, provided that such T</w:t>
      </w:r>
      <w:r>
        <w:rPr>
          <w:rFonts w:ascii="Arial" w:cs="Arial" w:eastAsia="Arial" w:hAnsi="Arial"/>
          <w:sz w:val="12"/>
          <w:szCs w:val="12"/>
          <w:color w:val="auto"/>
        </w:rPr>
        <w:t>HIRD</w:t>
      </w:r>
      <w:r>
        <w:rPr>
          <w:rFonts w:ascii="Arial" w:cs="Arial" w:eastAsia="Arial" w:hAnsi="Arial"/>
          <w:sz w:val="18"/>
          <w:szCs w:val="18"/>
          <w:color w:val="auto"/>
        </w:rPr>
        <w:t xml:space="preserve"> P</w:t>
      </w:r>
      <w:r>
        <w:rPr>
          <w:rFonts w:ascii="Arial" w:cs="Arial" w:eastAsia="Arial" w:hAnsi="Arial"/>
          <w:sz w:val="12"/>
          <w:szCs w:val="12"/>
          <w:color w:val="auto"/>
        </w:rPr>
        <w:t>ARTY</w:t>
      </w:r>
      <w:r>
        <w:rPr>
          <w:rFonts w:ascii="Arial" w:cs="Arial" w:eastAsia="Arial" w:hAnsi="Arial"/>
          <w:sz w:val="18"/>
          <w:szCs w:val="18"/>
          <w:color w:val="auto"/>
        </w:rPr>
        <w:t xml:space="preserve"> agrees to be bound by, and assumes and succeeds to, all of the obligations of ACIU under this A</w:t>
      </w:r>
      <w:r>
        <w:rPr>
          <w:rFonts w:ascii="Arial" w:cs="Arial" w:eastAsia="Arial" w:hAnsi="Arial"/>
          <w:sz w:val="12"/>
          <w:szCs w:val="12"/>
          <w:color w:val="auto"/>
        </w:rPr>
        <w:t>GREEMENT</w:t>
      </w:r>
      <w:r>
        <w:rPr>
          <w:rFonts w:ascii="Arial" w:cs="Arial" w:eastAsia="Arial" w:hAnsi="Arial"/>
          <w:sz w:val="18"/>
          <w:szCs w:val="18"/>
          <w:color w:val="auto"/>
        </w:rPr>
        <w:t xml:space="preserve"> or (b) to an A</w:t>
      </w:r>
      <w:r>
        <w:rPr>
          <w:rFonts w:ascii="Arial" w:cs="Arial" w:eastAsia="Arial" w:hAnsi="Arial"/>
          <w:sz w:val="12"/>
          <w:szCs w:val="12"/>
          <w:color w:val="auto"/>
        </w:rPr>
        <w:t>FFILIATE</w:t>
      </w:r>
      <w:r>
        <w:rPr>
          <w:rFonts w:ascii="Arial" w:cs="Arial" w:eastAsia="Arial" w:hAnsi="Arial"/>
          <w:sz w:val="18"/>
          <w:szCs w:val="18"/>
          <w:color w:val="auto"/>
        </w:rPr>
        <w:t>, in each case provided that ACIU shall remain liable and responsible to A</w:t>
      </w:r>
      <w:r>
        <w:rPr>
          <w:rFonts w:ascii="Arial" w:cs="Arial" w:eastAsia="Arial" w:hAnsi="Arial"/>
          <w:sz w:val="12"/>
          <w:szCs w:val="12"/>
          <w:color w:val="auto"/>
        </w:rPr>
        <w:t>FFIRIS</w:t>
      </w:r>
      <w:r>
        <w:rPr>
          <w:rFonts w:ascii="Arial" w:cs="Arial" w:eastAsia="Arial" w:hAnsi="Arial"/>
          <w:sz w:val="18"/>
          <w:szCs w:val="18"/>
          <w:color w:val="auto"/>
        </w:rPr>
        <w:t xml:space="preserve"> for the performance and observance of all obligations under this A</w:t>
      </w:r>
      <w:r>
        <w:rPr>
          <w:rFonts w:ascii="Arial" w:cs="Arial" w:eastAsia="Arial" w:hAnsi="Arial"/>
          <w:sz w:val="12"/>
          <w:szCs w:val="12"/>
          <w:color w:val="auto"/>
        </w:rPr>
        <w:t>GREEMENT</w:t>
      </w:r>
      <w:r>
        <w:rPr>
          <w:rFonts w:ascii="Arial" w:cs="Arial" w:eastAsia="Arial" w:hAnsi="Arial"/>
          <w:sz w:val="18"/>
          <w:szCs w:val="18"/>
          <w:color w:val="auto"/>
        </w:rPr>
        <w:t xml:space="preserve"> by such A</w:t>
      </w:r>
      <w:r>
        <w:rPr>
          <w:rFonts w:ascii="Arial" w:cs="Arial" w:eastAsia="Arial" w:hAnsi="Arial"/>
          <w:sz w:val="12"/>
          <w:szCs w:val="12"/>
          <w:color w:val="auto"/>
        </w:rPr>
        <w:t>FFILIATE</w:t>
      </w:r>
      <w:r>
        <w:rPr>
          <w:rFonts w:ascii="Arial" w:cs="Arial" w:eastAsia="Arial" w:hAnsi="Arial"/>
          <w:sz w:val="18"/>
          <w:szCs w:val="18"/>
          <w:color w:val="auto"/>
        </w:rPr>
        <w:t xml:space="preserve"> or such T</w:t>
      </w:r>
      <w:r>
        <w:rPr>
          <w:rFonts w:ascii="Arial" w:cs="Arial" w:eastAsia="Arial" w:hAnsi="Arial"/>
          <w:sz w:val="12"/>
          <w:szCs w:val="12"/>
          <w:color w:val="auto"/>
        </w:rPr>
        <w:t>HIRD</w:t>
      </w:r>
      <w:r>
        <w:rPr>
          <w:rFonts w:ascii="Arial" w:cs="Arial" w:eastAsia="Arial" w:hAnsi="Arial"/>
          <w:sz w:val="18"/>
          <w:szCs w:val="18"/>
          <w:color w:val="auto"/>
        </w:rPr>
        <w:t xml:space="preserve"> P</w:t>
      </w:r>
      <w:r>
        <w:rPr>
          <w:rFonts w:ascii="Arial" w:cs="Arial" w:eastAsia="Arial" w:hAnsi="Arial"/>
          <w:sz w:val="12"/>
          <w:szCs w:val="12"/>
          <w:color w:val="auto"/>
        </w:rPr>
        <w:t>ARTY</w:t>
      </w:r>
      <w:r>
        <w:rPr>
          <w:rFonts w:ascii="Arial" w:cs="Arial" w:eastAsia="Arial" w:hAnsi="Arial"/>
          <w:sz w:val="18"/>
          <w:szCs w:val="18"/>
          <w:color w:val="auto"/>
        </w:rPr>
        <w:t xml:space="preserve"> (as the case may be).</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16.7</w:t>
      </w:r>
      <w:r>
        <w:rPr>
          <w:sz w:val="20"/>
          <w:szCs w:val="20"/>
          <w:color w:val="auto"/>
        </w:rPr>
        <w:tab/>
      </w:r>
      <w:r>
        <w:rPr>
          <w:rFonts w:ascii="Arial" w:cs="Arial" w:eastAsia="Arial" w:hAnsi="Arial"/>
          <w:sz w:val="17"/>
          <w:szCs w:val="17"/>
          <w:b w:val="1"/>
          <w:bCs w:val="1"/>
          <w:color w:val="auto"/>
        </w:rPr>
        <w:t>Severability</w:t>
      </w:r>
    </w:p>
    <w:p>
      <w:pPr>
        <w:spacing w:after="0" w:line="220" w:lineRule="exact"/>
        <w:rPr>
          <w:sz w:val="20"/>
          <w:szCs w:val="20"/>
          <w:color w:val="auto"/>
        </w:rPr>
      </w:pPr>
    </w:p>
    <w:p>
      <w:pPr>
        <w:jc w:val="both"/>
        <w:ind w:left="660" w:hanging="652"/>
        <w:spacing w:after="0" w:line="238"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a provision of this A</w:t>
      </w:r>
      <w:r>
        <w:rPr>
          <w:rFonts w:ascii="Arial" w:cs="Arial" w:eastAsia="Arial" w:hAnsi="Arial"/>
          <w:sz w:val="12"/>
          <w:szCs w:val="12"/>
          <w:color w:val="auto"/>
        </w:rPr>
        <w:t>GREEMENT</w:t>
      </w:r>
      <w:r>
        <w:rPr>
          <w:rFonts w:ascii="Arial" w:cs="Arial" w:eastAsia="Arial" w:hAnsi="Arial"/>
          <w:sz w:val="18"/>
          <w:szCs w:val="18"/>
          <w:color w:val="auto"/>
        </w:rPr>
        <w:t xml:space="preserve"> should be or become invalid in whole or in part, or if one or several of the T</w:t>
      </w:r>
      <w:r>
        <w:rPr>
          <w:rFonts w:ascii="Arial" w:cs="Arial" w:eastAsia="Arial" w:hAnsi="Arial"/>
          <w:sz w:val="12"/>
          <w:szCs w:val="12"/>
          <w:color w:val="auto"/>
        </w:rPr>
        <w:t>RANSFERRED</w:t>
      </w:r>
      <w:r>
        <w:rPr>
          <w:rFonts w:ascii="Arial" w:cs="Arial" w:eastAsia="Arial" w:hAnsi="Arial"/>
          <w:sz w:val="18"/>
          <w:szCs w:val="18"/>
          <w:color w:val="auto"/>
        </w:rPr>
        <w:t xml:space="preserve"> A</w:t>
      </w:r>
      <w:r>
        <w:rPr>
          <w:rFonts w:ascii="Arial" w:cs="Arial" w:eastAsia="Arial" w:hAnsi="Arial"/>
          <w:sz w:val="12"/>
          <w:szCs w:val="12"/>
          <w:color w:val="auto"/>
        </w:rPr>
        <w:t>SSETS</w:t>
      </w:r>
      <w:r>
        <w:rPr>
          <w:rFonts w:ascii="Arial" w:cs="Arial" w:eastAsia="Arial" w:hAnsi="Arial"/>
          <w:sz w:val="18"/>
          <w:szCs w:val="18"/>
          <w:color w:val="auto"/>
        </w:rPr>
        <w:t xml:space="preserve"> could not be transferred, or if this A</w:t>
      </w:r>
      <w:r>
        <w:rPr>
          <w:rFonts w:ascii="Arial" w:cs="Arial" w:eastAsia="Arial" w:hAnsi="Arial"/>
          <w:sz w:val="12"/>
          <w:szCs w:val="12"/>
          <w:color w:val="auto"/>
        </w:rPr>
        <w:t>GREEMENT</w:t>
      </w:r>
      <w:r>
        <w:rPr>
          <w:rFonts w:ascii="Arial" w:cs="Arial" w:eastAsia="Arial" w:hAnsi="Arial"/>
          <w:sz w:val="18"/>
          <w:szCs w:val="18"/>
          <w:color w:val="auto"/>
        </w:rPr>
        <w:t xml:space="preserve"> should contain contractual gaps, this shall not affect the validity of the remaining provisions. In lieu of the invalid provision, such reasonable provision shall apply which, as far as legally permissible, best reflects the P</w:t>
      </w:r>
      <w:r>
        <w:rPr>
          <w:rFonts w:ascii="Arial" w:cs="Arial" w:eastAsia="Arial" w:hAnsi="Arial"/>
          <w:sz w:val="12"/>
          <w:szCs w:val="12"/>
          <w:color w:val="auto"/>
        </w:rPr>
        <w:t>ARTIES</w:t>
      </w:r>
      <w:r>
        <w:rPr>
          <w:rFonts w:ascii="Arial" w:cs="Arial" w:eastAsia="Arial" w:hAnsi="Arial"/>
          <w:sz w:val="18"/>
          <w:szCs w:val="18"/>
          <w:color w:val="auto"/>
        </w:rPr>
        <w:t>' intentions. For the purpose of filling a contractual gap such reasonable provision shall apply which the P</w:t>
      </w:r>
      <w:r>
        <w:rPr>
          <w:rFonts w:ascii="Arial" w:cs="Arial" w:eastAsia="Arial" w:hAnsi="Arial"/>
          <w:sz w:val="12"/>
          <w:szCs w:val="12"/>
          <w:color w:val="auto"/>
        </w:rPr>
        <w:t>ARTIES</w:t>
      </w:r>
      <w:r>
        <w:rPr>
          <w:rFonts w:ascii="Arial" w:cs="Arial" w:eastAsia="Arial" w:hAnsi="Arial"/>
          <w:sz w:val="18"/>
          <w:szCs w:val="18"/>
          <w:color w:val="auto"/>
        </w:rPr>
        <w:t xml:space="preserve"> would have intended in view of the scope and purpose of this A</w:t>
      </w:r>
      <w:r>
        <w:rPr>
          <w:rFonts w:ascii="Arial" w:cs="Arial" w:eastAsia="Arial" w:hAnsi="Arial"/>
          <w:sz w:val="12"/>
          <w:szCs w:val="12"/>
          <w:color w:val="auto"/>
        </w:rPr>
        <w:t>GREEMENT</w:t>
      </w:r>
      <w:r>
        <w:rPr>
          <w:rFonts w:ascii="Arial" w:cs="Arial" w:eastAsia="Arial" w:hAnsi="Arial"/>
          <w:sz w:val="18"/>
          <w:szCs w:val="18"/>
          <w:color w:val="auto"/>
        </w:rPr>
        <w:t xml:space="preserve"> had they considered the issue.</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16.8</w:t>
      </w:r>
      <w:r>
        <w:rPr>
          <w:sz w:val="20"/>
          <w:szCs w:val="20"/>
          <w:color w:val="auto"/>
        </w:rPr>
        <w:tab/>
      </w:r>
      <w:r>
        <w:rPr>
          <w:rFonts w:ascii="Arial" w:cs="Arial" w:eastAsia="Arial" w:hAnsi="Arial"/>
          <w:sz w:val="17"/>
          <w:szCs w:val="17"/>
          <w:b w:val="1"/>
          <w:bCs w:val="1"/>
          <w:color w:val="auto"/>
        </w:rPr>
        <w:t>Notices</w:t>
      </w:r>
    </w:p>
    <w:p>
      <w:pPr>
        <w:spacing w:after="0" w:line="220" w:lineRule="exact"/>
        <w:rPr>
          <w:sz w:val="20"/>
          <w:szCs w:val="20"/>
          <w:color w:val="auto"/>
        </w:rPr>
      </w:pPr>
    </w:p>
    <w:p>
      <w:pPr>
        <w:ind w:left="660" w:right="20" w:hanging="652"/>
        <w:spacing w:after="0" w:line="246"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 notices in connection with this A</w:t>
      </w:r>
      <w:r>
        <w:rPr>
          <w:rFonts w:ascii="Arial" w:cs="Arial" w:eastAsia="Arial" w:hAnsi="Arial"/>
          <w:sz w:val="12"/>
          <w:szCs w:val="12"/>
          <w:color w:val="auto"/>
        </w:rPr>
        <w:t>GREEMENT</w:t>
      </w:r>
      <w:r>
        <w:rPr>
          <w:rFonts w:ascii="Arial" w:cs="Arial" w:eastAsia="Arial" w:hAnsi="Arial"/>
          <w:sz w:val="18"/>
          <w:szCs w:val="18"/>
          <w:color w:val="auto"/>
        </w:rPr>
        <w:t xml:space="preserve"> shall be given to the following addresses, or to such other address outside of Austria as communicated by either P</w:t>
      </w:r>
      <w:r>
        <w:rPr>
          <w:rFonts w:ascii="Arial" w:cs="Arial" w:eastAsia="Arial" w:hAnsi="Arial"/>
          <w:sz w:val="12"/>
          <w:szCs w:val="12"/>
          <w:color w:val="auto"/>
        </w:rPr>
        <w:t>ARTY</w:t>
      </w:r>
      <w:r>
        <w:rPr>
          <w:rFonts w:ascii="Arial" w:cs="Arial" w:eastAsia="Arial" w:hAnsi="Arial"/>
          <w:sz w:val="18"/>
          <w:szCs w:val="18"/>
          <w:color w:val="auto"/>
        </w:rPr>
        <w:t xml:space="preserve"> from time to time:</w:t>
      </w:r>
    </w:p>
    <w:p>
      <w:pPr>
        <w:spacing w:after="0" w:line="183" w:lineRule="exact"/>
        <w:rPr>
          <w:rFonts w:ascii="Arial" w:cs="Arial" w:eastAsia="Arial" w:hAnsi="Arial"/>
          <w:sz w:val="18"/>
          <w:szCs w:val="18"/>
          <w:color w:val="auto"/>
        </w:rPr>
      </w:pPr>
    </w:p>
    <w:p>
      <w:pPr>
        <w:jc w:val="both"/>
        <w:ind w:left="660" w:right="20" w:hanging="652"/>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 notices, requests or other communications to be given to any P</w:t>
      </w:r>
      <w:r>
        <w:rPr>
          <w:rFonts w:ascii="Arial" w:cs="Arial" w:eastAsia="Arial" w:hAnsi="Arial"/>
          <w:sz w:val="12"/>
          <w:szCs w:val="12"/>
          <w:color w:val="auto"/>
        </w:rPr>
        <w:t>ARTY</w:t>
      </w:r>
      <w:r>
        <w:rPr>
          <w:rFonts w:ascii="Arial" w:cs="Arial" w:eastAsia="Arial" w:hAnsi="Arial"/>
          <w:sz w:val="18"/>
          <w:szCs w:val="18"/>
          <w:color w:val="auto"/>
        </w:rPr>
        <w:t xml:space="preserve"> under or in connection with this A</w:t>
      </w:r>
      <w:r>
        <w:rPr>
          <w:rFonts w:ascii="Arial" w:cs="Arial" w:eastAsia="Arial" w:hAnsi="Arial"/>
          <w:sz w:val="12"/>
          <w:szCs w:val="12"/>
          <w:color w:val="auto"/>
        </w:rPr>
        <w:t>GREEMENT</w:t>
      </w:r>
      <w:r>
        <w:rPr>
          <w:rFonts w:ascii="Arial" w:cs="Arial" w:eastAsia="Arial" w:hAnsi="Arial"/>
          <w:sz w:val="18"/>
          <w:szCs w:val="18"/>
          <w:color w:val="auto"/>
        </w:rPr>
        <w:t xml:space="preserve"> shall be made in writing and shall be delivered by (i) registered mail (return receipt requested), (ii) an internationally recognized courier, such as Federal Express, DHL or UPS, or (iii) by e-mail to the following addresses:</w:t>
      </w:r>
    </w:p>
    <w:p>
      <w:pPr>
        <w:spacing w:after="0" w:line="2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31" w:name="page32"/>
    <w:bookmarkEnd w:id="31"/>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If to A</w:t>
      </w:r>
      <w:r>
        <w:rPr>
          <w:rFonts w:ascii="Arial" w:cs="Arial" w:eastAsia="Arial" w:hAnsi="Arial"/>
          <w:sz w:val="12"/>
          <w:szCs w:val="12"/>
          <w:color w:val="auto"/>
        </w:rPr>
        <w:t>FFIRIS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Affiris AG</w:t>
      </w:r>
    </w:p>
    <w:p>
      <w:pPr>
        <w:spacing w:after="0"/>
        <w:rPr>
          <w:sz w:val="20"/>
          <w:szCs w:val="20"/>
          <w:color w:val="auto"/>
        </w:rPr>
      </w:pPr>
      <w:r>
        <w:rPr>
          <w:rFonts w:ascii="Arial" w:cs="Arial" w:eastAsia="Arial" w:hAnsi="Arial"/>
          <w:sz w:val="17"/>
          <w:szCs w:val="17"/>
          <w:color w:val="auto"/>
        </w:rPr>
        <w:t>c/o MLL Meyerlustenberger Lachenal Froriep AG</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Attn. Andrea Sieber, lic. iur. HSG, LL.M.</w:t>
      </w:r>
    </w:p>
    <w:p>
      <w:pPr>
        <w:spacing w:after="0" w:line="234" w:lineRule="auto"/>
        <w:rPr>
          <w:sz w:val="20"/>
          <w:szCs w:val="20"/>
          <w:color w:val="auto"/>
        </w:rPr>
      </w:pPr>
      <w:r>
        <w:rPr>
          <w:rFonts w:ascii="Arial" w:cs="Arial" w:eastAsia="Arial" w:hAnsi="Arial"/>
          <w:sz w:val="18"/>
          <w:szCs w:val="18"/>
          <w:color w:val="auto"/>
        </w:rPr>
        <w:t>Schiffbaustrasse 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CH-8031 Zürich</w:t>
      </w:r>
    </w:p>
    <w:p>
      <w:pPr>
        <w:spacing w:after="0" w:line="198" w:lineRule="exact"/>
        <w:rPr>
          <w:sz w:val="20"/>
          <w:szCs w:val="20"/>
          <w:color w:val="auto"/>
        </w:rPr>
      </w:pPr>
    </w:p>
    <w:p>
      <w:pPr>
        <w:sectPr>
          <w:pgSz w:w="11900" w:h="16838" w:orient="portrait"/>
          <w:cols w:equalWidth="0" w:num="2">
            <w:col w:w="3900" w:space="720"/>
            <w:col w:w="6620"/>
          </w:cols>
          <w:pgMar w:left="320" w:top="553" w:right="339" w:bottom="1440" w:gutter="0" w:footer="0" w:header="0"/>
        </w:sectPr>
      </w:pPr>
    </w:p>
    <w:p>
      <w:pPr>
        <w:ind w:left="4620"/>
        <w:spacing w:after="0"/>
        <w:rPr>
          <w:sz w:val="20"/>
          <w:szCs w:val="20"/>
          <w:color w:val="auto"/>
        </w:rPr>
      </w:pPr>
      <w:r>
        <w:rPr>
          <w:rFonts w:ascii="Arial" w:cs="Arial" w:eastAsia="Arial" w:hAnsi="Arial"/>
          <w:sz w:val="17"/>
          <w:szCs w:val="17"/>
          <w:color w:val="auto"/>
        </w:rPr>
        <w:t>Email: Andrea.Sieber@mll-legal.com</w:t>
      </w:r>
    </w:p>
    <w:p>
      <w:pPr>
        <w:sectPr>
          <w:pgSz w:w="11900" w:h="16838" w:orient="portrait"/>
          <w:cols w:equalWidth="0" w:num="1">
            <w:col w:w="11240"/>
          </w:cols>
          <w:pgMar w:left="320" w:top="553" w:right="339" w:bottom="1440" w:gutter="0" w:footer="0" w:header="0"/>
          <w:type w:val="continuous"/>
        </w:sect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If to ACIU</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AC Immune SA</w:t>
      </w:r>
    </w:p>
    <w:p>
      <w:pPr>
        <w:spacing w:after="0" w:line="234" w:lineRule="auto"/>
        <w:rPr>
          <w:sz w:val="20"/>
          <w:szCs w:val="20"/>
          <w:color w:val="auto"/>
        </w:rPr>
      </w:pPr>
      <w:r>
        <w:rPr>
          <w:rFonts w:ascii="Arial" w:cs="Arial" w:eastAsia="Arial" w:hAnsi="Arial"/>
          <w:sz w:val="18"/>
          <w:szCs w:val="18"/>
          <w:color w:val="auto"/>
        </w:rPr>
        <w:t>Attn. Prof. Andrea Pfeifer, PhD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EPFL Innovation Park, bâtiment B</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CH-1015 Lausanne</w:t>
      </w:r>
    </w:p>
    <w:p>
      <w:pPr>
        <w:spacing w:after="0" w:line="198" w:lineRule="exact"/>
        <w:rPr>
          <w:sz w:val="20"/>
          <w:szCs w:val="20"/>
          <w:color w:val="auto"/>
        </w:rPr>
      </w:pPr>
    </w:p>
    <w:p>
      <w:pPr>
        <w:sectPr>
          <w:pgSz w:w="11900" w:h="16838" w:orient="portrait"/>
          <w:cols w:equalWidth="0" w:num="2">
            <w:col w:w="3900" w:space="720"/>
            <w:col w:w="6620"/>
          </w:cols>
          <w:pgMar w:left="320" w:top="553" w:right="339" w:bottom="1440" w:gutter="0" w:footer="0" w:header="0"/>
          <w:type w:val="continuous"/>
        </w:sectPr>
      </w:pPr>
    </w:p>
    <w:p>
      <w:pPr>
        <w:ind w:left="4620"/>
        <w:spacing w:after="0"/>
        <w:rPr>
          <w:sz w:val="20"/>
          <w:szCs w:val="20"/>
          <w:color w:val="auto"/>
        </w:rPr>
      </w:pPr>
      <w:r>
        <w:rPr>
          <w:rFonts w:ascii="Arial" w:cs="Arial" w:eastAsia="Arial" w:hAnsi="Arial"/>
          <w:sz w:val="17"/>
          <w:szCs w:val="17"/>
          <w:color w:val="auto"/>
        </w:rPr>
        <w:t>E-Mail: Andrea.Pfeifer@acimmune.com</w:t>
      </w:r>
    </w:p>
    <w:p>
      <w:pPr>
        <w:sectPr>
          <w:pgSz w:w="11900" w:h="16838" w:orient="portrait"/>
          <w:cols w:equalWidth="0" w:num="1">
            <w:col w:w="11240"/>
          </w:cols>
          <w:pgMar w:left="320" w:top="553" w:right="339" w:bottom="1440" w:gutter="0" w:footer="0" w:header="0"/>
          <w:type w:val="continuous"/>
        </w:sect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Bär &amp; Karrer AG</w:t>
      </w:r>
    </w:p>
    <w:p>
      <w:pPr>
        <w:spacing w:after="0"/>
        <w:rPr>
          <w:sz w:val="20"/>
          <w:szCs w:val="20"/>
          <w:color w:val="auto"/>
        </w:rPr>
      </w:pPr>
      <w:r>
        <w:rPr>
          <w:rFonts w:ascii="Arial" w:cs="Arial" w:eastAsia="Arial" w:hAnsi="Arial"/>
          <w:sz w:val="17"/>
          <w:szCs w:val="17"/>
          <w:color w:val="auto"/>
        </w:rPr>
        <w:t>Attn. Prof. Dr. Rolf Watter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Brandschenkestrasse 90</w:t>
      </w:r>
    </w:p>
    <w:p>
      <w:pPr>
        <w:spacing w:after="0"/>
        <w:rPr>
          <w:sz w:val="20"/>
          <w:szCs w:val="20"/>
          <w:color w:val="auto"/>
        </w:rPr>
      </w:pPr>
      <w:r>
        <w:rPr>
          <w:rFonts w:ascii="Arial" w:cs="Arial" w:eastAsia="Arial" w:hAnsi="Arial"/>
          <w:sz w:val="18"/>
          <w:szCs w:val="18"/>
          <w:color w:val="auto"/>
        </w:rPr>
        <w:t>CH-8027 Zurich</w:t>
      </w:r>
    </w:p>
    <w:p>
      <w:pPr>
        <w:spacing w:after="0" w:line="198" w:lineRule="exact"/>
        <w:rPr>
          <w:sz w:val="20"/>
          <w:szCs w:val="20"/>
          <w:color w:val="auto"/>
        </w:rPr>
      </w:pPr>
    </w:p>
    <w:p>
      <w:pPr>
        <w:sectPr>
          <w:pgSz w:w="11900" w:h="16838" w:orient="portrait"/>
          <w:cols w:equalWidth="0" w:num="2">
            <w:col w:w="3900" w:space="720"/>
            <w:col w:w="6620"/>
          </w:cols>
          <w:pgMar w:left="320" w:top="553" w:right="339" w:bottom="1440" w:gutter="0" w:footer="0" w:header="0"/>
          <w:type w:val="continuous"/>
        </w:sectPr>
      </w:pPr>
    </w:p>
    <w:p>
      <w:pPr>
        <w:ind w:left="4620"/>
        <w:spacing w:after="0"/>
        <w:rPr>
          <w:sz w:val="20"/>
          <w:szCs w:val="20"/>
          <w:color w:val="auto"/>
        </w:rPr>
      </w:pPr>
      <w:r>
        <w:rPr>
          <w:rFonts w:ascii="Arial" w:cs="Arial" w:eastAsia="Arial" w:hAnsi="Arial"/>
          <w:sz w:val="17"/>
          <w:szCs w:val="17"/>
          <w:color w:val="auto"/>
        </w:rPr>
        <w:t>E-Mail: rolf.watter@baerkarrer.ch</w:t>
      </w:r>
    </w:p>
    <w:p>
      <w:pPr>
        <w:sectPr>
          <w:pgSz w:w="11900" w:h="16838" w:orient="portrait"/>
          <w:cols w:equalWidth="0" w:num="1">
            <w:col w:w="11240"/>
          </w:cols>
          <w:pgMar w:left="320" w:top="553" w:right="339" w:bottom="1440" w:gutter="0" w:footer="0" w:header="0"/>
          <w:type w:val="continuous"/>
        </w:sectPr>
      </w:pP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 such other address as any of the P</w:t>
      </w:r>
      <w:r>
        <w:rPr>
          <w:rFonts w:ascii="Arial" w:cs="Arial" w:eastAsia="Arial" w:hAnsi="Arial"/>
          <w:sz w:val="12"/>
          <w:szCs w:val="12"/>
          <w:color w:val="auto"/>
        </w:rPr>
        <w:t>ARTIES</w:t>
      </w:r>
      <w:r>
        <w:rPr>
          <w:rFonts w:ascii="Arial" w:cs="Arial" w:eastAsia="Arial" w:hAnsi="Arial"/>
          <w:sz w:val="18"/>
          <w:szCs w:val="18"/>
          <w:color w:val="auto"/>
        </w:rPr>
        <w:t xml:space="preserve"> may notify to the other P</w:t>
      </w:r>
      <w:r>
        <w:rPr>
          <w:rFonts w:ascii="Arial" w:cs="Arial" w:eastAsia="Arial" w:hAnsi="Arial"/>
          <w:sz w:val="12"/>
          <w:szCs w:val="12"/>
          <w:color w:val="auto"/>
        </w:rPr>
        <w:t>ARTIES</w:t>
      </w:r>
      <w:r>
        <w:rPr>
          <w:rFonts w:ascii="Arial" w:cs="Arial" w:eastAsia="Arial" w:hAnsi="Arial"/>
          <w:sz w:val="18"/>
          <w:szCs w:val="18"/>
          <w:color w:val="auto"/>
        </w:rPr>
        <w:t xml:space="preserve"> in accordance with the above.</w:t>
      </w:r>
    </w:p>
    <w:p>
      <w:pPr>
        <w:spacing w:after="0" w:line="198" w:lineRule="exact"/>
        <w:rPr>
          <w:sz w:val="20"/>
          <w:szCs w:val="20"/>
          <w:color w:val="auto"/>
        </w:rPr>
      </w:pPr>
    </w:p>
    <w:p>
      <w:pPr>
        <w:ind w:left="660" w:hanging="652"/>
        <w:spacing w:after="0" w:line="246"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Notices shall be deemed delivered and effective at the date of personal delivery, deposition in the mail or with the courier or successful transmission of an e-mail addressed as set forth above.</w:t>
      </w:r>
    </w:p>
    <w:p>
      <w:pPr>
        <w:spacing w:after="0" w:line="161" w:lineRule="exact"/>
        <w:rPr>
          <w:sz w:val="20"/>
          <w:szCs w:val="20"/>
          <w:color w:val="auto"/>
        </w:rPr>
      </w:pPr>
    </w:p>
    <w:p>
      <w:pPr>
        <w:ind w:right="7840" w:firstLine="8"/>
        <w:spacing w:after="0" w:line="482" w:lineRule="auto"/>
        <w:tabs>
          <w:tab w:leader="none" w:pos="648"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 17.1 Governing law</w:t>
      </w:r>
    </w:p>
    <w:p>
      <w:pPr>
        <w:spacing w:after="0" w:line="1" w:lineRule="exact"/>
        <w:rPr>
          <w:sz w:val="20"/>
          <w:szCs w:val="20"/>
          <w:color w:val="auto"/>
        </w:rPr>
      </w:pPr>
    </w:p>
    <w:p>
      <w:pPr>
        <w:jc w:val="both"/>
        <w:ind w:left="660" w:hanging="652"/>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This A</w:t>
      </w:r>
      <w:r>
        <w:rPr>
          <w:rFonts w:ascii="Arial" w:cs="Arial" w:eastAsia="Arial" w:hAnsi="Arial"/>
          <w:sz w:val="12"/>
          <w:szCs w:val="12"/>
          <w:color w:val="auto"/>
        </w:rPr>
        <w:t>GREEMENT</w:t>
      </w:r>
      <w:r>
        <w:rPr>
          <w:rFonts w:ascii="Arial" w:cs="Arial" w:eastAsia="Arial" w:hAnsi="Arial"/>
          <w:sz w:val="18"/>
          <w:szCs w:val="18"/>
          <w:color w:val="auto"/>
        </w:rPr>
        <w:t xml:space="preserve"> and the legal relationships established by or otherwise arising out or in connection with this A</w:t>
      </w:r>
      <w:r>
        <w:rPr>
          <w:rFonts w:ascii="Arial" w:cs="Arial" w:eastAsia="Arial" w:hAnsi="Arial"/>
          <w:sz w:val="12"/>
          <w:szCs w:val="12"/>
          <w:color w:val="auto"/>
        </w:rPr>
        <w:t>GREEMENT</w:t>
      </w:r>
      <w:r>
        <w:rPr>
          <w:rFonts w:ascii="Arial" w:cs="Arial" w:eastAsia="Arial" w:hAnsi="Arial"/>
          <w:sz w:val="18"/>
          <w:szCs w:val="18"/>
          <w:color w:val="auto"/>
        </w:rPr>
        <w:t xml:space="preserve"> shall be governed by and construed in accordance with the substantive laws of Switzerland (to the exclusion of Swiss private international law and of international treaties, in particular, the Vienna Convention on the International Sale of Goods dated 11 April 1980).</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7"/>
          <w:szCs w:val="17"/>
          <w:b w:val="1"/>
          <w:bCs w:val="1"/>
          <w:color w:val="auto"/>
        </w:rPr>
        <w:t>Jurisdiction</w:t>
      </w:r>
    </w:p>
    <w:p>
      <w:pPr>
        <w:spacing w:after="0" w:line="220"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Except as otherwise provided in this A</w:t>
      </w:r>
      <w:r>
        <w:rPr>
          <w:rFonts w:ascii="Arial" w:cs="Arial" w:eastAsia="Arial" w:hAnsi="Arial"/>
          <w:sz w:val="12"/>
          <w:szCs w:val="12"/>
          <w:color w:val="auto"/>
        </w:rPr>
        <w:t>GREEMENT</w:t>
      </w:r>
      <w:r>
        <w:rPr>
          <w:rFonts w:ascii="Arial" w:cs="Arial" w:eastAsia="Arial" w:hAnsi="Arial"/>
          <w:sz w:val="18"/>
          <w:szCs w:val="18"/>
          <w:color w:val="auto"/>
        </w:rPr>
        <w:t>, any dispute, controversy or claim arising out of or in connection with this A</w:t>
      </w:r>
      <w:r>
        <w:rPr>
          <w:rFonts w:ascii="Arial" w:cs="Arial" w:eastAsia="Arial" w:hAnsi="Arial"/>
          <w:sz w:val="12"/>
          <w:szCs w:val="12"/>
          <w:color w:val="auto"/>
        </w:rPr>
        <w:t>GREEMENT</w:t>
      </w:r>
      <w:r>
        <w:rPr>
          <w:rFonts w:ascii="Arial" w:cs="Arial" w:eastAsia="Arial" w:hAnsi="Arial"/>
          <w:sz w:val="18"/>
          <w:szCs w:val="18"/>
          <w:color w:val="auto"/>
        </w:rPr>
        <w:t>, including disputes on its conclusion, binding effect, amendment and termination, shall be exclusively resolved by the ordinary courts of Zurich venue 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next page)</w:t>
      </w:r>
    </w:p>
    <w:p>
      <w:pPr>
        <w:spacing w:after="0" w:line="30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Affiris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3497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Name: Philipp Falk</w:t>
      </w:r>
    </w:p>
    <w:p>
      <w:pPr>
        <w:spacing w:after="0"/>
        <w:rPr>
          <w:sz w:val="20"/>
          <w:szCs w:val="20"/>
          <w:color w:val="auto"/>
        </w:rPr>
      </w:pPr>
      <w:r>
        <w:rPr>
          <w:rFonts w:ascii="Arial" w:cs="Arial" w:eastAsia="Arial" w:hAnsi="Arial"/>
          <w:sz w:val="18"/>
          <w:szCs w:val="18"/>
          <w:color w:val="auto"/>
        </w:rPr>
        <w:t>Place: Zürich</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 Immune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3497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Name: Andrea Pfeifer</w:t>
      </w:r>
    </w:p>
    <w:p>
      <w:pPr>
        <w:spacing w:after="0"/>
        <w:rPr>
          <w:sz w:val="20"/>
          <w:szCs w:val="20"/>
          <w:color w:val="auto"/>
        </w:rPr>
      </w:pPr>
      <w:r>
        <w:rPr>
          <w:rFonts w:ascii="Arial" w:cs="Arial" w:eastAsia="Arial" w:hAnsi="Arial"/>
          <w:sz w:val="18"/>
          <w:szCs w:val="18"/>
          <w:color w:val="auto"/>
        </w:rPr>
        <w:t>Place: Lausanne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Name: Martin Velasco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-131445</wp:posOffset>
            </wp:positionV>
            <wp:extent cx="34886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Place: Lausanne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323215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5020" w:space="720"/>
            <w:col w:w="4399"/>
          </w:cols>
          <w:pgMar w:left="320" w:top="535" w:right="1440" w:bottom="1440" w:gutter="0" w:footer="0" w:header="0"/>
        </w:sectPr>
      </w:pPr>
    </w:p>
    <w:bookmarkStart w:id="33" w:name="page34"/>
    <w:bookmarkEnd w:id="33"/>
    <w:p>
      <w:pPr>
        <w:jc w:val="center"/>
        <w:spacing w:after="0" w:line="234" w:lineRule="auto"/>
        <w:rPr>
          <w:sz w:val="20"/>
          <w:szCs w:val="20"/>
          <w:color w:val="auto"/>
        </w:rPr>
      </w:pPr>
      <w:r>
        <w:rPr>
          <w:rFonts w:ascii="Arial" w:cs="Arial" w:eastAsia="Arial" w:hAnsi="Arial"/>
          <w:sz w:val="18"/>
          <w:szCs w:val="18"/>
          <w:color w:val="auto"/>
        </w:rPr>
        <w:t>CERTAIN CONFIDENTIAL PORTIONS HAVE BEEN REDACTED FROM THIS EXHIBIT BECAUSE THEY ARE BOTH (i) NOT MATERIAL AND (ii) IS THE TYPE THAT THE COMPANY TREATS AS PRIVATE OR CONFIDENTIAL. INFORMATION THAT HAS BEEN OMITTED HAD BEEN IDENTIFIED IN THIS DOCUMENT WITH A PLACEHOLDER IDENTIFIED BY THE MARK “[*****]”.</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w:t>
      </w:r>
    </w:p>
    <w:p>
      <w:pPr>
        <w:spacing w:after="0" w:line="176"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Convertible Note Agreement</w:t>
      </w:r>
    </w:p>
    <w:p>
      <w:pPr>
        <w:spacing w:after="0" w:line="198"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220" w:lineRule="exact"/>
        <w:rPr>
          <w:sz w:val="20"/>
          <w:szCs w:val="20"/>
          <w:color w:val="auto"/>
        </w:rPr>
      </w:pPr>
    </w:p>
    <w:p>
      <w:pPr>
        <w:ind w:left="900"/>
        <w:spacing w:after="0"/>
        <w:tabs>
          <w:tab w:leader="none" w:pos="1560" w:val="left"/>
        </w:tabs>
        <w:rPr>
          <w:sz w:val="20"/>
          <w:szCs w:val="20"/>
          <w:color w:val="auto"/>
        </w:rPr>
      </w:pPr>
      <w:r>
        <w:rPr>
          <w:rFonts w:ascii="Arial" w:cs="Arial" w:eastAsia="Arial" w:hAnsi="Arial"/>
          <w:sz w:val="18"/>
          <w:szCs w:val="18"/>
          <w:color w:val="auto"/>
        </w:rPr>
        <w:t>dated</w:t>
        <w:tab/>
        <w:t>26 July 2021</w:t>
      </w:r>
    </w:p>
    <w:p>
      <w:pPr>
        <w:spacing w:after="0" w:line="176"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8"/>
          <w:szCs w:val="18"/>
          <w:color w:val="auto"/>
        </w:rPr>
        <w:t>between</w:t>
      </w:r>
      <w:r>
        <w:rPr>
          <w:sz w:val="20"/>
          <w:szCs w:val="20"/>
          <w:color w:val="auto"/>
        </w:rPr>
        <w:tab/>
      </w:r>
      <w:r>
        <w:rPr>
          <w:rFonts w:ascii="Arial" w:cs="Arial" w:eastAsia="Arial" w:hAnsi="Arial"/>
          <w:sz w:val="18"/>
          <w:szCs w:val="18"/>
          <w:b w:val="1"/>
          <w:bCs w:val="1"/>
          <w:color w:val="auto"/>
        </w:rPr>
        <w:t>AC Immune SA</w:t>
      </w:r>
    </w:p>
    <w:p>
      <w:pPr>
        <w:spacing w:after="0" w:line="13"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EPFL Innovation Park, bâtiment B</w:t>
      </w:r>
    </w:p>
    <w:p>
      <w:pPr>
        <w:ind w:left="1580"/>
        <w:spacing w:after="0" w:line="234" w:lineRule="auto"/>
        <w:rPr>
          <w:sz w:val="20"/>
          <w:szCs w:val="20"/>
          <w:color w:val="auto"/>
        </w:rPr>
      </w:pPr>
      <w:r>
        <w:rPr>
          <w:rFonts w:ascii="Arial" w:cs="Arial" w:eastAsia="Arial" w:hAnsi="Arial"/>
          <w:sz w:val="18"/>
          <w:szCs w:val="18"/>
          <w:color w:val="auto"/>
        </w:rPr>
        <w:t>1015 Lausanne</w:t>
      </w:r>
    </w:p>
    <w:p>
      <w:pPr>
        <w:spacing w:after="0" w:line="1"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Switzerland</w:t>
      </w:r>
    </w:p>
    <w:p>
      <w:pPr>
        <w:spacing w:after="0" w:line="176"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hereinafter: "</w:t>
      </w:r>
      <w:r>
        <w:rPr>
          <w:rFonts w:ascii="Arial" w:cs="Arial" w:eastAsia="Arial" w:hAnsi="Arial"/>
          <w:sz w:val="18"/>
          <w:szCs w:val="18"/>
          <w:b w:val="1"/>
          <w:bCs w:val="1"/>
          <w:color w:val="auto"/>
        </w:rPr>
        <w:t>ACIU</w:t>
      </w:r>
      <w:r>
        <w:rPr>
          <w:rFonts w:ascii="Arial" w:cs="Arial" w:eastAsia="Arial" w:hAnsi="Arial"/>
          <w:sz w:val="18"/>
          <w:szCs w:val="18"/>
          <w:color w:val="auto"/>
        </w:rPr>
        <w:t>" and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ind w:left="1060"/>
        <w:spacing w:after="0"/>
        <w:tabs>
          <w:tab w:leader="none" w:pos="1560" w:val="left"/>
        </w:tabs>
        <w:rPr>
          <w:sz w:val="20"/>
          <w:szCs w:val="20"/>
          <w:color w:val="auto"/>
        </w:rPr>
      </w:pPr>
      <w:r>
        <w:rPr>
          <w:rFonts w:ascii="Arial" w:cs="Arial" w:eastAsia="Arial" w:hAnsi="Arial"/>
          <w:sz w:val="18"/>
          <w:szCs w:val="18"/>
          <w:color w:val="auto"/>
        </w:rPr>
        <w:t>and</w:t>
      </w:r>
      <w:r>
        <w:rPr>
          <w:sz w:val="20"/>
          <w:szCs w:val="20"/>
          <w:color w:val="auto"/>
        </w:rPr>
        <w:tab/>
      </w:r>
      <w:r>
        <w:rPr>
          <w:rFonts w:ascii="Arial" w:cs="Arial" w:eastAsia="Arial" w:hAnsi="Arial"/>
          <w:sz w:val="18"/>
          <w:szCs w:val="18"/>
          <w:b w:val="1"/>
          <w:bCs w:val="1"/>
          <w:color w:val="auto"/>
        </w:rPr>
        <w:t>Santo Venture Capital GmbH</w:t>
      </w:r>
    </w:p>
    <w:p>
      <w:pPr>
        <w:spacing w:after="0" w:line="13"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Bergfeldstrasse 9</w:t>
      </w:r>
    </w:p>
    <w:p>
      <w:pPr>
        <w:ind w:left="1580"/>
        <w:spacing w:after="0" w:line="234" w:lineRule="auto"/>
        <w:rPr>
          <w:sz w:val="20"/>
          <w:szCs w:val="20"/>
          <w:color w:val="auto"/>
        </w:rPr>
      </w:pPr>
      <w:r>
        <w:rPr>
          <w:rFonts w:ascii="Arial" w:cs="Arial" w:eastAsia="Arial" w:hAnsi="Arial"/>
          <w:sz w:val="18"/>
          <w:szCs w:val="18"/>
          <w:color w:val="auto"/>
        </w:rPr>
        <w:t>83607 Holzkirchen</w:t>
      </w:r>
    </w:p>
    <w:p>
      <w:pPr>
        <w:spacing w:after="0" w:line="1"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Germany</w:t>
      </w:r>
    </w:p>
    <w:p>
      <w:pPr>
        <w:spacing w:after="0" w:line="176"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(hereinafter the "</w:t>
      </w:r>
      <w:r>
        <w:rPr>
          <w:rFonts w:ascii="Arial" w:cs="Arial" w:eastAsia="Arial" w:hAnsi="Arial"/>
          <w:sz w:val="18"/>
          <w:szCs w:val="18"/>
          <w:b w:val="1"/>
          <w:bCs w:val="1"/>
          <w:color w:val="auto"/>
        </w:rPr>
        <w:t>Investor</w:t>
      </w:r>
      <w:r>
        <w:rPr>
          <w:rFonts w:ascii="Arial" w:cs="Arial" w:eastAsia="Arial" w:hAnsi="Arial"/>
          <w:sz w:val="18"/>
          <w:szCs w:val="18"/>
          <w:color w:val="auto"/>
        </w:rPr>
        <w:t>")</w:t>
      </w:r>
    </w:p>
    <w:p>
      <w:pPr>
        <w:spacing w:after="0" w:line="220" w:lineRule="exact"/>
        <w:rPr>
          <w:sz w:val="20"/>
          <w:szCs w:val="20"/>
          <w:color w:val="auto"/>
        </w:rPr>
      </w:pPr>
    </w:p>
    <w:p>
      <w:pPr>
        <w:ind w:left="1580" w:hanging="1099"/>
        <w:spacing w:after="0" w:line="246" w:lineRule="auto"/>
        <w:tabs>
          <w:tab w:leader="none" w:pos="1560" w:val="left"/>
        </w:tabs>
        <w:rPr>
          <w:sz w:val="20"/>
          <w:szCs w:val="20"/>
          <w:color w:val="auto"/>
        </w:rPr>
      </w:pPr>
      <w:r>
        <w:rPr>
          <w:rFonts w:ascii="Arial" w:cs="Arial" w:eastAsia="Arial" w:hAnsi="Arial"/>
          <w:sz w:val="18"/>
          <w:szCs w:val="18"/>
          <w:color w:val="auto"/>
        </w:rPr>
        <w:t>concerning</w:t>
        <w:tab/>
        <w:t>a convertible note issued by the Company that is convertible into ACIU shares upon terms and conditions set out herein (the "</w:t>
      </w:r>
      <w:r>
        <w:rPr>
          <w:rFonts w:ascii="Arial" w:cs="Arial" w:eastAsia="Arial" w:hAnsi="Arial"/>
          <w:sz w:val="18"/>
          <w:szCs w:val="18"/>
          <w:b w:val="1"/>
          <w:bCs w:val="1"/>
          <w:color w:val="auto"/>
        </w:rPr>
        <w:t>Note</w:t>
      </w:r>
      <w:r>
        <w:rPr>
          <w:rFonts w:ascii="Arial" w:cs="Arial" w:eastAsia="Arial" w:hAnsi="Arial"/>
          <w:sz w:val="18"/>
          <w:szCs w:val="18"/>
          <w:color w:val="auto"/>
        </w:rPr>
        <w: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 July 2021 AC Immune SA – Santo Venture Capital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4" w:name="page35"/>
    <w:bookmarkEnd w:id="34"/>
    <w:p>
      <w:pPr>
        <w:ind w:left="11140"/>
        <w:spacing w:after="0"/>
        <w:rPr>
          <w:sz w:val="20"/>
          <w:szCs w:val="20"/>
          <w:color w:val="auto"/>
        </w:rPr>
      </w:pPr>
      <w:r>
        <w:rPr>
          <w:rFonts w:ascii="Arial" w:cs="Arial" w:eastAsia="Arial" w:hAnsi="Arial"/>
          <w:sz w:val="17"/>
          <w:szCs w:val="17"/>
          <w:color w:val="auto"/>
        </w:rPr>
        <w:t>2</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Recitals</w:t>
      </w:r>
    </w:p>
    <w:p>
      <w:pPr>
        <w:spacing w:after="0" w:line="220" w:lineRule="exact"/>
        <w:rPr>
          <w:sz w:val="20"/>
          <w:szCs w:val="20"/>
          <w:color w:val="auto"/>
        </w:rPr>
      </w:pPr>
    </w:p>
    <w:p>
      <w:pPr>
        <w:jc w:val="both"/>
        <w:ind w:left="660" w:hanging="652"/>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ACIU is a stock corporation incorporated under the laws of Switzerland, registered under CHE-109.878.825 in the commercial register of the Canton of Vaud, with its seat in Ecublens (VD), with a fully paid in share capital of CHF 1'537'748.98 divided into 76'887'449 registered shares with a nominal value of CHF 0.02/share (each an "</w:t>
      </w:r>
      <w:r>
        <w:rPr>
          <w:rFonts w:ascii="Arial" w:cs="Arial" w:eastAsia="Arial" w:hAnsi="Arial"/>
          <w:sz w:val="18"/>
          <w:szCs w:val="18"/>
          <w:b w:val="1"/>
          <w:bCs w:val="1"/>
          <w:color w:val="auto"/>
        </w:rPr>
        <w:t>ACIU Share</w:t>
      </w:r>
      <w:r>
        <w:rPr>
          <w:rFonts w:ascii="Arial" w:cs="Arial" w:eastAsia="Arial" w:hAnsi="Arial"/>
          <w:sz w:val="18"/>
          <w:szCs w:val="18"/>
          <w:color w:val="auto"/>
        </w:rPr>
        <w:t>" or a "</w:t>
      </w:r>
      <w:r>
        <w:rPr>
          <w:rFonts w:ascii="Arial" w:cs="Arial" w:eastAsia="Arial" w:hAnsi="Arial"/>
          <w:sz w:val="18"/>
          <w:szCs w:val="18"/>
          <w:b w:val="1"/>
          <w:bCs w:val="1"/>
          <w:color w:val="auto"/>
        </w:rPr>
        <w:t>Share</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660" w:hanging="652"/>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ACIU Shares are currently listed on NASDAQ under the ticker “ACIU”.</w:t>
      </w:r>
    </w:p>
    <w:p>
      <w:pPr>
        <w:spacing w:after="0" w:line="176" w:lineRule="exact"/>
        <w:rPr>
          <w:rFonts w:ascii="Arial" w:cs="Arial" w:eastAsia="Arial" w:hAnsi="Arial"/>
          <w:sz w:val="18"/>
          <w:szCs w:val="18"/>
          <w:color w:val="auto"/>
        </w:rPr>
      </w:pPr>
    </w:p>
    <w:p>
      <w:pPr>
        <w:jc w:val="both"/>
        <w:ind w:left="660" w:hanging="652"/>
        <w:spacing w:after="0" w:line="247"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Articles of Association of ACIU contain in Art. 3b a provision authorizing the ACIU board of directors (the "</w:t>
      </w:r>
      <w:r>
        <w:rPr>
          <w:rFonts w:ascii="Arial" w:cs="Arial" w:eastAsia="Arial" w:hAnsi="Arial"/>
          <w:sz w:val="18"/>
          <w:szCs w:val="18"/>
          <w:b w:val="1"/>
          <w:bCs w:val="1"/>
          <w:color w:val="auto"/>
        </w:rPr>
        <w:t>ACIU Board</w:t>
      </w:r>
      <w:r>
        <w:rPr>
          <w:rFonts w:ascii="Arial" w:cs="Arial" w:eastAsia="Arial" w:hAnsi="Arial"/>
          <w:sz w:val="18"/>
          <w:szCs w:val="18"/>
          <w:color w:val="auto"/>
        </w:rPr>
        <w:t>") to issue bonds or similar debt instruments convertible into a maximum of 4'578'047 ACIU Shares. Subparagraph 2 of this provision holds that subscription rights and advance subscription rights of ACIU shareholder can be excluded by the ACIU Board, inter alia in order to finance or re-finance an acquisition.</w:t>
      </w:r>
    </w:p>
    <w:p>
      <w:pPr>
        <w:spacing w:after="0" w:line="160" w:lineRule="exact"/>
        <w:rPr>
          <w:rFonts w:ascii="Arial" w:cs="Arial" w:eastAsia="Arial" w:hAnsi="Arial"/>
          <w:sz w:val="18"/>
          <w:szCs w:val="18"/>
          <w:color w:val="auto"/>
        </w:rPr>
      </w:pPr>
    </w:p>
    <w:p>
      <w:pPr>
        <w:jc w:val="both"/>
        <w:ind w:left="660" w:hanging="652"/>
        <w:spacing w:after="0" w:line="247"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ACIU is entering into concurrently with the signing of this Agreement an asset purchase agreement with Affiris AG ("</w:t>
      </w:r>
      <w:r>
        <w:rPr>
          <w:rFonts w:ascii="Arial" w:cs="Arial" w:eastAsia="Arial" w:hAnsi="Arial"/>
          <w:sz w:val="18"/>
          <w:szCs w:val="18"/>
          <w:b w:val="1"/>
          <w:bCs w:val="1"/>
          <w:color w:val="auto"/>
        </w:rPr>
        <w:t>A</w:t>
      </w:r>
      <w:r>
        <w:rPr>
          <w:rFonts w:ascii="Arial" w:cs="Arial" w:eastAsia="Arial" w:hAnsi="Arial"/>
          <w:sz w:val="12"/>
          <w:szCs w:val="12"/>
          <w:b w:val="1"/>
          <w:bCs w:val="1"/>
          <w:color w:val="auto"/>
        </w:rPr>
        <w:t>FFIRIS</w:t>
      </w:r>
      <w:r>
        <w:rPr>
          <w:rFonts w:ascii="Arial" w:cs="Arial" w:eastAsia="Arial" w:hAnsi="Arial"/>
          <w:sz w:val="18"/>
          <w:szCs w:val="18"/>
          <w:color w:val="auto"/>
        </w:rPr>
        <w:t>"), a stock corporation incorporated under the laws of Austria, registered (the "</w:t>
      </w:r>
      <w:r>
        <w:rPr>
          <w:rFonts w:ascii="Arial" w:cs="Arial" w:eastAsia="Arial" w:hAnsi="Arial"/>
          <w:sz w:val="18"/>
          <w:szCs w:val="18"/>
          <w:b w:val="1"/>
          <w:bCs w:val="1"/>
          <w:color w:val="auto"/>
        </w:rPr>
        <w:t>APA</w:t>
      </w:r>
      <w:r>
        <w:rPr>
          <w:rFonts w:ascii="Arial" w:cs="Arial" w:eastAsia="Arial" w:hAnsi="Arial"/>
          <w:sz w:val="18"/>
          <w:szCs w:val="18"/>
          <w:color w:val="auto"/>
        </w:rPr>
        <w:t>"). Under this Agreement, ACIU is purchasing from A</w:t>
      </w:r>
      <w:r>
        <w:rPr>
          <w:rFonts w:ascii="Arial" w:cs="Arial" w:eastAsia="Arial" w:hAnsi="Arial"/>
          <w:sz w:val="12"/>
          <w:szCs w:val="12"/>
          <w:color w:val="auto"/>
        </w:rPr>
        <w:t>FFIRIS</w:t>
      </w:r>
      <w:r>
        <w:rPr>
          <w:rFonts w:ascii="Arial" w:cs="Arial" w:eastAsia="Arial" w:hAnsi="Arial"/>
          <w:sz w:val="18"/>
          <w:szCs w:val="18"/>
          <w:color w:val="auto"/>
        </w:rPr>
        <w:t xml:space="preserve"> research and development programs conducted by or on behalf of A</w:t>
      </w:r>
      <w:r>
        <w:rPr>
          <w:rFonts w:ascii="Arial" w:cs="Arial" w:eastAsia="Arial" w:hAnsi="Arial"/>
          <w:sz w:val="12"/>
          <w:szCs w:val="12"/>
          <w:color w:val="auto"/>
        </w:rPr>
        <w:t>FFIRIS</w:t>
      </w:r>
      <w:r>
        <w:rPr>
          <w:rFonts w:ascii="Arial" w:cs="Arial" w:eastAsia="Arial" w:hAnsi="Arial"/>
          <w:sz w:val="18"/>
          <w:szCs w:val="18"/>
          <w:color w:val="auto"/>
        </w:rPr>
        <w:t xml:space="preserve"> for products against alpha-synuclein and amyloid-beta, to be used alone or in combination with other targets (the "</w:t>
      </w:r>
      <w:r>
        <w:rPr>
          <w:rFonts w:ascii="Arial" w:cs="Arial" w:eastAsia="Arial" w:hAnsi="Arial"/>
          <w:sz w:val="18"/>
          <w:szCs w:val="18"/>
          <w:b w:val="1"/>
          <w:bCs w:val="1"/>
          <w:color w:val="auto"/>
        </w:rPr>
        <w:t>Purchased IP Rights</w:t>
      </w:r>
      <w:r>
        <w:rPr>
          <w:rFonts w:ascii="Arial" w:cs="Arial" w:eastAsia="Arial" w:hAnsi="Arial"/>
          <w:sz w:val="18"/>
          <w:szCs w:val="18"/>
          <w:color w:val="auto"/>
        </w:rPr>
        <w:t>").</w:t>
      </w:r>
    </w:p>
    <w:p>
      <w:pPr>
        <w:spacing w:after="0" w:line="182"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ACIU currently intends to use the proceeds from this offering to strategically invest in research and clinical development of current and/or additional pipeline candidates and its technology platforms.</w:t>
      </w:r>
    </w:p>
    <w:p>
      <w:pPr>
        <w:spacing w:after="0" w:line="16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NOW, THEREFORE, THE PARTIES HERETO AGREE AS FOLLOWS:</w:t>
      </w:r>
    </w:p>
    <w:p>
      <w:pPr>
        <w:spacing w:after="0" w:line="198" w:lineRule="exact"/>
        <w:rPr>
          <w:sz w:val="20"/>
          <w:szCs w:val="20"/>
          <w:color w:val="auto"/>
        </w:rPr>
      </w:pPr>
    </w:p>
    <w:p>
      <w:pPr>
        <w:ind w:left="660" w:hanging="652"/>
        <w:spacing w:after="0"/>
        <w:tabs>
          <w:tab w:leader="none" w:pos="6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 of the Investor</w:t>
      </w:r>
    </w:p>
    <w:p>
      <w:pPr>
        <w:spacing w:after="0" w:line="220" w:lineRule="exact"/>
        <w:rPr>
          <w:rFonts w:ascii="Arial" w:cs="Arial" w:eastAsia="Arial" w:hAnsi="Arial"/>
          <w:sz w:val="18"/>
          <w:szCs w:val="18"/>
          <w:b w:val="1"/>
          <w:bCs w:val="1"/>
          <w:color w:val="auto"/>
        </w:rPr>
      </w:pPr>
    </w:p>
    <w:p>
      <w:pPr>
        <w:jc w:val="both"/>
        <w:ind w:left="660" w:hanging="652"/>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Pursuant to the terms and subject to the conditions contained herein, the Investor irrevocably commits to purchase from ACIU, at the same day the APA is closed (the "</w:t>
      </w:r>
      <w:r>
        <w:rPr>
          <w:rFonts w:ascii="Arial" w:cs="Arial" w:eastAsia="Arial" w:hAnsi="Arial"/>
          <w:sz w:val="18"/>
          <w:szCs w:val="18"/>
          <w:b w:val="1"/>
          <w:bCs w:val="1"/>
          <w:color w:val="auto"/>
        </w:rPr>
        <w:t>Closing Date</w:t>
      </w:r>
      <w:r>
        <w:rPr>
          <w:rFonts w:ascii="Arial" w:cs="Arial" w:eastAsia="Arial" w:hAnsi="Arial"/>
          <w:sz w:val="18"/>
          <w:szCs w:val="18"/>
          <w:color w:val="auto"/>
        </w:rPr>
        <w:t>"), a convertible note for a purchase price of USD$ 12,500,000, as further described herein.</w:t>
      </w:r>
    </w:p>
    <w:p>
      <w:pPr>
        <w:spacing w:after="0" w:line="167" w:lineRule="exact"/>
        <w:rPr>
          <w:sz w:val="20"/>
          <w:szCs w:val="20"/>
          <w:color w:val="auto"/>
        </w:rPr>
      </w:pPr>
    </w:p>
    <w:p>
      <w:pPr>
        <w:ind w:left="660" w:hanging="652"/>
        <w:spacing w:after="0"/>
        <w:tabs>
          <w:tab w:leader="none" w:pos="6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Characteristics of the Note</w:t>
      </w:r>
    </w:p>
    <w:p>
      <w:pPr>
        <w:spacing w:after="0" w:line="220" w:lineRule="exact"/>
        <w:rPr>
          <w:rFonts w:ascii="Arial" w:cs="Arial" w:eastAsia="Arial" w:hAnsi="Arial"/>
          <w:sz w:val="18"/>
          <w:szCs w:val="18"/>
          <w:b w:val="1"/>
          <w:bCs w:val="1"/>
          <w:color w:val="auto"/>
        </w:rPr>
      </w:pPr>
    </w:p>
    <w:p>
      <w:pPr>
        <w:ind w:left="660" w:hanging="652"/>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Note shall have the following terms and conditions: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 July 2021 AC Immune SA – Santo Venture Capital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35" w:name="page36"/>
    <w:bookmarkEnd w:id="35"/>
    <w:tbl>
      <w:tblPr>
        <w:tblLayout w:type="fixed"/>
        <w:tblInd w:w="10" w:type="dxa"/>
        <w:tblCellMar>
          <w:top w:w="0" w:type="dxa"/>
          <w:left w:w="0" w:type="dxa"/>
          <w:bottom w:w="0" w:type="dxa"/>
          <w:right w:w="0" w:type="dxa"/>
        </w:tblCellMar>
      </w:tblPr>
      <w:tr>
        <w:trPr>
          <w:trHeight w:val="217"/>
        </w:trPr>
        <w:tc>
          <w:tcPr>
            <w:tcW w:w="2840" w:type="dxa"/>
            <w:vAlign w:val="bottom"/>
          </w:tcPr>
          <w:p>
            <w:pPr>
              <w:spacing w:after="0"/>
              <w:rPr>
                <w:sz w:val="18"/>
                <w:szCs w:val="18"/>
                <w:color w:val="auto"/>
              </w:rPr>
            </w:pPr>
          </w:p>
        </w:tc>
        <w:tc>
          <w:tcPr>
            <w:tcW w:w="8400" w:type="dxa"/>
            <w:vAlign w:val="bottom"/>
          </w:tcPr>
          <w:p>
            <w:pPr>
              <w:ind w:left="8300"/>
              <w:spacing w:after="0"/>
              <w:rPr>
                <w:sz w:val="20"/>
                <w:szCs w:val="20"/>
                <w:color w:val="auto"/>
              </w:rPr>
            </w:pPr>
            <w:r>
              <w:rPr>
                <w:rFonts w:ascii="Arial" w:cs="Arial" w:eastAsia="Arial" w:hAnsi="Arial"/>
                <w:sz w:val="15"/>
                <w:szCs w:val="15"/>
                <w:color w:val="auto"/>
                <w:w w:val="71"/>
              </w:rPr>
              <w:t>3</w:t>
            </w:r>
          </w:p>
        </w:tc>
      </w:tr>
      <w:tr>
        <w:trPr>
          <w:trHeight w:val="122"/>
        </w:trPr>
        <w:tc>
          <w:tcPr>
            <w:tcW w:w="2840" w:type="dxa"/>
            <w:vAlign w:val="bottom"/>
            <w:tcBorders>
              <w:bottom w:val="single" w:sz="8" w:color="auto"/>
            </w:tcBorders>
          </w:tcPr>
          <w:p>
            <w:pPr>
              <w:spacing w:after="0"/>
              <w:rPr>
                <w:sz w:val="10"/>
                <w:szCs w:val="10"/>
                <w:color w:val="auto"/>
              </w:rPr>
            </w:pPr>
          </w:p>
        </w:tc>
        <w:tc>
          <w:tcPr>
            <w:tcW w:w="8400" w:type="dxa"/>
            <w:vAlign w:val="bottom"/>
            <w:tcBorders>
              <w:bottom w:val="single" w:sz="8" w:color="auto"/>
            </w:tcBorders>
          </w:tcPr>
          <w:p>
            <w:pPr>
              <w:spacing w:after="0"/>
              <w:rPr>
                <w:sz w:val="10"/>
                <w:szCs w:val="10"/>
                <w:color w:val="auto"/>
              </w:rPr>
            </w:pPr>
          </w:p>
        </w:tc>
      </w:tr>
      <w:tr>
        <w:trPr>
          <w:trHeight w:val="331"/>
        </w:trPr>
        <w:tc>
          <w:tcPr>
            <w:tcW w:w="2840" w:type="dxa"/>
            <w:vAlign w:val="bottom"/>
            <w:tcBorders>
              <w:left w:val="single" w:sz="8" w:color="auto"/>
              <w:bottom w:val="single" w:sz="8" w:color="E7E6E6"/>
              <w:right w:val="single" w:sz="8" w:color="auto"/>
            </w:tcBorders>
            <w:shd w:val="clear" w:color="auto" w:fill="E7E6E6"/>
          </w:tcPr>
          <w:p>
            <w:pPr>
              <w:ind w:left="100"/>
              <w:spacing w:after="0"/>
              <w:rPr>
                <w:sz w:val="20"/>
                <w:szCs w:val="20"/>
                <w:color w:val="auto"/>
              </w:rPr>
            </w:pPr>
            <w:r>
              <w:rPr>
                <w:rFonts w:ascii="Arial" w:cs="Arial" w:eastAsia="Arial" w:hAnsi="Arial"/>
                <w:sz w:val="18"/>
                <w:szCs w:val="18"/>
                <w:color w:val="auto"/>
              </w:rPr>
              <w:t>Principal Amount</w:t>
            </w:r>
          </w:p>
        </w:tc>
        <w:tc>
          <w:tcPr>
            <w:tcW w:w="8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(see Section 3 below)</w:t>
            </w:r>
          </w:p>
        </w:tc>
      </w:tr>
      <w:tr>
        <w:trPr>
          <w:trHeight w:val="331"/>
        </w:trPr>
        <w:tc>
          <w:tcPr>
            <w:tcW w:w="2840" w:type="dxa"/>
            <w:vAlign w:val="bottom"/>
            <w:tcBorders>
              <w:top w:val="single" w:sz="8" w:color="auto"/>
              <w:left w:val="single" w:sz="8" w:color="auto"/>
              <w:bottom w:val="single" w:sz="8" w:color="E7E6E6"/>
              <w:right w:val="single" w:sz="8" w:color="auto"/>
            </w:tcBorders>
            <w:shd w:val="clear" w:color="auto" w:fill="E7E6E6"/>
          </w:tcPr>
          <w:p>
            <w:pPr>
              <w:ind w:left="100"/>
              <w:spacing w:after="0"/>
              <w:rPr>
                <w:sz w:val="20"/>
                <w:szCs w:val="20"/>
                <w:color w:val="auto"/>
              </w:rPr>
            </w:pPr>
            <w:r>
              <w:rPr>
                <w:rFonts w:ascii="Arial" w:cs="Arial" w:eastAsia="Arial" w:hAnsi="Arial"/>
                <w:sz w:val="18"/>
                <w:szCs w:val="18"/>
                <w:color w:val="auto"/>
              </w:rPr>
              <w:t>Interest</w:t>
            </w:r>
          </w:p>
        </w:tc>
        <w:tc>
          <w:tcPr>
            <w:tcW w:w="84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w:t>
            </w:r>
          </w:p>
        </w:tc>
      </w:tr>
      <w:tr>
        <w:trPr>
          <w:trHeight w:val="331"/>
        </w:trPr>
        <w:tc>
          <w:tcPr>
            <w:tcW w:w="2840" w:type="dxa"/>
            <w:vAlign w:val="bottom"/>
            <w:tcBorders>
              <w:top w:val="single" w:sz="8" w:color="auto"/>
              <w:left w:val="single" w:sz="8" w:color="auto"/>
              <w:bottom w:val="single" w:sz="8" w:color="E7E6E6"/>
              <w:right w:val="single" w:sz="8" w:color="auto"/>
            </w:tcBorders>
            <w:shd w:val="clear" w:color="auto" w:fill="E7E6E6"/>
          </w:tcPr>
          <w:p>
            <w:pPr>
              <w:ind w:left="100"/>
              <w:spacing w:after="0"/>
              <w:rPr>
                <w:sz w:val="20"/>
                <w:szCs w:val="20"/>
                <w:color w:val="auto"/>
              </w:rPr>
            </w:pPr>
            <w:r>
              <w:rPr>
                <w:rFonts w:ascii="Arial" w:cs="Arial" w:eastAsia="Arial" w:hAnsi="Arial"/>
                <w:sz w:val="18"/>
                <w:szCs w:val="18"/>
                <w:color w:val="auto"/>
              </w:rPr>
              <w:t>Repayment date if not converted</w:t>
            </w:r>
          </w:p>
        </w:tc>
        <w:tc>
          <w:tcPr>
            <w:tcW w:w="84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26 July 2022 (the "</w:t>
            </w:r>
            <w:r>
              <w:rPr>
                <w:rFonts w:ascii="Arial" w:cs="Arial" w:eastAsia="Arial" w:hAnsi="Arial"/>
                <w:sz w:val="18"/>
                <w:szCs w:val="18"/>
                <w:b w:val="1"/>
                <w:bCs w:val="1"/>
                <w:color w:val="auto"/>
              </w:rPr>
              <w:t>Repayment Date</w:t>
            </w:r>
            <w:r>
              <w:rPr>
                <w:rFonts w:ascii="Arial" w:cs="Arial" w:eastAsia="Arial" w:hAnsi="Arial"/>
                <w:sz w:val="18"/>
                <w:szCs w:val="18"/>
                <w:color w:val="auto"/>
              </w:rPr>
              <w:t>")</w:t>
            </w:r>
          </w:p>
        </w:tc>
      </w:tr>
      <w:tr>
        <w:trPr>
          <w:trHeight w:val="263"/>
        </w:trPr>
        <w:tc>
          <w:tcPr>
            <w:tcW w:w="2840" w:type="dxa"/>
            <w:vAlign w:val="bottom"/>
            <w:tcBorders>
              <w:top w:val="single" w:sz="8" w:color="auto"/>
              <w:left w:val="single" w:sz="8" w:color="auto"/>
              <w:right w:val="single" w:sz="8" w:color="auto"/>
            </w:tcBorders>
            <w:shd w:val="clear" w:color="auto" w:fill="E7E6E6"/>
          </w:tcPr>
          <w:p>
            <w:pPr>
              <w:ind w:left="100"/>
              <w:spacing w:after="0"/>
              <w:rPr>
                <w:sz w:val="20"/>
                <w:szCs w:val="20"/>
                <w:color w:val="auto"/>
              </w:rPr>
            </w:pPr>
            <w:r>
              <w:rPr>
                <w:rFonts w:ascii="Arial" w:cs="Arial" w:eastAsia="Arial" w:hAnsi="Arial"/>
                <w:sz w:val="18"/>
                <w:szCs w:val="18"/>
                <w:color w:val="auto"/>
              </w:rPr>
              <w:t>Conversion Price</w:t>
            </w:r>
          </w:p>
        </w:tc>
        <w:tc>
          <w:tcPr>
            <w:tcW w:w="84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USD$ 8.26 per ACIU Share (the "</w:t>
            </w:r>
            <w:r>
              <w:rPr>
                <w:rFonts w:ascii="Arial" w:cs="Arial" w:eastAsia="Arial" w:hAnsi="Arial"/>
                <w:sz w:val="18"/>
                <w:szCs w:val="18"/>
                <w:b w:val="1"/>
                <w:bCs w:val="1"/>
                <w:color w:val="auto"/>
              </w:rPr>
              <w:t>Original Conversion Price</w:t>
            </w:r>
            <w:r>
              <w:rPr>
                <w:rFonts w:ascii="Arial" w:cs="Arial" w:eastAsia="Arial" w:hAnsi="Arial"/>
                <w:sz w:val="18"/>
                <w:szCs w:val="18"/>
                <w:color w:val="auto"/>
              </w:rPr>
              <w:t>"). Any share price movement in ACIU</w:t>
            </w:r>
          </w:p>
        </w:tc>
      </w:tr>
      <w:tr>
        <w:trPr>
          <w:trHeight w:val="203"/>
        </w:trPr>
        <w:tc>
          <w:tcPr>
            <w:tcW w:w="2840" w:type="dxa"/>
            <w:vAlign w:val="bottom"/>
            <w:tcBorders>
              <w:left w:val="single" w:sz="8" w:color="auto"/>
              <w:right w:val="single" w:sz="8" w:color="auto"/>
            </w:tcBorders>
            <w:shd w:val="clear" w:color="auto" w:fill="E7E6E6"/>
          </w:tcPr>
          <w:p>
            <w:pPr>
              <w:spacing w:after="0"/>
              <w:rPr>
                <w:sz w:val="17"/>
                <w:szCs w:val="17"/>
                <w:color w:val="auto"/>
              </w:rPr>
            </w:pPr>
          </w:p>
        </w:tc>
        <w:tc>
          <w:tcPr>
            <w:tcW w:w="840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Shares will not affect the number of shares to be delivered by ACIU at Closing, unless the 1 day VWAP</w:t>
            </w:r>
          </w:p>
        </w:tc>
      </w:tr>
      <w:tr>
        <w:trPr>
          <w:trHeight w:val="181"/>
        </w:trPr>
        <w:tc>
          <w:tcPr>
            <w:tcW w:w="2840" w:type="dxa"/>
            <w:vAlign w:val="bottom"/>
            <w:tcBorders>
              <w:left w:val="single" w:sz="8" w:color="auto"/>
              <w:right w:val="single" w:sz="8" w:color="auto"/>
            </w:tcBorders>
            <w:shd w:val="clear" w:color="auto" w:fill="E7E6E6"/>
          </w:tcPr>
          <w:p>
            <w:pPr>
              <w:spacing w:after="0"/>
              <w:rPr>
                <w:sz w:val="15"/>
                <w:szCs w:val="15"/>
                <w:color w:val="auto"/>
              </w:rPr>
            </w:pPr>
          </w:p>
        </w:tc>
        <w:tc>
          <w:tcPr>
            <w:tcW w:w="84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per ACIU Share on the day before the Closing Date exceeds US$ 9.18. In such a case, the delta</w:t>
            </w:r>
          </w:p>
        </w:tc>
      </w:tr>
      <w:tr>
        <w:trPr>
          <w:trHeight w:val="203"/>
        </w:trPr>
        <w:tc>
          <w:tcPr>
            <w:tcW w:w="2840" w:type="dxa"/>
            <w:vAlign w:val="bottom"/>
            <w:tcBorders>
              <w:left w:val="single" w:sz="8" w:color="auto"/>
              <w:right w:val="single" w:sz="8" w:color="auto"/>
            </w:tcBorders>
            <w:shd w:val="clear" w:color="auto" w:fill="E7E6E6"/>
          </w:tcPr>
          <w:p>
            <w:pPr>
              <w:spacing w:after="0"/>
              <w:rPr>
                <w:sz w:val="17"/>
                <w:szCs w:val="17"/>
                <w:color w:val="auto"/>
              </w:rPr>
            </w:pPr>
          </w:p>
        </w:tc>
        <w:tc>
          <w:tcPr>
            <w:tcW w:w="840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between the 1 day VWAP per ACIU Share and USD$ 9.18 shall be added to USD$ 8.26 (the "</w:t>
            </w:r>
            <w:r>
              <w:rPr>
                <w:rFonts w:ascii="Arial" w:cs="Arial" w:eastAsia="Arial" w:hAnsi="Arial"/>
                <w:sz w:val="18"/>
                <w:szCs w:val="18"/>
                <w:b w:val="1"/>
                <w:bCs w:val="1"/>
                <w:color w:val="auto"/>
              </w:rPr>
              <w:t>Adjusted</w:t>
            </w:r>
          </w:p>
        </w:tc>
      </w:tr>
      <w:tr>
        <w:trPr>
          <w:trHeight w:val="203"/>
        </w:trPr>
        <w:tc>
          <w:tcPr>
            <w:tcW w:w="2840" w:type="dxa"/>
            <w:vAlign w:val="bottom"/>
            <w:tcBorders>
              <w:left w:val="single" w:sz="8" w:color="auto"/>
              <w:right w:val="single" w:sz="8" w:color="auto"/>
            </w:tcBorders>
            <w:shd w:val="clear" w:color="auto" w:fill="E7E6E6"/>
          </w:tcPr>
          <w:p>
            <w:pPr>
              <w:spacing w:after="0"/>
              <w:rPr>
                <w:sz w:val="17"/>
                <w:szCs w:val="17"/>
                <w:color w:val="auto"/>
              </w:rPr>
            </w:pPr>
          </w:p>
        </w:tc>
        <w:tc>
          <w:tcPr>
            <w:tcW w:w="840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b w:val="1"/>
                <w:bCs w:val="1"/>
                <w:color w:val="auto"/>
              </w:rPr>
              <w:t>Conversion Price</w:t>
            </w:r>
            <w:r>
              <w:rPr>
                <w:rFonts w:ascii="Arial" w:cs="Arial" w:eastAsia="Arial" w:hAnsi="Arial"/>
                <w:sz w:val="18"/>
                <w:szCs w:val="18"/>
                <w:color w:val="auto"/>
              </w:rPr>
              <w:t>", the Original Conversion Price, or in case of an adjustment, the Adjusted</w:t>
            </w:r>
          </w:p>
        </w:tc>
      </w:tr>
      <w:tr>
        <w:trPr>
          <w:trHeight w:val="293"/>
        </w:trPr>
        <w:tc>
          <w:tcPr>
            <w:tcW w:w="2840" w:type="dxa"/>
            <w:vAlign w:val="bottom"/>
            <w:tcBorders>
              <w:left w:val="single" w:sz="8" w:color="auto"/>
              <w:bottom w:val="single" w:sz="8" w:color="E7E6E6"/>
              <w:right w:val="single" w:sz="8" w:color="auto"/>
            </w:tcBorders>
            <w:shd w:val="clear" w:color="auto" w:fill="E7E6E6"/>
          </w:tcPr>
          <w:p>
            <w:pPr>
              <w:spacing w:after="0"/>
              <w:rPr>
                <w:sz w:val="24"/>
                <w:szCs w:val="24"/>
                <w:color w:val="auto"/>
              </w:rPr>
            </w:pPr>
          </w:p>
        </w:tc>
        <w:tc>
          <w:tcPr>
            <w:tcW w:w="8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Conversion Price, the "</w:t>
            </w:r>
            <w:r>
              <w:rPr>
                <w:rFonts w:ascii="Arial" w:cs="Arial" w:eastAsia="Arial" w:hAnsi="Arial"/>
                <w:sz w:val="18"/>
                <w:szCs w:val="18"/>
                <w:b w:val="1"/>
                <w:bCs w:val="1"/>
                <w:color w:val="auto"/>
              </w:rPr>
              <w:t>Conversion Price</w:t>
            </w:r>
            <w:r>
              <w:rPr>
                <w:rFonts w:ascii="Arial" w:cs="Arial" w:eastAsia="Arial" w:hAnsi="Arial"/>
                <w:sz w:val="18"/>
                <w:szCs w:val="18"/>
                <w:color w:val="auto"/>
              </w:rPr>
              <w:t>")</w:t>
            </w:r>
          </w:p>
        </w:tc>
      </w:tr>
      <w:tr>
        <w:trPr>
          <w:trHeight w:val="241"/>
        </w:trPr>
        <w:tc>
          <w:tcPr>
            <w:tcW w:w="2840" w:type="dxa"/>
            <w:vAlign w:val="bottom"/>
            <w:tcBorders>
              <w:top w:val="single" w:sz="8" w:color="auto"/>
              <w:left w:val="single" w:sz="8" w:color="auto"/>
              <w:right w:val="single" w:sz="8" w:color="auto"/>
            </w:tcBorders>
            <w:shd w:val="clear" w:color="auto" w:fill="E7E6E6"/>
          </w:tcPr>
          <w:p>
            <w:pPr>
              <w:ind w:left="100"/>
              <w:spacing w:after="0"/>
              <w:rPr>
                <w:sz w:val="20"/>
                <w:szCs w:val="20"/>
                <w:color w:val="auto"/>
              </w:rPr>
            </w:pPr>
            <w:r>
              <w:rPr>
                <w:rFonts w:ascii="Arial" w:cs="Arial" w:eastAsia="Arial" w:hAnsi="Arial"/>
                <w:sz w:val="18"/>
                <w:szCs w:val="18"/>
                <w:color w:val="auto"/>
              </w:rPr>
              <w:t>Investor's ability to force</w:t>
            </w:r>
          </w:p>
        </w:tc>
        <w:tc>
          <w:tcPr>
            <w:tcW w:w="84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any time until 10 calendar days prior to the Repayment Date by giving notice hereunder to ACIU (the</w:t>
            </w:r>
          </w:p>
        </w:tc>
      </w:tr>
      <w:tr>
        <w:trPr>
          <w:trHeight w:val="293"/>
        </w:trPr>
        <w:tc>
          <w:tcPr>
            <w:tcW w:w="2840" w:type="dxa"/>
            <w:vAlign w:val="bottom"/>
            <w:tcBorders>
              <w:left w:val="single" w:sz="8" w:color="auto"/>
              <w:bottom w:val="single" w:sz="8" w:color="E7E6E6"/>
              <w:right w:val="single" w:sz="8" w:color="auto"/>
            </w:tcBorders>
            <w:shd w:val="clear" w:color="auto" w:fill="E7E6E6"/>
          </w:tcPr>
          <w:p>
            <w:pPr>
              <w:ind w:left="100"/>
              <w:spacing w:after="0"/>
              <w:rPr>
                <w:sz w:val="20"/>
                <w:szCs w:val="20"/>
                <w:color w:val="auto"/>
              </w:rPr>
            </w:pPr>
            <w:r>
              <w:rPr>
                <w:rFonts w:ascii="Arial" w:cs="Arial" w:eastAsia="Arial" w:hAnsi="Arial"/>
                <w:sz w:val="18"/>
                <w:szCs w:val="18"/>
                <w:color w:val="auto"/>
              </w:rPr>
              <w:t>conversion</w:t>
            </w:r>
          </w:p>
        </w:tc>
        <w:tc>
          <w:tcPr>
            <w:tcW w:w="8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Investor Conversion Period</w:t>
            </w:r>
            <w:r>
              <w:rPr>
                <w:rFonts w:ascii="Arial" w:cs="Arial" w:eastAsia="Arial" w:hAnsi="Arial"/>
                <w:sz w:val="18"/>
                <w:szCs w:val="18"/>
                <w:color w:val="auto"/>
              </w:rPr>
              <w:t>")</w:t>
            </w:r>
          </w:p>
        </w:tc>
      </w:tr>
      <w:tr>
        <w:trPr>
          <w:trHeight w:val="241"/>
        </w:trPr>
        <w:tc>
          <w:tcPr>
            <w:tcW w:w="2840" w:type="dxa"/>
            <w:vAlign w:val="bottom"/>
            <w:tcBorders>
              <w:top w:val="single" w:sz="8" w:color="auto"/>
              <w:left w:val="single" w:sz="8" w:color="auto"/>
              <w:right w:val="single" w:sz="8" w:color="auto"/>
            </w:tcBorders>
            <w:shd w:val="clear" w:color="auto" w:fill="E7E6E6"/>
          </w:tcPr>
          <w:p>
            <w:pPr>
              <w:ind w:left="100"/>
              <w:spacing w:after="0"/>
              <w:rPr>
                <w:sz w:val="20"/>
                <w:szCs w:val="20"/>
                <w:color w:val="auto"/>
              </w:rPr>
            </w:pPr>
            <w:r>
              <w:rPr>
                <w:rFonts w:ascii="Arial" w:cs="Arial" w:eastAsia="Arial" w:hAnsi="Arial"/>
                <w:sz w:val="18"/>
                <w:szCs w:val="18"/>
                <w:color w:val="auto"/>
              </w:rPr>
              <w:t>ACIU's ability to force conversion</w:t>
            </w:r>
          </w:p>
        </w:tc>
        <w:tc>
          <w:tcPr>
            <w:tcW w:w="84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any time until 10 calendar days prior to the Repayment Date (the "</w:t>
            </w:r>
            <w:r>
              <w:rPr>
                <w:rFonts w:ascii="Arial" w:cs="Arial" w:eastAsia="Arial" w:hAnsi="Arial"/>
                <w:sz w:val="18"/>
                <w:szCs w:val="18"/>
                <w:b w:val="1"/>
                <w:bCs w:val="1"/>
                <w:color w:val="auto"/>
              </w:rPr>
              <w:t>ACIU Conversion Period</w:t>
            </w:r>
            <w:r>
              <w:rPr>
                <w:rFonts w:ascii="Arial" w:cs="Arial" w:eastAsia="Arial" w:hAnsi="Arial"/>
                <w:sz w:val="18"/>
                <w:szCs w:val="18"/>
                <w:color w:val="auto"/>
              </w:rPr>
              <w:t>", together</w:t>
            </w:r>
          </w:p>
        </w:tc>
      </w:tr>
      <w:tr>
        <w:trPr>
          <w:trHeight w:val="293"/>
        </w:trPr>
        <w:tc>
          <w:tcPr>
            <w:tcW w:w="2840" w:type="dxa"/>
            <w:vAlign w:val="bottom"/>
            <w:tcBorders>
              <w:left w:val="single" w:sz="8" w:color="auto"/>
              <w:bottom w:val="single" w:sz="8" w:color="E7E6E6"/>
              <w:right w:val="single" w:sz="8" w:color="auto"/>
            </w:tcBorders>
            <w:shd w:val="clear" w:color="auto" w:fill="E7E6E6"/>
          </w:tcPr>
          <w:p>
            <w:pPr>
              <w:spacing w:after="0"/>
              <w:rPr>
                <w:sz w:val="24"/>
                <w:szCs w:val="24"/>
                <w:color w:val="auto"/>
              </w:rPr>
            </w:pPr>
          </w:p>
        </w:tc>
        <w:tc>
          <w:tcPr>
            <w:tcW w:w="8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with the Investor Conversion Period, the "</w:t>
            </w:r>
            <w:r>
              <w:rPr>
                <w:rFonts w:ascii="Arial" w:cs="Arial" w:eastAsia="Arial" w:hAnsi="Arial"/>
                <w:sz w:val="18"/>
                <w:szCs w:val="18"/>
                <w:b w:val="1"/>
                <w:bCs w:val="1"/>
                <w:color w:val="auto"/>
              </w:rPr>
              <w:t>Conversion Period</w:t>
            </w:r>
            <w:r>
              <w:rPr>
                <w:rFonts w:ascii="Arial" w:cs="Arial" w:eastAsia="Arial" w:hAnsi="Arial"/>
                <w:sz w:val="18"/>
                <w:szCs w:val="18"/>
                <w:color w:val="auto"/>
              </w:rPr>
              <w:t>")</w:t>
            </w:r>
          </w:p>
        </w:tc>
      </w:tr>
      <w:tr>
        <w:trPr>
          <w:trHeight w:val="263"/>
        </w:trPr>
        <w:tc>
          <w:tcPr>
            <w:tcW w:w="2840" w:type="dxa"/>
            <w:vAlign w:val="bottom"/>
            <w:tcBorders>
              <w:top w:val="single" w:sz="8" w:color="auto"/>
              <w:left w:val="single" w:sz="8" w:color="auto"/>
              <w:right w:val="single" w:sz="8" w:color="auto"/>
            </w:tcBorders>
            <w:shd w:val="clear" w:color="auto" w:fill="E7E6E6"/>
          </w:tcPr>
          <w:p>
            <w:pPr>
              <w:ind w:left="100"/>
              <w:spacing w:after="0"/>
              <w:rPr>
                <w:sz w:val="20"/>
                <w:szCs w:val="20"/>
                <w:color w:val="auto"/>
              </w:rPr>
            </w:pPr>
            <w:r>
              <w:rPr>
                <w:rFonts w:ascii="Arial" w:cs="Arial" w:eastAsia="Arial" w:hAnsi="Arial"/>
                <w:sz w:val="18"/>
                <w:szCs w:val="18"/>
                <w:color w:val="auto"/>
              </w:rPr>
              <w:t>Source of ACIU Shares</w:t>
            </w:r>
          </w:p>
        </w:tc>
        <w:tc>
          <w:tcPr>
            <w:tcW w:w="84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Conditional Capital as per Art. 3b of ACIU's Articles of Association (with the option of ACIU to deliver a</w:t>
            </w:r>
          </w:p>
        </w:tc>
      </w:tr>
      <w:tr>
        <w:trPr>
          <w:trHeight w:val="271"/>
        </w:trPr>
        <w:tc>
          <w:tcPr>
            <w:tcW w:w="2840" w:type="dxa"/>
            <w:vAlign w:val="bottom"/>
            <w:tcBorders>
              <w:left w:val="single" w:sz="8" w:color="auto"/>
              <w:bottom w:val="single" w:sz="8" w:color="E7E6E6"/>
              <w:right w:val="single" w:sz="8" w:color="auto"/>
            </w:tcBorders>
            <w:shd w:val="clear" w:color="auto" w:fill="E7E6E6"/>
          </w:tcPr>
          <w:p>
            <w:pPr>
              <w:spacing w:after="0"/>
              <w:rPr>
                <w:sz w:val="23"/>
                <w:szCs w:val="23"/>
                <w:color w:val="auto"/>
              </w:rPr>
            </w:pPr>
          </w:p>
        </w:tc>
        <w:tc>
          <w:tcPr>
            <w:tcW w:w="8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part or all of the Shares from treasury Shares)</w:t>
            </w:r>
          </w:p>
        </w:tc>
      </w:tr>
      <w:tr>
        <w:trPr>
          <w:trHeight w:val="331"/>
        </w:trPr>
        <w:tc>
          <w:tcPr>
            <w:tcW w:w="2840" w:type="dxa"/>
            <w:vAlign w:val="bottom"/>
            <w:tcBorders>
              <w:top w:val="single" w:sz="8" w:color="auto"/>
              <w:left w:val="single" w:sz="8" w:color="auto"/>
              <w:bottom w:val="single" w:sz="8" w:color="E7E6E6"/>
              <w:right w:val="single" w:sz="8" w:color="auto"/>
            </w:tcBorders>
            <w:shd w:val="clear" w:color="auto" w:fill="E7E6E6"/>
          </w:tcPr>
          <w:p>
            <w:pPr>
              <w:ind w:left="100"/>
              <w:spacing w:after="0"/>
              <w:rPr>
                <w:sz w:val="20"/>
                <w:szCs w:val="20"/>
                <w:color w:val="auto"/>
              </w:rPr>
            </w:pPr>
            <w:r>
              <w:rPr>
                <w:rFonts w:ascii="Arial" w:cs="Arial" w:eastAsia="Arial" w:hAnsi="Arial"/>
                <w:sz w:val="18"/>
                <w:szCs w:val="18"/>
                <w:color w:val="auto"/>
              </w:rPr>
              <w:t>Security</w:t>
            </w:r>
          </w:p>
        </w:tc>
        <w:tc>
          <w:tcPr>
            <w:tcW w:w="84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None</w:t>
            </w:r>
          </w:p>
        </w:tc>
      </w:tr>
      <w:tr>
        <w:trPr>
          <w:trHeight w:val="263"/>
        </w:trPr>
        <w:tc>
          <w:tcPr>
            <w:tcW w:w="2840" w:type="dxa"/>
            <w:vAlign w:val="bottom"/>
            <w:tcBorders>
              <w:top w:val="single" w:sz="8" w:color="auto"/>
              <w:left w:val="single" w:sz="8" w:color="auto"/>
              <w:right w:val="single" w:sz="8" w:color="auto"/>
            </w:tcBorders>
            <w:shd w:val="clear" w:color="auto" w:fill="E7E6E6"/>
          </w:tcPr>
          <w:p>
            <w:pPr>
              <w:ind w:left="100"/>
              <w:spacing w:after="0"/>
              <w:rPr>
                <w:sz w:val="20"/>
                <w:szCs w:val="20"/>
                <w:color w:val="auto"/>
              </w:rPr>
            </w:pPr>
            <w:r>
              <w:rPr>
                <w:rFonts w:ascii="Arial" w:cs="Arial" w:eastAsia="Arial" w:hAnsi="Arial"/>
                <w:sz w:val="18"/>
                <w:szCs w:val="18"/>
                <w:color w:val="auto"/>
              </w:rPr>
              <w:t>Ranking of ACIU Shares issued</w:t>
            </w:r>
          </w:p>
        </w:tc>
        <w:tc>
          <w:tcPr>
            <w:tcW w:w="84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newly issued ACIU shares rank pari passu with all existing shares and have the same dividend</w:t>
            </w:r>
          </w:p>
        </w:tc>
      </w:tr>
      <w:tr>
        <w:trPr>
          <w:trHeight w:val="271"/>
        </w:trPr>
        <w:tc>
          <w:tcPr>
            <w:tcW w:w="2840" w:type="dxa"/>
            <w:vAlign w:val="bottom"/>
            <w:tcBorders>
              <w:left w:val="single" w:sz="8" w:color="auto"/>
              <w:bottom w:val="single" w:sz="8" w:color="E7E6E6"/>
              <w:right w:val="single" w:sz="8" w:color="auto"/>
            </w:tcBorders>
            <w:shd w:val="clear" w:color="auto" w:fill="E7E6E6"/>
          </w:tcPr>
          <w:p>
            <w:pPr>
              <w:ind w:left="100"/>
              <w:spacing w:after="0"/>
              <w:rPr>
                <w:sz w:val="20"/>
                <w:szCs w:val="20"/>
                <w:color w:val="auto"/>
              </w:rPr>
            </w:pPr>
            <w:r>
              <w:rPr>
                <w:rFonts w:ascii="Arial" w:cs="Arial" w:eastAsia="Arial" w:hAnsi="Arial"/>
                <w:sz w:val="18"/>
                <w:szCs w:val="18"/>
                <w:color w:val="auto"/>
              </w:rPr>
              <w:t>upon conversion</w:t>
            </w:r>
          </w:p>
        </w:tc>
        <w:tc>
          <w:tcPr>
            <w:tcW w:w="8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rights as all other ACIU shares issued</w:t>
            </w:r>
          </w:p>
        </w:tc>
      </w:tr>
      <w:tr>
        <w:trPr>
          <w:trHeight w:val="331"/>
        </w:trPr>
        <w:tc>
          <w:tcPr>
            <w:tcW w:w="2840" w:type="dxa"/>
            <w:vAlign w:val="bottom"/>
            <w:tcBorders>
              <w:top w:val="single" w:sz="8" w:color="auto"/>
              <w:left w:val="single" w:sz="8" w:color="auto"/>
              <w:bottom w:val="single" w:sz="8" w:color="E7E6E6"/>
              <w:right w:val="single" w:sz="8" w:color="auto"/>
            </w:tcBorders>
            <w:shd w:val="clear" w:color="auto" w:fill="E7E6E6"/>
          </w:tcPr>
          <w:p>
            <w:pPr>
              <w:ind w:left="100"/>
              <w:spacing w:after="0"/>
              <w:rPr>
                <w:sz w:val="20"/>
                <w:szCs w:val="20"/>
                <w:color w:val="auto"/>
              </w:rPr>
            </w:pPr>
            <w:r>
              <w:rPr>
                <w:rFonts w:ascii="Arial" w:cs="Arial" w:eastAsia="Arial" w:hAnsi="Arial"/>
                <w:sz w:val="18"/>
                <w:szCs w:val="18"/>
                <w:color w:val="auto"/>
              </w:rPr>
              <w:t>Ranking</w:t>
            </w:r>
          </w:p>
        </w:tc>
        <w:tc>
          <w:tcPr>
            <w:tcW w:w="84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Subordinated in case of bankruptcy</w:t>
            </w:r>
          </w:p>
        </w:tc>
      </w:tr>
      <w:tr>
        <w:trPr>
          <w:trHeight w:val="331"/>
        </w:trPr>
        <w:tc>
          <w:tcPr>
            <w:tcW w:w="2840" w:type="dxa"/>
            <w:vAlign w:val="bottom"/>
            <w:tcBorders>
              <w:top w:val="single" w:sz="8" w:color="auto"/>
              <w:left w:val="single" w:sz="8" w:color="auto"/>
              <w:bottom w:val="single" w:sz="8" w:color="E7E6E6"/>
              <w:right w:val="single" w:sz="8" w:color="auto"/>
            </w:tcBorders>
            <w:shd w:val="clear" w:color="auto" w:fill="E7E6E6"/>
          </w:tcPr>
          <w:p>
            <w:pPr>
              <w:ind w:left="100"/>
              <w:spacing w:after="0"/>
              <w:rPr>
                <w:sz w:val="20"/>
                <w:szCs w:val="20"/>
                <w:color w:val="auto"/>
              </w:rPr>
            </w:pPr>
            <w:r>
              <w:rPr>
                <w:rFonts w:ascii="Arial" w:cs="Arial" w:eastAsia="Arial" w:hAnsi="Arial"/>
                <w:sz w:val="18"/>
                <w:szCs w:val="18"/>
                <w:color w:val="auto"/>
              </w:rPr>
              <w:t>Applicable law</w:t>
            </w:r>
          </w:p>
        </w:tc>
        <w:tc>
          <w:tcPr>
            <w:tcW w:w="84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Swiss</w:t>
            </w:r>
          </w:p>
        </w:tc>
      </w:tr>
      <w:tr>
        <w:trPr>
          <w:trHeight w:val="311"/>
        </w:trPr>
        <w:tc>
          <w:tcPr>
            <w:tcW w:w="2840" w:type="dxa"/>
            <w:vAlign w:val="bottom"/>
            <w:tcBorders>
              <w:top w:val="single" w:sz="8" w:color="auto"/>
              <w:left w:val="single" w:sz="8" w:color="auto"/>
              <w:bottom w:val="single" w:sz="8" w:color="E7E6E6"/>
              <w:right w:val="single" w:sz="8" w:color="auto"/>
            </w:tcBorders>
            <w:shd w:val="clear" w:color="auto" w:fill="E7E6E6"/>
          </w:tcPr>
          <w:p>
            <w:pPr>
              <w:ind w:left="100"/>
              <w:spacing w:after="0"/>
              <w:rPr>
                <w:sz w:val="20"/>
                <w:szCs w:val="20"/>
                <w:color w:val="auto"/>
              </w:rPr>
            </w:pPr>
            <w:r>
              <w:rPr>
                <w:rFonts w:ascii="Arial" w:cs="Arial" w:eastAsia="Arial" w:hAnsi="Arial"/>
                <w:sz w:val="18"/>
                <w:szCs w:val="18"/>
                <w:color w:val="auto"/>
              </w:rPr>
              <w:t>Jurisdiction</w:t>
            </w:r>
          </w:p>
        </w:tc>
        <w:tc>
          <w:tcPr>
            <w:tcW w:w="84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Zurich</w:t>
            </w:r>
          </w:p>
        </w:tc>
      </w:tr>
      <w:tr>
        <w:trPr>
          <w:trHeight w:val="20"/>
        </w:trPr>
        <w:tc>
          <w:tcPr>
            <w:tcW w:w="28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400" w:type="dxa"/>
            <w:vAlign w:val="bottom"/>
            <w:tcBorders>
              <w:right w:val="single" w:sz="8" w:color="auto"/>
            </w:tcBorders>
            <w:shd w:val="clear" w:color="auto" w:fill="000000"/>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 July 2021 AC Immune SA – Santo Venture Capital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4</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CERTAIN CONFIDENTIAL PORTIONS HAVE BEEN REDACTED FROM THIS EXHIBIT BECAUSE THEY ARE BOTH (i) NOT MATERIAL AND (ii) IS THE TYPE THAT THE COMPANY TREATS AS PRIVATE OR CONFIDENTIAL. INFORMATION THAT HAS BEEN OMITTED HAD BEEN IDENTIFIED IN THIS DOCUMENT WITH A PLACEHOLDER IDENTIFIED BY THE MARK “[*****]”.</w:t>
      </w:r>
    </w:p>
    <w:p>
      <w:pPr>
        <w:spacing w:after="0" w:line="167" w:lineRule="exact"/>
        <w:rPr>
          <w:sz w:val="20"/>
          <w:szCs w:val="20"/>
          <w:color w:val="auto"/>
        </w:rPr>
      </w:pPr>
    </w:p>
    <w:p>
      <w:pPr>
        <w:ind w:left="660" w:hanging="652"/>
        <w:spacing w:after="0"/>
        <w:tabs>
          <w:tab w:leader="none" w:pos="6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Note Purchase Price</w:t>
      </w:r>
    </w:p>
    <w:p>
      <w:pPr>
        <w:spacing w:after="0" w:line="198" w:lineRule="exact"/>
        <w:rPr>
          <w:rFonts w:ascii="Arial" w:cs="Arial" w:eastAsia="Arial" w:hAnsi="Arial"/>
          <w:sz w:val="18"/>
          <w:szCs w:val="18"/>
          <w:b w:val="1"/>
          <w:bCs w:val="1"/>
          <w:color w:val="auto"/>
        </w:rPr>
      </w:pPr>
    </w:p>
    <w:p>
      <w:pPr>
        <w:ind w:left="660" w:hanging="652"/>
        <w:spacing w:after="0" w:line="271"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purchase price for, and principal amount of, the Note shall be USD$ 12,500,000 (the "</w:t>
      </w:r>
      <w:r>
        <w:rPr>
          <w:rFonts w:ascii="Arial" w:cs="Arial" w:eastAsia="Arial" w:hAnsi="Arial"/>
          <w:sz w:val="18"/>
          <w:szCs w:val="18"/>
          <w:b w:val="1"/>
          <w:bCs w:val="1"/>
          <w:color w:val="auto"/>
        </w:rPr>
        <w:t>Purchase Price</w:t>
      </w:r>
      <w:r>
        <w:rPr>
          <w:rFonts w:ascii="Arial" w:cs="Arial" w:eastAsia="Arial" w:hAnsi="Arial"/>
          <w:sz w:val="18"/>
          <w:szCs w:val="18"/>
          <w:color w:val="auto"/>
        </w:rPr>
        <w:t>" and "</w:t>
      </w:r>
      <w:r>
        <w:rPr>
          <w:rFonts w:ascii="Arial" w:cs="Arial" w:eastAsia="Arial" w:hAnsi="Arial"/>
          <w:sz w:val="18"/>
          <w:szCs w:val="18"/>
          <w:b w:val="1"/>
          <w:bCs w:val="1"/>
          <w:color w:val="auto"/>
        </w:rPr>
        <w:t>Principal</w:t>
      </w:r>
      <w:r>
        <w:rPr>
          <w:rFonts w:ascii="Arial" w:cs="Arial" w:eastAsia="Arial" w:hAnsi="Arial"/>
          <w:sz w:val="18"/>
          <w:szCs w:val="18"/>
          <w:color w:val="auto"/>
        </w:rPr>
        <w:t xml:space="preserve"> </w:t>
      </w:r>
      <w:r>
        <w:rPr>
          <w:rFonts w:ascii="Arial" w:cs="Arial" w:eastAsia="Arial" w:hAnsi="Arial"/>
          <w:sz w:val="18"/>
          <w:szCs w:val="18"/>
          <w:b w:val="1"/>
          <w:bCs w:val="1"/>
          <w:color w:val="auto"/>
        </w:rPr>
        <w:t>Amount</w:t>
      </w:r>
      <w:r>
        <w:rPr>
          <w:rFonts w:ascii="Arial" w:cs="Arial" w:eastAsia="Arial" w:hAnsi="Arial"/>
          <w:sz w:val="18"/>
          <w:szCs w:val="18"/>
          <w:color w:val="auto"/>
        </w:rPr>
        <w:t>").</w:t>
      </w:r>
    </w:p>
    <w:p>
      <w:pPr>
        <w:spacing w:after="0" w:line="162" w:lineRule="exact"/>
        <w:rPr>
          <w:sz w:val="20"/>
          <w:szCs w:val="20"/>
          <w:color w:val="auto"/>
        </w:rPr>
      </w:pPr>
    </w:p>
    <w:p>
      <w:pPr>
        <w:ind w:left="660" w:right="20" w:hanging="652"/>
        <w:spacing w:after="0" w:line="243"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Purchase Price shall be paid on the Closing Date (as further defined herein) by Bank transfer to the following account of ACIU or to any other account designated by ACIU (incl. direct payment to the account of the Seller under the APA):</w:t>
      </w:r>
    </w:p>
    <w:p>
      <w:pPr>
        <w:sectPr>
          <w:pgSz w:w="11900" w:h="16838" w:orient="portrait"/>
          <w:cols w:equalWidth="0" w:num="1">
            <w:col w:w="11240"/>
          </w:cols>
          <w:pgMar w:left="320" w:top="260" w:right="339" w:bottom="1440" w:gutter="0" w:footer="0" w:header="0"/>
        </w:sectPr>
      </w:pPr>
    </w:p>
    <w:p>
      <w:pPr>
        <w:ind w:left="660"/>
        <w:spacing w:after="0" w:line="231" w:lineRule="auto"/>
        <w:tabs>
          <w:tab w:leader="none" w:pos="2100" w:val="left"/>
        </w:tabs>
        <w:rPr>
          <w:sz w:val="20"/>
          <w:szCs w:val="20"/>
          <w:color w:val="auto"/>
        </w:rPr>
      </w:pPr>
      <w:r>
        <w:rPr>
          <w:rFonts w:ascii="Arial" w:cs="Arial" w:eastAsia="Arial" w:hAnsi="Arial"/>
          <w:sz w:val="18"/>
          <w:szCs w:val="18"/>
          <w:color w:val="auto"/>
        </w:rPr>
        <w:t>Bank Name:</w:t>
      </w:r>
      <w:r>
        <w:rPr>
          <w:sz w:val="20"/>
          <w:szCs w:val="20"/>
          <w:color w:val="auto"/>
        </w:rPr>
        <w:tab/>
      </w:r>
      <w:r>
        <w:rPr>
          <w:rFonts w:ascii="Arial" w:cs="Arial" w:eastAsia="Arial" w:hAnsi="Arial"/>
          <w:sz w:val="17"/>
          <w:szCs w:val="17"/>
          <w:color w:val="auto"/>
        </w:rPr>
        <w:t>[*****]</w:t>
      </w:r>
    </w:p>
    <w:p>
      <w:pPr>
        <w:ind w:left="660"/>
        <w:spacing w:after="0"/>
        <w:tabs>
          <w:tab w:leader="none" w:pos="2100" w:val="left"/>
        </w:tabs>
        <w:rPr>
          <w:sz w:val="20"/>
          <w:szCs w:val="20"/>
          <w:color w:val="auto"/>
        </w:rPr>
      </w:pPr>
      <w:r>
        <w:rPr>
          <w:rFonts w:ascii="Arial" w:cs="Arial" w:eastAsia="Arial" w:hAnsi="Arial"/>
          <w:sz w:val="18"/>
          <w:szCs w:val="18"/>
          <w:color w:val="auto"/>
        </w:rPr>
        <w:t>Account no.:</w:t>
      </w:r>
      <w:r>
        <w:rPr>
          <w:sz w:val="20"/>
          <w:szCs w:val="20"/>
          <w:color w:val="auto"/>
        </w:rPr>
        <w:tab/>
      </w:r>
      <w:r>
        <w:rPr>
          <w:rFonts w:ascii="Arial" w:cs="Arial" w:eastAsia="Arial" w:hAnsi="Arial"/>
          <w:sz w:val="17"/>
          <w:szCs w:val="17"/>
          <w:color w:val="auto"/>
        </w:rPr>
        <w:t>[*****]</w:t>
      </w:r>
    </w:p>
    <w:p>
      <w:pPr>
        <w:ind w:left="660"/>
        <w:spacing w:after="0"/>
        <w:tabs>
          <w:tab w:leader="none" w:pos="2100" w:val="left"/>
        </w:tabs>
        <w:rPr>
          <w:sz w:val="20"/>
          <w:szCs w:val="20"/>
          <w:color w:val="auto"/>
        </w:rPr>
      </w:pPr>
      <w:r>
        <w:rPr>
          <w:rFonts w:ascii="Arial" w:cs="Arial" w:eastAsia="Arial" w:hAnsi="Arial"/>
          <w:sz w:val="17"/>
          <w:szCs w:val="17"/>
          <w:color w:val="auto"/>
        </w:rPr>
        <w:t>BIC/SWIFT:</w:t>
      </w:r>
      <w:r>
        <w:rPr>
          <w:sz w:val="20"/>
          <w:szCs w:val="20"/>
          <w:color w:val="auto"/>
        </w:rPr>
        <w:tab/>
      </w:r>
      <w:r>
        <w:rPr>
          <w:rFonts w:ascii="Arial" w:cs="Arial" w:eastAsia="Arial" w:hAnsi="Arial"/>
          <w:sz w:val="17"/>
          <w:szCs w:val="17"/>
          <w:color w:val="auto"/>
        </w:rPr>
        <w:t>[*****]</w:t>
      </w:r>
    </w:p>
    <w:p>
      <w:pPr>
        <w:spacing w:after="0" w:line="7"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7"/>
          <w:szCs w:val="17"/>
          <w:color w:val="auto"/>
        </w:rPr>
        <w:t>IBAN:</w:t>
      </w:r>
      <w:r>
        <w:rPr>
          <w:sz w:val="20"/>
          <w:szCs w:val="20"/>
          <w:color w:val="auto"/>
        </w:rPr>
        <w:tab/>
      </w:r>
      <w:r>
        <w:rPr>
          <w:rFonts w:ascii="Arial" w:cs="Arial" w:eastAsia="Arial" w:hAnsi="Arial"/>
          <w:sz w:val="17"/>
          <w:szCs w:val="17"/>
          <w:color w:val="auto"/>
        </w:rPr>
        <w:t>[*****]</w:t>
      </w:r>
    </w:p>
    <w:p>
      <w:pPr>
        <w:sectPr>
          <w:pgSz w:w="11900" w:h="16838" w:orient="portrait"/>
          <w:cols w:equalWidth="0" w:num="1">
            <w:col w:w="11240"/>
          </w:cols>
          <w:pgMar w:left="320" w:top="260" w:right="339" w:bottom="1440" w:gutter="0" w:footer="0" w:header="0"/>
          <w:type w:val="continuous"/>
        </w:sectPr>
      </w:pPr>
    </w:p>
    <w:p>
      <w:pPr>
        <w:spacing w:after="0" w:line="188" w:lineRule="exact"/>
        <w:rPr>
          <w:sz w:val="20"/>
          <w:szCs w:val="20"/>
          <w:color w:val="auto"/>
        </w:rPr>
      </w:pPr>
    </w:p>
    <w:p>
      <w:pPr>
        <w:ind w:left="660" w:hanging="652"/>
        <w:spacing w:after="0"/>
        <w:tabs>
          <w:tab w:leader="none" w:pos="6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Conditionality and Relationship of this Agreement to the APA</w:t>
      </w:r>
    </w:p>
    <w:p>
      <w:pPr>
        <w:spacing w:after="0" w:line="220" w:lineRule="exact"/>
        <w:rPr>
          <w:sz w:val="20"/>
          <w:szCs w:val="20"/>
          <w:color w:val="auto"/>
        </w:rPr>
      </w:pPr>
    </w:p>
    <w:p>
      <w:pPr>
        <w:jc w:val="both"/>
        <w:ind w:left="660" w:hanging="652"/>
        <w:spacing w:after="0" w:line="238"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Utilization of the proceeds from the issuance of the Note by ACIU and payment from the Investor of the Purchase Price to ACIU shall be subject only to a written confirmation (e-mail with a PDF scan of such confirmation shall be sufficient) by ACIU that either (i) all conditions for the closing of the APA (except for the payment of the purchase price, if relevant) are fulfilled or waived or (ii) that the closing of the APA has occurred.</w:t>
      </w:r>
    </w:p>
    <w:p>
      <w:pPr>
        <w:spacing w:after="0" w:line="169" w:lineRule="exact"/>
        <w:rPr>
          <w:rFonts w:ascii="Arial" w:cs="Arial" w:eastAsia="Arial" w:hAnsi="Arial"/>
          <w:sz w:val="18"/>
          <w:szCs w:val="18"/>
          <w:color w:val="auto"/>
        </w:rPr>
      </w:pPr>
    </w:p>
    <w:p>
      <w:pPr>
        <w:ind w:left="660" w:hanging="652"/>
        <w:spacing w:after="0"/>
        <w:tabs>
          <w:tab w:leader="none" w:pos="6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Conversion</w:t>
      </w:r>
    </w:p>
    <w:p>
      <w:pPr>
        <w:spacing w:after="0" w:line="220" w:lineRule="exact"/>
        <w:rPr>
          <w:sz w:val="20"/>
          <w:szCs w:val="20"/>
          <w:color w:val="auto"/>
        </w:rPr>
      </w:pPr>
    </w:p>
    <w:p>
      <w:pPr>
        <w:ind w:left="660" w:hanging="652"/>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parties may only convert the entire Principal Amount. Partial conversion of the Note is not permitted.</w:t>
      </w:r>
    </w:p>
    <w:p>
      <w:pPr>
        <w:spacing w:after="0" w:line="198" w:lineRule="exact"/>
        <w:rPr>
          <w:sz w:val="20"/>
          <w:szCs w:val="20"/>
          <w:color w:val="auto"/>
        </w:rPr>
      </w:pPr>
    </w:p>
    <w:p>
      <w:pPr>
        <w:jc w:val="both"/>
        <w:ind w:left="660" w:hanging="652"/>
        <w:spacing w:after="0" w:line="237"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In case of a conversion by either the Investor or ACIU (which has to be made substantially in the form of </w:t>
      </w:r>
      <w:r>
        <w:rPr>
          <w:rFonts w:ascii="Arial" w:cs="Arial" w:eastAsia="Arial" w:hAnsi="Arial"/>
          <w:sz w:val="18"/>
          <w:szCs w:val="18"/>
          <w:u w:val="single" w:color="auto"/>
          <w:color w:val="auto"/>
        </w:rPr>
        <w:t>Annex 1</w:t>
      </w:r>
      <w:r>
        <w:rPr>
          <w:rFonts w:ascii="Arial" w:cs="Arial" w:eastAsia="Arial" w:hAnsi="Arial"/>
          <w:sz w:val="18"/>
          <w:szCs w:val="18"/>
          <w:color w:val="auto"/>
        </w:rPr>
        <w:t xml:space="preserve"> in case of a conversion declared by the Investor and in the form of </w:t>
      </w:r>
      <w:r>
        <w:rPr>
          <w:rFonts w:ascii="Arial" w:cs="Arial" w:eastAsia="Arial" w:hAnsi="Arial"/>
          <w:sz w:val="18"/>
          <w:szCs w:val="18"/>
          <w:u w:val="single" w:color="auto"/>
          <w:color w:val="auto"/>
        </w:rPr>
        <w:t>Annex 2</w:t>
      </w:r>
      <w:r>
        <w:rPr>
          <w:rFonts w:ascii="Arial" w:cs="Arial" w:eastAsia="Arial" w:hAnsi="Arial"/>
          <w:sz w:val="18"/>
          <w:szCs w:val="18"/>
          <w:color w:val="auto"/>
        </w:rPr>
        <w:t xml:space="preserve"> in case of a conversion declared by ACIU), the outstanding Principal Amount hereunder shall be converted into such number of ACIU Shares as is determined by dividing (x) Principal Amount, by (y) the Conversion Price (rounded down to the nearest whole ACIU Share). The date of any Conversion Notice is referred to herein as the "</w:t>
      </w:r>
      <w:r>
        <w:rPr>
          <w:rFonts w:ascii="Arial" w:cs="Arial" w:eastAsia="Arial" w:hAnsi="Arial"/>
          <w:sz w:val="18"/>
          <w:szCs w:val="18"/>
          <w:b w:val="1"/>
          <w:bCs w:val="1"/>
          <w:color w:val="auto"/>
        </w:rPr>
        <w:t>Conversion Date</w:t>
      </w:r>
      <w:r>
        <w:rPr>
          <w:rFonts w:ascii="Arial" w:cs="Arial" w:eastAsia="Arial" w:hAnsi="Arial"/>
          <w:sz w:val="18"/>
          <w:szCs w:val="18"/>
          <w:color w:val="auto"/>
        </w:rPr>
        <w:t>". For the request of the conversion to be valid, the Conversion Date must be within the relevant Conversion Period.</w:t>
      </w:r>
    </w:p>
    <w:p>
      <w:pPr>
        <w:spacing w:after="0" w:line="191" w:lineRule="exact"/>
        <w:rPr>
          <w:sz w:val="20"/>
          <w:szCs w:val="20"/>
          <w:color w:val="auto"/>
        </w:rPr>
      </w:pPr>
    </w:p>
    <w:p>
      <w:pPr>
        <w:jc w:val="both"/>
        <w:ind w:left="660" w:hanging="652"/>
        <w:spacing w:after="0" w:line="238"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Provided that the relevant delivery address or account information is available to the Company, the Company will deliver to the Investor not later than ten trading days after the Conversion Date (or after such date that the relevant delivery address or account information is available to the Company), a number of ACIU Shares calculated pursuant to the immediately preceding paragraph via book-entry-only delivery in uncertified form on the books of the Company’s transfer agent.</w:t>
      </w:r>
    </w:p>
    <w:p>
      <w:pPr>
        <w:spacing w:after="0" w:line="191" w:lineRule="exact"/>
        <w:rPr>
          <w:sz w:val="20"/>
          <w:szCs w:val="20"/>
          <w:color w:val="auto"/>
        </w:rPr>
      </w:pPr>
    </w:p>
    <w:p>
      <w:pPr>
        <w:ind w:right="3840" w:firstLine="8"/>
        <w:spacing w:after="0" w:line="606" w:lineRule="auto"/>
        <w:tabs>
          <w:tab w:leader="none" w:pos="648" w:val="left"/>
        </w:tabs>
        <w:numPr>
          <w:ilvl w:val="0"/>
          <w:numId w:val="99"/>
        </w:numPr>
        <w:rPr>
          <w:rFonts w:ascii="Arial" w:cs="Arial" w:eastAsia="Arial" w:hAnsi="Arial"/>
          <w:sz w:val="18"/>
          <w:szCs w:val="18"/>
          <w:color w:val="auto"/>
        </w:rPr>
      </w:pPr>
      <w:r>
        <w:rPr>
          <w:rFonts w:ascii="Arial" w:cs="Arial" w:eastAsia="Arial" w:hAnsi="Arial"/>
          <w:sz w:val="18"/>
          <w:szCs w:val="18"/>
          <w:color w:val="auto"/>
        </w:rPr>
        <w:t>ACIU shall be entitled to deliver newly issued ACIU Shares or treasury ACIU Shares. Convertible Note July 2021 AC Immune SA – Santo Venture Capital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type w:val="continuous"/>
        </w:sectPr>
      </w:pPr>
    </w:p>
    <w:bookmarkStart w:id="37" w:name="page38"/>
    <w:bookmarkEnd w:id="37"/>
    <w:p>
      <w:pPr>
        <w:jc w:val="right"/>
        <w:spacing w:after="0"/>
        <w:rPr>
          <w:sz w:val="20"/>
          <w:szCs w:val="20"/>
          <w:color w:val="auto"/>
        </w:rPr>
      </w:pPr>
      <w:r>
        <w:rPr>
          <w:rFonts w:ascii="Arial" w:cs="Arial" w:eastAsia="Arial" w:hAnsi="Arial"/>
          <w:sz w:val="18"/>
          <w:szCs w:val="18"/>
          <w:color w:val="auto"/>
        </w:rPr>
        <w:t>5</w:t>
      </w:r>
    </w:p>
    <w:p>
      <w:pPr>
        <w:spacing w:after="0" w:line="109" w:lineRule="exact"/>
        <w:rPr>
          <w:sz w:val="20"/>
          <w:szCs w:val="20"/>
          <w:color w:val="auto"/>
        </w:rPr>
      </w:pPr>
    </w:p>
    <w:p>
      <w:pPr>
        <w:ind w:left="660" w:hanging="652"/>
        <w:spacing w:after="0"/>
        <w:tabs>
          <w:tab w:leader="none" w:pos="6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Repayment of the Note</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If the Note is not converted during the Conversion Period, it shall be repaid on the Repayment Date.</w:t>
      </w:r>
    </w:p>
    <w:p>
      <w:pPr>
        <w:spacing w:after="0" w:line="176" w:lineRule="exact"/>
        <w:rPr>
          <w:sz w:val="20"/>
          <w:szCs w:val="20"/>
          <w:color w:val="auto"/>
        </w:rPr>
      </w:pPr>
    </w:p>
    <w:p>
      <w:pPr>
        <w:ind w:left="660" w:hanging="652"/>
        <w:spacing w:after="0"/>
        <w:tabs>
          <w:tab w:leader="none" w:pos="6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Ranking/Subordination</w:t>
      </w:r>
    </w:p>
    <w:p>
      <w:pPr>
        <w:spacing w:after="0" w:line="202" w:lineRule="exact"/>
        <w:rPr>
          <w:sz w:val="20"/>
          <w:szCs w:val="20"/>
          <w:color w:val="auto"/>
        </w:rPr>
      </w:pPr>
    </w:p>
    <w:p>
      <w:pPr>
        <w:jc w:val="both"/>
        <w:ind w:left="660" w:hanging="652"/>
        <w:spacing w:after="0" w:line="241"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Note shall rank pari passu with all other debt of the Company except that, in case of bankruptcy proceedings (</w:t>
      </w:r>
      <w:r>
        <w:rPr>
          <w:rFonts w:ascii="Arial" w:cs="Arial" w:eastAsia="Arial" w:hAnsi="Arial"/>
          <w:sz w:val="18"/>
          <w:szCs w:val="18"/>
          <w:i w:val="1"/>
          <w:iCs w:val="1"/>
          <w:color w:val="auto"/>
        </w:rPr>
        <w:t>Konkursverfahren</w:t>
      </w:r>
      <w:r>
        <w:rPr>
          <w:rFonts w:ascii="Arial" w:cs="Arial" w:eastAsia="Arial" w:hAnsi="Arial"/>
          <w:sz w:val="18"/>
          <w:szCs w:val="18"/>
          <w:color w:val="auto"/>
        </w:rPr>
        <w:t>) or any form of composition with creditors (</w:t>
      </w:r>
      <w:r>
        <w:rPr>
          <w:rFonts w:ascii="Arial" w:cs="Arial" w:eastAsia="Arial" w:hAnsi="Arial"/>
          <w:sz w:val="18"/>
          <w:szCs w:val="18"/>
          <w:i w:val="1"/>
          <w:iCs w:val="1"/>
          <w:color w:val="auto"/>
        </w:rPr>
        <w:t>Nachlassverfahren</w:t>
      </w:r>
      <w:r>
        <w:rPr>
          <w:rFonts w:ascii="Arial" w:cs="Arial" w:eastAsia="Arial" w:hAnsi="Arial"/>
          <w:sz w:val="18"/>
          <w:szCs w:val="18"/>
          <w:color w:val="auto"/>
        </w:rPr>
        <w:t>) in relation to ACIU, the Note will be subordinated to the claims of all unsubordinated creditors of ACIU so that in any such event no amounts shall be payable in respect of the Note until the claims of all unsubordinated creditors of ACIU shall have first been satisfied in full and the Investor shall not be entitled to, and shall not, argue or vote as creditor of ACIU or its estate that the Note ranks or be treated senior, pari passu or otherwise in competition with any creditors the claims of which are senior to the Note</w:t>
      </w:r>
      <w:r>
        <w:rPr>
          <w:rFonts w:ascii="Arial" w:cs="Arial" w:eastAsia="Arial" w:hAnsi="Arial"/>
          <w:sz w:val="21"/>
          <w:szCs w:val="21"/>
          <w:color w:val="auto"/>
        </w:rPr>
        <w:t>.</w:t>
      </w:r>
    </w:p>
    <w:p>
      <w:pPr>
        <w:spacing w:after="0" w:line="213" w:lineRule="exact"/>
        <w:rPr>
          <w:sz w:val="20"/>
          <w:szCs w:val="20"/>
          <w:color w:val="auto"/>
        </w:rPr>
      </w:pPr>
    </w:p>
    <w:p>
      <w:pPr>
        <w:ind w:left="660" w:hanging="652"/>
        <w:spacing w:after="0"/>
        <w:tabs>
          <w:tab w:leader="none" w:pos="6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 of ACIU</w:t>
      </w:r>
    </w:p>
    <w:p>
      <w:pPr>
        <w:spacing w:after="0" w:line="220" w:lineRule="exact"/>
        <w:rPr>
          <w:sz w:val="20"/>
          <w:szCs w:val="20"/>
          <w:color w:val="auto"/>
        </w:rPr>
      </w:pPr>
    </w:p>
    <w:p>
      <w:pPr>
        <w:jc w:val="both"/>
        <w:ind w:left="660" w:hanging="652"/>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Issuer represents and warrants to the Investor (to the extent not otherwise specified as of the date of this Agreement and if so specified as of the Closing Date only) that upon conversion of the Note, the ACIU Shares rank pari passu in all re-spects with all other issued ACIU Shares existing on the date of this Agreement.</w:t>
      </w:r>
    </w:p>
    <w:p>
      <w:pPr>
        <w:spacing w:after="0" w:line="189"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Except as expressly set forth in this Section 8, ACIU makes no representation or warranty, express or implied, in connection with ACIU or any of its assets, liabilities or operations or any other fact. Without limiting the foregoing, ACIU, in particular, does not make and has not made any representation or warranty with regard to its business, financial situation, technology, product development, valuation or future prospects.</w:t>
      </w:r>
    </w:p>
    <w:p>
      <w:pPr>
        <w:spacing w:after="0" w:line="169" w:lineRule="exact"/>
        <w:rPr>
          <w:sz w:val="20"/>
          <w:szCs w:val="20"/>
          <w:color w:val="auto"/>
        </w:rPr>
      </w:pPr>
    </w:p>
    <w:p>
      <w:pPr>
        <w:ind w:left="660" w:hanging="652"/>
        <w:spacing w:after="0"/>
        <w:tabs>
          <w:tab w:leader="none" w:pos="66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 of the Investor</w:t>
      </w:r>
    </w:p>
    <w:p>
      <w:pPr>
        <w:spacing w:after="0" w:line="220" w:lineRule="exact"/>
        <w:rPr>
          <w:sz w:val="20"/>
          <w:szCs w:val="20"/>
          <w:color w:val="auto"/>
        </w:rPr>
      </w:pPr>
    </w:p>
    <w:p>
      <w:pPr>
        <w:ind w:left="660" w:right="20" w:hanging="652"/>
        <w:spacing w:after="0" w:line="246"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Investor represents and warrants to ACIU (to the extent not otherwise specified as of the date of this Agreement and as of the Closing Date) that:</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Investor has the funds available to fund the Purchase Price for the Note;</w:t>
      </w:r>
    </w:p>
    <w:p>
      <w:pPr>
        <w:spacing w:after="0" w:line="198" w:lineRule="exact"/>
        <w:rPr>
          <w:rFonts w:ascii="Arial" w:cs="Arial" w:eastAsia="Arial" w:hAnsi="Arial"/>
          <w:sz w:val="18"/>
          <w:szCs w:val="18"/>
          <w:color w:val="auto"/>
        </w:rPr>
      </w:pPr>
    </w:p>
    <w:p>
      <w:pPr>
        <w:ind w:left="1300" w:hanging="644"/>
        <w:spacing w:after="0" w:line="246" w:lineRule="auto"/>
        <w:tabs>
          <w:tab w:leader="none" w:pos="13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Investor is an "accredited investor" within the meaning of Regulation D of the United States Securities Act of 1933, as amended (the “Securities Act”);</w:t>
      </w:r>
    </w:p>
    <w:p>
      <w:pPr>
        <w:spacing w:after="0" w:line="183" w:lineRule="exact"/>
        <w:rPr>
          <w:rFonts w:ascii="Arial" w:cs="Arial" w:eastAsia="Arial" w:hAnsi="Arial"/>
          <w:sz w:val="18"/>
          <w:szCs w:val="18"/>
          <w:color w:val="auto"/>
        </w:rPr>
      </w:pPr>
    </w:p>
    <w:p>
      <w:pPr>
        <w:ind w:left="1300" w:hanging="644"/>
        <w:spacing w:after="0" w:line="246" w:lineRule="auto"/>
        <w:tabs>
          <w:tab w:leader="none" w:pos="13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Investor understands that (i) the ACIU Shares issuable hereunder will be issued in a transaction not involving any public offering within the meaning of the Securities Act and that such ACIU Shares have not been registered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 July 2021 AC Immune SA – Santo Venture Capital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38" w:name="page39"/>
    <w:bookmarkEnd w:id="38"/>
    <w:p>
      <w:pPr>
        <w:ind w:left="11140"/>
        <w:spacing w:after="0"/>
        <w:rPr>
          <w:sz w:val="20"/>
          <w:szCs w:val="20"/>
          <w:color w:val="auto"/>
        </w:rPr>
      </w:pPr>
      <w:r>
        <w:rPr>
          <w:rFonts w:ascii="Arial" w:cs="Arial" w:eastAsia="Arial" w:hAnsi="Arial"/>
          <w:sz w:val="17"/>
          <w:szCs w:val="17"/>
          <w:color w:val="auto"/>
        </w:rPr>
        <w:t>6</w:t>
      </w:r>
    </w:p>
    <w:p>
      <w:pPr>
        <w:spacing w:after="0" w:line="142" w:lineRule="exact"/>
        <w:rPr>
          <w:sz w:val="20"/>
          <w:szCs w:val="20"/>
          <w:color w:val="auto"/>
        </w:rPr>
      </w:pPr>
    </w:p>
    <w:p>
      <w:pPr>
        <w:jc w:val="both"/>
        <w:ind w:left="1300"/>
        <w:spacing w:after="0" w:line="236" w:lineRule="auto"/>
        <w:rPr>
          <w:sz w:val="20"/>
          <w:szCs w:val="20"/>
          <w:color w:val="auto"/>
        </w:rPr>
      </w:pPr>
      <w:r>
        <w:rPr>
          <w:rFonts w:ascii="Arial" w:cs="Arial" w:eastAsia="Arial" w:hAnsi="Arial"/>
          <w:sz w:val="18"/>
          <w:szCs w:val="18"/>
          <w:color w:val="auto"/>
        </w:rPr>
        <w:t>under the Securities Act, (ii) such ACIU Shares may not be resold, transferred, pledged or otherwise disposed of by the Investor absent an effective registration statement under the Securities Act, except (x) to the Company or a subsidiary thereof, (y) to non-U.S. persons pursuant to offers and sales that occur solely outside the United States within the meaning of Regulation S under the Securities Act or (z) pursuant to another applicable exemption from the registration requirements of the Securities Act, and in each of cases (x), (y) and (z), in accordance with any applicable securities laws of the states and any other jurisdiction, and (iii) such ACIU Shares shall be subject to a legend to such effect (provided that such legends will be eligible for removal upon compliance with the relevant resale provisions of Rule 144 promulgated under the Securities Act).</w:t>
      </w:r>
    </w:p>
    <w:p>
      <w:pPr>
        <w:spacing w:after="0" w:line="17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Covenants of ACIU</w:t>
      </w:r>
    </w:p>
    <w:p>
      <w:pPr>
        <w:spacing w:after="0" w:line="220" w:lineRule="exact"/>
        <w:rPr>
          <w:sz w:val="20"/>
          <w:szCs w:val="20"/>
          <w:color w:val="auto"/>
        </w:rPr>
      </w:pPr>
    </w:p>
    <w:p>
      <w:pPr>
        <w:jc w:val="both"/>
        <w:ind w:left="660" w:hanging="652"/>
        <w:spacing w:after="0" w:line="236"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Investor may request that ACIU remove, and ACIU agrees to authorize the removal of any legend from the Note or ACIU Shares issued upon conversion thereof (and deliver or cause to be delivered to the transfer agent any required legal opinion) following any sale of the Note or such ACIU Shares pursuant to Rule 144 under the Securities Act, including following the expiration of the six-month holding requirement under subparagraphs (b)(1)(i), (c)(1) and (d) thereof. Further, ACIU agrees to promptly authorize the removal of any legend from the Note or ACIU Shares if such Note or ACIU Shares are eligible for sale under Rule 144 following the expiration of the one-year holding requirement under subparagraphs (b)(1)(i) and (d) thereof. Following the time a legend is no longer required for the Note or ACIU Shares, ACIU will promptly, but in any event not later than five business days following the delivery by the Investor to ACIU or ACIU’s transfer agent of a request to remove any restrictive and other legend from such Note or ACIU Shares, cause the transfer agent to remove such legend from such Notes or ACIU Shares and make the corresponding book entry adjustments.</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Covenants of the Investor</w:t>
      </w:r>
    </w:p>
    <w:p>
      <w:pPr>
        <w:spacing w:after="0" w:line="220" w:lineRule="exact"/>
        <w:rPr>
          <w:sz w:val="20"/>
          <w:szCs w:val="20"/>
          <w:color w:val="auto"/>
        </w:rPr>
      </w:pPr>
    </w:p>
    <w:p>
      <w:pPr>
        <w:ind w:left="660" w:hanging="652"/>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Investor covenants with the Issuer as follows:</w:t>
      </w:r>
    </w:p>
    <w:p>
      <w:pPr>
        <w:spacing w:after="0" w:line="198" w:lineRule="exact"/>
        <w:rPr>
          <w:rFonts w:ascii="Arial" w:cs="Arial" w:eastAsia="Arial" w:hAnsi="Arial"/>
          <w:sz w:val="18"/>
          <w:szCs w:val="18"/>
          <w:color w:val="auto"/>
        </w:rPr>
      </w:pPr>
    </w:p>
    <w:p>
      <w:pPr>
        <w:jc w:val="both"/>
        <w:ind w:left="1300" w:hanging="644"/>
        <w:spacing w:after="0" w:line="238" w:lineRule="auto"/>
        <w:tabs>
          <w:tab w:leader="none" w:pos="13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Investor hereby undertakes to observe, and to procure that its beneficial owners observe, respectively, the disclosure requirements for significant shareholdings in accordance with the applicable securities and corporate laws and any other requirements imposed by applicable laws or regulations in connection with the issuance of the Note or the ownership or entitlement to the ACIU Shares.</w:t>
      </w:r>
    </w:p>
    <w:p>
      <w:pPr>
        <w:spacing w:after="0" w:line="191" w:lineRule="exact"/>
        <w:rPr>
          <w:rFonts w:ascii="Arial" w:cs="Arial" w:eastAsia="Arial" w:hAnsi="Arial"/>
          <w:sz w:val="18"/>
          <w:szCs w:val="18"/>
          <w:color w:val="auto"/>
        </w:rPr>
      </w:pPr>
    </w:p>
    <w:p>
      <w:pPr>
        <w:jc w:val="both"/>
        <w:ind w:left="1300" w:hanging="644"/>
        <w:spacing w:after="0"/>
        <w:tabs>
          <w:tab w:leader="none" w:pos="13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Investor undertakes not to take any action, and to procure that none of its affiliates or any person acting on its behalf takes any action, in any jurisdiction that would constitute a public offering of any Shares or Offered Shares pursuant to any applicable law or regulation.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 July 2021 AC Immune SA – Santo Venture Capital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7</w:t>
      </w:r>
    </w:p>
    <w:p>
      <w:pPr>
        <w:spacing w:after="0" w:line="10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Publication and Disclosure</w:t>
      </w:r>
    </w:p>
    <w:p>
      <w:pPr>
        <w:spacing w:after="0" w:line="220" w:lineRule="exact"/>
        <w:rPr>
          <w:sz w:val="20"/>
          <w:szCs w:val="20"/>
          <w:color w:val="auto"/>
        </w:rPr>
      </w:pPr>
    </w:p>
    <w:p>
      <w:pPr>
        <w:ind w:left="660" w:hanging="652"/>
        <w:spacing w:after="0" w:line="246"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Investor understands and agrees that ACIU will publicly announce the fact that this Agreement has been entered into by the Issuer and the Investor.</w:t>
      </w:r>
    </w:p>
    <w:p>
      <w:pPr>
        <w:spacing w:after="0" w:line="183" w:lineRule="exact"/>
        <w:rPr>
          <w:rFonts w:ascii="Arial" w:cs="Arial" w:eastAsia="Arial" w:hAnsi="Arial"/>
          <w:sz w:val="18"/>
          <w:szCs w:val="18"/>
          <w:color w:val="auto"/>
        </w:rPr>
      </w:pPr>
    </w:p>
    <w:p>
      <w:pPr>
        <w:jc w:val="both"/>
        <w:ind w:left="660" w:hanging="652"/>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It is understood and agreed by the parties that the Investor shall be solely responsible to comply with any disclosure and notification obligations it may have under any applicable securities laws, exchange regulations or similar laws or regulations as a result of entering into this Agreement, and the Investor undertakes to comply with such obligations, if any.</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b w:val="1"/>
          <w:bCs w:val="1"/>
          <w:color w:val="auto"/>
        </w:rPr>
        <w:t>Miscellaneous</w:t>
      </w:r>
    </w:p>
    <w:p>
      <w:pPr>
        <w:spacing w:after="0" w:line="220" w:lineRule="exact"/>
        <w:rPr>
          <w:sz w:val="20"/>
          <w:szCs w:val="20"/>
          <w:color w:val="auto"/>
        </w:rPr>
      </w:pPr>
    </w:p>
    <w:p>
      <w:pPr>
        <w:ind w:left="660" w:hanging="652"/>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 amendment may be made to this Agreement without the prior written consent of ACIU.</w:t>
      </w:r>
    </w:p>
    <w:p>
      <w:pPr>
        <w:spacing w:after="0" w:line="198"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Neither party may assign this Agreement or any of its rights or obligations under this Agreement without the prior written consent of the other party.</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b w:val="1"/>
          <w:bCs w:val="1"/>
          <w:color w:val="auto"/>
        </w:rPr>
        <w:t>Termination</w:t>
      </w:r>
    </w:p>
    <w:p>
      <w:pPr>
        <w:spacing w:after="0" w:line="220" w:lineRule="exact"/>
        <w:rPr>
          <w:sz w:val="20"/>
          <w:szCs w:val="20"/>
          <w:color w:val="auto"/>
        </w:rPr>
      </w:pPr>
    </w:p>
    <w:p>
      <w:pPr>
        <w:ind w:left="660" w:hanging="652"/>
        <w:spacing w:after="0" w:line="246"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 case of termination of the APA in accordance with section 8.4 of the APA, this Agreement shall also be terminated, and all provisions of this Agreement shall cease to be effective except for Section 12 to 15 of this Agreement.</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8"/>
          <w:szCs w:val="18"/>
          <w:b w:val="1"/>
          <w:bCs w:val="1"/>
          <w:color w:val="auto"/>
        </w:rPr>
        <w:t>Applicable Law and Jurisdiction</w:t>
      </w:r>
    </w:p>
    <w:p>
      <w:pPr>
        <w:spacing w:after="0" w:line="220" w:lineRule="exact"/>
        <w:rPr>
          <w:sz w:val="20"/>
          <w:szCs w:val="20"/>
          <w:color w:val="auto"/>
        </w:rPr>
      </w:pPr>
    </w:p>
    <w:p>
      <w:pPr>
        <w:ind w:left="660" w:right="20" w:hanging="652"/>
        <w:spacing w:after="0" w:line="246"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substantive laws of Switzerland (i.e. without regard to conflict of laws rules).</w:t>
      </w:r>
    </w:p>
    <w:p>
      <w:pPr>
        <w:spacing w:after="0" w:line="183" w:lineRule="exact"/>
        <w:rPr>
          <w:rFonts w:ascii="Arial" w:cs="Arial" w:eastAsia="Arial" w:hAnsi="Arial"/>
          <w:sz w:val="18"/>
          <w:szCs w:val="18"/>
          <w:color w:val="auto"/>
        </w:rPr>
      </w:pPr>
    </w:p>
    <w:p>
      <w:pPr>
        <w:jc w:val="both"/>
        <w:ind w:left="660" w:hanging="652"/>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All disputes arising out of or in connection with this Agreement shall be submitted to the exclusive jurisdiction of courts of the City of Zurich (Zurich 1), Switzerland, and, to the extent this can be determined by the parties, the Commercial Court of the Canton of Zurich.</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on the following pages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 July 2021 AC Immune SA – Santo Venture Capital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40" w:name="page41"/>
    <w:bookmarkEnd w:id="40"/>
    <w:p>
      <w:pPr>
        <w:ind w:left="1114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320" w:top="260" w:right="339" w:bottom="1440" w:gutter="0" w:footer="0" w:header="0"/>
        </w:sectPr>
      </w:pP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 Immune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3497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Name: Andrea Pfeifer</w:t>
      </w:r>
    </w:p>
    <w:p>
      <w:pPr>
        <w:spacing w:after="0" w:line="234" w:lineRule="auto"/>
        <w:rPr>
          <w:sz w:val="20"/>
          <w:szCs w:val="20"/>
          <w:color w:val="auto"/>
        </w:rPr>
      </w:pPr>
      <w:r>
        <w:rPr>
          <w:rFonts w:ascii="Arial" w:cs="Arial" w:eastAsia="Arial" w:hAnsi="Arial"/>
          <w:sz w:val="18"/>
          <w:szCs w:val="18"/>
          <w:color w:val="auto"/>
        </w:rPr>
        <w:t>Title: CEO and Member of the Board of Directors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Place: Lausanne</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Santo Venture Capital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3497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Name: Thomas Maier</w:t>
      </w:r>
    </w:p>
    <w:p>
      <w:pPr>
        <w:spacing w:after="0" w:line="234" w:lineRule="auto"/>
        <w:rPr>
          <w:sz w:val="20"/>
          <w:szCs w:val="20"/>
          <w:color w:val="auto"/>
        </w:rPr>
      </w:pPr>
      <w:r>
        <w:rPr>
          <w:rFonts w:ascii="Arial" w:cs="Arial" w:eastAsia="Arial" w:hAnsi="Arial"/>
          <w:sz w:val="18"/>
          <w:szCs w:val="18"/>
          <w:color w:val="auto"/>
        </w:rPr>
        <w:t>Title: Managing Director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Name: Martin Velasco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-135890</wp:posOffset>
            </wp:positionV>
            <wp:extent cx="34886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Title: Vice-President of the Board of Directors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Place: Lausanne</w:t>
      </w:r>
    </w:p>
    <w:p>
      <w:pPr>
        <w:spacing w:after="0" w:line="1737" w:lineRule="exact"/>
        <w:rPr>
          <w:sz w:val="20"/>
          <w:szCs w:val="20"/>
          <w:color w:val="auto"/>
        </w:rPr>
      </w:pPr>
    </w:p>
    <w:p>
      <w:pPr>
        <w:sectPr>
          <w:pgSz w:w="11900" w:h="16838" w:orient="portrait"/>
          <w:cols w:equalWidth="0" w:num="2">
            <w:col w:w="5020" w:space="720"/>
            <w:col w:w="5500"/>
          </w:cols>
          <w:pgMar w:left="320" w:top="260" w:right="339" w:bottom="1440" w:gutter="0" w:footer="0" w:header="0"/>
          <w:type w:val="continuous"/>
        </w:sectPr>
      </w:pPr>
    </w:p>
    <w:p>
      <w:pPr>
        <w:spacing w:after="0"/>
        <w:rPr>
          <w:sz w:val="20"/>
          <w:szCs w:val="20"/>
          <w:color w:val="auto"/>
        </w:rPr>
      </w:pPr>
      <w:r>
        <w:rPr>
          <w:rFonts w:ascii="Arial" w:cs="Arial" w:eastAsia="Arial" w:hAnsi="Arial"/>
          <w:sz w:val="17"/>
          <w:szCs w:val="17"/>
          <w:color w:val="auto"/>
        </w:rPr>
        <w:t>Convertible Note July 2021 AC Immune SA – Santo Venture Capital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type w:val="continuous"/>
        </w:sectPr>
      </w:pPr>
    </w:p>
    <w:bookmarkStart w:id="41" w:name="page42"/>
    <w:bookmarkEnd w:id="41"/>
    <w:p>
      <w:pPr>
        <w:ind w:left="11140"/>
        <w:spacing w:after="0"/>
        <w:rPr>
          <w:sz w:val="20"/>
          <w:szCs w:val="20"/>
          <w:color w:val="auto"/>
        </w:rPr>
      </w:pPr>
      <w:r>
        <w:rPr>
          <w:rFonts w:ascii="Arial" w:cs="Arial" w:eastAsia="Arial" w:hAnsi="Arial"/>
          <w:sz w:val="17"/>
          <w:szCs w:val="17"/>
          <w:color w:val="auto"/>
        </w:rPr>
        <w:t>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ANNEX 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(To be executed by the Investor to convert the Note)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To: AC Immune SA, attn: [], EPFL Innovation Park, bâtiment B, 1015 Lausanne, Switzerland</w:t>
      </w:r>
    </w:p>
    <w:p>
      <w:pPr>
        <w:spacing w:after="0" w:line="17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Convertible note (the "</w:t>
      </w:r>
      <w:r>
        <w:rPr>
          <w:rFonts w:ascii="Arial" w:cs="Arial" w:eastAsia="Arial" w:hAnsi="Arial"/>
          <w:sz w:val="18"/>
          <w:szCs w:val="18"/>
          <w:b w:val="1"/>
          <w:bCs w:val="1"/>
          <w:color w:val="auto"/>
        </w:rPr>
        <w:t>Note</w:t>
      </w:r>
      <w:r>
        <w:rPr>
          <w:rFonts w:ascii="Arial" w:cs="Arial" w:eastAsia="Arial" w:hAnsi="Arial"/>
          <w:sz w:val="18"/>
          <w:szCs w:val="18"/>
          <w:color w:val="auto"/>
        </w:rPr>
        <w:t>") issued by AC Immune SA to [</w:t>
      </w:r>
      <w:r>
        <w:rPr>
          <w:rFonts w:ascii="Arial" w:cs="Arial" w:eastAsia="Arial" w:hAnsi="Arial"/>
          <w:sz w:val="18"/>
          <w:szCs w:val="18"/>
          <w:i w:val="1"/>
          <w:iCs w:val="1"/>
          <w:color w:val="auto"/>
        </w:rPr>
        <w:t>Investor</w:t>
      </w:r>
      <w:r>
        <w:rPr>
          <w:rFonts w:ascii="Arial" w:cs="Arial" w:eastAsia="Arial" w:hAnsi="Arial"/>
          <w:sz w:val="18"/>
          <w:szCs w:val="18"/>
          <w:color w:val="auto"/>
        </w:rPr>
        <w:t>] on or about [__________] 2021 (the "</w:t>
      </w:r>
      <w:r>
        <w:rPr>
          <w:rFonts w:ascii="Arial" w:cs="Arial" w:eastAsia="Arial" w:hAnsi="Arial"/>
          <w:sz w:val="18"/>
          <w:szCs w:val="18"/>
          <w:b w:val="1"/>
          <w:bCs w:val="1"/>
          <w:color w:val="auto"/>
        </w:rPr>
        <w:t>Convertible Note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r>
        <w:rPr>
          <w:rFonts w:ascii="Arial" w:cs="Arial" w:eastAsia="Arial" w:hAnsi="Arial"/>
          <w:sz w:val="18"/>
          <w:szCs w:val="18"/>
          <w:color w:val="auto"/>
        </w:rPr>
        <w:t>") in the principal amount of [___________] (the "</w:t>
      </w:r>
      <w:r>
        <w:rPr>
          <w:rFonts w:ascii="Arial" w:cs="Arial" w:eastAsia="Arial" w:hAnsi="Arial"/>
          <w:sz w:val="18"/>
          <w:szCs w:val="18"/>
          <w:b w:val="1"/>
          <w:bCs w:val="1"/>
          <w:color w:val="auto"/>
        </w:rPr>
        <w:t>Principal Amount</w:t>
      </w:r>
      <w:r>
        <w:rPr>
          <w:rFonts w:ascii="Arial" w:cs="Arial" w:eastAsia="Arial" w:hAnsi="Arial"/>
          <w:sz w:val="18"/>
          <w:szCs w:val="18"/>
          <w:color w:val="auto"/>
        </w:rPr>
        <w:t>"). Terms not defined in this letter shall have the meaning</w:t>
      </w:r>
    </w:p>
    <w:p>
      <w:pPr>
        <w:spacing w:after="0"/>
        <w:rPr>
          <w:sz w:val="20"/>
          <w:szCs w:val="20"/>
          <w:color w:val="auto"/>
        </w:rPr>
      </w:pPr>
      <w:r>
        <w:rPr>
          <w:rFonts w:ascii="Arial" w:cs="Arial" w:eastAsia="Arial" w:hAnsi="Arial"/>
          <w:sz w:val="18"/>
          <w:szCs w:val="18"/>
          <w:color w:val="auto"/>
        </w:rPr>
        <w:t>ascribed to them in the Convertible Note Agreement.</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undersigned hereby elects to convert the entire Principal Amount into ACIU Shares according to the conditions of the Convertible Note Agreement. The undersigned will pay all transfer taxes payable with respect to the issuance of the ACIU Shares and is delivering herewith such certificates and opinions as reasonably requested by AC Immune SA in accordance therewith. No fee will be charged to the Investor for any conversion, except for such transfer taxes, if 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Address to which shares should be delivered or account and DTC participation information for DWAC: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Address]/DTC participation information for DWAC</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Investor</w:t>
      </w:r>
      <w:r>
        <w:rPr>
          <w:rFonts w:ascii="Arial" w:cs="Arial" w:eastAsia="Arial" w:hAnsi="Arial"/>
          <w:sz w:val="18"/>
          <w:szCs w:val="18"/>
          <w:color w:val="auto"/>
        </w:rPr>
        <w:t>]</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220" w:type="dxa"/>
            <w:vAlign w:val="bottom"/>
          </w:tcPr>
          <w:p>
            <w:pPr>
              <w:spacing w:after="0"/>
              <w:rPr>
                <w:sz w:val="18"/>
                <w:szCs w:val="18"/>
                <w:color w:val="auto"/>
              </w:rPr>
            </w:pPr>
          </w:p>
        </w:tc>
        <w:tc>
          <w:tcPr>
            <w:tcW w:w="5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r>
      <w:tr>
        <w:trPr>
          <w:trHeight w:val="217"/>
        </w:trPr>
        <w:tc>
          <w:tcPr>
            <w:tcW w:w="5740" w:type="dxa"/>
            <w:vAlign w:val="bottom"/>
            <w:gridSpan w:val="2"/>
          </w:tcPr>
          <w:p>
            <w:pPr>
              <w:spacing w:after="0"/>
              <w:rPr>
                <w:sz w:val="20"/>
                <w:szCs w:val="20"/>
                <w:color w:val="auto"/>
              </w:rPr>
            </w:pPr>
            <w:r>
              <w:rPr>
                <w:rFonts w:ascii="Arial" w:cs="Arial" w:eastAsia="Arial" w:hAnsi="Arial"/>
                <w:sz w:val="18"/>
                <w:szCs w:val="18"/>
                <w:color w:val="auto"/>
              </w:rPr>
              <w:t>Title:</w:t>
            </w:r>
          </w:p>
        </w:tc>
        <w:tc>
          <w:tcPr>
            <w:tcW w:w="5500" w:type="dxa"/>
            <w:vAlign w:val="bottom"/>
          </w:tcPr>
          <w:p>
            <w:pPr>
              <w:spacing w:after="0"/>
              <w:rPr>
                <w:sz w:val="20"/>
                <w:szCs w:val="20"/>
                <w:color w:val="auto"/>
              </w:rPr>
            </w:pPr>
            <w:r>
              <w:rPr>
                <w:rFonts w:ascii="Arial" w:cs="Arial" w:eastAsia="Arial" w:hAnsi="Arial"/>
                <w:sz w:val="18"/>
                <w:szCs w:val="18"/>
                <w:color w:val="auto"/>
              </w:rPr>
              <w:t>Title:</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 July 2021 AC Immune SA – Santo Venture Capital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10</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ANNEX 2</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(To be executed by the Company to convert the Note)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To: [</w:t>
      </w:r>
      <w:r>
        <w:rPr>
          <w:rFonts w:ascii="Arial" w:cs="Arial" w:eastAsia="Arial" w:hAnsi="Arial"/>
          <w:sz w:val="18"/>
          <w:szCs w:val="18"/>
          <w:i w:val="1"/>
          <w:iCs w:val="1"/>
          <w:color w:val="auto"/>
        </w:rPr>
        <w:t>Investor</w:t>
      </w:r>
      <w:r>
        <w:rPr>
          <w:rFonts w:ascii="Arial" w:cs="Arial" w:eastAsia="Arial" w:hAnsi="Arial"/>
          <w:sz w:val="18"/>
          <w:szCs w:val="18"/>
          <w:color w:val="auto"/>
        </w:rPr>
        <w:t>], [</w:t>
      </w:r>
      <w:r>
        <w:rPr>
          <w:rFonts w:ascii="Arial" w:cs="Arial" w:eastAsia="Arial" w:hAnsi="Arial"/>
          <w:sz w:val="18"/>
          <w:szCs w:val="18"/>
          <w:i w:val="1"/>
          <w:iCs w:val="1"/>
          <w:color w:val="auto"/>
        </w:rPr>
        <w:t>Address</w:t>
      </w:r>
      <w:r>
        <w:rPr>
          <w:rFonts w:ascii="Arial" w:cs="Arial" w:eastAsia="Arial" w:hAnsi="Arial"/>
          <w:sz w:val="18"/>
          <w:szCs w:val="18"/>
          <w:color w:val="auto"/>
        </w:rPr>
        <w:t>]</w:t>
      </w:r>
    </w:p>
    <w:p>
      <w:pPr>
        <w:spacing w:after="0" w:line="19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Convertible note (the "</w:t>
      </w:r>
      <w:r>
        <w:rPr>
          <w:rFonts w:ascii="Arial" w:cs="Arial" w:eastAsia="Arial" w:hAnsi="Arial"/>
          <w:sz w:val="18"/>
          <w:szCs w:val="18"/>
          <w:b w:val="1"/>
          <w:bCs w:val="1"/>
          <w:color w:val="auto"/>
        </w:rPr>
        <w:t>Note</w:t>
      </w:r>
      <w:r>
        <w:rPr>
          <w:rFonts w:ascii="Arial" w:cs="Arial" w:eastAsia="Arial" w:hAnsi="Arial"/>
          <w:sz w:val="18"/>
          <w:szCs w:val="18"/>
          <w:color w:val="auto"/>
        </w:rPr>
        <w:t xml:space="preserve"> ") issued by AC Immune SA to [</w:t>
      </w:r>
      <w:r>
        <w:rPr>
          <w:rFonts w:ascii="Arial" w:cs="Arial" w:eastAsia="Arial" w:hAnsi="Arial"/>
          <w:sz w:val="18"/>
          <w:szCs w:val="18"/>
          <w:i w:val="1"/>
          <w:iCs w:val="1"/>
          <w:color w:val="auto"/>
        </w:rPr>
        <w:t>Investor</w:t>
      </w:r>
      <w:r>
        <w:rPr>
          <w:rFonts w:ascii="Arial" w:cs="Arial" w:eastAsia="Arial" w:hAnsi="Arial"/>
          <w:sz w:val="18"/>
          <w:szCs w:val="18"/>
          <w:color w:val="auto"/>
        </w:rPr>
        <w:t>] on or about [__________] 2021 (the "</w:t>
      </w:r>
      <w:r>
        <w:rPr>
          <w:rFonts w:ascii="Arial" w:cs="Arial" w:eastAsia="Arial" w:hAnsi="Arial"/>
          <w:sz w:val="18"/>
          <w:szCs w:val="18"/>
          <w:b w:val="1"/>
          <w:bCs w:val="1"/>
          <w:color w:val="auto"/>
        </w:rPr>
        <w:t>Convertible Note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r>
        <w:rPr>
          <w:rFonts w:ascii="Arial" w:cs="Arial" w:eastAsia="Arial" w:hAnsi="Arial"/>
          <w:sz w:val="18"/>
          <w:szCs w:val="18"/>
          <w:color w:val="auto"/>
        </w:rPr>
        <w:t>") in the principal amount of [___________] (the "</w:t>
      </w:r>
      <w:r>
        <w:rPr>
          <w:rFonts w:ascii="Arial" w:cs="Arial" w:eastAsia="Arial" w:hAnsi="Arial"/>
          <w:sz w:val="18"/>
          <w:szCs w:val="18"/>
          <w:b w:val="1"/>
          <w:bCs w:val="1"/>
          <w:color w:val="auto"/>
        </w:rPr>
        <w:t>Principal Amount</w:t>
      </w:r>
      <w:r>
        <w:rPr>
          <w:rFonts w:ascii="Arial" w:cs="Arial" w:eastAsia="Arial" w:hAnsi="Arial"/>
          <w:sz w:val="18"/>
          <w:szCs w:val="18"/>
          <w:color w:val="auto"/>
        </w:rPr>
        <w:t>"). Terms not defined in this letter shall have the meaning</w:t>
      </w:r>
    </w:p>
    <w:p>
      <w:pPr>
        <w:spacing w:after="0"/>
        <w:rPr>
          <w:sz w:val="20"/>
          <w:szCs w:val="20"/>
          <w:color w:val="auto"/>
        </w:rPr>
      </w:pPr>
      <w:r>
        <w:rPr>
          <w:rFonts w:ascii="Arial" w:cs="Arial" w:eastAsia="Arial" w:hAnsi="Arial"/>
          <w:sz w:val="18"/>
          <w:szCs w:val="18"/>
          <w:color w:val="auto"/>
        </w:rPr>
        <w:t>ascribed to them in the Convertible Note Agreement.</w:t>
      </w:r>
    </w:p>
    <w:p>
      <w:pPr>
        <w:spacing w:after="0" w:line="19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undersigned hereby declares to convert the entire Principal Amount into ACIU Shares according to the conditions of the Convertible Note Agreement. No fee will be charged to the Investor for any conversion, except for transfer taxes, if 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You are herewith requested to deliver the following information:</w:t>
      </w:r>
    </w:p>
    <w:p>
      <w:pPr>
        <w:spacing w:after="0" w:line="198" w:lineRule="exact"/>
        <w:rPr>
          <w:sz w:val="20"/>
          <w:szCs w:val="20"/>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Address to which shares should be delivered, or</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account and DTC participation information for DWAC.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 Immune SA</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220" w:type="dxa"/>
            <w:vAlign w:val="bottom"/>
          </w:tcPr>
          <w:p>
            <w:pPr>
              <w:spacing w:after="0"/>
              <w:rPr>
                <w:sz w:val="18"/>
                <w:szCs w:val="18"/>
                <w:color w:val="auto"/>
              </w:rPr>
            </w:pPr>
          </w:p>
        </w:tc>
        <w:tc>
          <w:tcPr>
            <w:tcW w:w="5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r>
      <w:tr>
        <w:trPr>
          <w:trHeight w:val="217"/>
        </w:trPr>
        <w:tc>
          <w:tcPr>
            <w:tcW w:w="5740" w:type="dxa"/>
            <w:vAlign w:val="bottom"/>
            <w:gridSpan w:val="2"/>
          </w:tcPr>
          <w:p>
            <w:pPr>
              <w:spacing w:after="0"/>
              <w:rPr>
                <w:sz w:val="20"/>
                <w:szCs w:val="20"/>
                <w:color w:val="auto"/>
              </w:rPr>
            </w:pPr>
            <w:r>
              <w:rPr>
                <w:rFonts w:ascii="Arial" w:cs="Arial" w:eastAsia="Arial" w:hAnsi="Arial"/>
                <w:sz w:val="18"/>
                <w:szCs w:val="18"/>
                <w:color w:val="auto"/>
              </w:rPr>
              <w:t>Title:</w:t>
            </w:r>
          </w:p>
        </w:tc>
        <w:tc>
          <w:tcPr>
            <w:tcW w:w="5500" w:type="dxa"/>
            <w:vAlign w:val="bottom"/>
          </w:tcPr>
          <w:p>
            <w:pPr>
              <w:spacing w:after="0"/>
              <w:rPr>
                <w:sz w:val="20"/>
                <w:szCs w:val="20"/>
                <w:color w:val="auto"/>
              </w:rPr>
            </w:pPr>
            <w:r>
              <w:rPr>
                <w:rFonts w:ascii="Arial" w:cs="Arial" w:eastAsia="Arial" w:hAnsi="Arial"/>
                <w:sz w:val="18"/>
                <w:szCs w:val="18"/>
                <w:color w:val="auto"/>
              </w:rPr>
              <w:t>Title:</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 July 2021 AC Immune SA – Santo Venture Capital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43" w:name="page44"/>
    <w:bookmarkEnd w:id="43"/>
    <w:p>
      <w:pPr>
        <w:jc w:val="center"/>
        <w:spacing w:after="0" w:line="234" w:lineRule="auto"/>
        <w:rPr>
          <w:sz w:val="20"/>
          <w:szCs w:val="20"/>
          <w:color w:val="auto"/>
        </w:rPr>
      </w:pPr>
      <w:r>
        <w:rPr>
          <w:rFonts w:ascii="Arial" w:cs="Arial" w:eastAsia="Arial" w:hAnsi="Arial"/>
          <w:sz w:val="18"/>
          <w:szCs w:val="18"/>
          <w:color w:val="auto"/>
        </w:rPr>
        <w:t>CERTAIN CONFIDENTIAL PORTIONS HAVE BEEN REDACTED FROM THIS EXHIBIT BECAUSE THEY ARE BOTH (i) NOT MATERIAL AND (ii) IS THE TYPE THAT THE COMPANY TREATS AS PRIVATE OR CONFIDENTIAL. INFORMATION THAT HAS BEEN OMITTED HAD BEEN IDENTIFIED IN THIS DOCUMENT WITH A PLACEHOLDER IDENTIFIED BY THE MARK “[*****]”.</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10.3</w:t>
      </w:r>
    </w:p>
    <w:p>
      <w:pPr>
        <w:spacing w:after="0" w:line="176"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Convertible Note Agreement</w:t>
      </w:r>
    </w:p>
    <w:p>
      <w:pPr>
        <w:spacing w:after="0" w:line="198"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220" w:lineRule="exact"/>
        <w:rPr>
          <w:sz w:val="20"/>
          <w:szCs w:val="20"/>
          <w:color w:val="auto"/>
        </w:rPr>
      </w:pPr>
    </w:p>
    <w:p>
      <w:pPr>
        <w:ind w:left="900"/>
        <w:spacing w:after="0"/>
        <w:tabs>
          <w:tab w:leader="none" w:pos="1560" w:val="left"/>
        </w:tabs>
        <w:rPr>
          <w:sz w:val="20"/>
          <w:szCs w:val="20"/>
          <w:color w:val="auto"/>
        </w:rPr>
      </w:pPr>
      <w:r>
        <w:rPr>
          <w:rFonts w:ascii="Arial" w:cs="Arial" w:eastAsia="Arial" w:hAnsi="Arial"/>
          <w:sz w:val="18"/>
          <w:szCs w:val="18"/>
          <w:color w:val="auto"/>
        </w:rPr>
        <w:t>dated</w:t>
        <w:tab/>
        <w:t>26 July 2021</w:t>
      </w:r>
    </w:p>
    <w:p>
      <w:pPr>
        <w:spacing w:after="0" w:line="176"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8"/>
          <w:szCs w:val="18"/>
          <w:color w:val="auto"/>
        </w:rPr>
        <w:t>between</w:t>
      </w:r>
      <w:r>
        <w:rPr>
          <w:sz w:val="20"/>
          <w:szCs w:val="20"/>
          <w:color w:val="auto"/>
        </w:rPr>
        <w:tab/>
      </w:r>
      <w:r>
        <w:rPr>
          <w:rFonts w:ascii="Arial" w:cs="Arial" w:eastAsia="Arial" w:hAnsi="Arial"/>
          <w:sz w:val="18"/>
          <w:szCs w:val="18"/>
          <w:b w:val="1"/>
          <w:bCs w:val="1"/>
          <w:color w:val="auto"/>
        </w:rPr>
        <w:t>AC Immune SA</w:t>
      </w:r>
    </w:p>
    <w:p>
      <w:pPr>
        <w:spacing w:after="0" w:line="13"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EPFL Innovation Park, bâtiment B</w:t>
      </w:r>
    </w:p>
    <w:p>
      <w:pPr>
        <w:ind w:left="1580"/>
        <w:spacing w:after="0" w:line="234" w:lineRule="auto"/>
        <w:rPr>
          <w:sz w:val="20"/>
          <w:szCs w:val="20"/>
          <w:color w:val="auto"/>
        </w:rPr>
      </w:pPr>
      <w:r>
        <w:rPr>
          <w:rFonts w:ascii="Arial" w:cs="Arial" w:eastAsia="Arial" w:hAnsi="Arial"/>
          <w:sz w:val="18"/>
          <w:szCs w:val="18"/>
          <w:color w:val="auto"/>
        </w:rPr>
        <w:t>1015 Lausanne</w:t>
      </w:r>
    </w:p>
    <w:p>
      <w:pPr>
        <w:spacing w:after="0" w:line="1"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Switzerland</w:t>
      </w:r>
    </w:p>
    <w:p>
      <w:pPr>
        <w:spacing w:after="0" w:line="176"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hereinafter: "</w:t>
      </w:r>
      <w:r>
        <w:rPr>
          <w:rFonts w:ascii="Arial" w:cs="Arial" w:eastAsia="Arial" w:hAnsi="Arial"/>
          <w:sz w:val="18"/>
          <w:szCs w:val="18"/>
          <w:b w:val="1"/>
          <w:bCs w:val="1"/>
          <w:color w:val="auto"/>
        </w:rPr>
        <w:t>ACIU</w:t>
      </w:r>
      <w:r>
        <w:rPr>
          <w:rFonts w:ascii="Arial" w:cs="Arial" w:eastAsia="Arial" w:hAnsi="Arial"/>
          <w:sz w:val="18"/>
          <w:szCs w:val="18"/>
          <w:color w:val="auto"/>
        </w:rPr>
        <w:t>" and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ind w:left="1060"/>
        <w:spacing w:after="0"/>
        <w:tabs>
          <w:tab w:leader="none" w:pos="1560" w:val="left"/>
        </w:tabs>
        <w:rPr>
          <w:sz w:val="20"/>
          <w:szCs w:val="20"/>
          <w:color w:val="auto"/>
        </w:rPr>
      </w:pPr>
      <w:r>
        <w:rPr>
          <w:rFonts w:ascii="Arial" w:cs="Arial" w:eastAsia="Arial" w:hAnsi="Arial"/>
          <w:sz w:val="18"/>
          <w:szCs w:val="18"/>
          <w:color w:val="auto"/>
        </w:rPr>
        <w:t>and</w:t>
      </w:r>
      <w:r>
        <w:rPr>
          <w:sz w:val="20"/>
          <w:szCs w:val="20"/>
          <w:color w:val="auto"/>
        </w:rPr>
        <w:tab/>
      </w:r>
      <w:r>
        <w:rPr>
          <w:rFonts w:ascii="Arial" w:cs="Arial" w:eastAsia="Arial" w:hAnsi="Arial"/>
          <w:sz w:val="18"/>
          <w:szCs w:val="18"/>
          <w:b w:val="1"/>
          <w:bCs w:val="1"/>
          <w:color w:val="auto"/>
        </w:rPr>
        <w:t>FCPB Affi GmbH</w:t>
      </w:r>
    </w:p>
    <w:p>
      <w:pPr>
        <w:spacing w:after="0" w:line="13"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Freihamer Strasse 2</w:t>
      </w:r>
    </w:p>
    <w:p>
      <w:pPr>
        <w:ind w:left="1580"/>
        <w:spacing w:after="0" w:line="234" w:lineRule="auto"/>
        <w:rPr>
          <w:sz w:val="20"/>
          <w:szCs w:val="20"/>
          <w:color w:val="auto"/>
        </w:rPr>
      </w:pPr>
      <w:r>
        <w:rPr>
          <w:rFonts w:ascii="Arial" w:cs="Arial" w:eastAsia="Arial" w:hAnsi="Arial"/>
          <w:sz w:val="18"/>
          <w:szCs w:val="18"/>
          <w:color w:val="auto"/>
        </w:rPr>
        <w:t>82166 Gräfelfing</w:t>
      </w:r>
    </w:p>
    <w:p>
      <w:pPr>
        <w:spacing w:after="0" w:line="1"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Germany</w:t>
      </w:r>
    </w:p>
    <w:p>
      <w:pPr>
        <w:spacing w:after="0" w:line="176"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(hereinafter the "</w:t>
      </w:r>
      <w:r>
        <w:rPr>
          <w:rFonts w:ascii="Arial" w:cs="Arial" w:eastAsia="Arial" w:hAnsi="Arial"/>
          <w:sz w:val="18"/>
          <w:szCs w:val="18"/>
          <w:b w:val="1"/>
          <w:bCs w:val="1"/>
          <w:color w:val="auto"/>
        </w:rPr>
        <w:t>Investor</w:t>
      </w:r>
      <w:r>
        <w:rPr>
          <w:rFonts w:ascii="Arial" w:cs="Arial" w:eastAsia="Arial" w:hAnsi="Arial"/>
          <w:sz w:val="18"/>
          <w:szCs w:val="18"/>
          <w:color w:val="auto"/>
        </w:rPr>
        <w:t>")</w:t>
      </w:r>
    </w:p>
    <w:p>
      <w:pPr>
        <w:spacing w:after="0" w:line="220" w:lineRule="exact"/>
        <w:rPr>
          <w:sz w:val="20"/>
          <w:szCs w:val="20"/>
          <w:color w:val="auto"/>
        </w:rPr>
      </w:pPr>
    </w:p>
    <w:p>
      <w:pPr>
        <w:ind w:left="1580" w:hanging="1099"/>
        <w:spacing w:after="0" w:line="246" w:lineRule="auto"/>
        <w:tabs>
          <w:tab w:leader="none" w:pos="1560" w:val="left"/>
        </w:tabs>
        <w:rPr>
          <w:sz w:val="20"/>
          <w:szCs w:val="20"/>
          <w:color w:val="auto"/>
        </w:rPr>
      </w:pPr>
      <w:r>
        <w:rPr>
          <w:rFonts w:ascii="Arial" w:cs="Arial" w:eastAsia="Arial" w:hAnsi="Arial"/>
          <w:sz w:val="18"/>
          <w:szCs w:val="18"/>
          <w:color w:val="auto"/>
        </w:rPr>
        <w:t>concerning</w:t>
        <w:tab/>
        <w:t>a convertible note issued by the Company that is convertible into ACIU shares upon terms and conditions set out herein (the "</w:t>
      </w:r>
      <w:r>
        <w:rPr>
          <w:rFonts w:ascii="Arial" w:cs="Arial" w:eastAsia="Arial" w:hAnsi="Arial"/>
          <w:sz w:val="18"/>
          <w:szCs w:val="18"/>
          <w:b w:val="1"/>
          <w:bCs w:val="1"/>
          <w:color w:val="auto"/>
        </w:rPr>
        <w:t>Note</w:t>
      </w:r>
      <w:r>
        <w:rPr>
          <w:rFonts w:ascii="Arial" w:cs="Arial" w:eastAsia="Arial" w:hAnsi="Arial"/>
          <w:sz w:val="18"/>
          <w:szCs w:val="18"/>
          <w:color w:val="auto"/>
        </w:rPr>
        <w: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 July 2021 AC Immune SA – FCBP Affi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4" w:name="page45"/>
    <w:bookmarkEnd w:id="44"/>
    <w:p>
      <w:pPr>
        <w:ind w:left="11140"/>
        <w:spacing w:after="0"/>
        <w:rPr>
          <w:sz w:val="20"/>
          <w:szCs w:val="20"/>
          <w:color w:val="auto"/>
        </w:rPr>
      </w:pPr>
      <w:r>
        <w:rPr>
          <w:rFonts w:ascii="Arial" w:cs="Arial" w:eastAsia="Arial" w:hAnsi="Arial"/>
          <w:sz w:val="17"/>
          <w:szCs w:val="17"/>
          <w:color w:val="auto"/>
        </w:rPr>
        <w:t>2</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Recitals</w:t>
      </w:r>
    </w:p>
    <w:p>
      <w:pPr>
        <w:spacing w:after="0" w:line="220" w:lineRule="exact"/>
        <w:rPr>
          <w:sz w:val="20"/>
          <w:szCs w:val="20"/>
          <w:color w:val="auto"/>
        </w:rPr>
      </w:pPr>
    </w:p>
    <w:p>
      <w:pPr>
        <w:jc w:val="both"/>
        <w:ind w:left="660" w:hanging="652"/>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ACIU is a stock corporation incorporated under the laws of Switzerland, registered under CHE-109.878.825 in the commercial register of the Canton of Vaud, with its seat in Ecublens (VD), with a fully paid in share capital of CHF 1'537'748.98 divided into 76'887'449 registered shares with a nominal value of CHF 0.02/share (each an "</w:t>
      </w:r>
      <w:r>
        <w:rPr>
          <w:rFonts w:ascii="Arial" w:cs="Arial" w:eastAsia="Arial" w:hAnsi="Arial"/>
          <w:sz w:val="18"/>
          <w:szCs w:val="18"/>
          <w:b w:val="1"/>
          <w:bCs w:val="1"/>
          <w:color w:val="auto"/>
        </w:rPr>
        <w:t>ACIU Share</w:t>
      </w:r>
      <w:r>
        <w:rPr>
          <w:rFonts w:ascii="Arial" w:cs="Arial" w:eastAsia="Arial" w:hAnsi="Arial"/>
          <w:sz w:val="18"/>
          <w:szCs w:val="18"/>
          <w:color w:val="auto"/>
        </w:rPr>
        <w:t>" or a "</w:t>
      </w:r>
      <w:r>
        <w:rPr>
          <w:rFonts w:ascii="Arial" w:cs="Arial" w:eastAsia="Arial" w:hAnsi="Arial"/>
          <w:sz w:val="18"/>
          <w:szCs w:val="18"/>
          <w:b w:val="1"/>
          <w:bCs w:val="1"/>
          <w:color w:val="auto"/>
        </w:rPr>
        <w:t>Share</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660" w:hanging="652"/>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ACIU Shares are currently listed on NASDAQ under the ticker “ACIU”.</w:t>
      </w:r>
    </w:p>
    <w:p>
      <w:pPr>
        <w:spacing w:after="0" w:line="176" w:lineRule="exact"/>
        <w:rPr>
          <w:rFonts w:ascii="Arial" w:cs="Arial" w:eastAsia="Arial" w:hAnsi="Arial"/>
          <w:sz w:val="18"/>
          <w:szCs w:val="18"/>
          <w:color w:val="auto"/>
        </w:rPr>
      </w:pPr>
    </w:p>
    <w:p>
      <w:pPr>
        <w:jc w:val="both"/>
        <w:ind w:left="660" w:hanging="652"/>
        <w:spacing w:after="0" w:line="247"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Articles of Association of ACIU contain in Art. 3b a provision authorizing the ACIU board of directors (the "</w:t>
      </w:r>
      <w:r>
        <w:rPr>
          <w:rFonts w:ascii="Arial" w:cs="Arial" w:eastAsia="Arial" w:hAnsi="Arial"/>
          <w:sz w:val="18"/>
          <w:szCs w:val="18"/>
          <w:b w:val="1"/>
          <w:bCs w:val="1"/>
          <w:color w:val="auto"/>
        </w:rPr>
        <w:t>ACIU Board</w:t>
      </w:r>
      <w:r>
        <w:rPr>
          <w:rFonts w:ascii="Arial" w:cs="Arial" w:eastAsia="Arial" w:hAnsi="Arial"/>
          <w:sz w:val="18"/>
          <w:szCs w:val="18"/>
          <w:color w:val="auto"/>
        </w:rPr>
        <w:t>") to issue bonds or similar debt instruments convertible into a maximum of 4'578'047 ACIU Shares. Subparagraph 2 of this provision holds that subscription rights and advance subscription rights of ACIU shareholder can be excluded by the ACIU Board, inter alia in order to finance or re-finance an acquisition.</w:t>
      </w:r>
    </w:p>
    <w:p>
      <w:pPr>
        <w:spacing w:after="0" w:line="160" w:lineRule="exact"/>
        <w:rPr>
          <w:rFonts w:ascii="Arial" w:cs="Arial" w:eastAsia="Arial" w:hAnsi="Arial"/>
          <w:sz w:val="18"/>
          <w:szCs w:val="18"/>
          <w:color w:val="auto"/>
        </w:rPr>
      </w:pPr>
    </w:p>
    <w:p>
      <w:pPr>
        <w:jc w:val="both"/>
        <w:ind w:left="660" w:hanging="652"/>
        <w:spacing w:after="0" w:line="247"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ACIU is entering into concurrently with the signing of this Agreement an asset purchase agreement with Affiris AG ("</w:t>
      </w:r>
      <w:r>
        <w:rPr>
          <w:rFonts w:ascii="Arial" w:cs="Arial" w:eastAsia="Arial" w:hAnsi="Arial"/>
          <w:sz w:val="18"/>
          <w:szCs w:val="18"/>
          <w:b w:val="1"/>
          <w:bCs w:val="1"/>
          <w:color w:val="auto"/>
        </w:rPr>
        <w:t>A</w:t>
      </w:r>
      <w:r>
        <w:rPr>
          <w:rFonts w:ascii="Arial" w:cs="Arial" w:eastAsia="Arial" w:hAnsi="Arial"/>
          <w:sz w:val="12"/>
          <w:szCs w:val="12"/>
          <w:b w:val="1"/>
          <w:bCs w:val="1"/>
          <w:color w:val="auto"/>
        </w:rPr>
        <w:t>FFIRIS</w:t>
      </w:r>
      <w:r>
        <w:rPr>
          <w:rFonts w:ascii="Arial" w:cs="Arial" w:eastAsia="Arial" w:hAnsi="Arial"/>
          <w:sz w:val="18"/>
          <w:szCs w:val="18"/>
          <w:color w:val="auto"/>
        </w:rPr>
        <w:t>"), a stock corporation incorporated under the laws of Austria, registered (the "</w:t>
      </w:r>
      <w:r>
        <w:rPr>
          <w:rFonts w:ascii="Arial" w:cs="Arial" w:eastAsia="Arial" w:hAnsi="Arial"/>
          <w:sz w:val="18"/>
          <w:szCs w:val="18"/>
          <w:b w:val="1"/>
          <w:bCs w:val="1"/>
          <w:color w:val="auto"/>
        </w:rPr>
        <w:t>APA</w:t>
      </w:r>
      <w:r>
        <w:rPr>
          <w:rFonts w:ascii="Arial" w:cs="Arial" w:eastAsia="Arial" w:hAnsi="Arial"/>
          <w:sz w:val="18"/>
          <w:szCs w:val="18"/>
          <w:color w:val="auto"/>
        </w:rPr>
        <w:t>"). Under this Agreement, ACIU is purchasing from A</w:t>
      </w:r>
      <w:r>
        <w:rPr>
          <w:rFonts w:ascii="Arial" w:cs="Arial" w:eastAsia="Arial" w:hAnsi="Arial"/>
          <w:sz w:val="12"/>
          <w:szCs w:val="12"/>
          <w:color w:val="auto"/>
        </w:rPr>
        <w:t>FFIRIS</w:t>
      </w:r>
      <w:r>
        <w:rPr>
          <w:rFonts w:ascii="Arial" w:cs="Arial" w:eastAsia="Arial" w:hAnsi="Arial"/>
          <w:sz w:val="18"/>
          <w:szCs w:val="18"/>
          <w:color w:val="auto"/>
        </w:rPr>
        <w:t xml:space="preserve"> research and development programs conducted by or on behalf of A</w:t>
      </w:r>
      <w:r>
        <w:rPr>
          <w:rFonts w:ascii="Arial" w:cs="Arial" w:eastAsia="Arial" w:hAnsi="Arial"/>
          <w:sz w:val="12"/>
          <w:szCs w:val="12"/>
          <w:color w:val="auto"/>
        </w:rPr>
        <w:t>FFIRIS</w:t>
      </w:r>
      <w:r>
        <w:rPr>
          <w:rFonts w:ascii="Arial" w:cs="Arial" w:eastAsia="Arial" w:hAnsi="Arial"/>
          <w:sz w:val="18"/>
          <w:szCs w:val="18"/>
          <w:color w:val="auto"/>
        </w:rPr>
        <w:t xml:space="preserve"> for products against alpha-synuclein and amyloid-beta, to be used alone or in combination with other targets (the "</w:t>
      </w:r>
      <w:r>
        <w:rPr>
          <w:rFonts w:ascii="Arial" w:cs="Arial" w:eastAsia="Arial" w:hAnsi="Arial"/>
          <w:sz w:val="18"/>
          <w:szCs w:val="18"/>
          <w:b w:val="1"/>
          <w:bCs w:val="1"/>
          <w:color w:val="auto"/>
        </w:rPr>
        <w:t>Purchased IP Rights</w:t>
      </w:r>
      <w:r>
        <w:rPr>
          <w:rFonts w:ascii="Arial" w:cs="Arial" w:eastAsia="Arial" w:hAnsi="Arial"/>
          <w:sz w:val="18"/>
          <w:szCs w:val="18"/>
          <w:color w:val="auto"/>
        </w:rPr>
        <w:t>").</w:t>
      </w:r>
    </w:p>
    <w:p>
      <w:pPr>
        <w:spacing w:after="0" w:line="182"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ACIU currently intends to use the proceeds from this offering to strategically invest in research and clinical development of current and/or additional pipeline candidates and its technology platforms.</w:t>
      </w:r>
    </w:p>
    <w:p>
      <w:pPr>
        <w:spacing w:after="0" w:line="16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NOW, THEREFORE, THE PARTIES HERETO AGREE AS FOLLOWS:</w:t>
      </w:r>
    </w:p>
    <w:p>
      <w:pPr>
        <w:spacing w:after="0" w:line="198" w:lineRule="exact"/>
        <w:rPr>
          <w:sz w:val="20"/>
          <w:szCs w:val="20"/>
          <w:color w:val="auto"/>
        </w:rPr>
      </w:pPr>
    </w:p>
    <w:p>
      <w:pPr>
        <w:ind w:left="660" w:hanging="652"/>
        <w:spacing w:after="0"/>
        <w:tabs>
          <w:tab w:leader="none" w:pos="6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 of the Investor</w:t>
      </w:r>
    </w:p>
    <w:p>
      <w:pPr>
        <w:spacing w:after="0" w:line="220" w:lineRule="exact"/>
        <w:rPr>
          <w:rFonts w:ascii="Arial" w:cs="Arial" w:eastAsia="Arial" w:hAnsi="Arial"/>
          <w:sz w:val="18"/>
          <w:szCs w:val="18"/>
          <w:b w:val="1"/>
          <w:bCs w:val="1"/>
          <w:color w:val="auto"/>
        </w:rPr>
      </w:pPr>
    </w:p>
    <w:p>
      <w:pPr>
        <w:jc w:val="both"/>
        <w:ind w:left="660" w:hanging="652"/>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Pursuant to the terms and subject to the conditions contained herein, the Investor irrevocably commits to purchase from ACIU, at the same day the APA is closed (the "</w:t>
      </w:r>
      <w:r>
        <w:rPr>
          <w:rFonts w:ascii="Arial" w:cs="Arial" w:eastAsia="Arial" w:hAnsi="Arial"/>
          <w:sz w:val="18"/>
          <w:szCs w:val="18"/>
          <w:b w:val="1"/>
          <w:bCs w:val="1"/>
          <w:color w:val="auto"/>
        </w:rPr>
        <w:t>Closing Date</w:t>
      </w:r>
      <w:r>
        <w:rPr>
          <w:rFonts w:ascii="Arial" w:cs="Arial" w:eastAsia="Arial" w:hAnsi="Arial"/>
          <w:sz w:val="18"/>
          <w:szCs w:val="18"/>
          <w:color w:val="auto"/>
        </w:rPr>
        <w:t>"), a convertible note for a purchase price of USD$ 12,500,000, as further described herein.</w:t>
      </w:r>
    </w:p>
    <w:p>
      <w:pPr>
        <w:spacing w:after="0" w:line="167" w:lineRule="exact"/>
        <w:rPr>
          <w:sz w:val="20"/>
          <w:szCs w:val="20"/>
          <w:color w:val="auto"/>
        </w:rPr>
      </w:pPr>
    </w:p>
    <w:p>
      <w:pPr>
        <w:ind w:left="660" w:hanging="652"/>
        <w:spacing w:after="0"/>
        <w:tabs>
          <w:tab w:leader="none" w:pos="6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Characteristics of the Note</w:t>
      </w:r>
    </w:p>
    <w:p>
      <w:pPr>
        <w:spacing w:after="0" w:line="220" w:lineRule="exact"/>
        <w:rPr>
          <w:rFonts w:ascii="Arial" w:cs="Arial" w:eastAsia="Arial" w:hAnsi="Arial"/>
          <w:sz w:val="18"/>
          <w:szCs w:val="18"/>
          <w:b w:val="1"/>
          <w:bCs w:val="1"/>
          <w:color w:val="auto"/>
        </w:rPr>
      </w:pPr>
    </w:p>
    <w:p>
      <w:pPr>
        <w:ind w:left="660" w:hanging="652"/>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Note shall have the following terms and conditions: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 July 2021 AC Immune SA – FCBP Affi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45" w:name="page46"/>
    <w:bookmarkEnd w:id="45"/>
    <w:tbl>
      <w:tblPr>
        <w:tblLayout w:type="fixed"/>
        <w:tblInd w:w="10" w:type="dxa"/>
        <w:tblCellMar>
          <w:top w:w="0" w:type="dxa"/>
          <w:left w:w="0" w:type="dxa"/>
          <w:bottom w:w="0" w:type="dxa"/>
          <w:right w:w="0" w:type="dxa"/>
        </w:tblCellMar>
      </w:tblPr>
      <w:tr>
        <w:trPr>
          <w:trHeight w:val="217"/>
        </w:trPr>
        <w:tc>
          <w:tcPr>
            <w:tcW w:w="2840" w:type="dxa"/>
            <w:vAlign w:val="bottom"/>
          </w:tcPr>
          <w:p>
            <w:pPr>
              <w:spacing w:after="0"/>
              <w:rPr>
                <w:sz w:val="18"/>
                <w:szCs w:val="18"/>
                <w:color w:val="auto"/>
              </w:rPr>
            </w:pPr>
          </w:p>
        </w:tc>
        <w:tc>
          <w:tcPr>
            <w:tcW w:w="8400" w:type="dxa"/>
            <w:vAlign w:val="bottom"/>
          </w:tcPr>
          <w:p>
            <w:pPr>
              <w:ind w:left="8300"/>
              <w:spacing w:after="0"/>
              <w:rPr>
                <w:sz w:val="20"/>
                <w:szCs w:val="20"/>
                <w:color w:val="auto"/>
              </w:rPr>
            </w:pPr>
            <w:r>
              <w:rPr>
                <w:rFonts w:ascii="Arial" w:cs="Arial" w:eastAsia="Arial" w:hAnsi="Arial"/>
                <w:sz w:val="15"/>
                <w:szCs w:val="15"/>
                <w:color w:val="auto"/>
                <w:w w:val="71"/>
              </w:rPr>
              <w:t>3</w:t>
            </w:r>
          </w:p>
        </w:tc>
      </w:tr>
      <w:tr>
        <w:trPr>
          <w:trHeight w:val="121"/>
        </w:trPr>
        <w:tc>
          <w:tcPr>
            <w:tcW w:w="2840" w:type="dxa"/>
            <w:vAlign w:val="bottom"/>
            <w:tcBorders>
              <w:bottom w:val="single" w:sz="8" w:color="auto"/>
            </w:tcBorders>
          </w:tcPr>
          <w:p>
            <w:pPr>
              <w:spacing w:after="0"/>
              <w:rPr>
                <w:sz w:val="10"/>
                <w:szCs w:val="10"/>
                <w:color w:val="auto"/>
              </w:rPr>
            </w:pPr>
          </w:p>
        </w:tc>
        <w:tc>
          <w:tcPr>
            <w:tcW w:w="8400" w:type="dxa"/>
            <w:vAlign w:val="bottom"/>
            <w:tcBorders>
              <w:bottom w:val="single" w:sz="8" w:color="auto"/>
            </w:tcBorders>
          </w:tcPr>
          <w:p>
            <w:pPr>
              <w:spacing w:after="0"/>
              <w:rPr>
                <w:sz w:val="10"/>
                <w:szCs w:val="10"/>
                <w:color w:val="auto"/>
              </w:rPr>
            </w:pPr>
          </w:p>
        </w:tc>
      </w:tr>
      <w:tr>
        <w:trPr>
          <w:trHeight w:val="331"/>
        </w:trPr>
        <w:tc>
          <w:tcPr>
            <w:tcW w:w="2840" w:type="dxa"/>
            <w:vAlign w:val="bottom"/>
            <w:tcBorders>
              <w:left w:val="single" w:sz="8" w:color="auto"/>
              <w:bottom w:val="single" w:sz="8" w:color="E7E6E6"/>
              <w:right w:val="single" w:sz="8" w:color="auto"/>
            </w:tcBorders>
            <w:shd w:val="clear" w:color="auto" w:fill="E7E6E6"/>
          </w:tcPr>
          <w:p>
            <w:pPr>
              <w:ind w:left="100"/>
              <w:spacing w:after="0"/>
              <w:rPr>
                <w:sz w:val="20"/>
                <w:szCs w:val="20"/>
                <w:color w:val="auto"/>
              </w:rPr>
            </w:pPr>
            <w:r>
              <w:rPr>
                <w:rFonts w:ascii="Arial" w:cs="Arial" w:eastAsia="Arial" w:hAnsi="Arial"/>
                <w:sz w:val="18"/>
                <w:szCs w:val="18"/>
                <w:color w:val="auto"/>
              </w:rPr>
              <w:t>Principal Amount</w:t>
            </w:r>
          </w:p>
        </w:tc>
        <w:tc>
          <w:tcPr>
            <w:tcW w:w="8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(see Section 3 below)</w:t>
            </w:r>
          </w:p>
        </w:tc>
      </w:tr>
      <w:tr>
        <w:trPr>
          <w:trHeight w:val="331"/>
        </w:trPr>
        <w:tc>
          <w:tcPr>
            <w:tcW w:w="2840" w:type="dxa"/>
            <w:vAlign w:val="bottom"/>
            <w:tcBorders>
              <w:top w:val="single" w:sz="8" w:color="auto"/>
              <w:left w:val="single" w:sz="8" w:color="auto"/>
              <w:bottom w:val="single" w:sz="8" w:color="E7E6E6"/>
              <w:right w:val="single" w:sz="8" w:color="auto"/>
            </w:tcBorders>
            <w:shd w:val="clear" w:color="auto" w:fill="E7E6E6"/>
          </w:tcPr>
          <w:p>
            <w:pPr>
              <w:ind w:left="100"/>
              <w:spacing w:after="0"/>
              <w:rPr>
                <w:sz w:val="20"/>
                <w:szCs w:val="20"/>
                <w:color w:val="auto"/>
              </w:rPr>
            </w:pPr>
            <w:r>
              <w:rPr>
                <w:rFonts w:ascii="Arial" w:cs="Arial" w:eastAsia="Arial" w:hAnsi="Arial"/>
                <w:sz w:val="18"/>
                <w:szCs w:val="18"/>
                <w:color w:val="auto"/>
              </w:rPr>
              <w:t>Interest</w:t>
            </w:r>
          </w:p>
        </w:tc>
        <w:tc>
          <w:tcPr>
            <w:tcW w:w="84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w:t>
            </w:r>
          </w:p>
        </w:tc>
      </w:tr>
      <w:tr>
        <w:trPr>
          <w:trHeight w:val="331"/>
        </w:trPr>
        <w:tc>
          <w:tcPr>
            <w:tcW w:w="2840" w:type="dxa"/>
            <w:vAlign w:val="bottom"/>
            <w:tcBorders>
              <w:top w:val="single" w:sz="8" w:color="auto"/>
              <w:left w:val="single" w:sz="8" w:color="auto"/>
              <w:bottom w:val="single" w:sz="8" w:color="E7E6E6"/>
              <w:right w:val="single" w:sz="8" w:color="auto"/>
            </w:tcBorders>
            <w:shd w:val="clear" w:color="auto" w:fill="E7E6E6"/>
          </w:tcPr>
          <w:p>
            <w:pPr>
              <w:ind w:left="100"/>
              <w:spacing w:after="0"/>
              <w:rPr>
                <w:sz w:val="20"/>
                <w:szCs w:val="20"/>
                <w:color w:val="auto"/>
              </w:rPr>
            </w:pPr>
            <w:r>
              <w:rPr>
                <w:rFonts w:ascii="Arial" w:cs="Arial" w:eastAsia="Arial" w:hAnsi="Arial"/>
                <w:sz w:val="18"/>
                <w:szCs w:val="18"/>
                <w:color w:val="auto"/>
              </w:rPr>
              <w:t>Repayment date if not converted</w:t>
            </w:r>
          </w:p>
        </w:tc>
        <w:tc>
          <w:tcPr>
            <w:tcW w:w="84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26 July 2022 (the "</w:t>
            </w:r>
            <w:r>
              <w:rPr>
                <w:rFonts w:ascii="Arial" w:cs="Arial" w:eastAsia="Arial" w:hAnsi="Arial"/>
                <w:sz w:val="18"/>
                <w:szCs w:val="18"/>
                <w:b w:val="1"/>
                <w:bCs w:val="1"/>
                <w:color w:val="auto"/>
              </w:rPr>
              <w:t>Repayment Date</w:t>
            </w:r>
            <w:r>
              <w:rPr>
                <w:rFonts w:ascii="Arial" w:cs="Arial" w:eastAsia="Arial" w:hAnsi="Arial"/>
                <w:sz w:val="18"/>
                <w:szCs w:val="18"/>
                <w:color w:val="auto"/>
              </w:rPr>
              <w:t>")</w:t>
            </w:r>
          </w:p>
        </w:tc>
      </w:tr>
      <w:tr>
        <w:trPr>
          <w:trHeight w:val="263"/>
        </w:trPr>
        <w:tc>
          <w:tcPr>
            <w:tcW w:w="2840" w:type="dxa"/>
            <w:vAlign w:val="bottom"/>
            <w:tcBorders>
              <w:top w:val="single" w:sz="8" w:color="auto"/>
              <w:left w:val="single" w:sz="8" w:color="auto"/>
              <w:right w:val="single" w:sz="8" w:color="auto"/>
            </w:tcBorders>
            <w:shd w:val="clear" w:color="auto" w:fill="E7E6E6"/>
          </w:tcPr>
          <w:p>
            <w:pPr>
              <w:ind w:left="100"/>
              <w:spacing w:after="0"/>
              <w:rPr>
                <w:sz w:val="20"/>
                <w:szCs w:val="20"/>
                <w:color w:val="auto"/>
              </w:rPr>
            </w:pPr>
            <w:r>
              <w:rPr>
                <w:rFonts w:ascii="Arial" w:cs="Arial" w:eastAsia="Arial" w:hAnsi="Arial"/>
                <w:sz w:val="18"/>
                <w:szCs w:val="18"/>
                <w:color w:val="auto"/>
              </w:rPr>
              <w:t>Conversion Price</w:t>
            </w:r>
          </w:p>
        </w:tc>
        <w:tc>
          <w:tcPr>
            <w:tcW w:w="84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USD$ 8.26 per ACIU Share (the "</w:t>
            </w:r>
            <w:r>
              <w:rPr>
                <w:rFonts w:ascii="Arial" w:cs="Arial" w:eastAsia="Arial" w:hAnsi="Arial"/>
                <w:sz w:val="18"/>
                <w:szCs w:val="18"/>
                <w:b w:val="1"/>
                <w:bCs w:val="1"/>
                <w:color w:val="auto"/>
              </w:rPr>
              <w:t>Original Conversion Price</w:t>
            </w:r>
            <w:r>
              <w:rPr>
                <w:rFonts w:ascii="Arial" w:cs="Arial" w:eastAsia="Arial" w:hAnsi="Arial"/>
                <w:sz w:val="18"/>
                <w:szCs w:val="18"/>
                <w:color w:val="auto"/>
              </w:rPr>
              <w:t>"). Any share price movement in ACIU</w:t>
            </w:r>
          </w:p>
        </w:tc>
      </w:tr>
      <w:tr>
        <w:trPr>
          <w:trHeight w:val="203"/>
        </w:trPr>
        <w:tc>
          <w:tcPr>
            <w:tcW w:w="2840" w:type="dxa"/>
            <w:vAlign w:val="bottom"/>
            <w:tcBorders>
              <w:left w:val="single" w:sz="8" w:color="auto"/>
              <w:right w:val="single" w:sz="8" w:color="auto"/>
            </w:tcBorders>
            <w:shd w:val="clear" w:color="auto" w:fill="E7E6E6"/>
          </w:tcPr>
          <w:p>
            <w:pPr>
              <w:spacing w:after="0"/>
              <w:rPr>
                <w:sz w:val="17"/>
                <w:szCs w:val="17"/>
                <w:color w:val="auto"/>
              </w:rPr>
            </w:pPr>
          </w:p>
        </w:tc>
        <w:tc>
          <w:tcPr>
            <w:tcW w:w="840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Shares will not affect the number of shares to be delivered by ACIU at Closing, unless the 1 day VWAP</w:t>
            </w:r>
          </w:p>
        </w:tc>
      </w:tr>
      <w:tr>
        <w:trPr>
          <w:trHeight w:val="181"/>
        </w:trPr>
        <w:tc>
          <w:tcPr>
            <w:tcW w:w="2840" w:type="dxa"/>
            <w:vAlign w:val="bottom"/>
            <w:tcBorders>
              <w:left w:val="single" w:sz="8" w:color="auto"/>
              <w:right w:val="single" w:sz="8" w:color="auto"/>
            </w:tcBorders>
            <w:shd w:val="clear" w:color="auto" w:fill="E7E6E6"/>
          </w:tcPr>
          <w:p>
            <w:pPr>
              <w:spacing w:after="0"/>
              <w:rPr>
                <w:sz w:val="15"/>
                <w:szCs w:val="15"/>
                <w:color w:val="auto"/>
              </w:rPr>
            </w:pPr>
          </w:p>
        </w:tc>
        <w:tc>
          <w:tcPr>
            <w:tcW w:w="84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per ACIU Share on the day before the Closing Date exceeds US$ 9.18. In such a case, the delta</w:t>
            </w:r>
          </w:p>
        </w:tc>
      </w:tr>
      <w:tr>
        <w:trPr>
          <w:trHeight w:val="203"/>
        </w:trPr>
        <w:tc>
          <w:tcPr>
            <w:tcW w:w="2840" w:type="dxa"/>
            <w:vAlign w:val="bottom"/>
            <w:tcBorders>
              <w:left w:val="single" w:sz="8" w:color="auto"/>
              <w:right w:val="single" w:sz="8" w:color="auto"/>
            </w:tcBorders>
            <w:shd w:val="clear" w:color="auto" w:fill="E7E6E6"/>
          </w:tcPr>
          <w:p>
            <w:pPr>
              <w:spacing w:after="0"/>
              <w:rPr>
                <w:sz w:val="17"/>
                <w:szCs w:val="17"/>
                <w:color w:val="auto"/>
              </w:rPr>
            </w:pPr>
          </w:p>
        </w:tc>
        <w:tc>
          <w:tcPr>
            <w:tcW w:w="840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between the 1 day VWAP per ACIU Share and USD$ 9.18 shall be added to USD$ 8.26 (the "</w:t>
            </w:r>
            <w:r>
              <w:rPr>
                <w:rFonts w:ascii="Arial" w:cs="Arial" w:eastAsia="Arial" w:hAnsi="Arial"/>
                <w:sz w:val="18"/>
                <w:szCs w:val="18"/>
                <w:b w:val="1"/>
                <w:bCs w:val="1"/>
                <w:color w:val="auto"/>
              </w:rPr>
              <w:t>Adjusted</w:t>
            </w:r>
          </w:p>
        </w:tc>
      </w:tr>
      <w:tr>
        <w:trPr>
          <w:trHeight w:val="203"/>
        </w:trPr>
        <w:tc>
          <w:tcPr>
            <w:tcW w:w="2840" w:type="dxa"/>
            <w:vAlign w:val="bottom"/>
            <w:tcBorders>
              <w:left w:val="single" w:sz="8" w:color="auto"/>
              <w:right w:val="single" w:sz="8" w:color="auto"/>
            </w:tcBorders>
            <w:shd w:val="clear" w:color="auto" w:fill="E7E6E6"/>
          </w:tcPr>
          <w:p>
            <w:pPr>
              <w:spacing w:after="0"/>
              <w:rPr>
                <w:sz w:val="17"/>
                <w:szCs w:val="17"/>
                <w:color w:val="auto"/>
              </w:rPr>
            </w:pPr>
          </w:p>
        </w:tc>
        <w:tc>
          <w:tcPr>
            <w:tcW w:w="840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b w:val="1"/>
                <w:bCs w:val="1"/>
                <w:color w:val="auto"/>
              </w:rPr>
              <w:t>Conversion Price</w:t>
            </w:r>
            <w:r>
              <w:rPr>
                <w:rFonts w:ascii="Arial" w:cs="Arial" w:eastAsia="Arial" w:hAnsi="Arial"/>
                <w:sz w:val="18"/>
                <w:szCs w:val="18"/>
                <w:color w:val="auto"/>
              </w:rPr>
              <w:t>", the Original Conversion Price, or in case of an adjustment, the Adjusted</w:t>
            </w:r>
          </w:p>
        </w:tc>
      </w:tr>
      <w:tr>
        <w:trPr>
          <w:trHeight w:val="293"/>
        </w:trPr>
        <w:tc>
          <w:tcPr>
            <w:tcW w:w="2840" w:type="dxa"/>
            <w:vAlign w:val="bottom"/>
            <w:tcBorders>
              <w:left w:val="single" w:sz="8" w:color="auto"/>
              <w:bottom w:val="single" w:sz="8" w:color="E7E6E6"/>
              <w:right w:val="single" w:sz="8" w:color="auto"/>
            </w:tcBorders>
            <w:shd w:val="clear" w:color="auto" w:fill="E7E6E6"/>
          </w:tcPr>
          <w:p>
            <w:pPr>
              <w:spacing w:after="0"/>
              <w:rPr>
                <w:sz w:val="24"/>
                <w:szCs w:val="24"/>
                <w:color w:val="auto"/>
              </w:rPr>
            </w:pPr>
          </w:p>
        </w:tc>
        <w:tc>
          <w:tcPr>
            <w:tcW w:w="8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Conversion Price, the "</w:t>
            </w:r>
            <w:r>
              <w:rPr>
                <w:rFonts w:ascii="Arial" w:cs="Arial" w:eastAsia="Arial" w:hAnsi="Arial"/>
                <w:sz w:val="18"/>
                <w:szCs w:val="18"/>
                <w:b w:val="1"/>
                <w:bCs w:val="1"/>
                <w:color w:val="auto"/>
              </w:rPr>
              <w:t>Conversion Price</w:t>
            </w:r>
            <w:r>
              <w:rPr>
                <w:rFonts w:ascii="Arial" w:cs="Arial" w:eastAsia="Arial" w:hAnsi="Arial"/>
                <w:sz w:val="18"/>
                <w:szCs w:val="18"/>
                <w:color w:val="auto"/>
              </w:rPr>
              <w:t>")</w:t>
            </w:r>
          </w:p>
        </w:tc>
      </w:tr>
      <w:tr>
        <w:trPr>
          <w:trHeight w:val="241"/>
        </w:trPr>
        <w:tc>
          <w:tcPr>
            <w:tcW w:w="2840" w:type="dxa"/>
            <w:vAlign w:val="bottom"/>
            <w:tcBorders>
              <w:top w:val="single" w:sz="8" w:color="auto"/>
              <w:left w:val="single" w:sz="8" w:color="auto"/>
              <w:right w:val="single" w:sz="8" w:color="auto"/>
            </w:tcBorders>
            <w:shd w:val="clear" w:color="auto" w:fill="E7E6E6"/>
          </w:tcPr>
          <w:p>
            <w:pPr>
              <w:ind w:left="100"/>
              <w:spacing w:after="0"/>
              <w:rPr>
                <w:sz w:val="20"/>
                <w:szCs w:val="20"/>
                <w:color w:val="auto"/>
              </w:rPr>
            </w:pPr>
            <w:r>
              <w:rPr>
                <w:rFonts w:ascii="Arial" w:cs="Arial" w:eastAsia="Arial" w:hAnsi="Arial"/>
                <w:sz w:val="18"/>
                <w:szCs w:val="18"/>
                <w:color w:val="auto"/>
              </w:rPr>
              <w:t>Investor's ability to force</w:t>
            </w:r>
          </w:p>
        </w:tc>
        <w:tc>
          <w:tcPr>
            <w:tcW w:w="84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any time until 10 calendar days prior to the Repayment Date by giving notice hereunder to ACIU (the</w:t>
            </w:r>
          </w:p>
        </w:tc>
      </w:tr>
      <w:tr>
        <w:trPr>
          <w:trHeight w:val="293"/>
        </w:trPr>
        <w:tc>
          <w:tcPr>
            <w:tcW w:w="2840" w:type="dxa"/>
            <w:vAlign w:val="bottom"/>
            <w:tcBorders>
              <w:left w:val="single" w:sz="8" w:color="auto"/>
              <w:bottom w:val="single" w:sz="8" w:color="E7E6E6"/>
              <w:right w:val="single" w:sz="8" w:color="auto"/>
            </w:tcBorders>
            <w:shd w:val="clear" w:color="auto" w:fill="E7E6E6"/>
          </w:tcPr>
          <w:p>
            <w:pPr>
              <w:ind w:left="100"/>
              <w:spacing w:after="0"/>
              <w:rPr>
                <w:sz w:val="20"/>
                <w:szCs w:val="20"/>
                <w:color w:val="auto"/>
              </w:rPr>
            </w:pPr>
            <w:r>
              <w:rPr>
                <w:rFonts w:ascii="Arial" w:cs="Arial" w:eastAsia="Arial" w:hAnsi="Arial"/>
                <w:sz w:val="18"/>
                <w:szCs w:val="18"/>
                <w:color w:val="auto"/>
              </w:rPr>
              <w:t>conversion</w:t>
            </w:r>
          </w:p>
        </w:tc>
        <w:tc>
          <w:tcPr>
            <w:tcW w:w="8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Investor Conversion Period</w:t>
            </w:r>
            <w:r>
              <w:rPr>
                <w:rFonts w:ascii="Arial" w:cs="Arial" w:eastAsia="Arial" w:hAnsi="Arial"/>
                <w:sz w:val="18"/>
                <w:szCs w:val="18"/>
                <w:color w:val="auto"/>
              </w:rPr>
              <w:t>")</w:t>
            </w:r>
          </w:p>
        </w:tc>
      </w:tr>
      <w:tr>
        <w:trPr>
          <w:trHeight w:val="241"/>
        </w:trPr>
        <w:tc>
          <w:tcPr>
            <w:tcW w:w="2840" w:type="dxa"/>
            <w:vAlign w:val="bottom"/>
            <w:tcBorders>
              <w:top w:val="single" w:sz="8" w:color="auto"/>
              <w:left w:val="single" w:sz="8" w:color="auto"/>
              <w:right w:val="single" w:sz="8" w:color="auto"/>
            </w:tcBorders>
            <w:shd w:val="clear" w:color="auto" w:fill="E7E6E6"/>
          </w:tcPr>
          <w:p>
            <w:pPr>
              <w:ind w:left="100"/>
              <w:spacing w:after="0"/>
              <w:rPr>
                <w:sz w:val="20"/>
                <w:szCs w:val="20"/>
                <w:color w:val="auto"/>
              </w:rPr>
            </w:pPr>
            <w:r>
              <w:rPr>
                <w:rFonts w:ascii="Arial" w:cs="Arial" w:eastAsia="Arial" w:hAnsi="Arial"/>
                <w:sz w:val="18"/>
                <w:szCs w:val="18"/>
                <w:color w:val="auto"/>
              </w:rPr>
              <w:t>ACIU's ability to force conversion</w:t>
            </w:r>
          </w:p>
        </w:tc>
        <w:tc>
          <w:tcPr>
            <w:tcW w:w="84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any time until 10 calendar days prior to the Repayment Date (the "</w:t>
            </w:r>
            <w:r>
              <w:rPr>
                <w:rFonts w:ascii="Arial" w:cs="Arial" w:eastAsia="Arial" w:hAnsi="Arial"/>
                <w:sz w:val="18"/>
                <w:szCs w:val="18"/>
                <w:b w:val="1"/>
                <w:bCs w:val="1"/>
                <w:color w:val="auto"/>
              </w:rPr>
              <w:t>ACIU Conversion Period</w:t>
            </w:r>
            <w:r>
              <w:rPr>
                <w:rFonts w:ascii="Arial" w:cs="Arial" w:eastAsia="Arial" w:hAnsi="Arial"/>
                <w:sz w:val="18"/>
                <w:szCs w:val="18"/>
                <w:color w:val="auto"/>
              </w:rPr>
              <w:t>", together</w:t>
            </w:r>
          </w:p>
        </w:tc>
      </w:tr>
      <w:tr>
        <w:trPr>
          <w:trHeight w:val="293"/>
        </w:trPr>
        <w:tc>
          <w:tcPr>
            <w:tcW w:w="2840" w:type="dxa"/>
            <w:vAlign w:val="bottom"/>
            <w:tcBorders>
              <w:left w:val="single" w:sz="8" w:color="auto"/>
              <w:bottom w:val="single" w:sz="8" w:color="E7E6E6"/>
              <w:right w:val="single" w:sz="8" w:color="auto"/>
            </w:tcBorders>
            <w:shd w:val="clear" w:color="auto" w:fill="E7E6E6"/>
          </w:tcPr>
          <w:p>
            <w:pPr>
              <w:spacing w:after="0"/>
              <w:rPr>
                <w:sz w:val="24"/>
                <w:szCs w:val="24"/>
                <w:color w:val="auto"/>
              </w:rPr>
            </w:pPr>
          </w:p>
        </w:tc>
        <w:tc>
          <w:tcPr>
            <w:tcW w:w="8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with the Investor Conversion Period, the "</w:t>
            </w:r>
            <w:r>
              <w:rPr>
                <w:rFonts w:ascii="Arial" w:cs="Arial" w:eastAsia="Arial" w:hAnsi="Arial"/>
                <w:sz w:val="18"/>
                <w:szCs w:val="18"/>
                <w:b w:val="1"/>
                <w:bCs w:val="1"/>
                <w:color w:val="auto"/>
              </w:rPr>
              <w:t>Conversion Period</w:t>
            </w:r>
            <w:r>
              <w:rPr>
                <w:rFonts w:ascii="Arial" w:cs="Arial" w:eastAsia="Arial" w:hAnsi="Arial"/>
                <w:sz w:val="18"/>
                <w:szCs w:val="18"/>
                <w:color w:val="auto"/>
              </w:rPr>
              <w:t>")</w:t>
            </w:r>
          </w:p>
        </w:tc>
      </w:tr>
      <w:tr>
        <w:trPr>
          <w:trHeight w:val="263"/>
        </w:trPr>
        <w:tc>
          <w:tcPr>
            <w:tcW w:w="2840" w:type="dxa"/>
            <w:vAlign w:val="bottom"/>
            <w:tcBorders>
              <w:top w:val="single" w:sz="8" w:color="auto"/>
              <w:left w:val="single" w:sz="8" w:color="auto"/>
              <w:right w:val="single" w:sz="8" w:color="auto"/>
            </w:tcBorders>
            <w:shd w:val="clear" w:color="auto" w:fill="E7E6E6"/>
          </w:tcPr>
          <w:p>
            <w:pPr>
              <w:ind w:left="100"/>
              <w:spacing w:after="0"/>
              <w:rPr>
                <w:sz w:val="20"/>
                <w:szCs w:val="20"/>
                <w:color w:val="auto"/>
              </w:rPr>
            </w:pPr>
            <w:r>
              <w:rPr>
                <w:rFonts w:ascii="Arial" w:cs="Arial" w:eastAsia="Arial" w:hAnsi="Arial"/>
                <w:sz w:val="18"/>
                <w:szCs w:val="18"/>
                <w:color w:val="auto"/>
              </w:rPr>
              <w:t>Source of ACIU Shares</w:t>
            </w:r>
          </w:p>
        </w:tc>
        <w:tc>
          <w:tcPr>
            <w:tcW w:w="84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Conditional Capital as per Art. 3b of ACIU's Articles of Association (with the option of ACIU to deliver a</w:t>
            </w:r>
          </w:p>
        </w:tc>
      </w:tr>
      <w:tr>
        <w:trPr>
          <w:trHeight w:val="271"/>
        </w:trPr>
        <w:tc>
          <w:tcPr>
            <w:tcW w:w="2840" w:type="dxa"/>
            <w:vAlign w:val="bottom"/>
            <w:tcBorders>
              <w:left w:val="single" w:sz="8" w:color="auto"/>
              <w:bottom w:val="single" w:sz="8" w:color="E7E6E6"/>
              <w:right w:val="single" w:sz="8" w:color="auto"/>
            </w:tcBorders>
            <w:shd w:val="clear" w:color="auto" w:fill="E7E6E6"/>
          </w:tcPr>
          <w:p>
            <w:pPr>
              <w:spacing w:after="0"/>
              <w:rPr>
                <w:sz w:val="23"/>
                <w:szCs w:val="23"/>
                <w:color w:val="auto"/>
              </w:rPr>
            </w:pPr>
          </w:p>
        </w:tc>
        <w:tc>
          <w:tcPr>
            <w:tcW w:w="8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part or all of the Shares from treasury Shares)</w:t>
            </w:r>
          </w:p>
        </w:tc>
      </w:tr>
      <w:tr>
        <w:trPr>
          <w:trHeight w:val="331"/>
        </w:trPr>
        <w:tc>
          <w:tcPr>
            <w:tcW w:w="2840" w:type="dxa"/>
            <w:vAlign w:val="bottom"/>
            <w:tcBorders>
              <w:top w:val="single" w:sz="8" w:color="auto"/>
              <w:left w:val="single" w:sz="8" w:color="auto"/>
              <w:bottom w:val="single" w:sz="8" w:color="E7E6E6"/>
              <w:right w:val="single" w:sz="8" w:color="auto"/>
            </w:tcBorders>
            <w:shd w:val="clear" w:color="auto" w:fill="E7E6E6"/>
          </w:tcPr>
          <w:p>
            <w:pPr>
              <w:ind w:left="100"/>
              <w:spacing w:after="0"/>
              <w:rPr>
                <w:sz w:val="20"/>
                <w:szCs w:val="20"/>
                <w:color w:val="auto"/>
              </w:rPr>
            </w:pPr>
            <w:r>
              <w:rPr>
                <w:rFonts w:ascii="Arial" w:cs="Arial" w:eastAsia="Arial" w:hAnsi="Arial"/>
                <w:sz w:val="18"/>
                <w:szCs w:val="18"/>
                <w:color w:val="auto"/>
              </w:rPr>
              <w:t>Security</w:t>
            </w:r>
          </w:p>
        </w:tc>
        <w:tc>
          <w:tcPr>
            <w:tcW w:w="84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None</w:t>
            </w:r>
          </w:p>
        </w:tc>
      </w:tr>
      <w:tr>
        <w:trPr>
          <w:trHeight w:val="263"/>
        </w:trPr>
        <w:tc>
          <w:tcPr>
            <w:tcW w:w="2840" w:type="dxa"/>
            <w:vAlign w:val="bottom"/>
            <w:tcBorders>
              <w:top w:val="single" w:sz="8" w:color="auto"/>
              <w:left w:val="single" w:sz="8" w:color="auto"/>
              <w:right w:val="single" w:sz="8" w:color="auto"/>
            </w:tcBorders>
            <w:shd w:val="clear" w:color="auto" w:fill="E7E6E6"/>
          </w:tcPr>
          <w:p>
            <w:pPr>
              <w:ind w:left="100"/>
              <w:spacing w:after="0"/>
              <w:rPr>
                <w:sz w:val="20"/>
                <w:szCs w:val="20"/>
                <w:color w:val="auto"/>
              </w:rPr>
            </w:pPr>
            <w:r>
              <w:rPr>
                <w:rFonts w:ascii="Arial" w:cs="Arial" w:eastAsia="Arial" w:hAnsi="Arial"/>
                <w:sz w:val="18"/>
                <w:szCs w:val="18"/>
                <w:color w:val="auto"/>
              </w:rPr>
              <w:t>Ranking of ACIU Shares issued</w:t>
            </w:r>
          </w:p>
        </w:tc>
        <w:tc>
          <w:tcPr>
            <w:tcW w:w="84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newly issued ACIU shares rank pari passu with all existing shares and have the same dividend</w:t>
            </w:r>
          </w:p>
        </w:tc>
      </w:tr>
      <w:tr>
        <w:trPr>
          <w:trHeight w:val="271"/>
        </w:trPr>
        <w:tc>
          <w:tcPr>
            <w:tcW w:w="2840" w:type="dxa"/>
            <w:vAlign w:val="bottom"/>
            <w:tcBorders>
              <w:left w:val="single" w:sz="8" w:color="auto"/>
              <w:bottom w:val="single" w:sz="8" w:color="E7E6E6"/>
              <w:right w:val="single" w:sz="8" w:color="auto"/>
            </w:tcBorders>
            <w:shd w:val="clear" w:color="auto" w:fill="E7E6E6"/>
          </w:tcPr>
          <w:p>
            <w:pPr>
              <w:ind w:left="100"/>
              <w:spacing w:after="0"/>
              <w:rPr>
                <w:sz w:val="20"/>
                <w:szCs w:val="20"/>
                <w:color w:val="auto"/>
              </w:rPr>
            </w:pPr>
            <w:r>
              <w:rPr>
                <w:rFonts w:ascii="Arial" w:cs="Arial" w:eastAsia="Arial" w:hAnsi="Arial"/>
                <w:sz w:val="18"/>
                <w:szCs w:val="18"/>
                <w:color w:val="auto"/>
              </w:rPr>
              <w:t>upon conversion</w:t>
            </w:r>
          </w:p>
        </w:tc>
        <w:tc>
          <w:tcPr>
            <w:tcW w:w="8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rights as all other ACIU shares issued</w:t>
            </w:r>
          </w:p>
        </w:tc>
      </w:tr>
      <w:tr>
        <w:trPr>
          <w:trHeight w:val="331"/>
        </w:trPr>
        <w:tc>
          <w:tcPr>
            <w:tcW w:w="2840" w:type="dxa"/>
            <w:vAlign w:val="bottom"/>
            <w:tcBorders>
              <w:top w:val="single" w:sz="8" w:color="auto"/>
              <w:left w:val="single" w:sz="8" w:color="auto"/>
              <w:bottom w:val="single" w:sz="8" w:color="E7E6E6"/>
              <w:right w:val="single" w:sz="8" w:color="auto"/>
            </w:tcBorders>
            <w:shd w:val="clear" w:color="auto" w:fill="E7E6E6"/>
          </w:tcPr>
          <w:p>
            <w:pPr>
              <w:ind w:left="100"/>
              <w:spacing w:after="0"/>
              <w:rPr>
                <w:sz w:val="20"/>
                <w:szCs w:val="20"/>
                <w:color w:val="auto"/>
              </w:rPr>
            </w:pPr>
            <w:r>
              <w:rPr>
                <w:rFonts w:ascii="Arial" w:cs="Arial" w:eastAsia="Arial" w:hAnsi="Arial"/>
                <w:sz w:val="18"/>
                <w:szCs w:val="18"/>
                <w:color w:val="auto"/>
              </w:rPr>
              <w:t>Ranking</w:t>
            </w:r>
          </w:p>
        </w:tc>
        <w:tc>
          <w:tcPr>
            <w:tcW w:w="84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Subordinated in case of bankruptcy</w:t>
            </w:r>
          </w:p>
        </w:tc>
      </w:tr>
      <w:tr>
        <w:trPr>
          <w:trHeight w:val="331"/>
        </w:trPr>
        <w:tc>
          <w:tcPr>
            <w:tcW w:w="2840" w:type="dxa"/>
            <w:vAlign w:val="bottom"/>
            <w:tcBorders>
              <w:top w:val="single" w:sz="8" w:color="auto"/>
              <w:left w:val="single" w:sz="8" w:color="auto"/>
              <w:bottom w:val="single" w:sz="8" w:color="E7E6E6"/>
              <w:right w:val="single" w:sz="8" w:color="auto"/>
            </w:tcBorders>
            <w:shd w:val="clear" w:color="auto" w:fill="E7E6E6"/>
          </w:tcPr>
          <w:p>
            <w:pPr>
              <w:ind w:left="100"/>
              <w:spacing w:after="0"/>
              <w:rPr>
                <w:sz w:val="20"/>
                <w:szCs w:val="20"/>
                <w:color w:val="auto"/>
              </w:rPr>
            </w:pPr>
            <w:r>
              <w:rPr>
                <w:rFonts w:ascii="Arial" w:cs="Arial" w:eastAsia="Arial" w:hAnsi="Arial"/>
                <w:sz w:val="18"/>
                <w:szCs w:val="18"/>
                <w:color w:val="auto"/>
              </w:rPr>
              <w:t>Applicable law</w:t>
            </w:r>
          </w:p>
        </w:tc>
        <w:tc>
          <w:tcPr>
            <w:tcW w:w="84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Swiss</w:t>
            </w:r>
          </w:p>
        </w:tc>
      </w:tr>
      <w:tr>
        <w:trPr>
          <w:trHeight w:val="311"/>
        </w:trPr>
        <w:tc>
          <w:tcPr>
            <w:tcW w:w="2840" w:type="dxa"/>
            <w:vAlign w:val="bottom"/>
            <w:tcBorders>
              <w:top w:val="single" w:sz="8" w:color="auto"/>
              <w:left w:val="single" w:sz="8" w:color="auto"/>
              <w:bottom w:val="single" w:sz="8" w:color="E7E6E6"/>
              <w:right w:val="single" w:sz="8" w:color="auto"/>
            </w:tcBorders>
            <w:shd w:val="clear" w:color="auto" w:fill="E7E6E6"/>
          </w:tcPr>
          <w:p>
            <w:pPr>
              <w:ind w:left="100"/>
              <w:spacing w:after="0"/>
              <w:rPr>
                <w:sz w:val="20"/>
                <w:szCs w:val="20"/>
                <w:color w:val="auto"/>
              </w:rPr>
            </w:pPr>
            <w:r>
              <w:rPr>
                <w:rFonts w:ascii="Arial" w:cs="Arial" w:eastAsia="Arial" w:hAnsi="Arial"/>
                <w:sz w:val="18"/>
                <w:szCs w:val="18"/>
                <w:color w:val="auto"/>
              </w:rPr>
              <w:t>Jurisdiction</w:t>
            </w:r>
          </w:p>
        </w:tc>
        <w:tc>
          <w:tcPr>
            <w:tcW w:w="84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Zurich</w:t>
            </w:r>
          </w:p>
        </w:tc>
      </w:tr>
      <w:tr>
        <w:trPr>
          <w:trHeight w:val="20"/>
        </w:trPr>
        <w:tc>
          <w:tcPr>
            <w:tcW w:w="28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400" w:type="dxa"/>
            <w:vAlign w:val="bottom"/>
            <w:tcBorders>
              <w:right w:val="single" w:sz="8" w:color="auto"/>
            </w:tcBorders>
            <w:shd w:val="clear" w:color="auto" w:fill="000000"/>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 July 2021 AC Immune SA – FCBP Affi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4</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CERTAIN CONFIDENTIAL PORTIONS HAVE BEEN REDACTED FROM THIS EXHIBIT BECAUSE THEY ARE BOTH (i) NOT MATERIAL AND (ii) IS THE TYPE THAT THE COMPANY TREATS AS PRIVATE OR CONFIDENTIAL. INFORMATION THAT HAS BEEN OMITTED HAD BEEN IDENTIFIED IN THIS DOCUMENT WITH A PLACEHOLDER IDENTIFIED BY THE MARK “[*****]”.</w:t>
      </w:r>
    </w:p>
    <w:p>
      <w:pPr>
        <w:spacing w:after="0" w:line="167" w:lineRule="exact"/>
        <w:rPr>
          <w:sz w:val="20"/>
          <w:szCs w:val="20"/>
          <w:color w:val="auto"/>
        </w:rPr>
      </w:pPr>
    </w:p>
    <w:p>
      <w:pPr>
        <w:ind w:left="660" w:hanging="652"/>
        <w:spacing w:after="0"/>
        <w:tabs>
          <w:tab w:leader="none" w:pos="6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Note Purchase Price</w:t>
      </w:r>
    </w:p>
    <w:p>
      <w:pPr>
        <w:spacing w:after="0" w:line="198" w:lineRule="exact"/>
        <w:rPr>
          <w:rFonts w:ascii="Arial" w:cs="Arial" w:eastAsia="Arial" w:hAnsi="Arial"/>
          <w:sz w:val="18"/>
          <w:szCs w:val="18"/>
          <w:b w:val="1"/>
          <w:bCs w:val="1"/>
          <w:color w:val="auto"/>
        </w:rPr>
      </w:pPr>
    </w:p>
    <w:p>
      <w:pPr>
        <w:ind w:left="660" w:hanging="652"/>
        <w:spacing w:after="0" w:line="271"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purchase price for, and principal amount of, the Note shall be USD$ 12,500,000 (the "</w:t>
      </w:r>
      <w:r>
        <w:rPr>
          <w:rFonts w:ascii="Arial" w:cs="Arial" w:eastAsia="Arial" w:hAnsi="Arial"/>
          <w:sz w:val="18"/>
          <w:szCs w:val="18"/>
          <w:b w:val="1"/>
          <w:bCs w:val="1"/>
          <w:color w:val="auto"/>
        </w:rPr>
        <w:t>Purchase Price</w:t>
      </w:r>
      <w:r>
        <w:rPr>
          <w:rFonts w:ascii="Arial" w:cs="Arial" w:eastAsia="Arial" w:hAnsi="Arial"/>
          <w:sz w:val="18"/>
          <w:szCs w:val="18"/>
          <w:color w:val="auto"/>
        </w:rPr>
        <w:t>" and "</w:t>
      </w:r>
      <w:r>
        <w:rPr>
          <w:rFonts w:ascii="Arial" w:cs="Arial" w:eastAsia="Arial" w:hAnsi="Arial"/>
          <w:sz w:val="18"/>
          <w:szCs w:val="18"/>
          <w:b w:val="1"/>
          <w:bCs w:val="1"/>
          <w:color w:val="auto"/>
        </w:rPr>
        <w:t>Principal</w:t>
      </w:r>
      <w:r>
        <w:rPr>
          <w:rFonts w:ascii="Arial" w:cs="Arial" w:eastAsia="Arial" w:hAnsi="Arial"/>
          <w:sz w:val="18"/>
          <w:szCs w:val="18"/>
          <w:color w:val="auto"/>
        </w:rPr>
        <w:t xml:space="preserve"> </w:t>
      </w:r>
      <w:r>
        <w:rPr>
          <w:rFonts w:ascii="Arial" w:cs="Arial" w:eastAsia="Arial" w:hAnsi="Arial"/>
          <w:sz w:val="18"/>
          <w:szCs w:val="18"/>
          <w:b w:val="1"/>
          <w:bCs w:val="1"/>
          <w:color w:val="auto"/>
        </w:rPr>
        <w:t>Amount</w:t>
      </w:r>
      <w:r>
        <w:rPr>
          <w:rFonts w:ascii="Arial" w:cs="Arial" w:eastAsia="Arial" w:hAnsi="Arial"/>
          <w:sz w:val="18"/>
          <w:szCs w:val="18"/>
          <w:color w:val="auto"/>
        </w:rPr>
        <w:t>").</w:t>
      </w:r>
    </w:p>
    <w:p>
      <w:pPr>
        <w:spacing w:after="0" w:line="162" w:lineRule="exact"/>
        <w:rPr>
          <w:sz w:val="20"/>
          <w:szCs w:val="20"/>
          <w:color w:val="auto"/>
        </w:rPr>
      </w:pPr>
    </w:p>
    <w:p>
      <w:pPr>
        <w:ind w:left="660" w:right="20" w:hanging="652"/>
        <w:spacing w:after="0" w:line="243"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Purchase Price shall be paid on the Closing Date (as further defined herein) by Bank transfer to the following account of ACIU or to any other account designated by ACIU (incl. direct payment to the account of the Seller under the APA):</w:t>
      </w:r>
    </w:p>
    <w:p>
      <w:pPr>
        <w:sectPr>
          <w:pgSz w:w="11900" w:h="16838" w:orient="portrait"/>
          <w:cols w:equalWidth="0" w:num="1">
            <w:col w:w="11240"/>
          </w:cols>
          <w:pgMar w:left="320" w:top="260" w:right="339" w:bottom="1440" w:gutter="0" w:footer="0" w:header="0"/>
        </w:sectPr>
      </w:pPr>
    </w:p>
    <w:p>
      <w:pPr>
        <w:ind w:left="660"/>
        <w:spacing w:after="0" w:line="231" w:lineRule="auto"/>
        <w:tabs>
          <w:tab w:leader="none" w:pos="2560" w:val="left"/>
        </w:tabs>
        <w:rPr>
          <w:sz w:val="20"/>
          <w:szCs w:val="20"/>
          <w:color w:val="auto"/>
        </w:rPr>
      </w:pPr>
      <w:r>
        <w:rPr>
          <w:rFonts w:ascii="Arial" w:cs="Arial" w:eastAsia="Arial" w:hAnsi="Arial"/>
          <w:sz w:val="18"/>
          <w:szCs w:val="18"/>
          <w:color w:val="auto"/>
        </w:rPr>
        <w:t>Bank Name:</w:t>
      </w:r>
      <w:r>
        <w:rPr>
          <w:sz w:val="20"/>
          <w:szCs w:val="20"/>
          <w:color w:val="auto"/>
        </w:rPr>
        <w:tab/>
      </w:r>
      <w:r>
        <w:rPr>
          <w:rFonts w:ascii="Arial" w:cs="Arial" w:eastAsia="Arial" w:hAnsi="Arial"/>
          <w:sz w:val="17"/>
          <w:szCs w:val="17"/>
          <w:color w:val="auto"/>
        </w:rPr>
        <w:t>[*****]</w:t>
      </w:r>
    </w:p>
    <w:p>
      <w:pPr>
        <w:ind w:left="660"/>
        <w:spacing w:after="0"/>
        <w:tabs>
          <w:tab w:leader="none" w:pos="2560" w:val="left"/>
        </w:tabs>
        <w:rPr>
          <w:sz w:val="20"/>
          <w:szCs w:val="20"/>
          <w:color w:val="auto"/>
        </w:rPr>
      </w:pPr>
      <w:r>
        <w:rPr>
          <w:rFonts w:ascii="Arial" w:cs="Arial" w:eastAsia="Arial" w:hAnsi="Arial"/>
          <w:sz w:val="18"/>
          <w:szCs w:val="18"/>
          <w:color w:val="auto"/>
        </w:rPr>
        <w:t>Account no.:</w:t>
      </w:r>
      <w:r>
        <w:rPr>
          <w:sz w:val="20"/>
          <w:szCs w:val="20"/>
          <w:color w:val="auto"/>
        </w:rPr>
        <w:tab/>
      </w:r>
      <w:r>
        <w:rPr>
          <w:rFonts w:ascii="Arial" w:cs="Arial" w:eastAsia="Arial" w:hAnsi="Arial"/>
          <w:sz w:val="17"/>
          <w:szCs w:val="17"/>
          <w:color w:val="auto"/>
        </w:rPr>
        <w:t>[*****]</w:t>
      </w:r>
    </w:p>
    <w:p>
      <w:pPr>
        <w:ind w:left="660"/>
        <w:spacing w:after="0"/>
        <w:tabs>
          <w:tab w:leader="none" w:pos="2560" w:val="left"/>
        </w:tabs>
        <w:rPr>
          <w:sz w:val="20"/>
          <w:szCs w:val="20"/>
          <w:color w:val="auto"/>
        </w:rPr>
      </w:pPr>
      <w:r>
        <w:rPr>
          <w:rFonts w:ascii="Arial" w:cs="Arial" w:eastAsia="Arial" w:hAnsi="Arial"/>
          <w:sz w:val="17"/>
          <w:szCs w:val="17"/>
          <w:color w:val="auto"/>
        </w:rPr>
        <w:t>BIC/SWIFT:</w:t>
      </w:r>
      <w:r>
        <w:rPr>
          <w:sz w:val="20"/>
          <w:szCs w:val="20"/>
          <w:color w:val="auto"/>
        </w:rPr>
        <w:tab/>
      </w:r>
      <w:r>
        <w:rPr>
          <w:rFonts w:ascii="Arial" w:cs="Arial" w:eastAsia="Arial" w:hAnsi="Arial"/>
          <w:sz w:val="17"/>
          <w:szCs w:val="17"/>
          <w:color w:val="auto"/>
        </w:rPr>
        <w:t>[*****]</w:t>
      </w:r>
    </w:p>
    <w:p>
      <w:pPr>
        <w:spacing w:after="0" w:line="7" w:lineRule="exact"/>
        <w:rPr>
          <w:sz w:val="20"/>
          <w:szCs w:val="20"/>
          <w:color w:val="auto"/>
        </w:rPr>
      </w:pPr>
    </w:p>
    <w:p>
      <w:pPr>
        <w:ind w:left="660"/>
        <w:spacing w:after="0"/>
        <w:tabs>
          <w:tab w:leader="none" w:pos="2560" w:val="left"/>
        </w:tabs>
        <w:rPr>
          <w:sz w:val="20"/>
          <w:szCs w:val="20"/>
          <w:color w:val="auto"/>
        </w:rPr>
      </w:pPr>
      <w:r>
        <w:rPr>
          <w:rFonts w:ascii="Arial" w:cs="Arial" w:eastAsia="Arial" w:hAnsi="Arial"/>
          <w:sz w:val="17"/>
          <w:szCs w:val="17"/>
          <w:color w:val="auto"/>
        </w:rPr>
        <w:t>IBAN:</w:t>
      </w:r>
      <w:r>
        <w:rPr>
          <w:sz w:val="20"/>
          <w:szCs w:val="20"/>
          <w:color w:val="auto"/>
        </w:rPr>
        <w:tab/>
      </w:r>
      <w:r>
        <w:rPr>
          <w:rFonts w:ascii="Arial" w:cs="Arial" w:eastAsia="Arial" w:hAnsi="Arial"/>
          <w:sz w:val="17"/>
          <w:szCs w:val="17"/>
          <w:color w:val="auto"/>
        </w:rPr>
        <w:t>[*****]</w:t>
      </w:r>
    </w:p>
    <w:p>
      <w:pPr>
        <w:sectPr>
          <w:pgSz w:w="11900" w:h="16838" w:orient="portrait"/>
          <w:cols w:equalWidth="0" w:num="1">
            <w:col w:w="11240"/>
          </w:cols>
          <w:pgMar w:left="320" w:top="260" w:right="339" w:bottom="1440" w:gutter="0" w:footer="0" w:header="0"/>
          <w:type w:val="continuous"/>
        </w:sectPr>
      </w:pPr>
    </w:p>
    <w:p>
      <w:pPr>
        <w:spacing w:after="0" w:line="188" w:lineRule="exact"/>
        <w:rPr>
          <w:sz w:val="20"/>
          <w:szCs w:val="20"/>
          <w:color w:val="auto"/>
        </w:rPr>
      </w:pPr>
    </w:p>
    <w:p>
      <w:pPr>
        <w:ind w:left="660" w:hanging="652"/>
        <w:spacing w:after="0"/>
        <w:tabs>
          <w:tab w:leader="none" w:pos="6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Conditionality and Relationship of this Agreement to the APA</w:t>
      </w:r>
    </w:p>
    <w:p>
      <w:pPr>
        <w:spacing w:after="0" w:line="220" w:lineRule="exact"/>
        <w:rPr>
          <w:sz w:val="20"/>
          <w:szCs w:val="20"/>
          <w:color w:val="auto"/>
        </w:rPr>
      </w:pPr>
    </w:p>
    <w:p>
      <w:pPr>
        <w:jc w:val="both"/>
        <w:ind w:left="660" w:hanging="652"/>
        <w:spacing w:after="0" w:line="238"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Utilization of the proceeds from the issuance of the Note by ACIU and payment from the Investor of the Purchase Price to ACIU shall be subject only to a written confirmation (e-mail with a PDF scan of such confirmation shall be sufficient) by ACIU that either (i) all conditions for the closing of the APA (except for the payment of the purchase price, if relevant) are fulfilled or waived or (ii) that the closing of the APA has occurred.</w:t>
      </w:r>
    </w:p>
    <w:p>
      <w:pPr>
        <w:spacing w:after="0" w:line="169" w:lineRule="exact"/>
        <w:rPr>
          <w:rFonts w:ascii="Arial" w:cs="Arial" w:eastAsia="Arial" w:hAnsi="Arial"/>
          <w:sz w:val="18"/>
          <w:szCs w:val="18"/>
          <w:color w:val="auto"/>
        </w:rPr>
      </w:pPr>
    </w:p>
    <w:p>
      <w:pPr>
        <w:ind w:left="660" w:hanging="652"/>
        <w:spacing w:after="0"/>
        <w:tabs>
          <w:tab w:leader="none" w:pos="6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Conversion</w:t>
      </w:r>
    </w:p>
    <w:p>
      <w:pPr>
        <w:spacing w:after="0" w:line="220" w:lineRule="exact"/>
        <w:rPr>
          <w:sz w:val="20"/>
          <w:szCs w:val="20"/>
          <w:color w:val="auto"/>
        </w:rPr>
      </w:pPr>
    </w:p>
    <w:p>
      <w:pPr>
        <w:ind w:left="660" w:hanging="652"/>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parties may only convert the entire Principal Amount. Partial conversion of the Note is not permitted.</w:t>
      </w:r>
    </w:p>
    <w:p>
      <w:pPr>
        <w:spacing w:after="0" w:line="198" w:lineRule="exact"/>
        <w:rPr>
          <w:sz w:val="20"/>
          <w:szCs w:val="20"/>
          <w:color w:val="auto"/>
        </w:rPr>
      </w:pPr>
    </w:p>
    <w:p>
      <w:pPr>
        <w:jc w:val="both"/>
        <w:ind w:left="660" w:hanging="652"/>
        <w:spacing w:after="0" w:line="237"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In case of a conversion by either the Investor or ACIU (which has to be made substantially in the form of </w:t>
      </w:r>
      <w:r>
        <w:rPr>
          <w:rFonts w:ascii="Arial" w:cs="Arial" w:eastAsia="Arial" w:hAnsi="Arial"/>
          <w:sz w:val="18"/>
          <w:szCs w:val="18"/>
          <w:u w:val="single" w:color="auto"/>
          <w:color w:val="auto"/>
        </w:rPr>
        <w:t>Annex 1</w:t>
      </w:r>
      <w:r>
        <w:rPr>
          <w:rFonts w:ascii="Arial" w:cs="Arial" w:eastAsia="Arial" w:hAnsi="Arial"/>
          <w:sz w:val="18"/>
          <w:szCs w:val="18"/>
          <w:color w:val="auto"/>
        </w:rPr>
        <w:t xml:space="preserve"> in case of a conversion declared by the Investor and in the form of </w:t>
      </w:r>
      <w:r>
        <w:rPr>
          <w:rFonts w:ascii="Arial" w:cs="Arial" w:eastAsia="Arial" w:hAnsi="Arial"/>
          <w:sz w:val="18"/>
          <w:szCs w:val="18"/>
          <w:u w:val="single" w:color="auto"/>
          <w:color w:val="auto"/>
        </w:rPr>
        <w:t>Annex 2</w:t>
      </w:r>
      <w:r>
        <w:rPr>
          <w:rFonts w:ascii="Arial" w:cs="Arial" w:eastAsia="Arial" w:hAnsi="Arial"/>
          <w:sz w:val="18"/>
          <w:szCs w:val="18"/>
          <w:color w:val="auto"/>
        </w:rPr>
        <w:t xml:space="preserve"> in case of a conversion declared by ACIU), the outstanding Principal Amount hereunder shall be converted into such number of ACIU Shares as is determined by dividing (x) Principal Amount, by (y) the Conversion Price (rounded down to the nearest whole ACIU Share). The date of any Conversion Notice is referred to herein as the "</w:t>
      </w:r>
      <w:r>
        <w:rPr>
          <w:rFonts w:ascii="Arial" w:cs="Arial" w:eastAsia="Arial" w:hAnsi="Arial"/>
          <w:sz w:val="18"/>
          <w:szCs w:val="18"/>
          <w:b w:val="1"/>
          <w:bCs w:val="1"/>
          <w:color w:val="auto"/>
        </w:rPr>
        <w:t>Conversion Date</w:t>
      </w:r>
      <w:r>
        <w:rPr>
          <w:rFonts w:ascii="Arial" w:cs="Arial" w:eastAsia="Arial" w:hAnsi="Arial"/>
          <w:sz w:val="18"/>
          <w:szCs w:val="18"/>
          <w:color w:val="auto"/>
        </w:rPr>
        <w:t>". For the request of the conversion to be valid, the Conversion Date must be within the relevant Conversion Period.</w:t>
      </w:r>
    </w:p>
    <w:p>
      <w:pPr>
        <w:spacing w:after="0" w:line="191" w:lineRule="exact"/>
        <w:rPr>
          <w:sz w:val="20"/>
          <w:szCs w:val="20"/>
          <w:color w:val="auto"/>
        </w:rPr>
      </w:pPr>
    </w:p>
    <w:p>
      <w:pPr>
        <w:jc w:val="both"/>
        <w:ind w:left="660" w:hanging="652"/>
        <w:spacing w:after="0" w:line="238" w:lineRule="auto"/>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Provided that the relevant delivery address or account information is available to the Company, the Company will deliver to the Investor not later than ten trading days after the Conversion Date (or after such date that the relevant delivery address or account information is available to the Company), a number of ACIU Shares calculated pursuant to the immediately preceding paragraph via book-entry-only delivery in uncertified form on the books of the Company’s transfer agent.</w:t>
      </w:r>
    </w:p>
    <w:p>
      <w:pPr>
        <w:spacing w:after="0" w:line="191" w:lineRule="exact"/>
        <w:rPr>
          <w:sz w:val="20"/>
          <w:szCs w:val="20"/>
          <w:color w:val="auto"/>
        </w:rPr>
      </w:pPr>
    </w:p>
    <w:p>
      <w:pPr>
        <w:ind w:right="3840" w:firstLine="8"/>
        <w:spacing w:after="0" w:line="606" w:lineRule="auto"/>
        <w:tabs>
          <w:tab w:leader="none" w:pos="64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ACIU shall be entitled to deliver newly issued ACIU Shares or treasury ACIU Shares. Convertible Note July 2021 AC Immune SA – FCBP Affi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type w:val="continuous"/>
        </w:sectPr>
      </w:pPr>
    </w:p>
    <w:bookmarkStart w:id="47" w:name="page48"/>
    <w:bookmarkEnd w:id="47"/>
    <w:p>
      <w:pPr>
        <w:jc w:val="right"/>
        <w:spacing w:after="0"/>
        <w:rPr>
          <w:sz w:val="20"/>
          <w:szCs w:val="20"/>
          <w:color w:val="auto"/>
        </w:rPr>
      </w:pPr>
      <w:r>
        <w:rPr>
          <w:rFonts w:ascii="Arial" w:cs="Arial" w:eastAsia="Arial" w:hAnsi="Arial"/>
          <w:sz w:val="18"/>
          <w:szCs w:val="18"/>
          <w:color w:val="auto"/>
        </w:rPr>
        <w:t>5</w:t>
      </w:r>
    </w:p>
    <w:p>
      <w:pPr>
        <w:spacing w:after="0" w:line="109" w:lineRule="exact"/>
        <w:rPr>
          <w:sz w:val="20"/>
          <w:szCs w:val="20"/>
          <w:color w:val="auto"/>
        </w:rPr>
      </w:pPr>
    </w:p>
    <w:p>
      <w:pPr>
        <w:ind w:left="660" w:hanging="652"/>
        <w:spacing w:after="0"/>
        <w:tabs>
          <w:tab w:leader="none" w:pos="6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Repayment of the Note</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If the Note is not converted during the Conversion Period, it shall be repaid on the Repayment Date.</w:t>
      </w:r>
    </w:p>
    <w:p>
      <w:pPr>
        <w:spacing w:after="0" w:line="176" w:lineRule="exact"/>
        <w:rPr>
          <w:sz w:val="20"/>
          <w:szCs w:val="20"/>
          <w:color w:val="auto"/>
        </w:rPr>
      </w:pPr>
    </w:p>
    <w:p>
      <w:pPr>
        <w:ind w:left="660" w:hanging="652"/>
        <w:spacing w:after="0"/>
        <w:tabs>
          <w:tab w:leader="none" w:pos="6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Ranking/Subordination</w:t>
      </w:r>
    </w:p>
    <w:p>
      <w:pPr>
        <w:spacing w:after="0" w:line="202" w:lineRule="exact"/>
        <w:rPr>
          <w:sz w:val="20"/>
          <w:szCs w:val="20"/>
          <w:color w:val="auto"/>
        </w:rPr>
      </w:pPr>
    </w:p>
    <w:p>
      <w:pPr>
        <w:jc w:val="both"/>
        <w:ind w:left="660" w:hanging="652"/>
        <w:spacing w:after="0" w:line="241"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Note shall rank pari passu with all other debt of the Company except that, in case of bankruptcy proceedings (</w:t>
      </w:r>
      <w:r>
        <w:rPr>
          <w:rFonts w:ascii="Arial" w:cs="Arial" w:eastAsia="Arial" w:hAnsi="Arial"/>
          <w:sz w:val="18"/>
          <w:szCs w:val="18"/>
          <w:i w:val="1"/>
          <w:iCs w:val="1"/>
          <w:color w:val="auto"/>
        </w:rPr>
        <w:t>Konkursverfahren</w:t>
      </w:r>
      <w:r>
        <w:rPr>
          <w:rFonts w:ascii="Arial" w:cs="Arial" w:eastAsia="Arial" w:hAnsi="Arial"/>
          <w:sz w:val="18"/>
          <w:szCs w:val="18"/>
          <w:color w:val="auto"/>
        </w:rPr>
        <w:t>) or any form of composition with creditors (</w:t>
      </w:r>
      <w:r>
        <w:rPr>
          <w:rFonts w:ascii="Arial" w:cs="Arial" w:eastAsia="Arial" w:hAnsi="Arial"/>
          <w:sz w:val="18"/>
          <w:szCs w:val="18"/>
          <w:i w:val="1"/>
          <w:iCs w:val="1"/>
          <w:color w:val="auto"/>
        </w:rPr>
        <w:t>Nachlassverfahren</w:t>
      </w:r>
      <w:r>
        <w:rPr>
          <w:rFonts w:ascii="Arial" w:cs="Arial" w:eastAsia="Arial" w:hAnsi="Arial"/>
          <w:sz w:val="18"/>
          <w:szCs w:val="18"/>
          <w:color w:val="auto"/>
        </w:rPr>
        <w:t>) in relation to ACIU, the Note will be subordinated to the claims of all unsubordinated creditors of ACIU so that in any such event no amounts shall be payable in respect of the Note until the claims of all unsubordinated creditors of ACIU shall have first been satisfied in full and the Investor shall not be entitled to, and shall not, argue or vote as creditor of ACIU or its estate that the Note ranks or be treated senior, pari passu or otherwise in competition with any creditors the claims of which are senior to the Note</w:t>
      </w:r>
      <w:r>
        <w:rPr>
          <w:rFonts w:ascii="Arial" w:cs="Arial" w:eastAsia="Arial" w:hAnsi="Arial"/>
          <w:sz w:val="21"/>
          <w:szCs w:val="21"/>
          <w:color w:val="auto"/>
        </w:rPr>
        <w:t>.</w:t>
      </w:r>
    </w:p>
    <w:p>
      <w:pPr>
        <w:spacing w:after="0" w:line="213" w:lineRule="exact"/>
        <w:rPr>
          <w:sz w:val="20"/>
          <w:szCs w:val="20"/>
          <w:color w:val="auto"/>
        </w:rPr>
      </w:pPr>
    </w:p>
    <w:p>
      <w:pPr>
        <w:ind w:left="660" w:hanging="652"/>
        <w:spacing w:after="0"/>
        <w:tabs>
          <w:tab w:leader="none" w:pos="6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 of ACIU</w:t>
      </w:r>
    </w:p>
    <w:p>
      <w:pPr>
        <w:spacing w:after="0" w:line="220" w:lineRule="exact"/>
        <w:rPr>
          <w:sz w:val="20"/>
          <w:szCs w:val="20"/>
          <w:color w:val="auto"/>
        </w:rPr>
      </w:pPr>
    </w:p>
    <w:p>
      <w:pPr>
        <w:jc w:val="both"/>
        <w:ind w:left="660" w:hanging="652"/>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Issuer represents and warrants to the Investor (to the extent not otherwise specified as of the date of this Agreement and if so specified as of the Closing Date only) that upon conversion of the Note, the ACIU Shares rank pari passu in all re-spects with all other issued ACIU Shares existing on the date of this Agreement.</w:t>
      </w:r>
    </w:p>
    <w:p>
      <w:pPr>
        <w:spacing w:after="0" w:line="189"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Except as expressly set forth in this Section 8, ACIU makes no representation or warranty, express or implied, in connection with ACIU or any of its assets, liabilities or operations or any other fact. Without limiting the foregoing, ACIU, in particular, does not make and has not made any representation or warranty with regard to its business, financial situation, technology, product development, valuation or future prospects.</w:t>
      </w:r>
    </w:p>
    <w:p>
      <w:pPr>
        <w:spacing w:after="0" w:line="169" w:lineRule="exact"/>
        <w:rPr>
          <w:sz w:val="20"/>
          <w:szCs w:val="20"/>
          <w:color w:val="auto"/>
        </w:rPr>
      </w:pPr>
    </w:p>
    <w:p>
      <w:pPr>
        <w:ind w:left="660" w:hanging="652"/>
        <w:spacing w:after="0"/>
        <w:tabs>
          <w:tab w:leader="none" w:pos="6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 of the Investor</w:t>
      </w:r>
    </w:p>
    <w:p>
      <w:pPr>
        <w:spacing w:after="0" w:line="220" w:lineRule="exact"/>
        <w:rPr>
          <w:sz w:val="20"/>
          <w:szCs w:val="20"/>
          <w:color w:val="auto"/>
        </w:rPr>
      </w:pPr>
    </w:p>
    <w:p>
      <w:pPr>
        <w:ind w:left="660" w:right="20" w:hanging="652"/>
        <w:spacing w:after="0" w:line="246" w:lineRule="auto"/>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Investor represents and warrants to ACIU (to the extent not otherwise specified as of the date of this Agreement and as of the Closing Date) that:</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Investor has the funds available to fund the Purchase Price for the Note;</w:t>
      </w:r>
    </w:p>
    <w:p>
      <w:pPr>
        <w:spacing w:after="0" w:line="198" w:lineRule="exact"/>
        <w:rPr>
          <w:rFonts w:ascii="Arial" w:cs="Arial" w:eastAsia="Arial" w:hAnsi="Arial"/>
          <w:sz w:val="18"/>
          <w:szCs w:val="18"/>
          <w:color w:val="auto"/>
        </w:rPr>
      </w:pPr>
    </w:p>
    <w:p>
      <w:pPr>
        <w:ind w:left="1300" w:hanging="644"/>
        <w:spacing w:after="0" w:line="246" w:lineRule="auto"/>
        <w:tabs>
          <w:tab w:leader="none" w:pos="13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Investor is an "accredited investor" within the meaning of Regulation D of the United States Securities Act of 1933, as amended (the “Securities Act”);</w:t>
      </w:r>
    </w:p>
    <w:p>
      <w:pPr>
        <w:spacing w:after="0" w:line="183" w:lineRule="exact"/>
        <w:rPr>
          <w:rFonts w:ascii="Arial" w:cs="Arial" w:eastAsia="Arial" w:hAnsi="Arial"/>
          <w:sz w:val="18"/>
          <w:szCs w:val="18"/>
          <w:color w:val="auto"/>
        </w:rPr>
      </w:pPr>
    </w:p>
    <w:p>
      <w:pPr>
        <w:ind w:left="1300" w:hanging="644"/>
        <w:spacing w:after="0" w:line="246" w:lineRule="auto"/>
        <w:tabs>
          <w:tab w:leader="none" w:pos="13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Investor understands that (i) the ACIU Shares issuable hereunder will be issued in a transaction not involving any public offering within the meaning of the Securities Act and that such ACIU Shares have not been registered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 July 2021 AC Immune SA – FCBP Affi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48" w:name="page49"/>
    <w:bookmarkEnd w:id="48"/>
    <w:p>
      <w:pPr>
        <w:ind w:left="11140"/>
        <w:spacing w:after="0"/>
        <w:rPr>
          <w:sz w:val="20"/>
          <w:szCs w:val="20"/>
          <w:color w:val="auto"/>
        </w:rPr>
      </w:pPr>
      <w:r>
        <w:rPr>
          <w:rFonts w:ascii="Arial" w:cs="Arial" w:eastAsia="Arial" w:hAnsi="Arial"/>
          <w:sz w:val="17"/>
          <w:szCs w:val="17"/>
          <w:color w:val="auto"/>
        </w:rPr>
        <w:t>6</w:t>
      </w:r>
    </w:p>
    <w:p>
      <w:pPr>
        <w:spacing w:after="0" w:line="142" w:lineRule="exact"/>
        <w:rPr>
          <w:sz w:val="20"/>
          <w:szCs w:val="20"/>
          <w:color w:val="auto"/>
        </w:rPr>
      </w:pPr>
    </w:p>
    <w:p>
      <w:pPr>
        <w:jc w:val="both"/>
        <w:ind w:left="540"/>
        <w:spacing w:after="0" w:line="237" w:lineRule="auto"/>
        <w:rPr>
          <w:sz w:val="20"/>
          <w:szCs w:val="20"/>
          <w:color w:val="auto"/>
        </w:rPr>
      </w:pPr>
      <w:r>
        <w:rPr>
          <w:rFonts w:ascii="Arial" w:cs="Arial" w:eastAsia="Arial" w:hAnsi="Arial"/>
          <w:sz w:val="18"/>
          <w:szCs w:val="18"/>
          <w:color w:val="auto"/>
        </w:rPr>
        <w:t>under the Securities Act, (ii) such ACIU Shares may not be resold, transferred, pledged or otherwise disposed of by the Investor absent an effective registration statement under the Securities Act, except (x) to the Company or a subsidiary thereof, (y) to non-U.S. persons pursuant to offers and sales that occur solely outside the United States within the meaning of Regulation S under the Securities Act or (z) pursuant to another applicable exemption from the registration requirements of the Securities Act, and in each of cases (x), (y) and (z), in accordance with any applicable securities laws of the states and any other jurisdiction, and (iii) such ACIU Shares shall be subject to a legend to such effect (provided that such legends will be eligible for removal upon compliance with the relevant resale provisions of Rule 144 promulgated under the Securities Act).</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Covenants of ACIU</w:t>
      </w:r>
    </w:p>
    <w:p>
      <w:pPr>
        <w:spacing w:after="0" w:line="220" w:lineRule="exact"/>
        <w:rPr>
          <w:sz w:val="20"/>
          <w:szCs w:val="20"/>
          <w:color w:val="auto"/>
        </w:rPr>
      </w:pPr>
    </w:p>
    <w:p>
      <w:pPr>
        <w:jc w:val="both"/>
        <w:ind w:left="660" w:hanging="652"/>
        <w:spacing w:after="0" w:line="236"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Investor may request that ACIU remove, and ACIU agrees to authorize the removal of any legend from the Note or ACIU Shares issued upon conversion thereof (and deliver or cause to be delivered to the transfer agent any required legal opinion) following any sale of the Note or such ACIU Shares pursuant to Rule 144 under the Securities Act, including following the expiration of the six-month holding requirement under subparagraphs (b)(1)(i), (c)(1) and (d) thereof. Further, ACIU agrees to promptly authorize the removal of any legend from the Note or ACIU Shares if such Note or ACIU Shares are eligible for sale under Rule 144 following the expiration of the one-year holding requirement under subparagraphs (b)(1)(i) and (d) thereof. Following the time a legend is no longer required for the Note or ACIU Shares, ACIU will promptly, but in any event not later than five business days following the delivery by the Investor to ACIU or ACIU’s transfer agent of a request to remove any restrictive and other legend from such Note or ACIU Shares, cause the transfer agent to remove such legend from such Notes or ACIU Shares and make the corresponding book entry adjustments.</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Covenants of the Investor</w:t>
      </w:r>
    </w:p>
    <w:p>
      <w:pPr>
        <w:spacing w:after="0" w:line="220" w:lineRule="exact"/>
        <w:rPr>
          <w:sz w:val="20"/>
          <w:szCs w:val="20"/>
          <w:color w:val="auto"/>
        </w:rPr>
      </w:pPr>
    </w:p>
    <w:p>
      <w:pPr>
        <w:ind w:left="660" w:hanging="652"/>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Investor covenants with the Issuer as follows:</w:t>
      </w:r>
    </w:p>
    <w:p>
      <w:pPr>
        <w:spacing w:after="0" w:line="198" w:lineRule="exact"/>
        <w:rPr>
          <w:rFonts w:ascii="Arial" w:cs="Arial" w:eastAsia="Arial" w:hAnsi="Arial"/>
          <w:sz w:val="18"/>
          <w:szCs w:val="18"/>
          <w:color w:val="auto"/>
        </w:rPr>
      </w:pPr>
    </w:p>
    <w:p>
      <w:pPr>
        <w:jc w:val="both"/>
        <w:ind w:left="1300" w:hanging="644"/>
        <w:spacing w:after="0" w:line="238" w:lineRule="auto"/>
        <w:tabs>
          <w:tab w:leader="none" w:pos="13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Investor hereby undertakes to observe, and to procure that its beneficial owners observe, respectively, the disclosure requirements for significant shareholdings in accordance with the applicable securities and corporate laws and any other requirements imposed by applicable laws or regulations in connection with the issuance of the Note or the ownership or entitlement to the ACIU Shares.</w:t>
      </w:r>
    </w:p>
    <w:p>
      <w:pPr>
        <w:spacing w:after="0" w:line="191" w:lineRule="exact"/>
        <w:rPr>
          <w:rFonts w:ascii="Arial" w:cs="Arial" w:eastAsia="Arial" w:hAnsi="Arial"/>
          <w:sz w:val="18"/>
          <w:szCs w:val="18"/>
          <w:color w:val="auto"/>
        </w:rPr>
      </w:pPr>
    </w:p>
    <w:p>
      <w:pPr>
        <w:jc w:val="both"/>
        <w:ind w:left="1300" w:hanging="644"/>
        <w:spacing w:after="0"/>
        <w:tabs>
          <w:tab w:leader="none" w:pos="13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Investor undertakes not to take any action, and to procure that none of its affiliates or any person acting on its behalf takes any action, in any jurisdiction that would constitute a public offering of any Shares or Offered Shares pursuant to any applicable law or regulation.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 July 2021 AC Immune SA – FCBP Affi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7</w:t>
      </w:r>
    </w:p>
    <w:p>
      <w:pPr>
        <w:spacing w:after="0" w:line="10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Publication and Disclosure</w:t>
      </w:r>
    </w:p>
    <w:p>
      <w:pPr>
        <w:spacing w:after="0" w:line="220" w:lineRule="exact"/>
        <w:rPr>
          <w:sz w:val="20"/>
          <w:szCs w:val="20"/>
          <w:color w:val="auto"/>
        </w:rPr>
      </w:pPr>
    </w:p>
    <w:p>
      <w:pPr>
        <w:ind w:left="660" w:hanging="652"/>
        <w:spacing w:after="0" w:line="246"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Investor understands and agrees that ACIU will publicly announce the fact that this Agreement has been entered into by the Issuer and the Investor.</w:t>
      </w:r>
    </w:p>
    <w:p>
      <w:pPr>
        <w:spacing w:after="0" w:line="183" w:lineRule="exact"/>
        <w:rPr>
          <w:rFonts w:ascii="Arial" w:cs="Arial" w:eastAsia="Arial" w:hAnsi="Arial"/>
          <w:sz w:val="18"/>
          <w:szCs w:val="18"/>
          <w:color w:val="auto"/>
        </w:rPr>
      </w:pPr>
    </w:p>
    <w:p>
      <w:pPr>
        <w:jc w:val="both"/>
        <w:ind w:left="660" w:hanging="652"/>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It is understood and agreed by the parties that the Investor shall be solely responsible to comply with any disclosure and notification obligations it may have under any applicable securities laws, exchange regulations or similar laws or regulations as a result of entering into this Agreement, and the Investor undertakes to comply with such obligations, if any.</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b w:val="1"/>
          <w:bCs w:val="1"/>
          <w:color w:val="auto"/>
        </w:rPr>
        <w:t>Miscellaneous</w:t>
      </w:r>
    </w:p>
    <w:p>
      <w:pPr>
        <w:spacing w:after="0" w:line="220" w:lineRule="exact"/>
        <w:rPr>
          <w:sz w:val="20"/>
          <w:szCs w:val="20"/>
          <w:color w:val="auto"/>
        </w:rPr>
      </w:pPr>
    </w:p>
    <w:p>
      <w:pPr>
        <w:ind w:left="660" w:hanging="652"/>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No amendment may be made to this Agreement without the prior written consent of ACIU.</w:t>
      </w:r>
    </w:p>
    <w:p>
      <w:pPr>
        <w:spacing w:after="0" w:line="198"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Neither party may assign this Agreement or any of its rights or obligations under this Agreement without the prior written consent of the other party.</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b w:val="1"/>
          <w:bCs w:val="1"/>
          <w:color w:val="auto"/>
        </w:rPr>
        <w:t>Termination</w:t>
      </w:r>
    </w:p>
    <w:p>
      <w:pPr>
        <w:spacing w:after="0" w:line="220" w:lineRule="exact"/>
        <w:rPr>
          <w:sz w:val="20"/>
          <w:szCs w:val="20"/>
          <w:color w:val="auto"/>
        </w:rPr>
      </w:pPr>
    </w:p>
    <w:p>
      <w:pPr>
        <w:ind w:left="660" w:hanging="652"/>
        <w:spacing w:after="0" w:line="246" w:lineRule="auto"/>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 case of termination of the APA in accordance with section 8.4 of the APA, this Agreement shall also be terminated, and all provisions of this Agreement shall cease to be effective except for Section 12 to 15.</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8"/>
          <w:szCs w:val="18"/>
          <w:b w:val="1"/>
          <w:bCs w:val="1"/>
          <w:color w:val="auto"/>
        </w:rPr>
        <w:t>Applicable Law and Jurisdiction</w:t>
      </w:r>
    </w:p>
    <w:p>
      <w:pPr>
        <w:spacing w:after="0" w:line="220" w:lineRule="exact"/>
        <w:rPr>
          <w:sz w:val="20"/>
          <w:szCs w:val="20"/>
          <w:color w:val="auto"/>
        </w:rPr>
      </w:pPr>
    </w:p>
    <w:p>
      <w:pPr>
        <w:ind w:left="660" w:right="20" w:hanging="652"/>
        <w:spacing w:after="0" w:line="246" w:lineRule="auto"/>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substantive laws of Switzerland (i.e. without regard to conflict of laws rules).</w:t>
      </w:r>
    </w:p>
    <w:p>
      <w:pPr>
        <w:spacing w:after="0" w:line="183" w:lineRule="exact"/>
        <w:rPr>
          <w:rFonts w:ascii="Arial" w:cs="Arial" w:eastAsia="Arial" w:hAnsi="Arial"/>
          <w:sz w:val="18"/>
          <w:szCs w:val="18"/>
          <w:color w:val="auto"/>
        </w:rPr>
      </w:pPr>
    </w:p>
    <w:p>
      <w:pPr>
        <w:jc w:val="both"/>
        <w:ind w:left="660" w:hanging="652"/>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All disputes arising out of or in connection with this Agreement shall be submitted to the exclusive jurisdiction of courts of the City of Zurich (Zurich 1), Switzerland, and, to the extent this can be determined by the parties, the Commercial Court of the Canton of Zurich.</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on the following pages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 July 2021 AC Immune SA – FCBP Affi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50" w:name="page51"/>
    <w:bookmarkEnd w:id="50"/>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 Immune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3497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Name: Andrea Pfeifer</w:t>
      </w:r>
    </w:p>
    <w:p>
      <w:pPr>
        <w:spacing w:after="0" w:line="234" w:lineRule="auto"/>
        <w:rPr>
          <w:sz w:val="20"/>
          <w:szCs w:val="20"/>
          <w:color w:val="auto"/>
        </w:rPr>
      </w:pPr>
      <w:r>
        <w:rPr>
          <w:rFonts w:ascii="Arial" w:cs="Arial" w:eastAsia="Arial" w:hAnsi="Arial"/>
          <w:sz w:val="18"/>
          <w:szCs w:val="18"/>
          <w:color w:val="auto"/>
        </w:rPr>
        <w:t>Title: CEO and Member of the Board of Directors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Place: Lausanne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FCPB Affi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3497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4" w:lineRule="auto"/>
        <w:rPr>
          <w:sz w:val="20"/>
          <w:szCs w:val="20"/>
          <w:color w:val="auto"/>
        </w:rPr>
      </w:pPr>
      <w:r>
        <w:rPr>
          <w:rFonts w:ascii="Arial" w:cs="Arial" w:eastAsia="Arial" w:hAnsi="Arial"/>
          <w:sz w:val="18"/>
          <w:szCs w:val="18"/>
          <w:color w:val="auto"/>
        </w:rPr>
        <w:t>Title: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 July 2021 AC Immune SA – FCBP Affi GmbH</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854710</wp:posOffset>
            </wp:positionV>
            <wp:extent cx="34886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Name: Martin Velasco</w:t>
      </w:r>
    </w:p>
    <w:p>
      <w:pPr>
        <w:spacing w:after="0" w:line="234" w:lineRule="auto"/>
        <w:rPr>
          <w:sz w:val="20"/>
          <w:szCs w:val="20"/>
          <w:color w:val="auto"/>
        </w:rPr>
      </w:pPr>
      <w:r>
        <w:rPr>
          <w:rFonts w:ascii="Arial" w:cs="Arial" w:eastAsia="Arial" w:hAnsi="Arial"/>
          <w:sz w:val="18"/>
          <w:szCs w:val="18"/>
          <w:color w:val="auto"/>
        </w:rPr>
        <w:t>Title: Vice-President of the Board of Directors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Place: Lausanne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511810</wp:posOffset>
            </wp:positionV>
            <wp:extent cx="34886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4" w:lineRule="auto"/>
        <w:rPr>
          <w:sz w:val="20"/>
          <w:szCs w:val="20"/>
          <w:color w:val="auto"/>
        </w:rPr>
      </w:pPr>
      <w:r>
        <w:rPr>
          <w:rFonts w:ascii="Arial" w:cs="Arial" w:eastAsia="Arial" w:hAnsi="Arial"/>
          <w:sz w:val="18"/>
          <w:szCs w:val="18"/>
          <w:color w:val="auto"/>
        </w:rPr>
        <w:t>Title: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194945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5020" w:space="720"/>
            <w:col w:w="5500"/>
          </w:cols>
          <w:pgMar w:left="320" w:top="260" w:right="339" w:bottom="1440" w:gutter="0" w:footer="0" w:header="0"/>
        </w:sectPr>
      </w:pPr>
    </w:p>
    <w:bookmarkStart w:id="51" w:name="page52"/>
    <w:bookmarkEnd w:id="51"/>
    <w:p>
      <w:pPr>
        <w:ind w:left="11140"/>
        <w:spacing w:after="0"/>
        <w:rPr>
          <w:sz w:val="20"/>
          <w:szCs w:val="20"/>
          <w:color w:val="auto"/>
        </w:rPr>
      </w:pPr>
      <w:r>
        <w:rPr>
          <w:rFonts w:ascii="Arial" w:cs="Arial" w:eastAsia="Arial" w:hAnsi="Arial"/>
          <w:sz w:val="17"/>
          <w:szCs w:val="17"/>
          <w:color w:val="auto"/>
        </w:rPr>
        <w:t>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ANNEX 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(To be executed by the Investor to convert the Note)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To: AC Immune SA, attn: [], EPFL Innovation Park, bâtiment B, 1015 Lausanne, Switzerland</w:t>
      </w:r>
    </w:p>
    <w:p>
      <w:pPr>
        <w:spacing w:after="0" w:line="17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Convertible note (the "</w:t>
      </w:r>
      <w:r>
        <w:rPr>
          <w:rFonts w:ascii="Arial" w:cs="Arial" w:eastAsia="Arial" w:hAnsi="Arial"/>
          <w:sz w:val="18"/>
          <w:szCs w:val="18"/>
          <w:b w:val="1"/>
          <w:bCs w:val="1"/>
          <w:color w:val="auto"/>
        </w:rPr>
        <w:t>Note</w:t>
      </w:r>
      <w:r>
        <w:rPr>
          <w:rFonts w:ascii="Arial" w:cs="Arial" w:eastAsia="Arial" w:hAnsi="Arial"/>
          <w:sz w:val="18"/>
          <w:szCs w:val="18"/>
          <w:color w:val="auto"/>
        </w:rPr>
        <w:t>") issued by AC Immune SA to [</w:t>
      </w:r>
      <w:r>
        <w:rPr>
          <w:rFonts w:ascii="Arial" w:cs="Arial" w:eastAsia="Arial" w:hAnsi="Arial"/>
          <w:sz w:val="18"/>
          <w:szCs w:val="18"/>
          <w:i w:val="1"/>
          <w:iCs w:val="1"/>
          <w:color w:val="auto"/>
        </w:rPr>
        <w:t>Investor</w:t>
      </w:r>
      <w:r>
        <w:rPr>
          <w:rFonts w:ascii="Arial" w:cs="Arial" w:eastAsia="Arial" w:hAnsi="Arial"/>
          <w:sz w:val="18"/>
          <w:szCs w:val="18"/>
          <w:color w:val="auto"/>
        </w:rPr>
        <w:t>] on or about [__________] 2021 (the "</w:t>
      </w:r>
      <w:r>
        <w:rPr>
          <w:rFonts w:ascii="Arial" w:cs="Arial" w:eastAsia="Arial" w:hAnsi="Arial"/>
          <w:sz w:val="18"/>
          <w:szCs w:val="18"/>
          <w:b w:val="1"/>
          <w:bCs w:val="1"/>
          <w:color w:val="auto"/>
        </w:rPr>
        <w:t>Convertible Note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r>
        <w:rPr>
          <w:rFonts w:ascii="Arial" w:cs="Arial" w:eastAsia="Arial" w:hAnsi="Arial"/>
          <w:sz w:val="18"/>
          <w:szCs w:val="18"/>
          <w:color w:val="auto"/>
        </w:rPr>
        <w:t>") in the principal amount of [___________] (the "</w:t>
      </w:r>
      <w:r>
        <w:rPr>
          <w:rFonts w:ascii="Arial" w:cs="Arial" w:eastAsia="Arial" w:hAnsi="Arial"/>
          <w:sz w:val="18"/>
          <w:szCs w:val="18"/>
          <w:b w:val="1"/>
          <w:bCs w:val="1"/>
          <w:color w:val="auto"/>
        </w:rPr>
        <w:t>Principal Amount</w:t>
      </w:r>
      <w:r>
        <w:rPr>
          <w:rFonts w:ascii="Arial" w:cs="Arial" w:eastAsia="Arial" w:hAnsi="Arial"/>
          <w:sz w:val="18"/>
          <w:szCs w:val="18"/>
          <w:color w:val="auto"/>
        </w:rPr>
        <w:t>"). Terms not defined in this letter shall have the meaning</w:t>
      </w:r>
    </w:p>
    <w:p>
      <w:pPr>
        <w:spacing w:after="0"/>
        <w:rPr>
          <w:sz w:val="20"/>
          <w:szCs w:val="20"/>
          <w:color w:val="auto"/>
        </w:rPr>
      </w:pPr>
      <w:r>
        <w:rPr>
          <w:rFonts w:ascii="Arial" w:cs="Arial" w:eastAsia="Arial" w:hAnsi="Arial"/>
          <w:sz w:val="18"/>
          <w:szCs w:val="18"/>
          <w:color w:val="auto"/>
        </w:rPr>
        <w:t>ascribed to them in the Convertible Note Agreement.</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undersigned hereby elects to convert the entire Principal Amount into ACIU Shares according to the conditions of the Convertible Note Agreement. The undersigned will pay all transfer taxes payable with respect to the issuance of the ACIU Shares and is delivering herewith such certificates and opinions as reasonably requested by AC Immune SA in accordance therewith. No fee will be charged to the Investor for any conversion, except for such transfer taxes, if 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Address to which shares should be delivered or account and DTC participation information for DWAC: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Address]/DTC participation information for DWAC</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Investor</w:t>
      </w:r>
      <w:r>
        <w:rPr>
          <w:rFonts w:ascii="Arial" w:cs="Arial" w:eastAsia="Arial" w:hAnsi="Arial"/>
          <w:sz w:val="18"/>
          <w:szCs w:val="18"/>
          <w:color w:val="auto"/>
        </w:rPr>
        <w:t>]</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220" w:type="dxa"/>
            <w:vAlign w:val="bottom"/>
          </w:tcPr>
          <w:p>
            <w:pPr>
              <w:spacing w:after="0"/>
              <w:rPr>
                <w:sz w:val="18"/>
                <w:szCs w:val="18"/>
                <w:color w:val="auto"/>
              </w:rPr>
            </w:pPr>
          </w:p>
        </w:tc>
        <w:tc>
          <w:tcPr>
            <w:tcW w:w="5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r>
      <w:tr>
        <w:trPr>
          <w:trHeight w:val="217"/>
        </w:trPr>
        <w:tc>
          <w:tcPr>
            <w:tcW w:w="5740" w:type="dxa"/>
            <w:vAlign w:val="bottom"/>
            <w:gridSpan w:val="2"/>
          </w:tcPr>
          <w:p>
            <w:pPr>
              <w:spacing w:after="0"/>
              <w:rPr>
                <w:sz w:val="20"/>
                <w:szCs w:val="20"/>
                <w:color w:val="auto"/>
              </w:rPr>
            </w:pPr>
            <w:r>
              <w:rPr>
                <w:rFonts w:ascii="Arial" w:cs="Arial" w:eastAsia="Arial" w:hAnsi="Arial"/>
                <w:sz w:val="18"/>
                <w:szCs w:val="18"/>
                <w:color w:val="auto"/>
              </w:rPr>
              <w:t>Title:</w:t>
            </w:r>
          </w:p>
        </w:tc>
        <w:tc>
          <w:tcPr>
            <w:tcW w:w="5500" w:type="dxa"/>
            <w:vAlign w:val="bottom"/>
          </w:tcPr>
          <w:p>
            <w:pPr>
              <w:spacing w:after="0"/>
              <w:rPr>
                <w:sz w:val="20"/>
                <w:szCs w:val="20"/>
                <w:color w:val="auto"/>
              </w:rPr>
            </w:pPr>
            <w:r>
              <w:rPr>
                <w:rFonts w:ascii="Arial" w:cs="Arial" w:eastAsia="Arial" w:hAnsi="Arial"/>
                <w:sz w:val="18"/>
                <w:szCs w:val="18"/>
                <w:color w:val="auto"/>
              </w:rPr>
              <w:t>Title:</w:t>
            </w:r>
          </w:p>
        </w:tc>
      </w:tr>
      <w:tr>
        <w:trPr>
          <w:trHeight w:val="297"/>
        </w:trPr>
        <w:tc>
          <w:tcPr>
            <w:tcW w:w="5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Convertible Note July 2021 AC Immune SA – FCBP Affi GmbH</w:t>
            </w: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60"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10</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ANNEX 2</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(To be executed by the Company to convert the Note)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To: [</w:t>
      </w:r>
      <w:r>
        <w:rPr>
          <w:rFonts w:ascii="Arial" w:cs="Arial" w:eastAsia="Arial" w:hAnsi="Arial"/>
          <w:sz w:val="18"/>
          <w:szCs w:val="18"/>
          <w:i w:val="1"/>
          <w:iCs w:val="1"/>
          <w:color w:val="auto"/>
        </w:rPr>
        <w:t>Investor</w:t>
      </w:r>
      <w:r>
        <w:rPr>
          <w:rFonts w:ascii="Arial" w:cs="Arial" w:eastAsia="Arial" w:hAnsi="Arial"/>
          <w:sz w:val="18"/>
          <w:szCs w:val="18"/>
          <w:color w:val="auto"/>
        </w:rPr>
        <w:t>], [</w:t>
      </w:r>
      <w:r>
        <w:rPr>
          <w:rFonts w:ascii="Arial" w:cs="Arial" w:eastAsia="Arial" w:hAnsi="Arial"/>
          <w:sz w:val="18"/>
          <w:szCs w:val="18"/>
          <w:i w:val="1"/>
          <w:iCs w:val="1"/>
          <w:color w:val="auto"/>
        </w:rPr>
        <w:t>Address</w:t>
      </w:r>
      <w:r>
        <w:rPr>
          <w:rFonts w:ascii="Arial" w:cs="Arial" w:eastAsia="Arial" w:hAnsi="Arial"/>
          <w:sz w:val="18"/>
          <w:szCs w:val="18"/>
          <w:color w:val="auto"/>
        </w:rPr>
        <w:t>]</w:t>
      </w:r>
    </w:p>
    <w:p>
      <w:pPr>
        <w:spacing w:after="0" w:line="19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Convertible note (the "</w:t>
      </w:r>
      <w:r>
        <w:rPr>
          <w:rFonts w:ascii="Arial" w:cs="Arial" w:eastAsia="Arial" w:hAnsi="Arial"/>
          <w:sz w:val="18"/>
          <w:szCs w:val="18"/>
          <w:b w:val="1"/>
          <w:bCs w:val="1"/>
          <w:color w:val="auto"/>
        </w:rPr>
        <w:t>Note</w:t>
      </w:r>
      <w:r>
        <w:rPr>
          <w:rFonts w:ascii="Arial" w:cs="Arial" w:eastAsia="Arial" w:hAnsi="Arial"/>
          <w:sz w:val="18"/>
          <w:szCs w:val="18"/>
          <w:color w:val="auto"/>
        </w:rPr>
        <w:t xml:space="preserve"> ") issued by AC Immune SA to [</w:t>
      </w:r>
      <w:r>
        <w:rPr>
          <w:rFonts w:ascii="Arial" w:cs="Arial" w:eastAsia="Arial" w:hAnsi="Arial"/>
          <w:sz w:val="18"/>
          <w:szCs w:val="18"/>
          <w:i w:val="1"/>
          <w:iCs w:val="1"/>
          <w:color w:val="auto"/>
        </w:rPr>
        <w:t>Investor</w:t>
      </w:r>
      <w:r>
        <w:rPr>
          <w:rFonts w:ascii="Arial" w:cs="Arial" w:eastAsia="Arial" w:hAnsi="Arial"/>
          <w:sz w:val="18"/>
          <w:szCs w:val="18"/>
          <w:color w:val="auto"/>
        </w:rPr>
        <w:t>] on or about [__________] 2021 (the "</w:t>
      </w:r>
      <w:r>
        <w:rPr>
          <w:rFonts w:ascii="Arial" w:cs="Arial" w:eastAsia="Arial" w:hAnsi="Arial"/>
          <w:sz w:val="18"/>
          <w:szCs w:val="18"/>
          <w:b w:val="1"/>
          <w:bCs w:val="1"/>
          <w:color w:val="auto"/>
        </w:rPr>
        <w:t>Convertible Note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r>
        <w:rPr>
          <w:rFonts w:ascii="Arial" w:cs="Arial" w:eastAsia="Arial" w:hAnsi="Arial"/>
          <w:sz w:val="18"/>
          <w:szCs w:val="18"/>
          <w:color w:val="auto"/>
        </w:rPr>
        <w:t>") in the principal amount of [___________] (the "</w:t>
      </w:r>
      <w:r>
        <w:rPr>
          <w:rFonts w:ascii="Arial" w:cs="Arial" w:eastAsia="Arial" w:hAnsi="Arial"/>
          <w:sz w:val="18"/>
          <w:szCs w:val="18"/>
          <w:b w:val="1"/>
          <w:bCs w:val="1"/>
          <w:color w:val="auto"/>
        </w:rPr>
        <w:t>Principal Amount</w:t>
      </w:r>
      <w:r>
        <w:rPr>
          <w:rFonts w:ascii="Arial" w:cs="Arial" w:eastAsia="Arial" w:hAnsi="Arial"/>
          <w:sz w:val="18"/>
          <w:szCs w:val="18"/>
          <w:color w:val="auto"/>
        </w:rPr>
        <w:t>"). Terms not defined in this letter shall have the meaning</w:t>
      </w:r>
    </w:p>
    <w:p>
      <w:pPr>
        <w:spacing w:after="0"/>
        <w:rPr>
          <w:sz w:val="20"/>
          <w:szCs w:val="20"/>
          <w:color w:val="auto"/>
        </w:rPr>
      </w:pPr>
      <w:r>
        <w:rPr>
          <w:rFonts w:ascii="Arial" w:cs="Arial" w:eastAsia="Arial" w:hAnsi="Arial"/>
          <w:sz w:val="18"/>
          <w:szCs w:val="18"/>
          <w:color w:val="auto"/>
        </w:rPr>
        <w:t>ascribed to them in the Convertible Note Agreement.</w:t>
      </w:r>
    </w:p>
    <w:p>
      <w:pPr>
        <w:spacing w:after="0" w:line="19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undersigned hereby declares to convert the entire Principal Amount into ACIU Shares according to the conditions of the Convertible Note Agreement. No fee will be charged to the Investor for any conversion, except for transfer taxes, if 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You are herewith requested to deliver the following information:</w:t>
      </w:r>
    </w:p>
    <w:p>
      <w:pPr>
        <w:spacing w:after="0" w:line="198" w:lineRule="exact"/>
        <w:rPr>
          <w:sz w:val="20"/>
          <w:szCs w:val="20"/>
          <w:color w:val="auto"/>
        </w:rPr>
      </w:pPr>
    </w:p>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Address to which shares should be delivered, or</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account and DTC participation information for DWAC.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 Immune SA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220" w:type="dxa"/>
            <w:vAlign w:val="bottom"/>
          </w:tcPr>
          <w:p>
            <w:pPr>
              <w:spacing w:after="0"/>
              <w:rPr>
                <w:sz w:val="18"/>
                <w:szCs w:val="18"/>
                <w:color w:val="auto"/>
              </w:rPr>
            </w:pPr>
          </w:p>
        </w:tc>
        <w:tc>
          <w:tcPr>
            <w:tcW w:w="5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r>
      <w:tr>
        <w:trPr>
          <w:trHeight w:val="217"/>
        </w:trPr>
        <w:tc>
          <w:tcPr>
            <w:tcW w:w="5740" w:type="dxa"/>
            <w:vAlign w:val="bottom"/>
            <w:gridSpan w:val="2"/>
          </w:tcPr>
          <w:p>
            <w:pPr>
              <w:spacing w:after="0"/>
              <w:rPr>
                <w:sz w:val="20"/>
                <w:szCs w:val="20"/>
                <w:color w:val="auto"/>
              </w:rPr>
            </w:pPr>
            <w:r>
              <w:rPr>
                <w:rFonts w:ascii="Arial" w:cs="Arial" w:eastAsia="Arial" w:hAnsi="Arial"/>
                <w:sz w:val="18"/>
                <w:szCs w:val="18"/>
                <w:color w:val="auto"/>
              </w:rPr>
              <w:t>Title:</w:t>
            </w:r>
          </w:p>
        </w:tc>
        <w:tc>
          <w:tcPr>
            <w:tcW w:w="5500" w:type="dxa"/>
            <w:vAlign w:val="bottom"/>
          </w:tcPr>
          <w:p>
            <w:pPr>
              <w:spacing w:after="0"/>
              <w:rPr>
                <w:sz w:val="20"/>
                <w:szCs w:val="20"/>
                <w:color w:val="auto"/>
              </w:rPr>
            </w:pPr>
            <w:r>
              <w:rPr>
                <w:rFonts w:ascii="Arial" w:cs="Arial" w:eastAsia="Arial" w:hAnsi="Arial"/>
                <w:sz w:val="18"/>
                <w:szCs w:val="18"/>
                <w:color w:val="auto"/>
              </w:rPr>
              <w:t>Title:</w:t>
            </w:r>
          </w:p>
        </w:tc>
      </w:tr>
      <w:tr>
        <w:trPr>
          <w:trHeight w:val="297"/>
        </w:trPr>
        <w:tc>
          <w:tcPr>
            <w:tcW w:w="5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Convertible Note July 2021 AC Immune SA – FCBP Affi GmbH</w:t>
            </w: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60" w:right="339" w:bottom="144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8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Exhibit 99.1</w:t>
            </w:r>
          </w:p>
        </w:tc>
      </w:tr>
      <w:tr>
        <w:trPr>
          <w:trHeight w:val="387"/>
        </w:trPr>
        <w:tc>
          <w:tcPr>
            <w:tcW w:w="6860" w:type="dxa"/>
            <w:vAlign w:val="bottom"/>
          </w:tcPr>
          <w:p>
            <w:pPr>
              <w:spacing w:after="0"/>
              <w:rPr>
                <w:sz w:val="20"/>
                <w:szCs w:val="20"/>
                <w:color w:val="auto"/>
              </w:rPr>
            </w:pPr>
            <w:r>
              <w:rPr>
                <w:rFonts w:ascii="Arial" w:cs="Arial" w:eastAsia="Arial" w:hAnsi="Arial"/>
                <w:sz w:val="18"/>
                <w:szCs w:val="18"/>
                <w:b w:val="1"/>
                <w:bCs w:val="1"/>
                <w:color w:val="auto"/>
              </w:rPr>
              <w:t>Condensed Consolidated Balance Sheets (Unaudited)</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(in CHF thousands)</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14"/>
        </w:trPr>
        <w:tc>
          <w:tcPr>
            <w:tcW w:w="6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gridSpan w:val="3"/>
          </w:tcPr>
          <w:p>
            <w:pPr>
              <w:jc w:val="right"/>
              <w:spacing w:after="0"/>
              <w:rPr>
                <w:sz w:val="20"/>
                <w:szCs w:val="20"/>
                <w:color w:val="auto"/>
              </w:rPr>
            </w:pPr>
            <w:r>
              <w:rPr>
                <w:rFonts w:ascii="Arial" w:cs="Arial" w:eastAsia="Arial" w:hAnsi="Arial"/>
                <w:sz w:val="18"/>
                <w:szCs w:val="18"/>
                <w:b w:val="1"/>
                <w:bCs w:val="1"/>
                <w:color w:val="auto"/>
                <w:w w:val="95"/>
              </w:rPr>
              <w:t>As of June 30,   As of December 31,</w:t>
            </w:r>
          </w:p>
        </w:tc>
      </w:t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Balance Sheets</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Notes</w:t>
            </w: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10"/>
        </w:trPr>
        <w:tc>
          <w:tcPr>
            <w:tcW w:w="686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ASSETS</w:t>
            </w:r>
          </w:p>
        </w:tc>
        <w:tc>
          <w:tcPr>
            <w:tcW w:w="134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32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480" w:type="dxa"/>
            <w:vAlign w:val="bottom"/>
            <w:tcBorders>
              <w:top w:val="single" w:sz="8" w:color="auto"/>
            </w:tcBorders>
            <w:shd w:val="clear" w:color="auto" w:fill="D5EAEA"/>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6860" w:type="dxa"/>
            <w:vAlign w:val="bottom"/>
            <w:shd w:val="clear" w:color="auto" w:fill="D5EAEA"/>
          </w:tcPr>
          <w:p>
            <w:pPr>
              <w:spacing w:after="0"/>
              <w:rPr>
                <w:sz w:val="20"/>
                <w:szCs w:val="20"/>
                <w:color w:val="auto"/>
              </w:rPr>
            </w:pPr>
            <w:r>
              <w:rPr>
                <w:rFonts w:ascii="Arial" w:cs="Arial" w:eastAsia="Arial" w:hAnsi="Arial"/>
                <w:sz w:val="18"/>
                <w:szCs w:val="18"/>
                <w:color w:val="auto"/>
              </w:rPr>
              <w:t>Property, plant and equipment</w:t>
            </w:r>
          </w:p>
        </w:tc>
        <w:tc>
          <w:tcPr>
            <w:tcW w:w="13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shd w:val="clear" w:color="auto" w:fill="D5EAEA"/>
          </w:tcPr>
          <w:p>
            <w:pPr>
              <w:spacing w:after="0"/>
              <w:rPr>
                <w:sz w:val="18"/>
                <w:szCs w:val="18"/>
                <w:color w:val="auto"/>
              </w:rPr>
            </w:pPr>
          </w:p>
        </w:tc>
        <w:tc>
          <w:tcPr>
            <w:tcW w:w="13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5,165</w:t>
            </w:r>
          </w:p>
        </w:tc>
        <w:tc>
          <w:tcPr>
            <w:tcW w:w="120" w:type="dxa"/>
            <w:vAlign w:val="bottom"/>
            <w:shd w:val="clear" w:color="auto" w:fill="D5EAEA"/>
          </w:tcPr>
          <w:p>
            <w:pPr>
              <w:spacing w:after="0"/>
              <w:rPr>
                <w:sz w:val="18"/>
                <w:szCs w:val="18"/>
                <w:color w:val="auto"/>
              </w:rPr>
            </w:pPr>
          </w:p>
        </w:tc>
        <w:tc>
          <w:tcPr>
            <w:tcW w:w="14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4,416</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Right-of-use assets</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2,699</w:t>
            </w:r>
          </w:p>
        </w:tc>
        <w:tc>
          <w:tcPr>
            <w:tcW w:w="12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2,223</w:t>
            </w:r>
          </w:p>
        </w:tc>
      </w:tr>
      <w:tr>
        <w:trPr>
          <w:trHeight w:val="216"/>
        </w:trPr>
        <w:tc>
          <w:tcPr>
            <w:tcW w:w="6860" w:type="dxa"/>
            <w:vAlign w:val="bottom"/>
            <w:shd w:val="clear" w:color="auto" w:fill="D5EAEA"/>
          </w:tcPr>
          <w:p>
            <w:pPr>
              <w:spacing w:after="0"/>
              <w:rPr>
                <w:sz w:val="20"/>
                <w:szCs w:val="20"/>
                <w:color w:val="auto"/>
              </w:rPr>
            </w:pPr>
            <w:r>
              <w:rPr>
                <w:rFonts w:ascii="Arial" w:cs="Arial" w:eastAsia="Arial" w:hAnsi="Arial"/>
                <w:sz w:val="18"/>
                <w:szCs w:val="18"/>
                <w:color w:val="auto"/>
              </w:rPr>
              <w:t>Long-term accrued income</w:t>
            </w:r>
          </w:p>
        </w:tc>
        <w:tc>
          <w:tcPr>
            <w:tcW w:w="13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D5EAEA"/>
          </w:tcPr>
          <w:p>
            <w:pPr>
              <w:spacing w:after="0"/>
              <w:rPr>
                <w:sz w:val="18"/>
                <w:szCs w:val="18"/>
                <w:color w:val="auto"/>
              </w:rPr>
            </w:pPr>
          </w:p>
        </w:tc>
        <w:tc>
          <w:tcPr>
            <w:tcW w:w="13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D5EAEA"/>
          </w:tcPr>
          <w:p>
            <w:pPr>
              <w:spacing w:after="0"/>
              <w:rPr>
                <w:sz w:val="18"/>
                <w:szCs w:val="18"/>
                <w:color w:val="auto"/>
              </w:rPr>
            </w:pPr>
          </w:p>
        </w:tc>
        <w:tc>
          <w:tcPr>
            <w:tcW w:w="14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Long-term financial assets</w:t>
            </w:r>
          </w:p>
        </w:tc>
        <w:tc>
          <w:tcPr>
            <w:tcW w:w="1340" w:type="dxa"/>
            <w:vAlign w:val="bottom"/>
            <w:tcBorders>
              <w:bottom w:val="single" w:sz="8" w:color="D5EAEA"/>
            </w:tcBorders>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tcBorders>
              <w:bottom w:val="single" w:sz="8" w:color="D5EAEA"/>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D5EAEA"/>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334</w:t>
            </w:r>
          </w:p>
        </w:tc>
      </w:tr>
      <w:tr>
        <w:trPr>
          <w:trHeight w:val="209"/>
        </w:trPr>
        <w:tc>
          <w:tcPr>
            <w:tcW w:w="686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non-current assets</w:t>
            </w:r>
          </w:p>
        </w:tc>
        <w:tc>
          <w:tcPr>
            <w:tcW w:w="1340" w:type="dxa"/>
            <w:vAlign w:val="bottom"/>
            <w:tcBorders>
              <w:bottom w:val="single" w:sz="8" w:color="D5EAEA"/>
            </w:tcBorders>
            <w:shd w:val="clear" w:color="auto" w:fill="D5EAEA"/>
          </w:tcPr>
          <w:p>
            <w:pPr>
              <w:spacing w:after="0"/>
              <w:rPr>
                <w:sz w:val="18"/>
                <w:szCs w:val="18"/>
                <w:color w:val="auto"/>
              </w:rPr>
            </w:pPr>
          </w:p>
        </w:tc>
        <w:tc>
          <w:tcPr>
            <w:tcW w:w="120" w:type="dxa"/>
            <w:vAlign w:val="bottom"/>
            <w:tcBorders>
              <w:bottom w:val="single" w:sz="8" w:color="D5EAEA"/>
            </w:tcBorders>
            <w:shd w:val="clear" w:color="auto" w:fill="D5EAEA"/>
          </w:tcPr>
          <w:p>
            <w:pPr>
              <w:spacing w:after="0"/>
              <w:rPr>
                <w:sz w:val="18"/>
                <w:szCs w:val="18"/>
                <w:color w:val="auto"/>
              </w:rPr>
            </w:pPr>
          </w:p>
        </w:tc>
        <w:tc>
          <w:tcPr>
            <w:tcW w:w="13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8,288</w:t>
            </w:r>
          </w:p>
        </w:tc>
        <w:tc>
          <w:tcPr>
            <w:tcW w:w="120" w:type="dxa"/>
            <w:vAlign w:val="bottom"/>
            <w:tcBorders>
              <w:bottom w:val="single" w:sz="8" w:color="D5EAEA"/>
            </w:tcBorders>
            <w:shd w:val="clear" w:color="auto" w:fill="D5EAEA"/>
          </w:tcPr>
          <w:p>
            <w:pPr>
              <w:spacing w:after="0"/>
              <w:rPr>
                <w:sz w:val="18"/>
                <w:szCs w:val="18"/>
                <w:color w:val="auto"/>
              </w:rPr>
            </w:pPr>
          </w:p>
        </w:tc>
        <w:tc>
          <w:tcPr>
            <w:tcW w:w="14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6,973</w:t>
            </w:r>
          </w:p>
        </w:tc>
      </w:tr>
      <w:tr>
        <w:trPr>
          <w:trHeight w:val="20"/>
        </w:trPr>
        <w:tc>
          <w:tcPr>
            <w:tcW w:w="6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3"/>
        </w:trPr>
        <w:tc>
          <w:tcPr>
            <w:tcW w:w="68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43"/>
        </w:trPr>
        <w:tc>
          <w:tcPr>
            <w:tcW w:w="686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Current assets</w:t>
            </w:r>
          </w:p>
        </w:tc>
        <w:tc>
          <w:tcPr>
            <w:tcW w:w="1340" w:type="dxa"/>
            <w:vAlign w:val="bottom"/>
            <w:shd w:val="clear" w:color="auto" w:fill="D5EAEA"/>
          </w:tcPr>
          <w:p>
            <w:pPr>
              <w:spacing w:after="0"/>
              <w:rPr>
                <w:sz w:val="21"/>
                <w:szCs w:val="21"/>
                <w:color w:val="auto"/>
              </w:rPr>
            </w:pPr>
          </w:p>
        </w:tc>
        <w:tc>
          <w:tcPr>
            <w:tcW w:w="120" w:type="dxa"/>
            <w:vAlign w:val="bottom"/>
            <w:shd w:val="clear" w:color="auto" w:fill="D5EAEA"/>
          </w:tcPr>
          <w:p>
            <w:pPr>
              <w:spacing w:after="0"/>
              <w:rPr>
                <w:sz w:val="21"/>
                <w:szCs w:val="21"/>
                <w:color w:val="auto"/>
              </w:rPr>
            </w:pPr>
          </w:p>
        </w:tc>
        <w:tc>
          <w:tcPr>
            <w:tcW w:w="1320" w:type="dxa"/>
            <w:vAlign w:val="bottom"/>
            <w:shd w:val="clear" w:color="auto" w:fill="D5EAEA"/>
          </w:tcPr>
          <w:p>
            <w:pPr>
              <w:spacing w:after="0"/>
              <w:rPr>
                <w:sz w:val="21"/>
                <w:szCs w:val="21"/>
                <w:color w:val="auto"/>
              </w:rPr>
            </w:pPr>
          </w:p>
        </w:tc>
        <w:tc>
          <w:tcPr>
            <w:tcW w:w="120" w:type="dxa"/>
            <w:vAlign w:val="bottom"/>
            <w:shd w:val="clear" w:color="auto" w:fill="D5EAEA"/>
          </w:tcPr>
          <w:p>
            <w:pPr>
              <w:spacing w:after="0"/>
              <w:rPr>
                <w:sz w:val="21"/>
                <w:szCs w:val="21"/>
                <w:color w:val="auto"/>
              </w:rPr>
            </w:pPr>
          </w:p>
        </w:tc>
        <w:tc>
          <w:tcPr>
            <w:tcW w:w="1480" w:type="dxa"/>
            <w:vAlign w:val="bottom"/>
            <w:shd w:val="clear" w:color="auto" w:fill="D5EAEA"/>
          </w:tcPr>
          <w:p>
            <w:pPr>
              <w:spacing w:after="0"/>
              <w:rPr>
                <w:sz w:val="21"/>
                <w:szCs w:val="2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Prepaid expenses</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2,726</w:t>
            </w:r>
          </w:p>
        </w:tc>
        <w:tc>
          <w:tcPr>
            <w:tcW w:w="12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3,954</w:t>
            </w:r>
          </w:p>
        </w:tc>
      </w:tr>
      <w:tr>
        <w:trPr>
          <w:trHeight w:val="216"/>
        </w:trPr>
        <w:tc>
          <w:tcPr>
            <w:tcW w:w="6860" w:type="dxa"/>
            <w:vAlign w:val="bottom"/>
            <w:shd w:val="clear" w:color="auto" w:fill="D5EAEA"/>
          </w:tcPr>
          <w:p>
            <w:pPr>
              <w:spacing w:after="0"/>
              <w:rPr>
                <w:sz w:val="20"/>
                <w:szCs w:val="20"/>
                <w:color w:val="auto"/>
              </w:rPr>
            </w:pPr>
            <w:r>
              <w:rPr>
                <w:rFonts w:ascii="Arial" w:cs="Arial" w:eastAsia="Arial" w:hAnsi="Arial"/>
                <w:sz w:val="18"/>
                <w:szCs w:val="18"/>
                <w:color w:val="auto"/>
              </w:rPr>
              <w:t>Short-term accrued income</w:t>
            </w:r>
          </w:p>
        </w:tc>
        <w:tc>
          <w:tcPr>
            <w:tcW w:w="13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D5EAEA"/>
          </w:tcPr>
          <w:p>
            <w:pPr>
              <w:spacing w:after="0"/>
              <w:rPr>
                <w:sz w:val="18"/>
                <w:szCs w:val="18"/>
                <w:color w:val="auto"/>
              </w:rPr>
            </w:pPr>
          </w:p>
        </w:tc>
        <w:tc>
          <w:tcPr>
            <w:tcW w:w="13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D5EAEA"/>
          </w:tcPr>
          <w:p>
            <w:pPr>
              <w:spacing w:after="0"/>
              <w:rPr>
                <w:sz w:val="18"/>
                <w:szCs w:val="18"/>
                <w:color w:val="auto"/>
              </w:rPr>
            </w:pPr>
          </w:p>
        </w:tc>
        <w:tc>
          <w:tcPr>
            <w:tcW w:w="14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1,591</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Other current receivables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329</w:t>
            </w:r>
          </w:p>
        </w:tc>
      </w:tr>
      <w:tr>
        <w:trPr>
          <w:trHeight w:val="216"/>
        </w:trPr>
        <w:tc>
          <w:tcPr>
            <w:tcW w:w="6860" w:type="dxa"/>
            <w:vAlign w:val="bottom"/>
            <w:shd w:val="clear" w:color="auto" w:fill="D5EAEA"/>
          </w:tcPr>
          <w:p>
            <w:pPr>
              <w:spacing w:after="0"/>
              <w:rPr>
                <w:sz w:val="20"/>
                <w:szCs w:val="20"/>
                <w:color w:val="auto"/>
              </w:rPr>
            </w:pPr>
            <w:r>
              <w:rPr>
                <w:rFonts w:ascii="Arial" w:cs="Arial" w:eastAsia="Arial" w:hAnsi="Arial"/>
                <w:sz w:val="18"/>
                <w:szCs w:val="18"/>
                <w:color w:val="auto"/>
              </w:rPr>
              <w:t>Short-term financial assets</w:t>
            </w:r>
          </w:p>
        </w:tc>
        <w:tc>
          <w:tcPr>
            <w:tcW w:w="13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shd w:val="clear" w:color="auto" w:fill="D5EAEA"/>
          </w:tcPr>
          <w:p>
            <w:pPr>
              <w:spacing w:after="0"/>
              <w:rPr>
                <w:sz w:val="18"/>
                <w:szCs w:val="18"/>
                <w:color w:val="auto"/>
              </w:rPr>
            </w:pPr>
          </w:p>
        </w:tc>
        <w:tc>
          <w:tcPr>
            <w:tcW w:w="13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95,000</w:t>
            </w:r>
          </w:p>
        </w:tc>
        <w:tc>
          <w:tcPr>
            <w:tcW w:w="120" w:type="dxa"/>
            <w:vAlign w:val="bottom"/>
            <w:shd w:val="clear" w:color="auto" w:fill="D5EAEA"/>
          </w:tcPr>
          <w:p>
            <w:pPr>
              <w:spacing w:after="0"/>
              <w:rPr>
                <w:sz w:val="18"/>
                <w:szCs w:val="18"/>
                <w:color w:val="auto"/>
              </w:rPr>
            </w:pPr>
          </w:p>
        </w:tc>
        <w:tc>
          <w:tcPr>
            <w:tcW w:w="14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65,000</w:t>
            </w:r>
          </w:p>
        </w:tc>
      </w:tr>
      <w:tr>
        <w:trPr>
          <w:trHeight w:val="216"/>
        </w:trPr>
        <w:tc>
          <w:tcPr>
            <w:tcW w:w="686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Cash and cash equivalents</w:t>
            </w:r>
          </w:p>
        </w:tc>
        <w:tc>
          <w:tcPr>
            <w:tcW w:w="1340" w:type="dxa"/>
            <w:vAlign w:val="bottom"/>
            <w:tcBorders>
              <w:bottom w:val="single" w:sz="8" w:color="D5EAEA"/>
            </w:tcBorders>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tcBorders>
              <w:bottom w:val="single" w:sz="8" w:color="D5EAEA"/>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104,135</w:t>
            </w:r>
          </w:p>
        </w:tc>
        <w:tc>
          <w:tcPr>
            <w:tcW w:w="120" w:type="dxa"/>
            <w:vAlign w:val="bottom"/>
            <w:tcBorders>
              <w:bottom w:val="single" w:sz="8" w:color="D5EAEA"/>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160,893</w:t>
            </w:r>
          </w:p>
        </w:tc>
      </w:tr>
      <w:tr>
        <w:trPr>
          <w:trHeight w:val="209"/>
        </w:trPr>
        <w:tc>
          <w:tcPr>
            <w:tcW w:w="686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current assets</w:t>
            </w:r>
          </w:p>
        </w:tc>
        <w:tc>
          <w:tcPr>
            <w:tcW w:w="13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202,802</w:t>
            </w:r>
          </w:p>
        </w:tc>
        <w:tc>
          <w:tcPr>
            <w:tcW w:w="120" w:type="dxa"/>
            <w:vAlign w:val="bottom"/>
            <w:shd w:val="clear" w:color="auto" w:fill="D5EAEA"/>
          </w:tcPr>
          <w:p>
            <w:pPr>
              <w:spacing w:after="0"/>
              <w:rPr>
                <w:sz w:val="18"/>
                <w:szCs w:val="18"/>
                <w:color w:val="auto"/>
              </w:rPr>
            </w:pPr>
          </w:p>
        </w:tc>
        <w:tc>
          <w:tcPr>
            <w:tcW w:w="14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231,767</w:t>
            </w:r>
          </w:p>
        </w:tc>
      </w:tr>
      <w:tr>
        <w:trPr>
          <w:trHeight w:val="250"/>
        </w:trPr>
        <w:tc>
          <w:tcPr>
            <w:tcW w:w="686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assets</w:t>
            </w:r>
          </w:p>
        </w:tc>
        <w:tc>
          <w:tcPr>
            <w:tcW w:w="1340" w:type="dxa"/>
            <w:vAlign w:val="bottom"/>
            <w:tcBorders>
              <w:bottom w:val="single" w:sz="8" w:color="D5EAEA"/>
            </w:tcBorders>
          </w:tcPr>
          <w:p>
            <w:pPr>
              <w:spacing w:after="0"/>
              <w:rPr>
                <w:sz w:val="21"/>
                <w:szCs w:val="21"/>
                <w:color w:val="auto"/>
              </w:rPr>
            </w:pPr>
          </w:p>
        </w:tc>
        <w:tc>
          <w:tcPr>
            <w:tcW w:w="120" w:type="dxa"/>
            <w:vAlign w:val="bottom"/>
            <w:tcBorders>
              <w:bottom w:val="single" w:sz="8" w:color="D5EAEA"/>
            </w:tcBorders>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211,090</w:t>
            </w:r>
          </w:p>
        </w:tc>
        <w:tc>
          <w:tcPr>
            <w:tcW w:w="120" w:type="dxa"/>
            <w:vAlign w:val="bottom"/>
            <w:tcBorders>
              <w:bottom w:val="single" w:sz="8" w:color="D5EAEA"/>
            </w:tcBorders>
          </w:tcPr>
          <w:p>
            <w:pPr>
              <w:spacing w:after="0"/>
              <w:rPr>
                <w:sz w:val="21"/>
                <w:szCs w:val="21"/>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238,740</w:t>
            </w:r>
          </w:p>
        </w:tc>
      </w:tr>
      <w:tr>
        <w:trPr>
          <w:trHeight w:val="223"/>
        </w:trPr>
        <w:tc>
          <w:tcPr>
            <w:tcW w:w="6860" w:type="dxa"/>
            <w:vAlign w:val="bottom"/>
            <w:shd w:val="clear" w:color="auto" w:fill="D5EAEA"/>
          </w:tcPr>
          <w:p>
            <w:pPr>
              <w:spacing w:after="0"/>
              <w:rPr>
                <w:sz w:val="19"/>
                <w:szCs w:val="19"/>
                <w:color w:val="auto"/>
              </w:rPr>
            </w:pPr>
          </w:p>
        </w:tc>
        <w:tc>
          <w:tcPr>
            <w:tcW w:w="1340" w:type="dxa"/>
            <w:vAlign w:val="bottom"/>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320" w:type="dxa"/>
            <w:vAlign w:val="bottom"/>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480" w:type="dxa"/>
            <w:vAlign w:val="bottom"/>
            <w:shd w:val="clear" w:color="auto" w:fill="D5EAEA"/>
          </w:tcPr>
          <w:p>
            <w:pPr>
              <w:spacing w:after="0"/>
              <w:rPr>
                <w:sz w:val="19"/>
                <w:szCs w:val="19"/>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b w:val="1"/>
                <w:bCs w:val="1"/>
                <w:color w:val="auto"/>
              </w:rPr>
              <w:t>SHAREHOLDERS’ EQUITY AND LIABILITIES</w:t>
            </w: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43"/>
        </w:trPr>
        <w:tc>
          <w:tcPr>
            <w:tcW w:w="6860" w:type="dxa"/>
            <w:vAlign w:val="bottom"/>
            <w:shd w:val="clear" w:color="auto" w:fill="D5EAEA"/>
          </w:tcPr>
          <w:p>
            <w:pPr>
              <w:spacing w:after="0"/>
              <w:rPr>
                <w:sz w:val="21"/>
                <w:szCs w:val="21"/>
                <w:color w:val="auto"/>
              </w:rPr>
            </w:pPr>
          </w:p>
        </w:tc>
        <w:tc>
          <w:tcPr>
            <w:tcW w:w="1340" w:type="dxa"/>
            <w:vAlign w:val="bottom"/>
            <w:shd w:val="clear" w:color="auto" w:fill="D5EAEA"/>
          </w:tcPr>
          <w:p>
            <w:pPr>
              <w:spacing w:after="0"/>
              <w:rPr>
                <w:sz w:val="21"/>
                <w:szCs w:val="21"/>
                <w:color w:val="auto"/>
              </w:rPr>
            </w:pPr>
          </w:p>
        </w:tc>
        <w:tc>
          <w:tcPr>
            <w:tcW w:w="120" w:type="dxa"/>
            <w:vAlign w:val="bottom"/>
            <w:shd w:val="clear" w:color="auto" w:fill="D5EAEA"/>
          </w:tcPr>
          <w:p>
            <w:pPr>
              <w:spacing w:after="0"/>
              <w:rPr>
                <w:sz w:val="21"/>
                <w:szCs w:val="21"/>
                <w:color w:val="auto"/>
              </w:rPr>
            </w:pPr>
          </w:p>
        </w:tc>
        <w:tc>
          <w:tcPr>
            <w:tcW w:w="1320" w:type="dxa"/>
            <w:vAlign w:val="bottom"/>
            <w:shd w:val="clear" w:color="auto" w:fill="D5EAEA"/>
          </w:tcPr>
          <w:p>
            <w:pPr>
              <w:spacing w:after="0"/>
              <w:rPr>
                <w:sz w:val="21"/>
                <w:szCs w:val="21"/>
                <w:color w:val="auto"/>
              </w:rPr>
            </w:pPr>
          </w:p>
        </w:tc>
        <w:tc>
          <w:tcPr>
            <w:tcW w:w="120" w:type="dxa"/>
            <w:vAlign w:val="bottom"/>
            <w:shd w:val="clear" w:color="auto" w:fill="D5EAEA"/>
          </w:tcPr>
          <w:p>
            <w:pPr>
              <w:spacing w:after="0"/>
              <w:rPr>
                <w:sz w:val="21"/>
                <w:szCs w:val="21"/>
                <w:color w:val="auto"/>
              </w:rPr>
            </w:pPr>
          </w:p>
        </w:tc>
        <w:tc>
          <w:tcPr>
            <w:tcW w:w="1480" w:type="dxa"/>
            <w:vAlign w:val="bottom"/>
            <w:shd w:val="clear" w:color="auto" w:fill="D5EAEA"/>
          </w:tcPr>
          <w:p>
            <w:pPr>
              <w:spacing w:after="0"/>
              <w:rPr>
                <w:sz w:val="21"/>
                <w:szCs w:val="21"/>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16"/>
        </w:trPr>
        <w:tc>
          <w:tcPr>
            <w:tcW w:w="6860" w:type="dxa"/>
            <w:vAlign w:val="bottom"/>
            <w:shd w:val="clear" w:color="auto" w:fill="D5EAEA"/>
          </w:tcPr>
          <w:p>
            <w:pPr>
              <w:spacing w:after="0"/>
              <w:rPr>
                <w:sz w:val="20"/>
                <w:szCs w:val="20"/>
                <w:color w:val="auto"/>
              </w:rPr>
            </w:pPr>
            <w:r>
              <w:rPr>
                <w:rFonts w:ascii="Arial" w:cs="Arial" w:eastAsia="Arial" w:hAnsi="Arial"/>
                <w:sz w:val="18"/>
                <w:szCs w:val="18"/>
                <w:color w:val="auto"/>
              </w:rPr>
              <w:t>Share capital</w:t>
            </w:r>
          </w:p>
        </w:tc>
        <w:tc>
          <w:tcPr>
            <w:tcW w:w="13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1,539</w:t>
            </w:r>
          </w:p>
        </w:tc>
        <w:tc>
          <w:tcPr>
            <w:tcW w:w="120" w:type="dxa"/>
            <w:vAlign w:val="bottom"/>
            <w:shd w:val="clear" w:color="auto" w:fill="D5EAEA"/>
          </w:tcPr>
          <w:p>
            <w:pPr>
              <w:spacing w:after="0"/>
              <w:rPr>
                <w:sz w:val="18"/>
                <w:szCs w:val="18"/>
                <w:color w:val="auto"/>
              </w:rPr>
            </w:pPr>
          </w:p>
        </w:tc>
        <w:tc>
          <w:tcPr>
            <w:tcW w:w="14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1,538</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Share premium</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354,899</w:t>
            </w:r>
          </w:p>
        </w:tc>
        <w:tc>
          <w:tcPr>
            <w:tcW w:w="12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346,890</w:t>
            </w:r>
          </w:p>
        </w:tc>
      </w:tr>
      <w:tr>
        <w:trPr>
          <w:trHeight w:val="216"/>
        </w:trPr>
        <w:tc>
          <w:tcPr>
            <w:tcW w:w="6860" w:type="dxa"/>
            <w:vAlign w:val="bottom"/>
            <w:shd w:val="clear" w:color="auto" w:fill="D5EAEA"/>
          </w:tcPr>
          <w:p>
            <w:pPr>
              <w:spacing w:after="0"/>
              <w:rPr>
                <w:sz w:val="20"/>
                <w:szCs w:val="20"/>
                <w:color w:val="auto"/>
              </w:rPr>
            </w:pPr>
            <w:r>
              <w:rPr>
                <w:rFonts w:ascii="Arial" w:cs="Arial" w:eastAsia="Arial" w:hAnsi="Arial"/>
                <w:sz w:val="18"/>
                <w:szCs w:val="18"/>
                <w:color w:val="auto"/>
              </w:rPr>
              <w:t>Treasury shares</w:t>
            </w:r>
          </w:p>
        </w:tc>
        <w:tc>
          <w:tcPr>
            <w:tcW w:w="13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shd w:val="clear" w:color="auto" w:fill="D5EAEA"/>
          </w:tcPr>
          <w:p>
            <w:pPr>
              <w:spacing w:after="0"/>
              <w:rPr>
                <w:sz w:val="18"/>
                <w:szCs w:val="18"/>
                <w:color w:val="auto"/>
              </w:rPr>
            </w:pPr>
          </w:p>
        </w:tc>
        <w:tc>
          <w:tcPr>
            <w:tcW w:w="13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D5EAEA"/>
          </w:tcPr>
          <w:p>
            <w:pPr>
              <w:spacing w:after="0"/>
              <w:rPr>
                <w:sz w:val="18"/>
                <w:szCs w:val="18"/>
                <w:color w:val="auto"/>
              </w:rPr>
            </w:pPr>
          </w:p>
        </w:tc>
        <w:tc>
          <w:tcPr>
            <w:tcW w:w="14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86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Accumulated losses</w:t>
            </w:r>
          </w:p>
        </w:tc>
        <w:tc>
          <w:tcPr>
            <w:tcW w:w="1340" w:type="dxa"/>
            <w:vAlign w:val="bottom"/>
            <w:tcBorders>
              <w:bottom w:val="single" w:sz="8" w:color="D5EAEA"/>
            </w:tcBorders>
          </w:tcPr>
          <w:p>
            <w:pPr>
              <w:spacing w:after="0"/>
              <w:rPr>
                <w:sz w:val="18"/>
                <w:szCs w:val="18"/>
                <w:color w:val="auto"/>
              </w:rPr>
            </w:pPr>
          </w:p>
        </w:tc>
        <w:tc>
          <w:tcPr>
            <w:tcW w:w="120" w:type="dxa"/>
            <w:vAlign w:val="bottom"/>
            <w:tcBorders>
              <w:bottom w:val="single" w:sz="8" w:color="D5EAEA"/>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(167,071)</w:t>
            </w:r>
          </w:p>
        </w:tc>
        <w:tc>
          <w:tcPr>
            <w:tcW w:w="120" w:type="dxa"/>
            <w:vAlign w:val="bottom"/>
            <w:tcBorders>
              <w:bottom w:val="single" w:sz="8" w:color="D5EAEA"/>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(132,850)</w:t>
            </w:r>
          </w:p>
        </w:tc>
      </w:tr>
      <w:tr>
        <w:trPr>
          <w:trHeight w:val="210"/>
        </w:trPr>
        <w:tc>
          <w:tcPr>
            <w:tcW w:w="686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shareholders’ equity</w:t>
            </w:r>
          </w:p>
        </w:tc>
        <w:tc>
          <w:tcPr>
            <w:tcW w:w="1340" w:type="dxa"/>
            <w:vAlign w:val="bottom"/>
            <w:tcBorders>
              <w:bottom w:val="single" w:sz="8" w:color="D5EAEA"/>
            </w:tcBorders>
            <w:shd w:val="clear" w:color="auto" w:fill="D5EAEA"/>
          </w:tcPr>
          <w:p>
            <w:pPr>
              <w:spacing w:after="0"/>
              <w:rPr>
                <w:sz w:val="18"/>
                <w:szCs w:val="18"/>
                <w:color w:val="auto"/>
              </w:rPr>
            </w:pPr>
          </w:p>
        </w:tc>
        <w:tc>
          <w:tcPr>
            <w:tcW w:w="120" w:type="dxa"/>
            <w:vAlign w:val="bottom"/>
            <w:tcBorders>
              <w:bottom w:val="single" w:sz="8" w:color="D5EAEA"/>
            </w:tcBorders>
            <w:shd w:val="clear" w:color="auto" w:fill="D5EAEA"/>
          </w:tcPr>
          <w:p>
            <w:pPr>
              <w:spacing w:after="0"/>
              <w:rPr>
                <w:sz w:val="18"/>
                <w:szCs w:val="18"/>
                <w:color w:val="auto"/>
              </w:rPr>
            </w:pPr>
          </w:p>
        </w:tc>
        <w:tc>
          <w:tcPr>
            <w:tcW w:w="13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189,282</w:t>
            </w:r>
          </w:p>
        </w:tc>
        <w:tc>
          <w:tcPr>
            <w:tcW w:w="120" w:type="dxa"/>
            <w:vAlign w:val="bottom"/>
            <w:tcBorders>
              <w:bottom w:val="single" w:sz="8" w:color="D5EAEA"/>
            </w:tcBorders>
            <w:shd w:val="clear" w:color="auto" w:fill="D5EAEA"/>
          </w:tcPr>
          <w:p>
            <w:pPr>
              <w:spacing w:after="0"/>
              <w:rPr>
                <w:sz w:val="18"/>
                <w:szCs w:val="18"/>
                <w:color w:val="auto"/>
              </w:rPr>
            </w:pPr>
          </w:p>
        </w:tc>
        <w:tc>
          <w:tcPr>
            <w:tcW w:w="14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215,478</w:t>
            </w:r>
          </w:p>
        </w:tc>
      </w:tr>
      <w:tr>
        <w:trPr>
          <w:trHeight w:val="20"/>
        </w:trPr>
        <w:tc>
          <w:tcPr>
            <w:tcW w:w="6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3"/>
        </w:trPr>
        <w:tc>
          <w:tcPr>
            <w:tcW w:w="68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43"/>
        </w:trPr>
        <w:tc>
          <w:tcPr>
            <w:tcW w:w="686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Non-current liabilities</w:t>
            </w:r>
          </w:p>
        </w:tc>
        <w:tc>
          <w:tcPr>
            <w:tcW w:w="1340" w:type="dxa"/>
            <w:vAlign w:val="bottom"/>
            <w:shd w:val="clear" w:color="auto" w:fill="D5EAEA"/>
          </w:tcPr>
          <w:p>
            <w:pPr>
              <w:spacing w:after="0"/>
              <w:rPr>
                <w:sz w:val="21"/>
                <w:szCs w:val="21"/>
                <w:color w:val="auto"/>
              </w:rPr>
            </w:pPr>
          </w:p>
        </w:tc>
        <w:tc>
          <w:tcPr>
            <w:tcW w:w="120" w:type="dxa"/>
            <w:vAlign w:val="bottom"/>
            <w:shd w:val="clear" w:color="auto" w:fill="D5EAEA"/>
          </w:tcPr>
          <w:p>
            <w:pPr>
              <w:spacing w:after="0"/>
              <w:rPr>
                <w:sz w:val="21"/>
                <w:szCs w:val="21"/>
                <w:color w:val="auto"/>
              </w:rPr>
            </w:pPr>
          </w:p>
        </w:tc>
        <w:tc>
          <w:tcPr>
            <w:tcW w:w="1320" w:type="dxa"/>
            <w:vAlign w:val="bottom"/>
            <w:shd w:val="clear" w:color="auto" w:fill="D5EAEA"/>
          </w:tcPr>
          <w:p>
            <w:pPr>
              <w:spacing w:after="0"/>
              <w:rPr>
                <w:sz w:val="21"/>
                <w:szCs w:val="21"/>
                <w:color w:val="auto"/>
              </w:rPr>
            </w:pPr>
          </w:p>
        </w:tc>
        <w:tc>
          <w:tcPr>
            <w:tcW w:w="120" w:type="dxa"/>
            <w:vAlign w:val="bottom"/>
            <w:shd w:val="clear" w:color="auto" w:fill="D5EAEA"/>
          </w:tcPr>
          <w:p>
            <w:pPr>
              <w:spacing w:after="0"/>
              <w:rPr>
                <w:sz w:val="21"/>
                <w:szCs w:val="21"/>
                <w:color w:val="auto"/>
              </w:rPr>
            </w:pPr>
          </w:p>
        </w:tc>
        <w:tc>
          <w:tcPr>
            <w:tcW w:w="1480" w:type="dxa"/>
            <w:vAlign w:val="bottom"/>
            <w:shd w:val="clear" w:color="auto" w:fill="D5EAEA"/>
          </w:tcPr>
          <w:p>
            <w:pPr>
              <w:spacing w:after="0"/>
              <w:rPr>
                <w:sz w:val="21"/>
                <w:szCs w:val="2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Long-term deferred income</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shd w:val="clear" w:color="auto" w:fill="D5EAEA"/>
          </w:tcPr>
          <w:p>
            <w:pPr>
              <w:spacing w:after="0"/>
              <w:rPr>
                <w:sz w:val="20"/>
                <w:szCs w:val="20"/>
                <w:color w:val="auto"/>
              </w:rPr>
            </w:pPr>
            <w:r>
              <w:rPr>
                <w:rFonts w:ascii="Arial" w:cs="Arial" w:eastAsia="Arial" w:hAnsi="Arial"/>
                <w:sz w:val="18"/>
                <w:szCs w:val="18"/>
                <w:color w:val="auto"/>
              </w:rPr>
              <w:t>Long-term lease liabilities</w:t>
            </w:r>
          </w:p>
        </w:tc>
        <w:tc>
          <w:tcPr>
            <w:tcW w:w="13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shd w:val="clear" w:color="auto" w:fill="D5EAEA"/>
          </w:tcPr>
          <w:p>
            <w:pPr>
              <w:spacing w:after="0"/>
              <w:rPr>
                <w:sz w:val="18"/>
                <w:szCs w:val="18"/>
                <w:color w:val="auto"/>
              </w:rPr>
            </w:pPr>
          </w:p>
        </w:tc>
        <w:tc>
          <w:tcPr>
            <w:tcW w:w="13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2,126</w:t>
            </w:r>
          </w:p>
        </w:tc>
        <w:tc>
          <w:tcPr>
            <w:tcW w:w="120" w:type="dxa"/>
            <w:vAlign w:val="bottom"/>
            <w:shd w:val="clear" w:color="auto" w:fill="D5EAEA"/>
          </w:tcPr>
          <w:p>
            <w:pPr>
              <w:spacing w:after="0"/>
              <w:rPr>
                <w:sz w:val="18"/>
                <w:szCs w:val="18"/>
                <w:color w:val="auto"/>
              </w:rPr>
            </w:pPr>
          </w:p>
        </w:tc>
        <w:tc>
          <w:tcPr>
            <w:tcW w:w="14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1,780</w:t>
            </w:r>
          </w:p>
        </w:tc>
      </w:tr>
      <w:tr>
        <w:trPr>
          <w:trHeight w:val="243"/>
        </w:trPr>
        <w:tc>
          <w:tcPr>
            <w:tcW w:w="686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Net employee defined-benefit liabilities</w:t>
            </w:r>
          </w:p>
        </w:tc>
        <w:tc>
          <w:tcPr>
            <w:tcW w:w="1340" w:type="dxa"/>
            <w:vAlign w:val="bottom"/>
            <w:tcBorders>
              <w:bottom w:val="single" w:sz="8" w:color="D5EAEA"/>
            </w:tcBorders>
          </w:tcPr>
          <w:p>
            <w:pPr>
              <w:spacing w:after="0"/>
              <w:rPr>
                <w:sz w:val="21"/>
                <w:szCs w:val="21"/>
                <w:color w:val="auto"/>
              </w:rPr>
            </w:pPr>
          </w:p>
        </w:tc>
        <w:tc>
          <w:tcPr>
            <w:tcW w:w="120" w:type="dxa"/>
            <w:vAlign w:val="bottom"/>
            <w:tcBorders>
              <w:bottom w:val="single" w:sz="8" w:color="D5EAEA"/>
            </w:tcBorders>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7,774</w:t>
            </w:r>
          </w:p>
        </w:tc>
        <w:tc>
          <w:tcPr>
            <w:tcW w:w="120" w:type="dxa"/>
            <w:vAlign w:val="bottom"/>
            <w:tcBorders>
              <w:bottom w:val="single" w:sz="8" w:color="D5EAEA"/>
            </w:tcBorders>
          </w:tcPr>
          <w:p>
            <w:pPr>
              <w:spacing w:after="0"/>
              <w:rPr>
                <w:sz w:val="21"/>
                <w:szCs w:val="21"/>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7,464</w:t>
            </w:r>
          </w:p>
        </w:tc>
      </w:tr>
      <w:tr>
        <w:trPr>
          <w:trHeight w:val="210"/>
        </w:trPr>
        <w:tc>
          <w:tcPr>
            <w:tcW w:w="686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non-current liabilities</w:t>
            </w:r>
          </w:p>
        </w:tc>
        <w:tc>
          <w:tcPr>
            <w:tcW w:w="1340" w:type="dxa"/>
            <w:vAlign w:val="bottom"/>
            <w:tcBorders>
              <w:bottom w:val="single" w:sz="8" w:color="D5EAEA"/>
            </w:tcBorders>
            <w:shd w:val="clear" w:color="auto" w:fill="D5EAEA"/>
          </w:tcPr>
          <w:p>
            <w:pPr>
              <w:spacing w:after="0"/>
              <w:rPr>
                <w:sz w:val="18"/>
                <w:szCs w:val="18"/>
                <w:color w:val="auto"/>
              </w:rPr>
            </w:pPr>
          </w:p>
        </w:tc>
        <w:tc>
          <w:tcPr>
            <w:tcW w:w="120" w:type="dxa"/>
            <w:vAlign w:val="bottom"/>
            <w:tcBorders>
              <w:bottom w:val="single" w:sz="8" w:color="D5EAEA"/>
            </w:tcBorders>
            <w:shd w:val="clear" w:color="auto" w:fill="D5EAEA"/>
          </w:tcPr>
          <w:p>
            <w:pPr>
              <w:spacing w:after="0"/>
              <w:rPr>
                <w:sz w:val="18"/>
                <w:szCs w:val="18"/>
                <w:color w:val="auto"/>
              </w:rPr>
            </w:pPr>
          </w:p>
        </w:tc>
        <w:tc>
          <w:tcPr>
            <w:tcW w:w="13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9,961</w:t>
            </w:r>
          </w:p>
        </w:tc>
        <w:tc>
          <w:tcPr>
            <w:tcW w:w="120" w:type="dxa"/>
            <w:vAlign w:val="bottom"/>
            <w:tcBorders>
              <w:bottom w:val="single" w:sz="8" w:color="D5EAEA"/>
            </w:tcBorders>
            <w:shd w:val="clear" w:color="auto" w:fill="D5EAEA"/>
          </w:tcPr>
          <w:p>
            <w:pPr>
              <w:spacing w:after="0"/>
              <w:rPr>
                <w:sz w:val="18"/>
                <w:szCs w:val="18"/>
                <w:color w:val="auto"/>
              </w:rPr>
            </w:pPr>
          </w:p>
        </w:tc>
        <w:tc>
          <w:tcPr>
            <w:tcW w:w="14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9,244</w:t>
            </w:r>
          </w:p>
        </w:tc>
      </w:tr>
      <w:tr>
        <w:trPr>
          <w:trHeight w:val="20"/>
        </w:trPr>
        <w:tc>
          <w:tcPr>
            <w:tcW w:w="6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4"/>
        </w:trPr>
        <w:tc>
          <w:tcPr>
            <w:tcW w:w="68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43"/>
        </w:trPr>
        <w:tc>
          <w:tcPr>
            <w:tcW w:w="686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Current liabilities</w:t>
            </w:r>
          </w:p>
        </w:tc>
        <w:tc>
          <w:tcPr>
            <w:tcW w:w="1340" w:type="dxa"/>
            <w:vAlign w:val="bottom"/>
            <w:shd w:val="clear" w:color="auto" w:fill="D5EAEA"/>
          </w:tcPr>
          <w:p>
            <w:pPr>
              <w:spacing w:after="0"/>
              <w:rPr>
                <w:sz w:val="21"/>
                <w:szCs w:val="21"/>
                <w:color w:val="auto"/>
              </w:rPr>
            </w:pPr>
          </w:p>
        </w:tc>
        <w:tc>
          <w:tcPr>
            <w:tcW w:w="120" w:type="dxa"/>
            <w:vAlign w:val="bottom"/>
            <w:shd w:val="clear" w:color="auto" w:fill="D5EAEA"/>
          </w:tcPr>
          <w:p>
            <w:pPr>
              <w:spacing w:after="0"/>
              <w:rPr>
                <w:sz w:val="21"/>
                <w:szCs w:val="21"/>
                <w:color w:val="auto"/>
              </w:rPr>
            </w:pPr>
          </w:p>
        </w:tc>
        <w:tc>
          <w:tcPr>
            <w:tcW w:w="1320" w:type="dxa"/>
            <w:vAlign w:val="bottom"/>
            <w:shd w:val="clear" w:color="auto" w:fill="D5EAEA"/>
          </w:tcPr>
          <w:p>
            <w:pPr>
              <w:spacing w:after="0"/>
              <w:rPr>
                <w:sz w:val="21"/>
                <w:szCs w:val="21"/>
                <w:color w:val="auto"/>
              </w:rPr>
            </w:pPr>
          </w:p>
        </w:tc>
        <w:tc>
          <w:tcPr>
            <w:tcW w:w="120" w:type="dxa"/>
            <w:vAlign w:val="bottom"/>
            <w:shd w:val="clear" w:color="auto" w:fill="D5EAEA"/>
          </w:tcPr>
          <w:p>
            <w:pPr>
              <w:spacing w:after="0"/>
              <w:rPr>
                <w:sz w:val="21"/>
                <w:szCs w:val="21"/>
                <w:color w:val="auto"/>
              </w:rPr>
            </w:pPr>
          </w:p>
        </w:tc>
        <w:tc>
          <w:tcPr>
            <w:tcW w:w="1480" w:type="dxa"/>
            <w:vAlign w:val="bottom"/>
            <w:shd w:val="clear" w:color="auto" w:fill="D5EAEA"/>
          </w:tcPr>
          <w:p>
            <w:pPr>
              <w:spacing w:after="0"/>
              <w:rPr>
                <w:sz w:val="21"/>
                <w:szCs w:val="2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2,184</w:t>
            </w:r>
          </w:p>
        </w:tc>
      </w:tr>
      <w:tr>
        <w:trPr>
          <w:trHeight w:val="216"/>
        </w:trPr>
        <w:tc>
          <w:tcPr>
            <w:tcW w:w="6860" w:type="dxa"/>
            <w:vAlign w:val="bottom"/>
            <w:shd w:val="clear" w:color="auto" w:fill="D5EAEA"/>
          </w:tcPr>
          <w:p>
            <w:pPr>
              <w:spacing w:after="0"/>
              <w:rPr>
                <w:sz w:val="20"/>
                <w:szCs w:val="20"/>
                <w:color w:val="auto"/>
              </w:rPr>
            </w:pPr>
            <w:r>
              <w:rPr>
                <w:rFonts w:ascii="Arial" w:cs="Arial" w:eastAsia="Arial" w:hAnsi="Arial"/>
                <w:sz w:val="18"/>
                <w:szCs w:val="18"/>
                <w:color w:val="auto"/>
              </w:rPr>
              <w:t>Accrued expenses</w:t>
            </w:r>
          </w:p>
        </w:tc>
        <w:tc>
          <w:tcPr>
            <w:tcW w:w="13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10,611</w:t>
            </w:r>
          </w:p>
        </w:tc>
        <w:tc>
          <w:tcPr>
            <w:tcW w:w="120" w:type="dxa"/>
            <w:vAlign w:val="bottom"/>
            <w:shd w:val="clear" w:color="auto" w:fill="D5EAEA"/>
          </w:tcPr>
          <w:p>
            <w:pPr>
              <w:spacing w:after="0"/>
              <w:rPr>
                <w:sz w:val="18"/>
                <w:szCs w:val="18"/>
                <w:color w:val="auto"/>
              </w:rPr>
            </w:pPr>
          </w:p>
        </w:tc>
        <w:tc>
          <w:tcPr>
            <w:tcW w:w="14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11,085</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Short-term deferred income</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306</w:t>
            </w:r>
          </w:p>
        </w:tc>
      </w:tr>
      <w:tr>
        <w:trPr>
          <w:trHeight w:val="216"/>
        </w:trPr>
        <w:tc>
          <w:tcPr>
            <w:tcW w:w="6860" w:type="dxa"/>
            <w:vAlign w:val="bottom"/>
            <w:shd w:val="clear" w:color="auto" w:fill="D5EAEA"/>
          </w:tcPr>
          <w:p>
            <w:pPr>
              <w:spacing w:after="0"/>
              <w:rPr>
                <w:sz w:val="20"/>
                <w:szCs w:val="20"/>
                <w:color w:val="auto"/>
              </w:rPr>
            </w:pPr>
            <w:r>
              <w:rPr>
                <w:rFonts w:ascii="Arial" w:cs="Arial" w:eastAsia="Arial" w:hAnsi="Arial"/>
                <w:sz w:val="18"/>
                <w:szCs w:val="18"/>
                <w:color w:val="auto"/>
              </w:rPr>
              <w:t>Short-term lease liabilities</w:t>
            </w:r>
          </w:p>
        </w:tc>
        <w:tc>
          <w:tcPr>
            <w:tcW w:w="13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shd w:val="clear" w:color="auto" w:fill="D5EAEA"/>
          </w:tcPr>
          <w:p>
            <w:pPr>
              <w:spacing w:after="0"/>
              <w:rPr>
                <w:sz w:val="18"/>
                <w:szCs w:val="18"/>
                <w:color w:val="auto"/>
              </w:rPr>
            </w:pPr>
          </w:p>
        </w:tc>
        <w:tc>
          <w:tcPr>
            <w:tcW w:w="13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571</w:t>
            </w:r>
          </w:p>
        </w:tc>
        <w:tc>
          <w:tcPr>
            <w:tcW w:w="120" w:type="dxa"/>
            <w:vAlign w:val="bottom"/>
            <w:shd w:val="clear" w:color="auto" w:fill="D5EAEA"/>
          </w:tcPr>
          <w:p>
            <w:pPr>
              <w:spacing w:after="0"/>
              <w:rPr>
                <w:sz w:val="18"/>
                <w:szCs w:val="18"/>
                <w:color w:val="auto"/>
              </w:rPr>
            </w:pPr>
          </w:p>
        </w:tc>
        <w:tc>
          <w:tcPr>
            <w:tcW w:w="14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443</w:t>
            </w:r>
          </w:p>
        </w:tc>
      </w:tr>
      <w:tr>
        <w:trPr>
          <w:trHeight w:val="210"/>
        </w:trPr>
        <w:tc>
          <w:tcPr>
            <w:tcW w:w="686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1340" w:type="dxa"/>
            <w:vAlign w:val="bottom"/>
            <w:tcBorders>
              <w:bottom w:val="single" w:sz="8" w:color="D5EAEA"/>
            </w:tcBorders>
          </w:tcPr>
          <w:p>
            <w:pPr>
              <w:spacing w:after="0"/>
              <w:rPr>
                <w:sz w:val="18"/>
                <w:szCs w:val="18"/>
                <w:color w:val="auto"/>
              </w:rPr>
            </w:pPr>
          </w:p>
        </w:tc>
        <w:tc>
          <w:tcPr>
            <w:tcW w:w="120" w:type="dxa"/>
            <w:vAlign w:val="bottom"/>
            <w:tcBorders>
              <w:bottom w:val="single" w:sz="8" w:color="D5EAEA"/>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11,847</w:t>
            </w:r>
          </w:p>
        </w:tc>
        <w:tc>
          <w:tcPr>
            <w:tcW w:w="120" w:type="dxa"/>
            <w:vAlign w:val="bottom"/>
            <w:tcBorders>
              <w:bottom w:val="single" w:sz="8" w:color="D5EAEA"/>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14,018</w:t>
            </w:r>
          </w:p>
        </w:tc>
      </w:tr>
      <w:tr>
        <w:trPr>
          <w:trHeight w:val="210"/>
        </w:trPr>
        <w:tc>
          <w:tcPr>
            <w:tcW w:w="686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liabilities</w:t>
            </w:r>
          </w:p>
        </w:tc>
        <w:tc>
          <w:tcPr>
            <w:tcW w:w="13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21,808</w:t>
            </w:r>
          </w:p>
        </w:tc>
        <w:tc>
          <w:tcPr>
            <w:tcW w:w="120" w:type="dxa"/>
            <w:vAlign w:val="bottom"/>
            <w:shd w:val="clear" w:color="auto" w:fill="D5EAEA"/>
          </w:tcPr>
          <w:p>
            <w:pPr>
              <w:spacing w:after="0"/>
              <w:rPr>
                <w:sz w:val="18"/>
                <w:szCs w:val="18"/>
                <w:color w:val="auto"/>
              </w:rPr>
            </w:pPr>
          </w:p>
        </w:tc>
        <w:tc>
          <w:tcPr>
            <w:tcW w:w="14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23,262</w:t>
            </w:r>
          </w:p>
        </w:tc>
      </w:tr>
      <w:tr>
        <w:trPr>
          <w:trHeight w:val="209"/>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211,090</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238,740</w:t>
            </w:r>
          </w:p>
        </w:tc>
      </w:tr>
      <w:tr>
        <w:trPr>
          <w:trHeight w:val="20"/>
        </w:trPr>
        <w:tc>
          <w:tcPr>
            <w:tcW w:w="6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form an integral part of these Interim Condensed Consolidated Financial Statements (Unaudited).</w:t>
      </w:r>
    </w:p>
    <w:p>
      <w:pPr>
        <w:spacing w:after="0" w:line="33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Condensed Consolidated Statements of Income/(Loss)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 except for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For the Three Months</w:t>
            </w:r>
          </w:p>
        </w:tc>
        <w:tc>
          <w:tcPr>
            <w:tcW w:w="2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For the Six Months</w:t>
            </w: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Ended June 30,</w:t>
            </w:r>
          </w:p>
        </w:tc>
        <w:tc>
          <w:tcPr>
            <w:tcW w:w="2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Ended June 30,</w:t>
            </w:r>
          </w:p>
        </w:tc>
        <w:tc>
          <w:tcPr>
            <w:tcW w:w="0" w:type="dxa"/>
            <w:vAlign w:val="bottom"/>
          </w:tcPr>
          <w:p>
            <w:pPr>
              <w:spacing w:after="0"/>
              <w:rPr>
                <w:sz w:val="1"/>
                <w:szCs w:val="1"/>
                <w:color w:val="auto"/>
              </w:rPr>
            </w:pPr>
          </w:p>
        </w:tc>
      </w:tr>
      <w:tr>
        <w:trPr>
          <w:trHeight w:val="223"/>
        </w:trPr>
        <w:tc>
          <w:tcPr>
            <w:tcW w:w="474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800" w:type="dxa"/>
            <w:vAlign w:val="bottom"/>
            <w:gridSpan w:val="3"/>
          </w:tcPr>
          <w:p>
            <w:pPr>
              <w:ind w:left="120"/>
              <w:spacing w:after="0"/>
              <w:rPr>
                <w:sz w:val="20"/>
                <w:szCs w:val="20"/>
                <w:color w:val="auto"/>
              </w:rPr>
            </w:pPr>
            <w:r>
              <w:rPr>
                <w:rFonts w:ascii="Arial" w:cs="Arial" w:eastAsia="Arial" w:hAnsi="Arial"/>
                <w:sz w:val="18"/>
                <w:szCs w:val="18"/>
                <w:b w:val="1"/>
                <w:bCs w:val="1"/>
                <w:color w:val="auto"/>
              </w:rPr>
              <w:t>Notes</w:t>
            </w:r>
          </w:p>
        </w:tc>
        <w:tc>
          <w:tcPr>
            <w:tcW w:w="136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3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4740" w:type="dxa"/>
            <w:vAlign w:val="bottom"/>
            <w:vMerge w:val="continue"/>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D5EAEA"/>
          </w:tcPr>
          <w:p>
            <w:pPr>
              <w:spacing w:after="0"/>
              <w:rPr>
                <w:sz w:val="20"/>
                <w:szCs w:val="20"/>
                <w:color w:val="auto"/>
              </w:rPr>
            </w:pPr>
            <w:r>
              <w:rPr>
                <w:rFonts w:ascii="Arial" w:cs="Arial" w:eastAsia="Arial" w:hAnsi="Arial"/>
                <w:sz w:val="18"/>
                <w:szCs w:val="18"/>
                <w:color w:val="auto"/>
              </w:rPr>
              <w:t>Contract revenue</w:t>
            </w:r>
          </w:p>
        </w:tc>
        <w:tc>
          <w:tcPr>
            <w:tcW w:w="68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shd w:val="clear" w:color="auto" w:fill="D5EAEA"/>
          </w:tcPr>
          <w:p>
            <w:pPr>
              <w:spacing w:after="0"/>
              <w:rPr>
                <w:sz w:val="19"/>
                <w:szCs w:val="19"/>
                <w:color w:val="auto"/>
              </w:rPr>
            </w:pPr>
          </w:p>
        </w:tc>
        <w:tc>
          <w:tcPr>
            <w:tcW w:w="20" w:type="dxa"/>
            <w:vAlign w:val="bottom"/>
            <w:shd w:val="clear" w:color="auto" w:fill="D5EAEA"/>
          </w:tcPr>
          <w:p>
            <w:pPr>
              <w:spacing w:after="0"/>
              <w:rPr>
                <w:sz w:val="19"/>
                <w:szCs w:val="19"/>
                <w:color w:val="auto"/>
              </w:rPr>
            </w:pPr>
          </w:p>
        </w:tc>
        <w:tc>
          <w:tcPr>
            <w:tcW w:w="148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1,083</w:t>
            </w:r>
          </w:p>
        </w:tc>
        <w:tc>
          <w:tcPr>
            <w:tcW w:w="100" w:type="dxa"/>
            <w:vAlign w:val="bottom"/>
            <w:shd w:val="clear" w:color="auto" w:fill="D5EAEA"/>
          </w:tcPr>
          <w:p>
            <w:pPr>
              <w:spacing w:after="0"/>
              <w:rPr>
                <w:sz w:val="19"/>
                <w:szCs w:val="19"/>
                <w:color w:val="auto"/>
              </w:rPr>
            </w:pPr>
          </w:p>
        </w:tc>
        <w:tc>
          <w:tcPr>
            <w:tcW w:w="14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13,365</w:t>
            </w:r>
          </w:p>
        </w:tc>
        <w:tc>
          <w:tcPr>
            <w:tcW w:w="0" w:type="dxa"/>
            <w:vAlign w:val="bottom"/>
          </w:tcPr>
          <w:p>
            <w:pPr>
              <w:spacing w:after="0"/>
              <w:rPr>
                <w:sz w:val="1"/>
                <w:szCs w:val="1"/>
                <w:color w:val="auto"/>
              </w:rPr>
            </w:pPr>
          </w:p>
        </w:tc>
      </w:tr>
      <w:tr>
        <w:trPr>
          <w:trHeight w:val="263"/>
        </w:trPr>
        <w:tc>
          <w:tcPr>
            <w:tcW w:w="474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revenue</w:t>
            </w:r>
          </w:p>
        </w:tc>
        <w:tc>
          <w:tcPr>
            <w:tcW w:w="680" w:type="dxa"/>
            <w:vAlign w:val="bottom"/>
            <w:tcBorders>
              <w:bottom w:val="single" w:sz="8" w:color="D5EAEA"/>
            </w:tcBorders>
          </w:tcPr>
          <w:p>
            <w:pPr>
              <w:spacing w:after="0"/>
              <w:rPr>
                <w:sz w:val="22"/>
                <w:szCs w:val="22"/>
                <w:color w:val="auto"/>
              </w:rPr>
            </w:pPr>
          </w:p>
        </w:tc>
        <w:tc>
          <w:tcPr>
            <w:tcW w:w="100" w:type="dxa"/>
            <w:vAlign w:val="bottom"/>
            <w:tcBorders>
              <w:bottom w:val="single" w:sz="8" w:color="D5EAEA"/>
            </w:tcBorders>
          </w:tcPr>
          <w:p>
            <w:pPr>
              <w:spacing w:after="0"/>
              <w:rPr>
                <w:sz w:val="22"/>
                <w:szCs w:val="22"/>
                <w:color w:val="auto"/>
              </w:rPr>
            </w:pPr>
          </w:p>
        </w:tc>
        <w:tc>
          <w:tcPr>
            <w:tcW w:w="20" w:type="dxa"/>
            <w:vAlign w:val="bottom"/>
            <w:tcBorders>
              <w:bottom w:val="single" w:sz="8" w:color="D5EAEA"/>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5EAEA"/>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1,083</w:t>
            </w:r>
          </w:p>
        </w:tc>
        <w:tc>
          <w:tcPr>
            <w:tcW w:w="100" w:type="dxa"/>
            <w:vAlign w:val="bottom"/>
            <w:tcBorders>
              <w:bottom w:val="single" w:sz="8" w:color="D5EAEA"/>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5EAEA"/>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13,365</w:t>
            </w:r>
          </w:p>
        </w:tc>
        <w:tc>
          <w:tcPr>
            <w:tcW w:w="0" w:type="dxa"/>
            <w:vAlign w:val="bottom"/>
          </w:tcPr>
          <w:p>
            <w:pPr>
              <w:spacing w:after="0"/>
              <w:rPr>
                <w:sz w:val="1"/>
                <w:szCs w:val="1"/>
                <w:color w:val="auto"/>
              </w:rPr>
            </w:pPr>
          </w:p>
        </w:tc>
      </w:tr>
      <w:tr>
        <w:trPr>
          <w:trHeight w:val="196"/>
        </w:trPr>
        <w:tc>
          <w:tcPr>
            <w:tcW w:w="4740" w:type="dxa"/>
            <w:vAlign w:val="bottom"/>
            <w:shd w:val="clear" w:color="auto" w:fill="D5EAEA"/>
          </w:tcPr>
          <w:p>
            <w:pPr>
              <w:spacing w:after="0"/>
              <w:rPr>
                <w:sz w:val="17"/>
                <w:szCs w:val="17"/>
                <w:color w:val="auto"/>
              </w:rPr>
            </w:pPr>
          </w:p>
        </w:tc>
        <w:tc>
          <w:tcPr>
            <w:tcW w:w="68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20" w:type="dxa"/>
            <w:vAlign w:val="bottom"/>
            <w:shd w:val="clear" w:color="auto" w:fill="D5EAEA"/>
          </w:tcPr>
          <w:p>
            <w:pPr>
              <w:spacing w:after="0"/>
              <w:rPr>
                <w:sz w:val="17"/>
                <w:szCs w:val="17"/>
                <w:color w:val="auto"/>
              </w:rPr>
            </w:pPr>
          </w:p>
        </w:tc>
        <w:tc>
          <w:tcPr>
            <w:tcW w:w="136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D5EAEA"/>
          </w:tcPr>
          <w:p>
            <w:pPr>
              <w:spacing w:after="0"/>
              <w:rPr>
                <w:sz w:val="20"/>
                <w:szCs w:val="20"/>
                <w:color w:val="auto"/>
              </w:rPr>
            </w:pPr>
            <w:r>
              <w:rPr>
                <w:rFonts w:ascii="Arial" w:cs="Arial" w:eastAsia="Arial" w:hAnsi="Arial"/>
                <w:sz w:val="18"/>
                <w:szCs w:val="18"/>
                <w:color w:val="auto"/>
              </w:rPr>
              <w:t>Research &amp; development expenses</w:t>
            </w:r>
          </w:p>
        </w:tc>
        <w:tc>
          <w:tcPr>
            <w:tcW w:w="6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(13,710)</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(12,809)</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(27,040)</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(28,018)</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General &amp; administrative expenses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(5,235)</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(4,156)</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(9,573)</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(8,660)</w:t>
            </w:r>
          </w:p>
        </w:tc>
        <w:tc>
          <w:tcPr>
            <w:tcW w:w="0" w:type="dxa"/>
            <w:vAlign w:val="bottom"/>
          </w:tcPr>
          <w:p>
            <w:pPr>
              <w:spacing w:after="0"/>
              <w:rPr>
                <w:sz w:val="1"/>
                <w:szCs w:val="1"/>
                <w:color w:val="auto"/>
              </w:rPr>
            </w:pPr>
          </w:p>
        </w:tc>
      </w:tr>
      <w:tr>
        <w:trPr>
          <w:trHeight w:val="229"/>
        </w:trPr>
        <w:tc>
          <w:tcPr>
            <w:tcW w:w="4740" w:type="dxa"/>
            <w:vAlign w:val="bottom"/>
            <w:shd w:val="clear" w:color="auto" w:fill="D5EAEA"/>
          </w:tcPr>
          <w:p>
            <w:pPr>
              <w:spacing w:after="0"/>
              <w:rPr>
                <w:sz w:val="20"/>
                <w:szCs w:val="20"/>
                <w:color w:val="auto"/>
              </w:rPr>
            </w:pPr>
            <w:r>
              <w:rPr>
                <w:rFonts w:ascii="Arial" w:cs="Arial" w:eastAsia="Arial" w:hAnsi="Arial"/>
                <w:sz w:val="18"/>
                <w:szCs w:val="18"/>
                <w:color w:val="auto"/>
              </w:rPr>
              <w:t>Other operating income/(expense)</w:t>
            </w:r>
          </w:p>
        </w:tc>
        <w:tc>
          <w:tcPr>
            <w:tcW w:w="680" w:type="dxa"/>
            <w:vAlign w:val="bottom"/>
            <w:shd w:val="clear" w:color="auto" w:fill="D5EAEA"/>
          </w:tcPr>
          <w:p>
            <w:pPr>
              <w:spacing w:after="0"/>
              <w:rPr>
                <w:sz w:val="19"/>
                <w:szCs w:val="19"/>
                <w:color w:val="auto"/>
              </w:rPr>
            </w:pPr>
          </w:p>
        </w:tc>
        <w:tc>
          <w:tcPr>
            <w:tcW w:w="100" w:type="dxa"/>
            <w:vAlign w:val="bottom"/>
            <w:shd w:val="clear" w:color="auto" w:fill="D5EAEA"/>
          </w:tcPr>
          <w:p>
            <w:pPr>
              <w:spacing w:after="0"/>
              <w:rPr>
                <w:sz w:val="19"/>
                <w:szCs w:val="19"/>
                <w:color w:val="auto"/>
              </w:rPr>
            </w:pPr>
          </w:p>
        </w:tc>
        <w:tc>
          <w:tcPr>
            <w:tcW w:w="20" w:type="dxa"/>
            <w:vAlign w:val="bottom"/>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63"/>
        </w:trPr>
        <w:tc>
          <w:tcPr>
            <w:tcW w:w="474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operating expenses</w:t>
            </w:r>
          </w:p>
        </w:tc>
        <w:tc>
          <w:tcPr>
            <w:tcW w:w="680" w:type="dxa"/>
            <w:vAlign w:val="bottom"/>
            <w:tcBorders>
              <w:bottom w:val="single" w:sz="8" w:color="D5EAEA"/>
            </w:tcBorders>
          </w:tcPr>
          <w:p>
            <w:pPr>
              <w:spacing w:after="0"/>
              <w:rPr>
                <w:sz w:val="22"/>
                <w:szCs w:val="22"/>
                <w:color w:val="auto"/>
              </w:rPr>
            </w:pPr>
          </w:p>
        </w:tc>
        <w:tc>
          <w:tcPr>
            <w:tcW w:w="100" w:type="dxa"/>
            <w:vAlign w:val="bottom"/>
            <w:tcBorders>
              <w:bottom w:val="single" w:sz="8" w:color="D5EAEA"/>
            </w:tcBorders>
          </w:tcPr>
          <w:p>
            <w:pPr>
              <w:spacing w:after="0"/>
              <w:rPr>
                <w:sz w:val="22"/>
                <w:szCs w:val="22"/>
                <w:color w:val="auto"/>
              </w:rPr>
            </w:pPr>
          </w:p>
        </w:tc>
        <w:tc>
          <w:tcPr>
            <w:tcW w:w="20" w:type="dxa"/>
            <w:vAlign w:val="bottom"/>
            <w:tcBorders>
              <w:bottom w:val="single" w:sz="8" w:color="D5EAEA"/>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(18,689)</w:t>
            </w:r>
          </w:p>
        </w:tc>
        <w:tc>
          <w:tcPr>
            <w:tcW w:w="120" w:type="dxa"/>
            <w:vAlign w:val="bottom"/>
            <w:tcBorders>
              <w:bottom w:val="single" w:sz="8" w:color="D5EAEA"/>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(16,770)</w:t>
            </w:r>
          </w:p>
        </w:tc>
        <w:tc>
          <w:tcPr>
            <w:tcW w:w="100" w:type="dxa"/>
            <w:vAlign w:val="bottom"/>
            <w:tcBorders>
              <w:bottom w:val="single" w:sz="8" w:color="D5EAEA"/>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(35,940)</w:t>
            </w:r>
          </w:p>
        </w:tc>
        <w:tc>
          <w:tcPr>
            <w:tcW w:w="100" w:type="dxa"/>
            <w:vAlign w:val="bottom"/>
            <w:tcBorders>
              <w:bottom w:val="single" w:sz="8" w:color="D5EAEA"/>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(36,354)</w:t>
            </w:r>
          </w:p>
        </w:tc>
        <w:tc>
          <w:tcPr>
            <w:tcW w:w="0" w:type="dxa"/>
            <w:vAlign w:val="bottom"/>
          </w:tcPr>
          <w:p>
            <w:pPr>
              <w:spacing w:after="0"/>
              <w:rPr>
                <w:sz w:val="1"/>
                <w:szCs w:val="1"/>
                <w:color w:val="auto"/>
              </w:rPr>
            </w:pPr>
          </w:p>
        </w:tc>
      </w:tr>
      <w:tr>
        <w:trPr>
          <w:trHeight w:val="197"/>
        </w:trPr>
        <w:tc>
          <w:tcPr>
            <w:tcW w:w="4740" w:type="dxa"/>
            <w:vAlign w:val="bottom"/>
            <w:shd w:val="clear" w:color="auto" w:fill="D5EAEA"/>
          </w:tcPr>
          <w:p>
            <w:pPr>
              <w:spacing w:after="0" w:line="195" w:lineRule="exact"/>
              <w:rPr>
                <w:sz w:val="20"/>
                <w:szCs w:val="20"/>
                <w:color w:val="auto"/>
              </w:rPr>
            </w:pPr>
            <w:r>
              <w:rPr>
                <w:rFonts w:ascii="Arial" w:cs="Arial" w:eastAsia="Arial" w:hAnsi="Arial"/>
                <w:sz w:val="18"/>
                <w:szCs w:val="18"/>
                <w:b w:val="1"/>
                <w:bCs w:val="1"/>
                <w:color w:val="auto"/>
              </w:rPr>
              <w:t>Operating loss</w:t>
            </w:r>
          </w:p>
        </w:tc>
        <w:tc>
          <w:tcPr>
            <w:tcW w:w="68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20" w:type="dxa"/>
            <w:vAlign w:val="bottom"/>
            <w:shd w:val="clear" w:color="auto" w:fill="D5EAEA"/>
          </w:tcPr>
          <w:p>
            <w:pPr>
              <w:spacing w:after="0"/>
              <w:rPr>
                <w:sz w:val="17"/>
                <w:szCs w:val="17"/>
                <w:color w:val="auto"/>
              </w:rPr>
            </w:pPr>
          </w:p>
        </w:tc>
        <w:tc>
          <w:tcPr>
            <w:tcW w:w="136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(18,689)</w:t>
            </w:r>
          </w:p>
        </w:tc>
        <w:tc>
          <w:tcPr>
            <w:tcW w:w="120" w:type="dxa"/>
            <w:vAlign w:val="bottom"/>
            <w:shd w:val="clear" w:color="auto" w:fill="D5EAEA"/>
          </w:tcPr>
          <w:p>
            <w:pPr>
              <w:spacing w:after="0"/>
              <w:rPr>
                <w:sz w:val="17"/>
                <w:szCs w:val="17"/>
                <w:color w:val="auto"/>
              </w:rPr>
            </w:pPr>
          </w:p>
        </w:tc>
        <w:tc>
          <w:tcPr>
            <w:tcW w:w="134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(15,687)</w:t>
            </w:r>
          </w:p>
        </w:tc>
        <w:tc>
          <w:tcPr>
            <w:tcW w:w="100" w:type="dxa"/>
            <w:vAlign w:val="bottom"/>
            <w:shd w:val="clear" w:color="auto" w:fill="D5EAEA"/>
          </w:tcPr>
          <w:p>
            <w:pPr>
              <w:spacing w:after="0"/>
              <w:rPr>
                <w:sz w:val="17"/>
                <w:szCs w:val="17"/>
                <w:color w:val="auto"/>
              </w:rPr>
            </w:pPr>
          </w:p>
        </w:tc>
        <w:tc>
          <w:tcPr>
            <w:tcW w:w="134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(35,940)</w:t>
            </w:r>
          </w:p>
        </w:tc>
        <w:tc>
          <w:tcPr>
            <w:tcW w:w="100" w:type="dxa"/>
            <w:vAlign w:val="bottom"/>
            <w:shd w:val="clear" w:color="auto" w:fill="D5EAEA"/>
          </w:tcPr>
          <w:p>
            <w:pPr>
              <w:spacing w:after="0"/>
              <w:rPr>
                <w:sz w:val="17"/>
                <w:szCs w:val="17"/>
                <w:color w:val="auto"/>
              </w:rPr>
            </w:pPr>
          </w:p>
        </w:tc>
        <w:tc>
          <w:tcPr>
            <w:tcW w:w="134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(22,989)</w:t>
            </w:r>
          </w:p>
        </w:tc>
        <w:tc>
          <w:tcPr>
            <w:tcW w:w="0" w:type="dxa"/>
            <w:vAlign w:val="bottom"/>
          </w:tcPr>
          <w:p>
            <w:pPr>
              <w:spacing w:after="0"/>
              <w:rPr>
                <w:sz w:val="1"/>
                <w:szCs w:val="1"/>
                <w:color w:val="auto"/>
              </w:rPr>
            </w:pPr>
          </w:p>
        </w:tc>
      </w:tr>
      <w:tr>
        <w:trPr>
          <w:trHeight w:val="209"/>
        </w:trPr>
        <w:tc>
          <w:tcPr>
            <w:tcW w:w="4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D5EAEA"/>
          </w:tcPr>
          <w:p>
            <w:pPr>
              <w:spacing w:after="0"/>
              <w:rPr>
                <w:sz w:val="20"/>
                <w:szCs w:val="20"/>
                <w:color w:val="auto"/>
              </w:rPr>
            </w:pPr>
            <w:r>
              <w:rPr>
                <w:rFonts w:ascii="Arial" w:cs="Arial" w:eastAsia="Arial" w:hAnsi="Arial"/>
                <w:sz w:val="18"/>
                <w:szCs w:val="18"/>
                <w:color w:val="auto"/>
              </w:rPr>
              <w:t>Financial income</w:t>
            </w:r>
          </w:p>
        </w:tc>
        <w:tc>
          <w:tcPr>
            <w:tcW w:w="6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148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D5EAEA"/>
          </w:tcPr>
          <w:p>
            <w:pPr>
              <w:spacing w:after="0"/>
              <w:rPr>
                <w:sz w:val="18"/>
                <w:szCs w:val="18"/>
                <w:color w:val="auto"/>
              </w:rPr>
            </w:pPr>
          </w:p>
        </w:tc>
        <w:tc>
          <w:tcPr>
            <w:tcW w:w="14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Financial expense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0"/>
        </w:trPr>
        <w:tc>
          <w:tcPr>
            <w:tcW w:w="4740" w:type="dxa"/>
            <w:vAlign w:val="bottom"/>
            <w:shd w:val="clear" w:color="auto" w:fill="D5EAEA"/>
          </w:tcPr>
          <w:p>
            <w:pPr>
              <w:spacing w:after="0"/>
              <w:rPr>
                <w:sz w:val="20"/>
                <w:szCs w:val="20"/>
                <w:color w:val="auto"/>
              </w:rPr>
            </w:pPr>
            <w:r>
              <w:rPr>
                <w:rFonts w:ascii="Arial" w:cs="Arial" w:eastAsia="Arial" w:hAnsi="Arial"/>
                <w:sz w:val="18"/>
                <w:szCs w:val="18"/>
                <w:color w:val="auto"/>
              </w:rPr>
              <w:t>Exchange differences</w:t>
            </w:r>
          </w:p>
        </w:tc>
        <w:tc>
          <w:tcPr>
            <w:tcW w:w="680" w:type="dxa"/>
            <w:vAlign w:val="bottom"/>
            <w:shd w:val="clear" w:color="auto" w:fill="D5EAEA"/>
          </w:tcPr>
          <w:p>
            <w:pPr>
              <w:spacing w:after="0"/>
              <w:rPr>
                <w:sz w:val="19"/>
                <w:szCs w:val="19"/>
                <w:color w:val="auto"/>
              </w:rPr>
            </w:pPr>
          </w:p>
        </w:tc>
        <w:tc>
          <w:tcPr>
            <w:tcW w:w="100" w:type="dxa"/>
            <w:vAlign w:val="bottom"/>
            <w:shd w:val="clear" w:color="auto" w:fill="D5EAEA"/>
          </w:tcPr>
          <w:p>
            <w:pPr>
              <w:spacing w:after="0"/>
              <w:rPr>
                <w:sz w:val="19"/>
                <w:szCs w:val="19"/>
                <w:color w:val="auto"/>
              </w:rPr>
            </w:pPr>
          </w:p>
        </w:tc>
        <w:tc>
          <w:tcPr>
            <w:tcW w:w="20" w:type="dxa"/>
            <w:vAlign w:val="bottom"/>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09"/>
        </w:trPr>
        <w:tc>
          <w:tcPr>
            <w:tcW w:w="474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Finance result, net</w:t>
            </w:r>
          </w:p>
        </w:tc>
        <w:tc>
          <w:tcPr>
            <w:tcW w:w="680" w:type="dxa"/>
            <w:vAlign w:val="bottom"/>
            <w:tcBorders>
              <w:bottom w:val="single" w:sz="8" w:color="D5EAEA"/>
            </w:tcBorders>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Borders>
              <w:bottom w:val="single" w:sz="8" w:color="D5EAEA"/>
            </w:tcBorders>
          </w:tcPr>
          <w:p>
            <w:pPr>
              <w:spacing w:after="0"/>
              <w:rPr>
                <w:sz w:val="18"/>
                <w:szCs w:val="18"/>
                <w:color w:val="auto"/>
              </w:rPr>
            </w:pPr>
          </w:p>
        </w:tc>
        <w:tc>
          <w:tcPr>
            <w:tcW w:w="2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0"/>
        </w:trPr>
        <w:tc>
          <w:tcPr>
            <w:tcW w:w="4740" w:type="dxa"/>
            <w:vAlign w:val="bottom"/>
            <w:shd w:val="clear" w:color="auto" w:fill="D5EAEA"/>
          </w:tcPr>
          <w:p>
            <w:pPr>
              <w:spacing w:after="0"/>
              <w:rPr>
                <w:sz w:val="18"/>
                <w:szCs w:val="18"/>
                <w:color w:val="auto"/>
              </w:rPr>
            </w:pPr>
          </w:p>
        </w:tc>
        <w:tc>
          <w:tcPr>
            <w:tcW w:w="6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Loss before tax</w:t>
            </w:r>
          </w:p>
        </w:tc>
        <w:tc>
          <w:tcPr>
            <w:tcW w:w="680" w:type="dxa"/>
            <w:vAlign w:val="bottom"/>
            <w:tcBorders>
              <w:bottom w:val="single" w:sz="8" w:color="D5EAEA"/>
            </w:tcBorders>
          </w:tcPr>
          <w:p>
            <w:pPr>
              <w:spacing w:after="0"/>
              <w:rPr>
                <w:sz w:val="19"/>
                <w:szCs w:val="19"/>
                <w:color w:val="auto"/>
              </w:rPr>
            </w:pPr>
          </w:p>
        </w:tc>
        <w:tc>
          <w:tcPr>
            <w:tcW w:w="100" w:type="dxa"/>
            <w:vAlign w:val="bottom"/>
            <w:tcBorders>
              <w:bottom w:val="single" w:sz="8" w:color="D5EAEA"/>
            </w:tcBorders>
          </w:tcPr>
          <w:p>
            <w:pPr>
              <w:spacing w:after="0"/>
              <w:rPr>
                <w:sz w:val="19"/>
                <w:szCs w:val="19"/>
                <w:color w:val="auto"/>
              </w:rPr>
            </w:pPr>
          </w:p>
        </w:tc>
        <w:tc>
          <w:tcPr>
            <w:tcW w:w="20" w:type="dxa"/>
            <w:vAlign w:val="bottom"/>
            <w:tcBorders>
              <w:bottom w:val="single" w:sz="8" w:color="D5EAEA"/>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(19,069)</w:t>
            </w:r>
          </w:p>
        </w:tc>
        <w:tc>
          <w:tcPr>
            <w:tcW w:w="12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(15,738)</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(35,803)</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(23,425)</w:t>
            </w:r>
          </w:p>
        </w:tc>
        <w:tc>
          <w:tcPr>
            <w:tcW w:w="0" w:type="dxa"/>
            <w:vAlign w:val="bottom"/>
          </w:tcPr>
          <w:p>
            <w:pPr>
              <w:spacing w:after="0"/>
              <w:rPr>
                <w:sz w:val="1"/>
                <w:szCs w:val="1"/>
                <w:color w:val="auto"/>
              </w:rPr>
            </w:pPr>
          </w:p>
        </w:tc>
      </w:tr>
      <w:tr>
        <w:trPr>
          <w:trHeight w:val="209"/>
        </w:trPr>
        <w:tc>
          <w:tcPr>
            <w:tcW w:w="4740" w:type="dxa"/>
            <w:vAlign w:val="bottom"/>
            <w:shd w:val="clear" w:color="auto" w:fill="D5EAEA"/>
          </w:tcPr>
          <w:p>
            <w:pPr>
              <w:spacing w:after="0"/>
              <w:rPr>
                <w:sz w:val="20"/>
                <w:szCs w:val="20"/>
                <w:color w:val="auto"/>
              </w:rPr>
            </w:pPr>
            <w:r>
              <w:rPr>
                <w:rFonts w:ascii="Arial" w:cs="Arial" w:eastAsia="Arial" w:hAnsi="Arial"/>
                <w:sz w:val="18"/>
                <w:szCs w:val="18"/>
                <w:color w:val="auto"/>
              </w:rPr>
              <w:t>Income tax expense</w:t>
            </w:r>
          </w:p>
        </w:tc>
        <w:tc>
          <w:tcPr>
            <w:tcW w:w="6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13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74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Loss for the period</w:t>
            </w:r>
          </w:p>
        </w:tc>
        <w:tc>
          <w:tcPr>
            <w:tcW w:w="680" w:type="dxa"/>
            <w:vAlign w:val="bottom"/>
            <w:tcBorders>
              <w:bottom w:val="single" w:sz="8" w:color="D5EAEA"/>
            </w:tcBorders>
          </w:tcPr>
          <w:p>
            <w:pPr>
              <w:spacing w:after="0"/>
              <w:rPr>
                <w:sz w:val="18"/>
                <w:szCs w:val="18"/>
                <w:color w:val="auto"/>
              </w:rPr>
            </w:pPr>
          </w:p>
        </w:tc>
        <w:tc>
          <w:tcPr>
            <w:tcW w:w="100" w:type="dxa"/>
            <w:vAlign w:val="bottom"/>
            <w:tcBorders>
              <w:bottom w:val="single" w:sz="8" w:color="D5EAEA"/>
            </w:tcBorders>
          </w:tcPr>
          <w:p>
            <w:pPr>
              <w:spacing w:after="0"/>
              <w:rPr>
                <w:sz w:val="18"/>
                <w:szCs w:val="18"/>
                <w:color w:val="auto"/>
              </w:rPr>
            </w:pPr>
          </w:p>
        </w:tc>
        <w:tc>
          <w:tcPr>
            <w:tcW w:w="2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(19,069)</w:t>
            </w:r>
          </w:p>
        </w:tc>
        <w:tc>
          <w:tcPr>
            <w:tcW w:w="12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(15,738)</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(35,803)</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(23,425)</w:t>
            </w:r>
          </w:p>
        </w:tc>
        <w:tc>
          <w:tcPr>
            <w:tcW w:w="0" w:type="dxa"/>
            <w:vAlign w:val="bottom"/>
          </w:tcPr>
          <w:p>
            <w:pPr>
              <w:spacing w:after="0"/>
              <w:rPr>
                <w:sz w:val="1"/>
                <w:szCs w:val="1"/>
                <w:color w:val="auto"/>
              </w:rPr>
            </w:pPr>
          </w:p>
        </w:tc>
      </w:tr>
      <w:tr>
        <w:trPr>
          <w:trHeight w:val="209"/>
        </w:trPr>
        <w:tc>
          <w:tcPr>
            <w:tcW w:w="4740" w:type="dxa"/>
            <w:vAlign w:val="bottom"/>
            <w:shd w:val="clear" w:color="auto" w:fill="D5EAEA"/>
          </w:tcPr>
          <w:p>
            <w:pPr>
              <w:spacing w:after="0"/>
              <w:rPr>
                <w:sz w:val="18"/>
                <w:szCs w:val="18"/>
                <w:color w:val="auto"/>
              </w:rPr>
            </w:pPr>
          </w:p>
        </w:tc>
        <w:tc>
          <w:tcPr>
            <w:tcW w:w="6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Loss per share:</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40" w:type="dxa"/>
            <w:vAlign w:val="bottom"/>
            <w:shd w:val="clear" w:color="auto" w:fill="D5EAEA"/>
          </w:tcPr>
          <w:p>
            <w:pPr>
              <w:spacing w:after="0" w:line="201" w:lineRule="exact"/>
              <w:rPr>
                <w:sz w:val="20"/>
                <w:szCs w:val="20"/>
                <w:color w:val="auto"/>
              </w:rPr>
            </w:pPr>
            <w:r>
              <w:rPr>
                <w:rFonts w:ascii="Arial" w:cs="Arial" w:eastAsia="Arial" w:hAnsi="Arial"/>
                <w:sz w:val="18"/>
                <w:szCs w:val="18"/>
                <w:color w:val="auto"/>
              </w:rPr>
              <w:t>Basic and diluted loss for the period attributable to equity</w:t>
            </w:r>
          </w:p>
        </w:tc>
        <w:tc>
          <w:tcPr>
            <w:tcW w:w="68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20" w:type="dxa"/>
            <w:vAlign w:val="bottom"/>
            <w:shd w:val="clear" w:color="auto" w:fill="D5EAEA"/>
          </w:tcPr>
          <w:p>
            <w:pPr>
              <w:spacing w:after="0"/>
              <w:rPr>
                <w:sz w:val="17"/>
                <w:szCs w:val="17"/>
                <w:color w:val="auto"/>
              </w:rPr>
            </w:pPr>
          </w:p>
        </w:tc>
        <w:tc>
          <w:tcPr>
            <w:tcW w:w="136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D5EAEA"/>
          </w:tcPr>
          <w:p>
            <w:pPr>
              <w:spacing w:after="0"/>
              <w:rPr>
                <w:sz w:val="20"/>
                <w:szCs w:val="20"/>
                <w:color w:val="auto"/>
              </w:rPr>
            </w:pPr>
            <w:r>
              <w:rPr>
                <w:rFonts w:ascii="Arial" w:cs="Arial" w:eastAsia="Arial" w:hAnsi="Arial"/>
                <w:sz w:val="18"/>
                <w:szCs w:val="18"/>
                <w:color w:val="auto"/>
              </w:rPr>
              <w:t>holders</w:t>
            </w:r>
          </w:p>
        </w:tc>
        <w:tc>
          <w:tcPr>
            <w:tcW w:w="680" w:type="dxa"/>
            <w:vAlign w:val="bottom"/>
            <w:shd w:val="clear" w:color="auto" w:fill="D5EAEA"/>
          </w:tcPr>
          <w:p>
            <w:pPr>
              <w:spacing w:after="0"/>
              <w:rPr>
                <w:sz w:val="20"/>
                <w:szCs w:val="20"/>
                <w:color w:val="auto"/>
              </w:rPr>
            </w:pPr>
          </w:p>
        </w:tc>
        <w:tc>
          <w:tcPr>
            <w:tcW w:w="100" w:type="dxa"/>
            <w:vAlign w:val="bottom"/>
            <w:shd w:val="clear" w:color="auto" w:fill="D5EAEA"/>
          </w:tcPr>
          <w:p>
            <w:pPr>
              <w:spacing w:after="0"/>
              <w:rPr>
                <w:sz w:val="20"/>
                <w:szCs w:val="20"/>
                <w:color w:val="auto"/>
              </w:rPr>
            </w:pPr>
          </w:p>
        </w:tc>
        <w:tc>
          <w:tcPr>
            <w:tcW w:w="20" w:type="dxa"/>
            <w:vAlign w:val="bottom"/>
            <w:shd w:val="clear" w:color="auto" w:fill="D5EAEA"/>
          </w:tcPr>
          <w:p>
            <w:pPr>
              <w:spacing w:after="0"/>
              <w:rPr>
                <w:sz w:val="20"/>
                <w:szCs w:val="20"/>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(0.26)</w:t>
            </w:r>
          </w:p>
        </w:tc>
        <w:tc>
          <w:tcPr>
            <w:tcW w:w="120" w:type="dxa"/>
            <w:vAlign w:val="bottom"/>
            <w:shd w:val="clear" w:color="auto" w:fill="D5EAEA"/>
          </w:tcPr>
          <w:p>
            <w:pPr>
              <w:spacing w:after="0"/>
              <w:rPr>
                <w:sz w:val="20"/>
                <w:szCs w:val="20"/>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D5EAEA"/>
          </w:tcPr>
          <w:p>
            <w:pPr>
              <w:spacing w:after="0"/>
              <w:rPr>
                <w:sz w:val="20"/>
                <w:szCs w:val="20"/>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D5EAEA"/>
          </w:tcPr>
          <w:p>
            <w:pPr>
              <w:spacing w:after="0"/>
              <w:rPr>
                <w:sz w:val="20"/>
                <w:szCs w:val="20"/>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414"/>
        </w:trPr>
        <w:tc>
          <w:tcPr>
            <w:tcW w:w="5540" w:type="dxa"/>
            <w:vAlign w:val="bottom"/>
            <w:gridSpan w:val="4"/>
          </w:tcPr>
          <w:p>
            <w:pPr>
              <w:spacing w:after="0"/>
              <w:rPr>
                <w:sz w:val="20"/>
                <w:szCs w:val="20"/>
                <w:color w:val="auto"/>
              </w:rPr>
            </w:pPr>
            <w:r>
              <w:rPr>
                <w:rFonts w:ascii="Arial" w:cs="Arial" w:eastAsia="Arial" w:hAnsi="Arial"/>
                <w:sz w:val="18"/>
                <w:szCs w:val="18"/>
                <w:b w:val="1"/>
                <w:bCs w:val="1"/>
                <w:color w:val="auto"/>
                <w:w w:val="90"/>
              </w:rPr>
              <w:t>Condensed Consolidated Statements of Comprehensive Income/(Loss)</w:t>
            </w:r>
          </w:p>
        </w:tc>
        <w:tc>
          <w:tcPr>
            <w:tcW w:w="2920" w:type="dxa"/>
            <w:vAlign w:val="bottom"/>
            <w:gridSpan w:val="4"/>
          </w:tcPr>
          <w:p>
            <w:pPr>
              <w:ind w:left="520"/>
              <w:spacing w:after="0"/>
              <w:rPr>
                <w:sz w:val="20"/>
                <w:szCs w:val="20"/>
                <w:color w:val="auto"/>
              </w:rPr>
            </w:pPr>
            <w:r>
              <w:rPr>
                <w:rFonts w:ascii="Arial" w:cs="Arial" w:eastAsia="Arial" w:hAnsi="Arial"/>
                <w:sz w:val="18"/>
                <w:szCs w:val="18"/>
                <w:b w:val="1"/>
                <w:bCs w:val="1"/>
                <w:color w:val="auto"/>
              </w:rPr>
              <w:t>For the Three Months</w:t>
            </w:r>
          </w:p>
        </w:tc>
        <w:tc>
          <w:tcPr>
            <w:tcW w:w="2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For the Six Months</w:t>
            </w: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r>
              <w:rPr>
                <w:rFonts w:ascii="Arial" w:cs="Arial" w:eastAsia="Arial" w:hAnsi="Arial"/>
                <w:sz w:val="18"/>
                <w:szCs w:val="18"/>
                <w:b w:val="1"/>
                <w:bCs w:val="1"/>
                <w:color w:val="auto"/>
              </w:rPr>
              <w:t>(Unaudited)</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ended June 30,</w:t>
            </w:r>
          </w:p>
        </w:tc>
        <w:tc>
          <w:tcPr>
            <w:tcW w:w="2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ended June 30,</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(in CHF thousands)</w:t>
            </w:r>
          </w:p>
        </w:tc>
        <w:tc>
          <w:tcPr>
            <w:tcW w:w="680" w:type="dxa"/>
            <w:vAlign w:val="bottom"/>
            <w:tcBorders>
              <w:bottom w:val="single" w:sz="8" w:color="D5EAEA"/>
            </w:tcBorders>
          </w:tcPr>
          <w:p>
            <w:pPr>
              <w:spacing w:after="0"/>
              <w:rPr>
                <w:sz w:val="19"/>
                <w:szCs w:val="19"/>
                <w:color w:val="auto"/>
              </w:rPr>
            </w:pPr>
          </w:p>
        </w:tc>
        <w:tc>
          <w:tcPr>
            <w:tcW w:w="100" w:type="dxa"/>
            <w:vAlign w:val="bottom"/>
            <w:tcBorders>
              <w:bottom w:val="single" w:sz="8" w:color="D5EAEA"/>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D5EAEA"/>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D5EAEA"/>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D5EAEA"/>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4740" w:type="dxa"/>
            <w:vAlign w:val="bottom"/>
            <w:shd w:val="clear" w:color="auto" w:fill="D5EAEA"/>
          </w:tcPr>
          <w:p>
            <w:pPr>
              <w:spacing w:after="0"/>
              <w:rPr>
                <w:sz w:val="18"/>
                <w:szCs w:val="18"/>
                <w:color w:val="auto"/>
              </w:rPr>
            </w:pPr>
          </w:p>
        </w:tc>
        <w:tc>
          <w:tcPr>
            <w:tcW w:w="6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Loss for the period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(19,069)</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(15,738)</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(35,803)</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(23,425)</w:t>
            </w:r>
          </w:p>
        </w:tc>
        <w:tc>
          <w:tcPr>
            <w:tcW w:w="0" w:type="dxa"/>
            <w:vAlign w:val="bottom"/>
          </w:tcPr>
          <w:p>
            <w:pPr>
              <w:spacing w:after="0"/>
              <w:rPr>
                <w:sz w:val="1"/>
                <w:szCs w:val="1"/>
                <w:color w:val="auto"/>
              </w:rPr>
            </w:pPr>
          </w:p>
        </w:tc>
      </w:tr>
      <w:tr>
        <w:trPr>
          <w:trHeight w:val="202"/>
        </w:trPr>
        <w:tc>
          <w:tcPr>
            <w:tcW w:w="5540" w:type="dxa"/>
            <w:vAlign w:val="bottom"/>
            <w:gridSpan w:val="4"/>
            <w:shd w:val="clear" w:color="auto" w:fill="D5EAEA"/>
          </w:tcPr>
          <w:p>
            <w:pPr>
              <w:spacing w:after="0" w:line="201" w:lineRule="exact"/>
              <w:rPr>
                <w:sz w:val="20"/>
                <w:szCs w:val="20"/>
                <w:color w:val="auto"/>
              </w:rPr>
            </w:pPr>
            <w:r>
              <w:rPr>
                <w:rFonts w:ascii="Arial" w:cs="Arial" w:eastAsia="Arial" w:hAnsi="Arial"/>
                <w:sz w:val="18"/>
                <w:szCs w:val="18"/>
                <w:color w:val="auto"/>
              </w:rPr>
              <w:t>Other comprehensive loss not to be reclassified to income or loss in</w:t>
            </w:r>
          </w:p>
        </w:tc>
        <w:tc>
          <w:tcPr>
            <w:tcW w:w="136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D5EAEA"/>
          </w:tcPr>
          <w:p>
            <w:pPr>
              <w:spacing w:after="0"/>
              <w:rPr>
                <w:sz w:val="20"/>
                <w:szCs w:val="20"/>
                <w:color w:val="auto"/>
              </w:rPr>
            </w:pPr>
            <w:r>
              <w:rPr>
                <w:rFonts w:ascii="Arial" w:cs="Arial" w:eastAsia="Arial" w:hAnsi="Arial"/>
                <w:sz w:val="18"/>
                <w:szCs w:val="18"/>
                <w:color w:val="auto"/>
              </w:rPr>
              <w:t>subsequent periods (net of tax):</w:t>
            </w:r>
          </w:p>
        </w:tc>
        <w:tc>
          <w:tcPr>
            <w:tcW w:w="680" w:type="dxa"/>
            <w:vAlign w:val="bottom"/>
            <w:shd w:val="clear" w:color="auto" w:fill="D5EAEA"/>
          </w:tcPr>
          <w:p>
            <w:pPr>
              <w:spacing w:after="0"/>
              <w:rPr>
                <w:sz w:val="20"/>
                <w:szCs w:val="20"/>
                <w:color w:val="auto"/>
              </w:rPr>
            </w:pPr>
          </w:p>
        </w:tc>
        <w:tc>
          <w:tcPr>
            <w:tcW w:w="100" w:type="dxa"/>
            <w:vAlign w:val="bottom"/>
            <w:shd w:val="clear" w:color="auto" w:fill="D5EAEA"/>
          </w:tcPr>
          <w:p>
            <w:pPr>
              <w:spacing w:after="0"/>
              <w:rPr>
                <w:sz w:val="20"/>
                <w:szCs w:val="20"/>
                <w:color w:val="auto"/>
              </w:rPr>
            </w:pPr>
          </w:p>
        </w:tc>
        <w:tc>
          <w:tcPr>
            <w:tcW w:w="20" w:type="dxa"/>
            <w:vAlign w:val="bottom"/>
            <w:shd w:val="clear" w:color="auto" w:fill="D5EAEA"/>
          </w:tcPr>
          <w:p>
            <w:pPr>
              <w:spacing w:after="0"/>
              <w:rPr>
                <w:sz w:val="20"/>
                <w:szCs w:val="20"/>
                <w:color w:val="auto"/>
              </w:rPr>
            </w:pPr>
          </w:p>
        </w:tc>
        <w:tc>
          <w:tcPr>
            <w:tcW w:w="1360" w:type="dxa"/>
            <w:vAlign w:val="bottom"/>
            <w:shd w:val="clear" w:color="auto" w:fill="D5EAEA"/>
          </w:tcPr>
          <w:p>
            <w:pPr>
              <w:spacing w:after="0"/>
              <w:rPr>
                <w:sz w:val="20"/>
                <w:szCs w:val="20"/>
                <w:color w:val="auto"/>
              </w:rPr>
            </w:pPr>
          </w:p>
        </w:tc>
        <w:tc>
          <w:tcPr>
            <w:tcW w:w="120" w:type="dxa"/>
            <w:vAlign w:val="bottom"/>
            <w:shd w:val="clear" w:color="auto" w:fill="D5EAEA"/>
          </w:tcPr>
          <w:p>
            <w:pPr>
              <w:spacing w:after="0"/>
              <w:rPr>
                <w:sz w:val="20"/>
                <w:szCs w:val="20"/>
                <w:color w:val="auto"/>
              </w:rPr>
            </w:pPr>
          </w:p>
        </w:tc>
        <w:tc>
          <w:tcPr>
            <w:tcW w:w="1340" w:type="dxa"/>
            <w:vAlign w:val="bottom"/>
            <w:shd w:val="clear" w:color="auto" w:fill="D5EAEA"/>
          </w:tcPr>
          <w:p>
            <w:pPr>
              <w:spacing w:after="0"/>
              <w:rPr>
                <w:sz w:val="20"/>
                <w:szCs w:val="20"/>
                <w:color w:val="auto"/>
              </w:rPr>
            </w:pPr>
          </w:p>
        </w:tc>
        <w:tc>
          <w:tcPr>
            <w:tcW w:w="100" w:type="dxa"/>
            <w:vAlign w:val="bottom"/>
            <w:shd w:val="clear" w:color="auto" w:fill="D5EAEA"/>
          </w:tcPr>
          <w:p>
            <w:pPr>
              <w:spacing w:after="0"/>
              <w:rPr>
                <w:sz w:val="20"/>
                <w:szCs w:val="20"/>
                <w:color w:val="auto"/>
              </w:rPr>
            </w:pPr>
          </w:p>
        </w:tc>
        <w:tc>
          <w:tcPr>
            <w:tcW w:w="1340" w:type="dxa"/>
            <w:vAlign w:val="bottom"/>
            <w:shd w:val="clear" w:color="auto" w:fill="D5EAEA"/>
          </w:tcPr>
          <w:p>
            <w:pPr>
              <w:spacing w:after="0"/>
              <w:rPr>
                <w:sz w:val="20"/>
                <w:szCs w:val="20"/>
                <w:color w:val="auto"/>
              </w:rPr>
            </w:pPr>
          </w:p>
        </w:tc>
        <w:tc>
          <w:tcPr>
            <w:tcW w:w="100" w:type="dxa"/>
            <w:vAlign w:val="bottom"/>
            <w:shd w:val="clear" w:color="auto" w:fill="D5EAEA"/>
          </w:tcPr>
          <w:p>
            <w:pPr>
              <w:spacing w:after="0"/>
              <w:rPr>
                <w:sz w:val="20"/>
                <w:szCs w:val="20"/>
                <w:color w:val="auto"/>
              </w:rPr>
            </w:pPr>
          </w:p>
        </w:tc>
        <w:tc>
          <w:tcPr>
            <w:tcW w:w="1340" w:type="dxa"/>
            <w:vAlign w:val="bottom"/>
            <w:shd w:val="clear" w:color="auto" w:fill="D5EAEA"/>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w w:val="97"/>
              </w:rPr>
              <w:t>Re-measurement losses on defined-benefit plans (net of tax)</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4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Total comprehensive loss, net of tax</w:t>
            </w:r>
          </w:p>
        </w:tc>
        <w:tc>
          <w:tcPr>
            <w:tcW w:w="680" w:type="dxa"/>
            <w:vAlign w:val="bottom"/>
            <w:tcBorders>
              <w:top w:val="single" w:sz="8" w:color="D5EAEA"/>
              <w:bottom w:val="single" w:sz="8" w:color="D5EAEA"/>
            </w:tcBorders>
            <w:shd w:val="clear" w:color="auto" w:fill="D5EAEA"/>
          </w:tcPr>
          <w:p>
            <w:pPr>
              <w:spacing w:after="0"/>
              <w:rPr>
                <w:sz w:val="19"/>
                <w:szCs w:val="19"/>
                <w:color w:val="auto"/>
              </w:rPr>
            </w:pP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20" w:type="dxa"/>
            <w:vAlign w:val="bottom"/>
            <w:tcBorders>
              <w:top w:val="single" w:sz="8" w:color="auto"/>
              <w:bottom w:val="single" w:sz="8" w:color="auto"/>
            </w:tcBorders>
            <w:shd w:val="clear" w:color="auto" w:fill="D5EAEA"/>
          </w:tcPr>
          <w:p>
            <w:pPr>
              <w:spacing w:after="0"/>
              <w:rPr>
                <w:sz w:val="19"/>
                <w:szCs w:val="19"/>
                <w:color w:val="auto"/>
              </w:rPr>
            </w:pPr>
          </w:p>
        </w:tc>
        <w:tc>
          <w:tcPr>
            <w:tcW w:w="13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(19,069)</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(15,738)</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(35,803)</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(23,425)</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form an integral part of these Interim Condensed Consolidated Financial Statements (Unaudited).</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Condensed Consolidated Statements of Changes in Equity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Share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Accumulated</w:t>
            </w:r>
          </w:p>
        </w:tc>
        <w:tc>
          <w:tcPr>
            <w:tcW w:w="1340" w:type="dxa"/>
            <w:vAlign w:val="bottom"/>
          </w:tcPr>
          <w:p>
            <w:pPr>
              <w:spacing w:after="0"/>
              <w:rPr>
                <w:sz w:val="18"/>
                <w:szCs w:val="18"/>
                <w:color w:val="auto"/>
              </w:rPr>
            </w:pPr>
          </w:p>
        </w:tc>
      </w:tr>
      <w:tr>
        <w:trPr>
          <w:trHeight w:val="234"/>
        </w:trPr>
        <w:tc>
          <w:tcPr>
            <w:tcW w:w="3280" w:type="dxa"/>
            <w:vAlign w:val="bottom"/>
          </w:tcPr>
          <w:p>
            <w:pPr>
              <w:spacing w:after="0"/>
              <w:rPr>
                <w:sz w:val="20"/>
                <w:szCs w:val="20"/>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3"/>
              </w:rPr>
              <w:t>Notes</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capital</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premium</w:t>
            </w: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w w:val="97"/>
              </w:rPr>
              <w:t>Treasury shares</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74"/>
              </w:rPr>
              <w:t>losses</w:t>
            </w: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23"/>
        </w:trPr>
        <w:tc>
          <w:tcPr>
            <w:tcW w:w="328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Balance as of January 1, 2020</w:t>
            </w:r>
          </w:p>
        </w:tc>
        <w:tc>
          <w:tcPr>
            <w:tcW w:w="660" w:type="dxa"/>
            <w:vAlign w:val="bottom"/>
            <w:tcBorders>
              <w:top w:val="single" w:sz="8" w:color="auto"/>
            </w:tcBorders>
            <w:shd w:val="clear" w:color="auto" w:fill="D5EAEA"/>
          </w:tcPr>
          <w:p>
            <w:pPr>
              <w:spacing w:after="0"/>
              <w:rPr>
                <w:sz w:val="19"/>
                <w:szCs w:val="19"/>
                <w:color w:val="auto"/>
              </w:rPr>
            </w:pPr>
          </w:p>
        </w:tc>
        <w:tc>
          <w:tcPr>
            <w:tcW w:w="140" w:type="dxa"/>
            <w:vAlign w:val="bottom"/>
            <w:tcBorders>
              <w:top w:val="single" w:sz="8" w:color="D5EAEA"/>
            </w:tcBorders>
            <w:shd w:val="clear" w:color="auto" w:fill="D5EAEA"/>
          </w:tcPr>
          <w:p>
            <w:pPr>
              <w:spacing w:after="0"/>
              <w:rPr>
                <w:sz w:val="19"/>
                <w:szCs w:val="19"/>
                <w:color w:val="auto"/>
              </w:rPr>
            </w:pPr>
          </w:p>
        </w:tc>
        <w:tc>
          <w:tcPr>
            <w:tcW w:w="136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1,437</w:t>
            </w:r>
          </w:p>
        </w:tc>
        <w:tc>
          <w:tcPr>
            <w:tcW w:w="120" w:type="dxa"/>
            <w:vAlign w:val="bottom"/>
            <w:tcBorders>
              <w:top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346,526</w:t>
            </w:r>
          </w:p>
        </w:tc>
        <w:tc>
          <w:tcPr>
            <w:tcW w:w="120" w:type="dxa"/>
            <w:vAlign w:val="bottom"/>
            <w:tcBorders>
              <w:top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(75,521)</w:t>
            </w:r>
          </w:p>
        </w:tc>
        <w:tc>
          <w:tcPr>
            <w:tcW w:w="100" w:type="dxa"/>
            <w:vAlign w:val="bottom"/>
            <w:tcBorders>
              <w:top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272,442</w:t>
            </w:r>
          </w:p>
        </w:tc>
      </w:tr>
      <w:tr>
        <w:trPr>
          <w:trHeight w:val="210"/>
        </w:trPr>
        <w:tc>
          <w:tcPr>
            <w:tcW w:w="328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(23,425)</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(23,425)</w:t>
            </w:r>
          </w:p>
        </w:tc>
      </w:tr>
      <w:tr>
        <w:trPr>
          <w:trHeight w:val="229"/>
        </w:trPr>
        <w:tc>
          <w:tcPr>
            <w:tcW w:w="3280" w:type="dxa"/>
            <w:vAlign w:val="bottom"/>
            <w:shd w:val="clear" w:color="auto" w:fill="D5EAEA"/>
          </w:tcPr>
          <w:p>
            <w:pPr>
              <w:spacing w:after="0"/>
              <w:rPr>
                <w:sz w:val="20"/>
                <w:szCs w:val="20"/>
                <w:color w:val="auto"/>
              </w:rPr>
            </w:pPr>
            <w:r>
              <w:rPr>
                <w:rFonts w:ascii="Arial" w:cs="Arial" w:eastAsia="Arial" w:hAnsi="Arial"/>
                <w:sz w:val="18"/>
                <w:szCs w:val="18"/>
                <w:color w:val="auto"/>
              </w:rPr>
              <w:t>Other comprehensive income/(loss)</w:t>
            </w:r>
          </w:p>
        </w:tc>
        <w:tc>
          <w:tcPr>
            <w:tcW w:w="660" w:type="dxa"/>
            <w:vAlign w:val="bottom"/>
            <w:shd w:val="clear" w:color="auto" w:fill="D5EAEA"/>
          </w:tcPr>
          <w:p>
            <w:pPr>
              <w:spacing w:after="0"/>
              <w:rPr>
                <w:sz w:val="19"/>
                <w:szCs w:val="19"/>
                <w:color w:val="auto"/>
              </w:rPr>
            </w:pPr>
          </w:p>
        </w:tc>
        <w:tc>
          <w:tcPr>
            <w:tcW w:w="140" w:type="dxa"/>
            <w:vAlign w:val="bottom"/>
            <w:shd w:val="clear" w:color="auto" w:fill="D5EAEA"/>
          </w:tcPr>
          <w:p>
            <w:pPr>
              <w:spacing w:after="0"/>
              <w:rPr>
                <w:sz w:val="19"/>
                <w:szCs w:val="19"/>
                <w:color w:val="auto"/>
              </w:rPr>
            </w:pPr>
          </w:p>
        </w:tc>
        <w:tc>
          <w:tcPr>
            <w:tcW w:w="1480" w:type="dxa"/>
            <w:vAlign w:val="bottom"/>
            <w:gridSpan w:val="2"/>
            <w:shd w:val="clear" w:color="auto" w:fill="D5EAEA"/>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32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Total comprehensive loss</w:t>
            </w:r>
          </w:p>
        </w:tc>
        <w:tc>
          <w:tcPr>
            <w:tcW w:w="660" w:type="dxa"/>
            <w:vAlign w:val="bottom"/>
            <w:tcBorders>
              <w:bottom w:val="single" w:sz="8" w:color="D5EAEA"/>
            </w:tcBorders>
          </w:tcPr>
          <w:p>
            <w:pPr>
              <w:spacing w:after="0"/>
              <w:rPr>
                <w:sz w:val="18"/>
                <w:szCs w:val="18"/>
                <w:color w:val="auto"/>
              </w:rPr>
            </w:pPr>
          </w:p>
        </w:tc>
        <w:tc>
          <w:tcPr>
            <w:tcW w:w="140" w:type="dxa"/>
            <w:vAlign w:val="bottom"/>
            <w:tcBorders>
              <w:bottom w:val="single" w:sz="8" w:color="D5EAEA"/>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5EAEA"/>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5EAEA"/>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5EAEA"/>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(23,425)</w:t>
            </w:r>
          </w:p>
        </w:tc>
        <w:tc>
          <w:tcPr>
            <w:tcW w:w="100" w:type="dxa"/>
            <w:vAlign w:val="bottom"/>
            <w:tcBorders>
              <w:bottom w:val="single" w:sz="8" w:color="D5EAEA"/>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(23,425)</w:t>
            </w:r>
          </w:p>
        </w:tc>
      </w:tr>
      <w:tr>
        <w:trPr>
          <w:trHeight w:val="210"/>
        </w:trPr>
        <w:tc>
          <w:tcPr>
            <w:tcW w:w="3280" w:type="dxa"/>
            <w:vAlign w:val="bottom"/>
            <w:shd w:val="clear" w:color="auto" w:fill="D5EAEA"/>
          </w:tcPr>
          <w:p>
            <w:pPr>
              <w:spacing w:after="0"/>
              <w:rPr>
                <w:sz w:val="18"/>
                <w:szCs w:val="18"/>
                <w:color w:val="auto"/>
              </w:rPr>
            </w:pPr>
          </w:p>
        </w:tc>
        <w:tc>
          <w:tcPr>
            <w:tcW w:w="660" w:type="dxa"/>
            <w:vAlign w:val="bottom"/>
            <w:shd w:val="clear" w:color="auto" w:fill="D5EAEA"/>
          </w:tcPr>
          <w:p>
            <w:pPr>
              <w:spacing w:after="0"/>
              <w:rPr>
                <w:sz w:val="18"/>
                <w:szCs w:val="18"/>
                <w:color w:val="auto"/>
              </w:rPr>
            </w:pPr>
          </w:p>
        </w:tc>
        <w:tc>
          <w:tcPr>
            <w:tcW w:w="14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Share-based payments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1,847</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1,847</w:t>
            </w:r>
          </w:p>
        </w:tc>
      </w:tr>
      <w:tr>
        <w:trPr>
          <w:trHeight w:val="216"/>
        </w:trPr>
        <w:tc>
          <w:tcPr>
            <w:tcW w:w="3280" w:type="dxa"/>
            <w:vAlign w:val="bottom"/>
            <w:shd w:val="clear" w:color="auto" w:fill="D5EAEA"/>
          </w:tcPr>
          <w:p>
            <w:pPr>
              <w:spacing w:after="0"/>
              <w:rPr>
                <w:sz w:val="20"/>
                <w:szCs w:val="20"/>
                <w:color w:val="auto"/>
              </w:rPr>
            </w:pPr>
            <w:r>
              <w:rPr>
                <w:rFonts w:ascii="Arial" w:cs="Arial" w:eastAsia="Arial" w:hAnsi="Arial"/>
                <w:sz w:val="18"/>
                <w:szCs w:val="18"/>
                <w:color w:val="auto"/>
                <w:w w:val="92"/>
              </w:rPr>
              <w:t>Issuance of shares, net of transaction costs:</w:t>
            </w:r>
          </w:p>
        </w:tc>
        <w:tc>
          <w:tcPr>
            <w:tcW w:w="660" w:type="dxa"/>
            <w:vAlign w:val="bottom"/>
            <w:shd w:val="clear" w:color="auto" w:fill="D5EAEA"/>
          </w:tcPr>
          <w:p>
            <w:pPr>
              <w:spacing w:after="0"/>
              <w:rPr>
                <w:sz w:val="18"/>
                <w:szCs w:val="18"/>
                <w:color w:val="auto"/>
              </w:rPr>
            </w:pPr>
          </w:p>
        </w:tc>
        <w:tc>
          <w:tcPr>
            <w:tcW w:w="14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r>
      <w:tr>
        <w:trPr>
          <w:trHeight w:val="216"/>
        </w:trPr>
        <w:tc>
          <w:tcPr>
            <w:tcW w:w="3280" w:type="dxa"/>
            <w:vAlign w:val="bottom"/>
          </w:tcPr>
          <w:p>
            <w:pPr>
              <w:ind w:left="60"/>
              <w:spacing w:after="0"/>
              <w:rPr>
                <w:sz w:val="20"/>
                <w:szCs w:val="20"/>
                <w:color w:val="auto"/>
              </w:rPr>
            </w:pPr>
            <w:r>
              <w:rPr>
                <w:rFonts w:ascii="Arial" w:cs="Arial" w:eastAsia="Arial" w:hAnsi="Arial"/>
                <w:sz w:val="18"/>
                <w:szCs w:val="18"/>
                <w:color w:val="auto"/>
              </w:rPr>
              <w:t>restricted share awards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3280" w:type="dxa"/>
            <w:vAlign w:val="bottom"/>
            <w:shd w:val="clear" w:color="auto" w:fill="D5EAEA"/>
          </w:tcPr>
          <w:p>
            <w:pPr>
              <w:ind w:left="60"/>
              <w:spacing w:after="0"/>
              <w:rPr>
                <w:sz w:val="20"/>
                <w:szCs w:val="20"/>
                <w:color w:val="auto"/>
              </w:rPr>
            </w:pPr>
            <w:r>
              <w:rPr>
                <w:rFonts w:ascii="Arial" w:cs="Arial" w:eastAsia="Arial" w:hAnsi="Arial"/>
                <w:sz w:val="18"/>
                <w:szCs w:val="18"/>
                <w:color w:val="auto"/>
              </w:rPr>
              <w:t>exercise of options</w:t>
            </w:r>
          </w:p>
        </w:tc>
        <w:tc>
          <w:tcPr>
            <w:tcW w:w="660" w:type="dxa"/>
            <w:vAlign w:val="bottom"/>
            <w:shd w:val="clear" w:color="auto" w:fill="D5EAEA"/>
          </w:tcPr>
          <w:p>
            <w:pPr>
              <w:spacing w:after="0"/>
              <w:rPr>
                <w:sz w:val="19"/>
                <w:szCs w:val="19"/>
                <w:color w:val="auto"/>
              </w:rPr>
            </w:pPr>
          </w:p>
        </w:tc>
        <w:tc>
          <w:tcPr>
            <w:tcW w:w="140" w:type="dxa"/>
            <w:vAlign w:val="bottom"/>
            <w:shd w:val="clear" w:color="auto" w:fill="D5EAEA"/>
          </w:tcPr>
          <w:p>
            <w:pPr>
              <w:spacing w:after="0"/>
              <w:rPr>
                <w:sz w:val="19"/>
                <w:szCs w:val="19"/>
                <w:color w:val="auto"/>
              </w:rPr>
            </w:pP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D5EAEA"/>
          </w:tcPr>
          <w:p>
            <w:pPr>
              <w:spacing w:after="0"/>
              <w:rPr>
                <w:sz w:val="19"/>
                <w:szCs w:val="19"/>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D5EAEA"/>
          </w:tcPr>
          <w:p>
            <w:pPr>
              <w:spacing w:after="0"/>
              <w:rPr>
                <w:sz w:val="19"/>
                <w:szCs w:val="19"/>
                <w:color w:val="auto"/>
              </w:rPr>
            </w:pPr>
          </w:p>
        </w:tc>
        <w:tc>
          <w:tcPr>
            <w:tcW w:w="14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3280" w:type="dxa"/>
            <w:vAlign w:val="bottom"/>
          </w:tcPr>
          <w:p>
            <w:pPr>
              <w:spacing w:after="0"/>
              <w:rPr>
                <w:sz w:val="20"/>
                <w:szCs w:val="20"/>
                <w:color w:val="auto"/>
              </w:rPr>
            </w:pPr>
            <w:r>
              <w:rPr>
                <w:rFonts w:ascii="Arial" w:cs="Arial" w:eastAsia="Arial" w:hAnsi="Arial"/>
                <w:sz w:val="18"/>
                <w:szCs w:val="18"/>
                <w:b w:val="1"/>
                <w:bCs w:val="1"/>
                <w:color w:val="auto"/>
              </w:rPr>
              <w:t>Balance as of June 30, 2020</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1,438</w:t>
            </w:r>
          </w:p>
        </w:tc>
        <w:tc>
          <w:tcPr>
            <w:tcW w:w="1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346,634</w:t>
            </w:r>
          </w:p>
        </w:tc>
        <w:tc>
          <w:tcPr>
            <w:tcW w:w="1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(97,210)</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250,862</w:t>
            </w:r>
          </w:p>
        </w:tc>
      </w:tr>
      <w:tr>
        <w:trPr>
          <w:trHeight w:val="20"/>
        </w:trPr>
        <w:tc>
          <w:tcPr>
            <w:tcW w:w="3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381"/>
        </w:trPr>
        <w:tc>
          <w:tcPr>
            <w:tcW w:w="3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Share</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Accumulated</w:t>
            </w:r>
          </w:p>
        </w:tc>
        <w:tc>
          <w:tcPr>
            <w:tcW w:w="1340" w:type="dxa"/>
            <w:vAlign w:val="bottom"/>
          </w:tcPr>
          <w:p>
            <w:pPr>
              <w:spacing w:after="0"/>
              <w:rPr>
                <w:sz w:val="24"/>
                <w:szCs w:val="24"/>
                <w:color w:val="auto"/>
              </w:rPr>
            </w:pPr>
          </w:p>
        </w:tc>
      </w:tr>
      <w:tr>
        <w:trPr>
          <w:trHeight w:val="234"/>
        </w:trPr>
        <w:tc>
          <w:tcPr>
            <w:tcW w:w="3280" w:type="dxa"/>
            <w:vAlign w:val="bottom"/>
          </w:tcPr>
          <w:p>
            <w:pPr>
              <w:spacing w:after="0"/>
              <w:rPr>
                <w:sz w:val="20"/>
                <w:szCs w:val="20"/>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3"/>
              </w:rPr>
              <w:t>Notes</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capital</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premium</w:t>
            </w: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w w:val="97"/>
              </w:rPr>
              <w:t>Treasury shares</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74"/>
              </w:rPr>
              <w:t>losses</w:t>
            </w: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23"/>
        </w:trPr>
        <w:tc>
          <w:tcPr>
            <w:tcW w:w="328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Balance as of January 1, 2021</w:t>
            </w:r>
          </w:p>
        </w:tc>
        <w:tc>
          <w:tcPr>
            <w:tcW w:w="660" w:type="dxa"/>
            <w:vAlign w:val="bottom"/>
            <w:tcBorders>
              <w:top w:val="single" w:sz="8" w:color="auto"/>
            </w:tcBorders>
            <w:shd w:val="clear" w:color="auto" w:fill="D5EAEA"/>
          </w:tcPr>
          <w:p>
            <w:pPr>
              <w:spacing w:after="0"/>
              <w:rPr>
                <w:sz w:val="19"/>
                <w:szCs w:val="19"/>
                <w:color w:val="auto"/>
              </w:rPr>
            </w:pPr>
          </w:p>
        </w:tc>
        <w:tc>
          <w:tcPr>
            <w:tcW w:w="140" w:type="dxa"/>
            <w:vAlign w:val="bottom"/>
            <w:tcBorders>
              <w:top w:val="single" w:sz="8" w:color="D5EAEA"/>
            </w:tcBorders>
            <w:shd w:val="clear" w:color="auto" w:fill="D5EAEA"/>
          </w:tcPr>
          <w:p>
            <w:pPr>
              <w:spacing w:after="0"/>
              <w:rPr>
                <w:sz w:val="19"/>
                <w:szCs w:val="19"/>
                <w:color w:val="auto"/>
              </w:rPr>
            </w:pPr>
          </w:p>
        </w:tc>
        <w:tc>
          <w:tcPr>
            <w:tcW w:w="136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1,538</w:t>
            </w:r>
          </w:p>
        </w:tc>
        <w:tc>
          <w:tcPr>
            <w:tcW w:w="120" w:type="dxa"/>
            <w:vAlign w:val="bottom"/>
            <w:tcBorders>
              <w:top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346,890</w:t>
            </w:r>
          </w:p>
        </w:tc>
        <w:tc>
          <w:tcPr>
            <w:tcW w:w="120" w:type="dxa"/>
            <w:vAlign w:val="bottom"/>
            <w:tcBorders>
              <w:top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(132,850)</w:t>
            </w:r>
          </w:p>
        </w:tc>
        <w:tc>
          <w:tcPr>
            <w:tcW w:w="100" w:type="dxa"/>
            <w:vAlign w:val="bottom"/>
            <w:tcBorders>
              <w:top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215,478</w:t>
            </w:r>
          </w:p>
        </w:tc>
      </w:tr>
      <w:tr>
        <w:trPr>
          <w:trHeight w:val="209"/>
        </w:trPr>
        <w:tc>
          <w:tcPr>
            <w:tcW w:w="328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(35,803)</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(35,803)</w:t>
            </w:r>
          </w:p>
        </w:tc>
      </w:tr>
      <w:tr>
        <w:trPr>
          <w:trHeight w:val="230"/>
        </w:trPr>
        <w:tc>
          <w:tcPr>
            <w:tcW w:w="3280" w:type="dxa"/>
            <w:vAlign w:val="bottom"/>
            <w:shd w:val="clear" w:color="auto" w:fill="D5EAEA"/>
          </w:tcPr>
          <w:p>
            <w:pPr>
              <w:spacing w:after="0"/>
              <w:rPr>
                <w:sz w:val="20"/>
                <w:szCs w:val="20"/>
                <w:color w:val="auto"/>
              </w:rPr>
            </w:pPr>
            <w:r>
              <w:rPr>
                <w:rFonts w:ascii="Arial" w:cs="Arial" w:eastAsia="Arial" w:hAnsi="Arial"/>
                <w:sz w:val="18"/>
                <w:szCs w:val="18"/>
                <w:color w:val="auto"/>
              </w:rPr>
              <w:t>Other comprehensive income/(loss)</w:t>
            </w:r>
          </w:p>
        </w:tc>
        <w:tc>
          <w:tcPr>
            <w:tcW w:w="660" w:type="dxa"/>
            <w:vAlign w:val="bottom"/>
            <w:shd w:val="clear" w:color="auto" w:fill="D5EAEA"/>
          </w:tcPr>
          <w:p>
            <w:pPr>
              <w:spacing w:after="0"/>
              <w:rPr>
                <w:sz w:val="19"/>
                <w:szCs w:val="19"/>
                <w:color w:val="auto"/>
              </w:rPr>
            </w:pPr>
          </w:p>
        </w:tc>
        <w:tc>
          <w:tcPr>
            <w:tcW w:w="140" w:type="dxa"/>
            <w:vAlign w:val="bottom"/>
            <w:shd w:val="clear" w:color="auto" w:fill="D5EAEA"/>
          </w:tcPr>
          <w:p>
            <w:pPr>
              <w:spacing w:after="0"/>
              <w:rPr>
                <w:sz w:val="19"/>
                <w:szCs w:val="19"/>
                <w:color w:val="auto"/>
              </w:rPr>
            </w:pPr>
          </w:p>
        </w:tc>
        <w:tc>
          <w:tcPr>
            <w:tcW w:w="1480" w:type="dxa"/>
            <w:vAlign w:val="bottom"/>
            <w:gridSpan w:val="2"/>
            <w:shd w:val="clear" w:color="auto" w:fill="D5EAEA"/>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32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Total comprehensive loss</w:t>
            </w:r>
          </w:p>
        </w:tc>
        <w:tc>
          <w:tcPr>
            <w:tcW w:w="660" w:type="dxa"/>
            <w:vAlign w:val="bottom"/>
            <w:tcBorders>
              <w:bottom w:val="single" w:sz="8" w:color="D5EAEA"/>
            </w:tcBorders>
          </w:tcPr>
          <w:p>
            <w:pPr>
              <w:spacing w:after="0"/>
              <w:rPr>
                <w:sz w:val="18"/>
                <w:szCs w:val="18"/>
                <w:color w:val="auto"/>
              </w:rPr>
            </w:pPr>
          </w:p>
        </w:tc>
        <w:tc>
          <w:tcPr>
            <w:tcW w:w="140" w:type="dxa"/>
            <w:vAlign w:val="bottom"/>
            <w:tcBorders>
              <w:bottom w:val="single" w:sz="8" w:color="D5EAEA"/>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5EAEA"/>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5EAEA"/>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5EAEA"/>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(35,803)</w:t>
            </w:r>
          </w:p>
        </w:tc>
        <w:tc>
          <w:tcPr>
            <w:tcW w:w="100" w:type="dxa"/>
            <w:vAlign w:val="bottom"/>
            <w:tcBorders>
              <w:bottom w:val="single" w:sz="8" w:color="D5EAEA"/>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(35,803)</w:t>
            </w:r>
          </w:p>
        </w:tc>
      </w:tr>
      <w:tr>
        <w:trPr>
          <w:trHeight w:val="209"/>
        </w:trPr>
        <w:tc>
          <w:tcPr>
            <w:tcW w:w="3280" w:type="dxa"/>
            <w:vAlign w:val="bottom"/>
            <w:shd w:val="clear" w:color="auto" w:fill="D5EAEA"/>
          </w:tcPr>
          <w:p>
            <w:pPr>
              <w:spacing w:after="0"/>
              <w:rPr>
                <w:sz w:val="18"/>
                <w:szCs w:val="18"/>
                <w:color w:val="auto"/>
              </w:rPr>
            </w:pPr>
          </w:p>
        </w:tc>
        <w:tc>
          <w:tcPr>
            <w:tcW w:w="660" w:type="dxa"/>
            <w:vAlign w:val="bottom"/>
            <w:shd w:val="clear" w:color="auto" w:fill="D5EAEA"/>
          </w:tcPr>
          <w:p>
            <w:pPr>
              <w:spacing w:after="0"/>
              <w:rPr>
                <w:sz w:val="18"/>
                <w:szCs w:val="18"/>
                <w:color w:val="auto"/>
              </w:rPr>
            </w:pPr>
          </w:p>
        </w:tc>
        <w:tc>
          <w:tcPr>
            <w:tcW w:w="14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Share-based payments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1,694</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1,694</w:t>
            </w:r>
          </w:p>
        </w:tc>
      </w:tr>
      <w:tr>
        <w:trPr>
          <w:trHeight w:val="202"/>
        </w:trPr>
        <w:tc>
          <w:tcPr>
            <w:tcW w:w="3280" w:type="dxa"/>
            <w:vAlign w:val="bottom"/>
            <w:shd w:val="clear" w:color="auto" w:fill="D5EAEA"/>
          </w:tcPr>
          <w:p>
            <w:pPr>
              <w:spacing w:after="0" w:line="201" w:lineRule="exact"/>
              <w:rPr>
                <w:sz w:val="20"/>
                <w:szCs w:val="20"/>
                <w:color w:val="auto"/>
              </w:rPr>
            </w:pPr>
            <w:r>
              <w:rPr>
                <w:rFonts w:ascii="Arial" w:cs="Arial" w:eastAsia="Arial" w:hAnsi="Arial"/>
                <w:sz w:val="18"/>
                <w:szCs w:val="18"/>
                <w:color w:val="auto"/>
              </w:rPr>
              <w:t>Proceeds from sale of treasury shares in</w:t>
            </w:r>
          </w:p>
        </w:tc>
        <w:tc>
          <w:tcPr>
            <w:tcW w:w="660" w:type="dxa"/>
            <w:vAlign w:val="bottom"/>
            <w:shd w:val="clear" w:color="auto" w:fill="D5EAEA"/>
          </w:tcPr>
          <w:p>
            <w:pPr>
              <w:spacing w:after="0"/>
              <w:rPr>
                <w:sz w:val="17"/>
                <w:szCs w:val="17"/>
                <w:color w:val="auto"/>
              </w:rPr>
            </w:pPr>
          </w:p>
        </w:tc>
        <w:tc>
          <w:tcPr>
            <w:tcW w:w="140" w:type="dxa"/>
            <w:vAlign w:val="bottom"/>
            <w:shd w:val="clear" w:color="auto" w:fill="D5EAEA"/>
          </w:tcPr>
          <w:p>
            <w:pPr>
              <w:spacing w:after="0"/>
              <w:rPr>
                <w:sz w:val="17"/>
                <w:szCs w:val="17"/>
                <w:color w:val="auto"/>
              </w:rPr>
            </w:pPr>
          </w:p>
        </w:tc>
        <w:tc>
          <w:tcPr>
            <w:tcW w:w="136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r>
      <w:tr>
        <w:trPr>
          <w:trHeight w:val="216"/>
        </w:trPr>
        <w:tc>
          <w:tcPr>
            <w:tcW w:w="3280" w:type="dxa"/>
            <w:vAlign w:val="bottom"/>
            <w:shd w:val="clear" w:color="auto" w:fill="D5EAEA"/>
          </w:tcPr>
          <w:p>
            <w:pPr>
              <w:spacing w:after="0"/>
              <w:rPr>
                <w:sz w:val="20"/>
                <w:szCs w:val="20"/>
                <w:color w:val="auto"/>
              </w:rPr>
            </w:pPr>
            <w:r>
              <w:rPr>
                <w:rFonts w:ascii="Arial" w:cs="Arial" w:eastAsia="Arial" w:hAnsi="Arial"/>
                <w:sz w:val="18"/>
                <w:szCs w:val="18"/>
                <w:color w:val="auto"/>
              </w:rPr>
              <w:t>public offerings, net of underwriting fees</w:t>
            </w:r>
          </w:p>
        </w:tc>
        <w:tc>
          <w:tcPr>
            <w:tcW w:w="660" w:type="dxa"/>
            <w:vAlign w:val="bottom"/>
            <w:shd w:val="clear" w:color="auto" w:fill="D5EAEA"/>
          </w:tcPr>
          <w:p>
            <w:pPr>
              <w:spacing w:after="0"/>
              <w:rPr>
                <w:sz w:val="18"/>
                <w:szCs w:val="18"/>
                <w:color w:val="auto"/>
              </w:rPr>
            </w:pPr>
          </w:p>
        </w:tc>
        <w:tc>
          <w:tcPr>
            <w:tcW w:w="14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r>
      <w:tr>
        <w:trPr>
          <w:trHeight w:val="230"/>
        </w:trPr>
        <w:tc>
          <w:tcPr>
            <w:tcW w:w="3280" w:type="dxa"/>
            <w:vAlign w:val="bottom"/>
            <w:shd w:val="clear" w:color="auto" w:fill="D5EAEA"/>
          </w:tcPr>
          <w:p>
            <w:pPr>
              <w:spacing w:after="0"/>
              <w:rPr>
                <w:sz w:val="20"/>
                <w:szCs w:val="20"/>
                <w:color w:val="auto"/>
              </w:rPr>
            </w:pPr>
            <w:r>
              <w:rPr>
                <w:rFonts w:ascii="Arial" w:cs="Arial" w:eastAsia="Arial" w:hAnsi="Arial"/>
                <w:sz w:val="18"/>
                <w:szCs w:val="18"/>
                <w:color w:val="auto"/>
              </w:rPr>
              <w:t>and transaction costs</w:t>
            </w:r>
          </w:p>
        </w:tc>
        <w:tc>
          <w:tcPr>
            <w:tcW w:w="66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9</w:t>
            </w:r>
          </w:p>
        </w:tc>
        <w:tc>
          <w:tcPr>
            <w:tcW w:w="140" w:type="dxa"/>
            <w:vAlign w:val="bottom"/>
            <w:shd w:val="clear" w:color="auto" w:fill="D5EAEA"/>
          </w:tcPr>
          <w:p>
            <w:pPr>
              <w:spacing w:after="0"/>
              <w:rPr>
                <w:sz w:val="20"/>
                <w:szCs w:val="20"/>
                <w:color w:val="auto"/>
              </w:rPr>
            </w:pPr>
          </w:p>
        </w:tc>
        <w:tc>
          <w:tcPr>
            <w:tcW w:w="1480" w:type="dxa"/>
            <w:vAlign w:val="bottom"/>
            <w:gridSpan w:val="2"/>
            <w:shd w:val="clear" w:color="auto" w:fill="D5EAEA"/>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7,825</w:t>
            </w:r>
          </w:p>
        </w:tc>
        <w:tc>
          <w:tcPr>
            <w:tcW w:w="120" w:type="dxa"/>
            <w:vAlign w:val="bottom"/>
            <w:shd w:val="clear" w:color="auto" w:fill="D5EAEA"/>
          </w:tcPr>
          <w:p>
            <w:pPr>
              <w:spacing w:after="0"/>
              <w:rPr>
                <w:sz w:val="20"/>
                <w:szCs w:val="20"/>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D5EAEA"/>
          </w:tcPr>
          <w:p>
            <w:pPr>
              <w:spacing w:after="0"/>
              <w:rPr>
                <w:sz w:val="20"/>
                <w:szCs w:val="20"/>
                <w:color w:val="auto"/>
              </w:rPr>
            </w:pPr>
          </w:p>
        </w:tc>
        <w:tc>
          <w:tcPr>
            <w:tcW w:w="14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7,840</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w w:val="92"/>
              </w:rPr>
              <w:t>Issuance of shares, net of transaction costs: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280" w:type="dxa"/>
            <w:vAlign w:val="bottom"/>
            <w:shd w:val="clear" w:color="auto" w:fill="D5EAEA"/>
          </w:tcPr>
          <w:p>
            <w:pPr>
              <w:ind w:left="60"/>
              <w:spacing w:after="0"/>
              <w:rPr>
                <w:sz w:val="20"/>
                <w:szCs w:val="20"/>
                <w:color w:val="auto"/>
              </w:rPr>
            </w:pPr>
            <w:r>
              <w:rPr>
                <w:rFonts w:ascii="Arial" w:cs="Arial" w:eastAsia="Arial" w:hAnsi="Arial"/>
                <w:sz w:val="18"/>
                <w:szCs w:val="18"/>
                <w:color w:val="auto"/>
              </w:rPr>
              <w:t>restricted share awards</w:t>
            </w:r>
          </w:p>
        </w:tc>
        <w:tc>
          <w:tcPr>
            <w:tcW w:w="660" w:type="dxa"/>
            <w:vAlign w:val="bottom"/>
            <w:shd w:val="clear" w:color="auto" w:fill="D5EAEA"/>
          </w:tcPr>
          <w:p>
            <w:pPr>
              <w:spacing w:after="0"/>
              <w:rPr>
                <w:sz w:val="18"/>
                <w:szCs w:val="18"/>
                <w:color w:val="auto"/>
              </w:rPr>
            </w:pPr>
          </w:p>
        </w:tc>
        <w:tc>
          <w:tcPr>
            <w:tcW w:w="14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D5EAEA"/>
          </w:tcPr>
          <w:p>
            <w:pPr>
              <w:spacing w:after="0"/>
              <w:rPr>
                <w:sz w:val="18"/>
                <w:szCs w:val="18"/>
                <w:color w:val="auto"/>
              </w:rPr>
            </w:pPr>
          </w:p>
        </w:tc>
        <w:tc>
          <w:tcPr>
            <w:tcW w:w="14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3280" w:type="dxa"/>
            <w:vAlign w:val="bottom"/>
          </w:tcPr>
          <w:p>
            <w:pPr>
              <w:ind w:left="60"/>
              <w:spacing w:after="0"/>
              <w:rPr>
                <w:sz w:val="20"/>
                <w:szCs w:val="20"/>
                <w:color w:val="auto"/>
              </w:rPr>
            </w:pPr>
            <w:r>
              <w:rPr>
                <w:rFonts w:ascii="Arial" w:cs="Arial" w:eastAsia="Arial" w:hAnsi="Arial"/>
                <w:sz w:val="18"/>
                <w:szCs w:val="18"/>
                <w:color w:val="auto"/>
              </w:rPr>
              <w:t>exercise of options</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80</w:t>
            </w:r>
          </w:p>
        </w:tc>
      </w:tr>
      <w:tr>
        <w:trPr>
          <w:trHeight w:val="223"/>
        </w:trPr>
        <w:tc>
          <w:tcPr>
            <w:tcW w:w="328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Balance as of June 30, 2021</w:t>
            </w:r>
          </w:p>
        </w:tc>
        <w:tc>
          <w:tcPr>
            <w:tcW w:w="660" w:type="dxa"/>
            <w:vAlign w:val="bottom"/>
            <w:tcBorders>
              <w:top w:val="single" w:sz="8" w:color="D5EAEA"/>
              <w:bottom w:val="single" w:sz="8" w:color="D5EAEA"/>
            </w:tcBorders>
            <w:shd w:val="clear" w:color="auto" w:fill="D5EAEA"/>
          </w:tcPr>
          <w:p>
            <w:pPr>
              <w:spacing w:after="0"/>
              <w:rPr>
                <w:sz w:val="19"/>
                <w:szCs w:val="19"/>
                <w:color w:val="auto"/>
              </w:rPr>
            </w:pPr>
          </w:p>
        </w:tc>
        <w:tc>
          <w:tcPr>
            <w:tcW w:w="140" w:type="dxa"/>
            <w:vAlign w:val="bottom"/>
            <w:tcBorders>
              <w:top w:val="single" w:sz="8" w:color="D5EAEA"/>
              <w:bottom w:val="single" w:sz="8" w:color="D5EAEA"/>
            </w:tcBorders>
            <w:shd w:val="clear" w:color="auto" w:fill="D5EAEA"/>
          </w:tcPr>
          <w:p>
            <w:pPr>
              <w:spacing w:after="0"/>
              <w:rPr>
                <w:sz w:val="19"/>
                <w:szCs w:val="19"/>
                <w:color w:val="auto"/>
              </w:rPr>
            </w:pPr>
          </w:p>
        </w:tc>
        <w:tc>
          <w:tcPr>
            <w:tcW w:w="136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1,539</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354,899</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(167,071)</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189,282</w:t>
            </w:r>
          </w:p>
        </w:tc>
      </w:tr>
      <w:tr>
        <w:trPr>
          <w:trHeight w:val="20"/>
        </w:trPr>
        <w:tc>
          <w:tcPr>
            <w:tcW w:w="3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form an integral part of these Interim Condensed Consolidated Financial Statements (Unaudited).</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For the Six Months</w:t>
            </w: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p>
        </w:tc>
        <w:tc>
          <w:tcPr>
            <w:tcW w:w="148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rPr>
              <w:t>Notes</w:t>
            </w:r>
          </w:p>
        </w:tc>
        <w:tc>
          <w:tcPr>
            <w:tcW w:w="278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Ended June 30,</w:t>
            </w:r>
          </w:p>
        </w:tc>
        <w:tc>
          <w:tcPr>
            <w:tcW w:w="0" w:type="dxa"/>
            <w:vAlign w:val="bottom"/>
          </w:tcPr>
          <w:p>
            <w:pPr>
              <w:spacing w:after="0"/>
              <w:rPr>
                <w:sz w:val="1"/>
                <w:szCs w:val="1"/>
                <w:color w:val="auto"/>
              </w:rPr>
            </w:pPr>
          </w:p>
        </w:tc>
      </w:tr>
      <w:tr>
        <w:trPr>
          <w:trHeight w:val="209"/>
        </w:trPr>
        <w:tc>
          <w:tcPr>
            <w:tcW w:w="698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698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Operating activities</w:t>
            </w:r>
          </w:p>
        </w:tc>
        <w:tc>
          <w:tcPr>
            <w:tcW w:w="138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Loss for the period</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(35,803)</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(23,425)</w:t>
            </w: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Adjustments to reconcile net loss for the period to net cash flows:</w:t>
            </w:r>
          </w:p>
        </w:tc>
        <w:tc>
          <w:tcPr>
            <w:tcW w:w="13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Depreciation of property, plant and equipment</w:t>
            </w:r>
          </w:p>
        </w:tc>
        <w:tc>
          <w:tcPr>
            <w:tcW w:w="138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Depreciation of right-of-use assets</w:t>
            </w:r>
          </w:p>
        </w:tc>
        <w:tc>
          <w:tcPr>
            <w:tcW w:w="138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79"/>
              </w:rPr>
              <w:t>6</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Finance (income)/expense, net</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Share-based compensation expense</w:t>
            </w:r>
          </w:p>
        </w:tc>
        <w:tc>
          <w:tcPr>
            <w:tcW w:w="13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1,694</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Change in net employee defined benefit liability</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Interest expense</w:t>
            </w:r>
          </w:p>
        </w:tc>
        <w:tc>
          <w:tcPr>
            <w:tcW w:w="138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b w:val="1"/>
                <w:bCs w:val="1"/>
                <w:color w:val="auto"/>
              </w:rPr>
              <w:t>Changes in working capital:</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Decrease/(increase) in prepaid expenses</w:t>
            </w:r>
          </w:p>
        </w:tc>
        <w:tc>
          <w:tcPr>
            <w:tcW w:w="138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79"/>
              </w:rPr>
              <w:t>7</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1,131</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Decrease in accrued income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Decrease/(increase) in other current receivables</w:t>
            </w:r>
          </w:p>
        </w:tc>
        <w:tc>
          <w:tcPr>
            <w:tcW w:w="13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(Decrease) in accrued expenses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(2,348)</w:t>
            </w: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Increase/(decrease) in deferred income</w:t>
            </w:r>
          </w:p>
        </w:tc>
        <w:tc>
          <w:tcPr>
            <w:tcW w:w="138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216"/>
        </w:trPr>
        <w:tc>
          <w:tcPr>
            <w:tcW w:w="69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(Decrease)/increase in trade and other payables</w:t>
            </w:r>
          </w:p>
        </w:tc>
        <w:tc>
          <w:tcPr>
            <w:tcW w:w="1380" w:type="dxa"/>
            <w:vAlign w:val="bottom"/>
            <w:tcBorders>
              <w:bottom w:val="single" w:sz="8" w:color="D5EAEA"/>
            </w:tcBorders>
          </w:tcPr>
          <w:p>
            <w:pPr>
              <w:spacing w:after="0"/>
              <w:rPr>
                <w:sz w:val="18"/>
                <w:szCs w:val="18"/>
                <w:color w:val="auto"/>
              </w:rPr>
            </w:pP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10"/>
        </w:trPr>
        <w:tc>
          <w:tcPr>
            <w:tcW w:w="69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Cash used in operating activities</w:t>
            </w:r>
          </w:p>
        </w:tc>
        <w:tc>
          <w:tcPr>
            <w:tcW w:w="13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(33,168)</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(24,479)</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Interest income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Interest paid</w:t>
            </w:r>
          </w:p>
        </w:tc>
        <w:tc>
          <w:tcPr>
            <w:tcW w:w="13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69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Finance costs</w:t>
            </w:r>
          </w:p>
        </w:tc>
        <w:tc>
          <w:tcPr>
            <w:tcW w:w="1380" w:type="dxa"/>
            <w:vAlign w:val="bottom"/>
            <w:tcBorders>
              <w:bottom w:val="single" w:sz="8" w:color="D5EAEA"/>
            </w:tcBorders>
          </w:tcPr>
          <w:p>
            <w:pPr>
              <w:spacing w:after="0"/>
              <w:rPr>
                <w:sz w:val="18"/>
                <w:szCs w:val="18"/>
                <w:color w:val="auto"/>
              </w:rPr>
            </w:pP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Net cash flows used in operating activities</w:t>
            </w:r>
          </w:p>
        </w:tc>
        <w:tc>
          <w:tcPr>
            <w:tcW w:w="1380" w:type="dxa"/>
            <w:vAlign w:val="bottom"/>
            <w:tcBorders>
              <w:bottom w:val="single" w:sz="8" w:color="D5EAEA"/>
            </w:tcBorders>
            <w:shd w:val="clear" w:color="auto" w:fill="D5EAEA"/>
          </w:tcPr>
          <w:p>
            <w:pPr>
              <w:spacing w:after="0"/>
              <w:rPr>
                <w:sz w:val="18"/>
                <w:szCs w:val="18"/>
                <w:color w:val="auto"/>
              </w:rPr>
            </w:pPr>
          </w:p>
        </w:tc>
        <w:tc>
          <w:tcPr>
            <w:tcW w:w="100" w:type="dxa"/>
            <w:vAlign w:val="bottom"/>
            <w:tcBorders>
              <w:bottom w:val="single" w:sz="8" w:color="D5EAEA"/>
            </w:tcBorders>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(33,362)</w:t>
            </w:r>
          </w:p>
        </w:tc>
        <w:tc>
          <w:tcPr>
            <w:tcW w:w="100" w:type="dxa"/>
            <w:vAlign w:val="bottom"/>
            <w:tcBorders>
              <w:bottom w:val="single" w:sz="8" w:color="D5EAEA"/>
            </w:tcBorders>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(24,557)</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Investing activities</w:t>
            </w:r>
          </w:p>
        </w:tc>
        <w:tc>
          <w:tcPr>
            <w:tcW w:w="13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Short-term financial assets, net</w:t>
            </w:r>
          </w:p>
        </w:tc>
        <w:tc>
          <w:tcPr>
            <w:tcW w:w="138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Purchases of property, plant and equipment</w:t>
            </w:r>
          </w:p>
        </w:tc>
        <w:tc>
          <w:tcPr>
            <w:tcW w:w="138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(1,418)</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69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Rental deposits</w:t>
            </w:r>
          </w:p>
        </w:tc>
        <w:tc>
          <w:tcPr>
            <w:tcW w:w="1380" w:type="dxa"/>
            <w:vAlign w:val="bottom"/>
            <w:tcBorders>
              <w:bottom w:val="single" w:sz="8" w:color="D5EAEA"/>
            </w:tcBorders>
          </w:tcPr>
          <w:p>
            <w:pPr>
              <w:jc w:val="center"/>
              <w:spacing w:after="0"/>
              <w:rPr>
                <w:sz w:val="20"/>
                <w:szCs w:val="20"/>
                <w:color w:val="auto"/>
              </w:rPr>
            </w:pPr>
            <w:r>
              <w:rPr>
                <w:rFonts w:ascii="Arial" w:cs="Arial" w:eastAsia="Arial" w:hAnsi="Arial"/>
                <w:sz w:val="18"/>
                <w:szCs w:val="18"/>
                <w:color w:val="auto"/>
                <w:w w:val="79"/>
              </w:rPr>
              <w:t>8</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Net cash flows (used in)/provided by investing activities</w:t>
            </w:r>
          </w:p>
        </w:tc>
        <w:tc>
          <w:tcPr>
            <w:tcW w:w="1380" w:type="dxa"/>
            <w:vAlign w:val="bottom"/>
            <w:tcBorders>
              <w:bottom w:val="single" w:sz="8" w:color="D5EAEA"/>
            </w:tcBorders>
            <w:shd w:val="clear" w:color="auto" w:fill="D5EAEA"/>
          </w:tcPr>
          <w:p>
            <w:pPr>
              <w:spacing w:after="0"/>
              <w:rPr>
                <w:sz w:val="18"/>
                <w:szCs w:val="18"/>
                <w:color w:val="auto"/>
              </w:rPr>
            </w:pPr>
          </w:p>
        </w:tc>
        <w:tc>
          <w:tcPr>
            <w:tcW w:w="100" w:type="dxa"/>
            <w:vAlign w:val="bottom"/>
            <w:tcBorders>
              <w:bottom w:val="single" w:sz="8" w:color="D5EAEA"/>
            </w:tcBorders>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(31,447)</w:t>
            </w:r>
          </w:p>
        </w:tc>
        <w:tc>
          <w:tcPr>
            <w:tcW w:w="100" w:type="dxa"/>
            <w:vAlign w:val="bottom"/>
            <w:tcBorders>
              <w:bottom w:val="single" w:sz="8" w:color="D5EAEA"/>
            </w:tcBorders>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9,413</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Financing activities</w:t>
            </w:r>
          </w:p>
        </w:tc>
        <w:tc>
          <w:tcPr>
            <w:tcW w:w="13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Repayment of short-term financing obligation</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Principal payments of lease obligations</w:t>
            </w:r>
          </w:p>
        </w:tc>
        <w:tc>
          <w:tcPr>
            <w:tcW w:w="138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79"/>
              </w:rPr>
              <w:t>6</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2"/>
        </w:trPr>
        <w:tc>
          <w:tcPr>
            <w:tcW w:w="6980" w:type="dxa"/>
            <w:vAlign w:val="bottom"/>
          </w:tcPr>
          <w:p>
            <w:pPr>
              <w:spacing w:after="0" w:line="201" w:lineRule="exact"/>
              <w:rPr>
                <w:sz w:val="20"/>
                <w:szCs w:val="20"/>
                <w:color w:val="auto"/>
              </w:rPr>
            </w:pPr>
            <w:r>
              <w:rPr>
                <w:rFonts w:ascii="Arial" w:cs="Arial" w:eastAsia="Arial" w:hAnsi="Arial"/>
                <w:sz w:val="18"/>
                <w:szCs w:val="18"/>
                <w:color w:val="auto"/>
              </w:rPr>
              <w:t>Proceeds from sale of treasury shares in public offerings, net of underwriting fees and</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transaction costs</w:t>
            </w:r>
          </w:p>
        </w:tc>
        <w:tc>
          <w:tcPr>
            <w:tcW w:w="138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10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7,840</w:t>
            </w:r>
          </w:p>
        </w:tc>
        <w:tc>
          <w:tcPr>
            <w:tcW w:w="10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Proceeds from issuance of common shares</w:t>
            </w:r>
          </w:p>
        </w:tc>
        <w:tc>
          <w:tcPr>
            <w:tcW w:w="13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9"/>
        </w:trPr>
        <w:tc>
          <w:tcPr>
            <w:tcW w:w="698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Net cash flows provided by/(used in) financing activities</w:t>
            </w:r>
          </w:p>
        </w:tc>
        <w:tc>
          <w:tcPr>
            <w:tcW w:w="1380" w:type="dxa"/>
            <w:vAlign w:val="bottom"/>
            <w:tcBorders>
              <w:bottom w:val="single" w:sz="8" w:color="D5EAEA"/>
            </w:tcBorders>
          </w:tcPr>
          <w:p>
            <w:pPr>
              <w:spacing w:after="0"/>
              <w:rPr>
                <w:sz w:val="21"/>
                <w:szCs w:val="21"/>
                <w:color w:val="auto"/>
              </w:rPr>
            </w:pPr>
          </w:p>
        </w:tc>
        <w:tc>
          <w:tcPr>
            <w:tcW w:w="100" w:type="dxa"/>
            <w:vAlign w:val="bottom"/>
            <w:tcBorders>
              <w:bottom w:val="single" w:sz="8" w:color="D5EAEA"/>
            </w:tcBorders>
          </w:tcPr>
          <w:p>
            <w:pPr>
              <w:spacing w:after="0"/>
              <w:rPr>
                <w:sz w:val="21"/>
                <w:szCs w:val="21"/>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7,688</w:t>
            </w:r>
          </w:p>
        </w:tc>
        <w:tc>
          <w:tcPr>
            <w:tcW w:w="100" w:type="dxa"/>
            <w:vAlign w:val="bottom"/>
            <w:tcBorders>
              <w:bottom w:val="single" w:sz="8" w:color="D5EAEA"/>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197"/>
        </w:trPr>
        <w:tc>
          <w:tcPr>
            <w:tcW w:w="6980" w:type="dxa"/>
            <w:vAlign w:val="bottom"/>
            <w:shd w:val="clear" w:color="auto" w:fill="D5EAEA"/>
          </w:tcPr>
          <w:p>
            <w:pPr>
              <w:spacing w:after="0"/>
              <w:rPr>
                <w:sz w:val="17"/>
                <w:szCs w:val="17"/>
                <w:color w:val="auto"/>
              </w:rPr>
            </w:pPr>
          </w:p>
        </w:tc>
        <w:tc>
          <w:tcPr>
            <w:tcW w:w="138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98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380" w:type="dxa"/>
            <w:vAlign w:val="bottom"/>
            <w:tcBorders>
              <w:bottom w:val="single" w:sz="8" w:color="D5EAEA"/>
            </w:tcBorders>
          </w:tcPr>
          <w:p>
            <w:pPr>
              <w:spacing w:after="0"/>
              <w:rPr>
                <w:sz w:val="22"/>
                <w:szCs w:val="22"/>
                <w:color w:val="auto"/>
              </w:rPr>
            </w:pPr>
          </w:p>
        </w:tc>
        <w:tc>
          <w:tcPr>
            <w:tcW w:w="100" w:type="dxa"/>
            <w:vAlign w:val="bottom"/>
            <w:tcBorders>
              <w:bottom w:val="single" w:sz="8" w:color="D5EAEA"/>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(57,121)</w:t>
            </w:r>
          </w:p>
        </w:tc>
        <w:tc>
          <w:tcPr>
            <w:tcW w:w="100" w:type="dxa"/>
            <w:vAlign w:val="bottom"/>
            <w:tcBorders>
              <w:bottom w:val="single" w:sz="8" w:color="D5EAEA"/>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(15,625)</w:t>
            </w:r>
          </w:p>
        </w:tc>
        <w:tc>
          <w:tcPr>
            <w:tcW w:w="0" w:type="dxa"/>
            <w:vAlign w:val="bottom"/>
          </w:tcPr>
          <w:p>
            <w:pPr>
              <w:spacing w:after="0"/>
              <w:rPr>
                <w:sz w:val="1"/>
                <w:szCs w:val="1"/>
                <w:color w:val="auto"/>
              </w:rPr>
            </w:pPr>
          </w:p>
        </w:tc>
      </w:tr>
      <w:tr>
        <w:trPr>
          <w:trHeight w:val="197"/>
        </w:trPr>
        <w:tc>
          <w:tcPr>
            <w:tcW w:w="6980" w:type="dxa"/>
            <w:vAlign w:val="bottom"/>
            <w:shd w:val="clear" w:color="auto" w:fill="D5EAEA"/>
          </w:tcPr>
          <w:p>
            <w:pPr>
              <w:spacing w:after="0"/>
              <w:rPr>
                <w:sz w:val="17"/>
                <w:szCs w:val="17"/>
                <w:color w:val="auto"/>
              </w:rPr>
            </w:pPr>
          </w:p>
        </w:tc>
        <w:tc>
          <w:tcPr>
            <w:tcW w:w="138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Cash and cash equivalents at January 1</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160,893</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193,587</w:t>
            </w: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Exchange gain/(loss) on cash and cash equivalents</w:t>
            </w:r>
          </w:p>
        </w:tc>
        <w:tc>
          <w:tcPr>
            <w:tcW w:w="13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69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Cash and cash equivalents at June 30</w:t>
            </w:r>
          </w:p>
        </w:tc>
        <w:tc>
          <w:tcPr>
            <w:tcW w:w="1380" w:type="dxa"/>
            <w:vAlign w:val="bottom"/>
            <w:tcBorders>
              <w:bottom w:val="single" w:sz="8" w:color="D5EAEA"/>
            </w:tcBorders>
          </w:tcPr>
          <w:p>
            <w:pPr>
              <w:spacing w:after="0"/>
              <w:rPr>
                <w:sz w:val="18"/>
                <w:szCs w:val="18"/>
                <w:color w:val="auto"/>
              </w:rPr>
            </w:pP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104,135</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177,464</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380" w:type="dxa"/>
            <w:vAlign w:val="bottom"/>
            <w:tcBorders>
              <w:bottom w:val="single" w:sz="8" w:color="D5EAEA"/>
            </w:tcBorders>
            <w:shd w:val="clear" w:color="auto" w:fill="D5EAEA"/>
          </w:tcPr>
          <w:p>
            <w:pPr>
              <w:spacing w:after="0"/>
              <w:rPr>
                <w:sz w:val="18"/>
                <w:szCs w:val="18"/>
                <w:color w:val="auto"/>
              </w:rPr>
            </w:pPr>
          </w:p>
        </w:tc>
        <w:tc>
          <w:tcPr>
            <w:tcW w:w="100" w:type="dxa"/>
            <w:vAlign w:val="bottom"/>
            <w:tcBorders>
              <w:bottom w:val="single" w:sz="8" w:color="D5EAEA"/>
            </w:tcBorders>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(57,121)</w:t>
            </w:r>
          </w:p>
        </w:tc>
        <w:tc>
          <w:tcPr>
            <w:tcW w:w="100" w:type="dxa"/>
            <w:vAlign w:val="bottom"/>
            <w:tcBorders>
              <w:bottom w:val="single" w:sz="8" w:color="D5EAEA"/>
            </w:tcBorders>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(15,625)</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For the six months ended June 30, 2021, the acquisition of CHF 0.2 million of property, plant and equipment was non-paid and recorded within accrued expenses.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form an integral part of these Interim Condensed Consolidated Financial Statements (Unaudited).</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 except share and per share amounts)</w:t>
      </w:r>
    </w:p>
    <w:p>
      <w:pPr>
        <w:spacing w:after="0" w:line="207" w:lineRule="exact"/>
        <w:rPr>
          <w:sz w:val="20"/>
          <w:szCs w:val="20"/>
          <w:color w:val="auto"/>
        </w:rPr>
      </w:pPr>
    </w:p>
    <w:p>
      <w:pPr>
        <w:ind w:left="340" w:hanging="332"/>
        <w:spacing w:after="0"/>
        <w:tabs>
          <w:tab w:leader="none" w:pos="34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AC Immune SA was founded in 2003. The terms “Company,” “AC Immune,” “ACIU,” “we,” “our,” “ours,” or “us” refer to AC Immune SA together with its fully-owned subsidiary, AC Immune USA, Inc., included in the “Scope of consolidation” (See Note 2).</w:t>
      </w:r>
    </w:p>
    <w:p>
      <w:pPr>
        <w:spacing w:after="0" w:line="17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AC Immune SA is a clinical-stage biopharmaceutical company leveraging our two proprietary technology platforms to discover, design and develop novel proprietary medicines and diagnostics for prevention and treatment of neurodegenerative diseases (NDD) associated with protein misfolding. Misfolded proteins are generally recognized as the leading cause of NDD, such as Alzheimer’s disease (AD) and Parkinson’s disease (PD), with common mechanisms and drug targets, such as amyloid beta (Abeta), Tau, alpha-synuclein (a-syn) and TDP-43. Our corporate strategy is founded upon a three-pillar approach that targets (i) AD, (ii) focused non-AD NDD (including NeuroOrphan indications) and (iii) diagnostics. We use our two unique proprietary platform technologies, SupraAntigen (conformation-specific biologics) and Morphomer (conformation-specific small molecules), to discover, design and develop novel medicines and diagnostics to target misfolded proteins.</w:t>
      </w:r>
    </w:p>
    <w:p>
      <w:pPr>
        <w:spacing w:after="0" w:line="177"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The Interim Condensed Consolidated Financial Statements of AC Immune SA as of and for the three and six months ended June 30, 2021 were authorized for issuance by the Company’s Audit and Finance Committee on August 2, 2021.</w:t>
      </w:r>
    </w:p>
    <w:p>
      <w:pPr>
        <w:spacing w:after="0" w:line="166" w:lineRule="exact"/>
        <w:rPr>
          <w:sz w:val="20"/>
          <w:szCs w:val="20"/>
          <w:color w:val="auto"/>
        </w:rPr>
      </w:pPr>
    </w:p>
    <w:p>
      <w:pPr>
        <w:ind w:right="5460" w:firstLine="8"/>
        <w:spacing w:after="0" w:line="503" w:lineRule="auto"/>
        <w:tabs>
          <w:tab w:leader="none" w:pos="324"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changes to the Company’s accounting policies Statement of compliance</w:t>
      </w:r>
    </w:p>
    <w:p>
      <w:pPr>
        <w:ind w:right="40" w:firstLine="324"/>
        <w:spacing w:after="0" w:line="259" w:lineRule="auto"/>
        <w:rPr>
          <w:sz w:val="20"/>
          <w:szCs w:val="20"/>
          <w:color w:val="auto"/>
        </w:rPr>
      </w:pPr>
      <w:r>
        <w:rPr>
          <w:rFonts w:ascii="Arial" w:cs="Arial" w:eastAsia="Arial" w:hAnsi="Arial"/>
          <w:sz w:val="18"/>
          <w:szCs w:val="18"/>
          <w:color w:val="auto"/>
        </w:rPr>
        <w:t xml:space="preserve">These Interim Condensed Consolidated Financial Statements as of June 30, 2021 and for the three and six months ended June 30, 2021 and 2020, have been prepared in accordance with International Accounting Standard 34 (IAS 34), </w:t>
      </w:r>
      <w:r>
        <w:rPr>
          <w:rFonts w:ascii="Arial" w:cs="Arial" w:eastAsia="Arial" w:hAnsi="Arial"/>
          <w:sz w:val="18"/>
          <w:szCs w:val="18"/>
          <w:i w:val="1"/>
          <w:iCs w:val="1"/>
          <w:color w:val="auto"/>
        </w:rPr>
        <w:t>Interim Financial Reporting</w:t>
      </w:r>
      <w:r>
        <w:rPr>
          <w:rFonts w:ascii="Arial" w:cs="Arial" w:eastAsia="Arial" w:hAnsi="Arial"/>
          <w:sz w:val="18"/>
          <w:szCs w:val="18"/>
          <w:color w:val="auto"/>
        </w:rPr>
        <w:t>, and such financial information should be read in conjunction with the audited financial statements in AC Immune’s Annual Report on Form 20-F for the year ended December 31, 2020, and any public announcements made by the Company during the interim reporting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measurement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consolidated financial statements have been prepared under the historical cost convention.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229" w:lineRule="exact"/>
        <w:rPr>
          <w:sz w:val="20"/>
          <w:szCs w:val="20"/>
          <w:color w:val="auto"/>
        </w:rPr>
      </w:pPr>
    </w:p>
    <w:p>
      <w:pPr>
        <w:jc w:val="both"/>
        <w:ind w:right="320" w:firstLine="324"/>
        <w:spacing w:after="0" w:line="311" w:lineRule="auto"/>
        <w:rPr>
          <w:sz w:val="20"/>
          <w:szCs w:val="20"/>
          <w:color w:val="auto"/>
        </w:rPr>
      </w:pPr>
      <w:r>
        <w:rPr>
          <w:rFonts w:ascii="Arial" w:cs="Arial" w:eastAsia="Arial" w:hAnsi="Arial"/>
          <w:sz w:val="16"/>
          <w:szCs w:val="16"/>
          <w:color w:val="auto"/>
        </w:rPr>
        <w:t>The preparation of the Company’s Interim Condensed Consolidated Financial Statements in conformity with IAS 34 requires management to make judgments, estimates and assumptions that affect the amounts reported in the Interim Condensed Consolidated Financial Statements and accompanying notes, and the related application of accounting policies as it relates to the reported amounts of assets, liabilities, income and expenses.</w:t>
      </w:r>
    </w:p>
    <w:p>
      <w:pPr>
        <w:spacing w:after="0" w:line="149" w:lineRule="exact"/>
        <w:rPr>
          <w:sz w:val="20"/>
          <w:szCs w:val="20"/>
          <w:color w:val="auto"/>
        </w:rPr>
      </w:pPr>
    </w:p>
    <w:p>
      <w:pPr>
        <w:ind w:right="280" w:firstLine="324"/>
        <w:spacing w:after="0" w:line="301" w:lineRule="auto"/>
        <w:rPr>
          <w:sz w:val="20"/>
          <w:szCs w:val="20"/>
          <w:color w:val="auto"/>
        </w:rPr>
      </w:pPr>
      <w:r>
        <w:rPr>
          <w:rFonts w:ascii="Arial" w:cs="Arial" w:eastAsia="Arial" w:hAnsi="Arial"/>
          <w:sz w:val="16"/>
          <w:szCs w:val="16"/>
          <w:color w:val="auto"/>
        </w:rPr>
        <w:t>The areas in which the Company has had to make judgments, estimates and assumptions relate to (i) revenue recognition on licensing and collaboration agreements (“LCAs”), (ii) clinical development accruals, (iii) net employee defined-benefit liability, (iv) income taxes, (v) share-based compensation, and (vi) right-of-use assets and lease liabilities. Actual results may differ from these estimates. Estimates and underlying assumptions are reviewed on an ongoing basis. Revisions to accounting estimates are recognized in the period in which the estimates are revised.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Scope of consolidation</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commenced financial operations in the United States in Q2 2021 via the opening of its fully-owned subsidiary, AC Immune USA, Inc. (“the Subsidiary”). The Subsidiary is registered and organized under the laws of Delaware, USA and fully consolidated in these Interim Condensed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assets and liabilities</w:t>
      </w:r>
    </w:p>
    <w:p>
      <w:pPr>
        <w:spacing w:after="0" w:line="33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8" w:name="page59"/>
    <w:bookmarkEnd w:id="58"/>
    <w:p>
      <w:pPr>
        <w:ind w:right="140" w:firstLine="324"/>
        <w:spacing w:after="0" w:line="263" w:lineRule="auto"/>
        <w:rPr>
          <w:sz w:val="20"/>
          <w:szCs w:val="20"/>
          <w:color w:val="auto"/>
        </w:rPr>
      </w:pPr>
      <w:r>
        <w:rPr>
          <w:rFonts w:ascii="Arial" w:cs="Arial" w:eastAsia="Arial" w:hAnsi="Arial"/>
          <w:sz w:val="18"/>
          <w:szCs w:val="18"/>
          <w:color w:val="auto"/>
        </w:rPr>
        <w:t>The Company’s financial assets and liabilities are comprised of receivables, short-term financial assets, cash and cash equivalents, trade payables and lease liabilities. The fair value of these financial instruments approximate their respective carrying values due to the short-term maturity of these instruments, and are held at their amortized cost in accordance with IFRS 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new standards, interpretations and amendments adopted by the Company</w:t>
      </w:r>
    </w:p>
    <w:p>
      <w:pPr>
        <w:spacing w:after="0" w:line="22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accounting policies adopted in the preparation of the Interim Condensed Consolidated Financial Statements are consistent with those followed in the preparation of the Company’s annual financial statements for the year ended December 31, 2020.</w:t>
      </w:r>
    </w:p>
    <w:p>
      <w:pPr>
        <w:spacing w:after="0" w:line="170"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The Company has not adopted any other standard, interpretation or amendment that has been issued but is not yet effective. Such standards are not currently expected to have a material impact on the entity in the current or future reporting periods, and on foreseeable future transactions.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Company believes that it will be able to meet all of its obligations as they fall due for at least 12 months from June 30, 2021, after considering the Company’s cash position of CHF 104.1 million and short-term financial assets of CHF 95.0 million as of June 30, 2021. Hence, the unaudited Interim Condensed Consolidated Financial Statements have been prepared on a going-concern basis.</w:t>
      </w:r>
    </w:p>
    <w:p>
      <w:pPr>
        <w:spacing w:after="0" w:line="184"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To date, the Company has financed its cash requirements primarily from its public offerings, share issuances, contract revenues from license and collaboration agreements and grants. The Company is a clinical-stage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 (i) establish and maintain a strong patent position and protection; (ii) enter into collaborations with partners in the pharmaceutical and biopharmaceutical industries; (iii) successfully move its product candidates through clinical development; (iv) attract and retain key personnel; and (v) acquire capital to support its operations.</w:t>
      </w:r>
    </w:p>
    <w:p>
      <w:pPr>
        <w:spacing w:after="0" w:line="17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addition to the foregoing, based on the Company’s current assessment, the Company does not expect any material impact on its long-term development timeline, its liquidity or ability to remain a going concern due to the worldwide spread of the Covid-19 virus. The Company continues to assess the effect on its operations by carefully monitoring the spread of Covid-19 and taking appropriate steps intended to offset any negative impacts from the Covid-19 virus.</w:t>
      </w:r>
    </w:p>
    <w:p>
      <w:pPr>
        <w:spacing w:after="0" w:line="183" w:lineRule="exact"/>
        <w:rPr>
          <w:sz w:val="20"/>
          <w:szCs w:val="20"/>
          <w:color w:val="auto"/>
        </w:rPr>
      </w:pPr>
    </w:p>
    <w:p>
      <w:pPr>
        <w:ind w:left="340" w:hanging="332"/>
        <w:spacing w:after="0"/>
        <w:tabs>
          <w:tab w:leader="none" w:pos="34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Contract revenues</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For the three and six months ended June 30, 2021, AC Immune generated no contract revenues compared with CHF 1.1 million and CHF 13.4 million for the comparable periods in 2020, respectively. This represents a decrease of CHF 1.1 million and CHF 13.4 million, respectively. The Company reclassified CHF 0.2 million and CHF 0.3 million for the comparable periods in 2020, respectively, from contract revenues to other operating income/(expense) for prior grants from the Michael J. Fox Foundation for Parkinson’s Research (“MJFF”).</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For the Three Months</w:t>
            </w:r>
          </w:p>
        </w:tc>
        <w:tc>
          <w:tcPr>
            <w:tcW w:w="0" w:type="dxa"/>
            <w:vAlign w:val="bottom"/>
          </w:tcPr>
          <w:p>
            <w:pPr>
              <w:spacing w:after="0"/>
              <w:rPr>
                <w:sz w:val="1"/>
                <w:szCs w:val="1"/>
                <w:color w:val="auto"/>
              </w:rPr>
            </w:pPr>
          </w:p>
        </w:tc>
      </w:tr>
      <w:tr>
        <w:trPr>
          <w:trHeight w:val="234"/>
        </w:trPr>
        <w:tc>
          <w:tcPr>
            <w:tcW w:w="8440" w:type="dxa"/>
            <w:vAlign w:val="bottom"/>
            <w:gridSpan w:val="2"/>
            <w:vMerge w:val="restart"/>
          </w:tcPr>
          <w:p>
            <w:pPr>
              <w:ind w:left="3460"/>
              <w:spacing w:after="0"/>
              <w:rPr>
                <w:sz w:val="20"/>
                <w:szCs w:val="20"/>
                <w:color w:val="auto"/>
              </w:rPr>
            </w:pPr>
            <w:r>
              <w:rPr>
                <w:rFonts w:ascii="Arial" w:cs="Arial" w:eastAsia="Arial" w:hAnsi="Arial"/>
                <w:sz w:val="18"/>
                <w:szCs w:val="18"/>
                <w:b w:val="1"/>
                <w:bCs w:val="1"/>
                <w:color w:val="auto"/>
              </w:rPr>
              <w:t>in CHF thousands</w:t>
            </w:r>
          </w:p>
        </w:tc>
        <w:tc>
          <w:tcPr>
            <w:tcW w:w="280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Ended June 30,</w:t>
            </w:r>
          </w:p>
        </w:tc>
        <w:tc>
          <w:tcPr>
            <w:tcW w:w="0" w:type="dxa"/>
            <w:vAlign w:val="bottom"/>
          </w:tcPr>
          <w:p>
            <w:pPr>
              <w:spacing w:after="0"/>
              <w:rPr>
                <w:sz w:val="1"/>
                <w:szCs w:val="1"/>
                <w:color w:val="auto"/>
              </w:rPr>
            </w:pPr>
          </w:p>
        </w:tc>
      </w:tr>
      <w:tr>
        <w:trPr>
          <w:trHeight w:val="210"/>
        </w:trPr>
        <w:tc>
          <w:tcPr>
            <w:tcW w:w="8440" w:type="dxa"/>
            <w:vAlign w:val="bottom"/>
            <w:gridSpan w:val="2"/>
            <w:vMerge w:val="continue"/>
          </w:tcPr>
          <w:p>
            <w:pPr>
              <w:spacing w:after="0"/>
              <w:rPr>
                <w:sz w:val="18"/>
                <w:szCs w:val="18"/>
                <w:color w:val="auto"/>
              </w:rPr>
            </w:pPr>
          </w:p>
        </w:tc>
        <w:tc>
          <w:tcPr>
            <w:tcW w:w="1360" w:type="dxa"/>
            <w:vAlign w:val="bottom"/>
          </w:tcPr>
          <w:p>
            <w:pPr>
              <w:ind w:left="50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832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Eli Lilly and Company</w:t>
            </w:r>
          </w:p>
        </w:tc>
        <w:tc>
          <w:tcPr>
            <w:tcW w:w="12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Genentech</w:t>
            </w: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Janssen</w:t>
            </w:r>
          </w:p>
        </w:tc>
        <w:tc>
          <w:tcPr>
            <w:tcW w:w="1460" w:type="dxa"/>
            <w:vAlign w:val="bottom"/>
            <w:gridSpan w:val="2"/>
            <w:shd w:val="clear" w:color="auto" w:fill="D5EAEA"/>
          </w:tcPr>
          <w:p>
            <w:pPr>
              <w:ind w:left="10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0"/>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Total contract revenue</w:t>
            </w:r>
          </w:p>
        </w:tc>
        <w:tc>
          <w:tcPr>
            <w:tcW w:w="136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For the Six Months</w:t>
            </w:r>
          </w:p>
        </w:tc>
        <w:tc>
          <w:tcPr>
            <w:tcW w:w="0" w:type="dxa"/>
            <w:vAlign w:val="bottom"/>
          </w:tcPr>
          <w:p>
            <w:pPr>
              <w:spacing w:after="0"/>
              <w:rPr>
                <w:sz w:val="1"/>
                <w:szCs w:val="1"/>
                <w:color w:val="auto"/>
              </w:rPr>
            </w:pPr>
          </w:p>
        </w:tc>
      </w:tr>
      <w:tr>
        <w:trPr>
          <w:trHeight w:val="234"/>
        </w:trPr>
        <w:tc>
          <w:tcPr>
            <w:tcW w:w="5220" w:type="dxa"/>
            <w:vAlign w:val="bottom"/>
            <w:vMerge w:val="restart"/>
          </w:tcPr>
          <w:p>
            <w:pPr>
              <w:ind w:left="3460"/>
              <w:spacing w:after="0"/>
              <w:rPr>
                <w:sz w:val="20"/>
                <w:szCs w:val="20"/>
                <w:color w:val="auto"/>
              </w:rPr>
            </w:pPr>
            <w:r>
              <w:rPr>
                <w:rFonts w:ascii="Arial" w:cs="Arial" w:eastAsia="Arial" w:hAnsi="Arial"/>
                <w:sz w:val="18"/>
                <w:szCs w:val="18"/>
                <w:b w:val="1"/>
                <w:bCs w:val="1"/>
                <w:color w:val="auto"/>
              </w:rPr>
              <w:t>in CHF thousands</w:t>
            </w:r>
          </w:p>
        </w:tc>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Ended June 30,</w:t>
            </w:r>
          </w:p>
        </w:tc>
        <w:tc>
          <w:tcPr>
            <w:tcW w:w="0" w:type="dxa"/>
            <w:vAlign w:val="bottom"/>
          </w:tcPr>
          <w:p>
            <w:pPr>
              <w:spacing w:after="0"/>
              <w:rPr>
                <w:sz w:val="1"/>
                <w:szCs w:val="1"/>
                <w:color w:val="auto"/>
              </w:rPr>
            </w:pPr>
          </w:p>
        </w:tc>
      </w:tr>
      <w:tr>
        <w:trPr>
          <w:trHeight w:val="210"/>
        </w:trPr>
        <w:tc>
          <w:tcPr>
            <w:tcW w:w="5220" w:type="dxa"/>
            <w:vAlign w:val="bottom"/>
            <w:vMerge w:val="continue"/>
          </w:tcPr>
          <w:p>
            <w:pPr>
              <w:spacing w:after="0"/>
              <w:rPr>
                <w:sz w:val="18"/>
                <w:szCs w:val="18"/>
                <w:color w:val="auto"/>
              </w:rPr>
            </w:pPr>
          </w:p>
        </w:tc>
        <w:tc>
          <w:tcPr>
            <w:tcW w:w="3220" w:type="dxa"/>
            <w:vAlign w:val="bottom"/>
            <w:gridSpan w:val="2"/>
          </w:tcPr>
          <w:p>
            <w:pPr>
              <w:spacing w:after="0"/>
              <w:rPr>
                <w:sz w:val="18"/>
                <w:szCs w:val="18"/>
                <w:color w:val="auto"/>
              </w:rPr>
            </w:pPr>
          </w:p>
        </w:tc>
        <w:tc>
          <w:tcPr>
            <w:tcW w:w="1360" w:type="dxa"/>
            <w:vAlign w:val="bottom"/>
          </w:tcPr>
          <w:p>
            <w:pPr>
              <w:ind w:left="50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522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Eli Lilly and Company</w:t>
            </w:r>
          </w:p>
        </w:tc>
        <w:tc>
          <w:tcPr>
            <w:tcW w:w="310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12,941</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Genentech</w:t>
            </w: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20" w:type="dxa"/>
            <w:vAlign w:val="bottom"/>
            <w:shd w:val="clear" w:color="auto" w:fill="D5EAEA"/>
          </w:tcPr>
          <w:p>
            <w:pPr>
              <w:spacing w:after="0"/>
              <w:rPr>
                <w:sz w:val="20"/>
                <w:szCs w:val="20"/>
                <w:color w:val="auto"/>
              </w:rPr>
            </w:pPr>
            <w:r>
              <w:rPr>
                <w:rFonts w:ascii="Arial" w:cs="Arial" w:eastAsia="Arial" w:hAnsi="Arial"/>
                <w:sz w:val="18"/>
                <w:szCs w:val="18"/>
                <w:color w:val="auto"/>
              </w:rPr>
              <w:t>Janssen</w:t>
            </w:r>
          </w:p>
        </w:tc>
        <w:tc>
          <w:tcPr>
            <w:tcW w:w="3100" w:type="dxa"/>
            <w:vAlign w:val="bottom"/>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460" w:type="dxa"/>
            <w:vAlign w:val="bottom"/>
            <w:gridSpan w:val="2"/>
            <w:shd w:val="clear" w:color="auto" w:fill="D5EAEA"/>
          </w:tcPr>
          <w:p>
            <w:pPr>
              <w:ind w:left="10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0"/>
        </w:trPr>
        <w:tc>
          <w:tcPr>
            <w:tcW w:w="5220" w:type="dxa"/>
            <w:vAlign w:val="bottom"/>
          </w:tcPr>
          <w:p>
            <w:pPr>
              <w:spacing w:after="0"/>
              <w:rPr>
                <w:sz w:val="20"/>
                <w:szCs w:val="20"/>
                <w:color w:val="auto"/>
              </w:rPr>
            </w:pPr>
            <w:r>
              <w:rPr>
                <w:rFonts w:ascii="Arial" w:cs="Arial" w:eastAsia="Arial" w:hAnsi="Arial"/>
                <w:sz w:val="18"/>
                <w:szCs w:val="18"/>
                <w:b w:val="1"/>
                <w:bCs w:val="1"/>
                <w:color w:val="auto"/>
              </w:rPr>
              <w:t>Total contract revenue</w:t>
            </w: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13,365</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3100" w:type="dxa"/>
            <w:vAlign w:val="bottom"/>
            <w:vMerge w:val="restart"/>
          </w:tcPr>
          <w:p>
            <w:pPr>
              <w:jc w:val="right"/>
              <w:ind w:right="259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2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4" w:right="339" w:bottom="1440" w:gutter="0" w:footer="0" w:header="0"/>
        </w:sectPr>
      </w:pPr>
    </w:p>
    <w:bookmarkStart w:id="59" w:name="page60"/>
    <w:bookmarkEnd w:id="59"/>
    <w:p>
      <w:pPr>
        <w:ind w:left="340"/>
        <w:spacing w:after="0"/>
        <w:rPr>
          <w:sz w:val="20"/>
          <w:szCs w:val="20"/>
          <w:color w:val="auto"/>
        </w:rPr>
      </w:pPr>
      <w:r>
        <w:rPr>
          <w:rFonts w:ascii="Arial" w:cs="Arial" w:eastAsia="Arial" w:hAnsi="Arial"/>
          <w:sz w:val="17"/>
          <w:szCs w:val="17"/>
          <w:color w:val="auto"/>
        </w:rPr>
        <w:t>The following table presents changes in the Company’s contract assets and liabilities during the six months ended June 30, 2021 and 2020:</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Balance at the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Balance at the</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beginning of the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end of the</w:t>
            </w:r>
          </w:p>
        </w:tc>
      </w:tr>
      <w:tr>
        <w:trPr>
          <w:trHeight w:val="234"/>
        </w:trPr>
        <w:tc>
          <w:tcPr>
            <w:tcW w:w="5520" w:type="dxa"/>
            <w:vAlign w:val="bottom"/>
            <w:gridSpan w:val="2"/>
          </w:tcPr>
          <w:p>
            <w:pPr>
              <w:ind w:left="2000"/>
              <w:spacing w:after="0"/>
              <w:rPr>
                <w:sz w:val="20"/>
                <w:szCs w:val="20"/>
                <w:color w:val="auto"/>
              </w:rPr>
            </w:pPr>
            <w:r>
              <w:rPr>
                <w:rFonts w:ascii="Arial" w:cs="Arial" w:eastAsia="Arial" w:hAnsi="Arial"/>
                <w:sz w:val="18"/>
                <w:szCs w:val="18"/>
                <w:b w:val="1"/>
                <w:bCs w:val="1"/>
                <w:color w:val="auto"/>
              </w:rPr>
              <w:t>in CHF thousands</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reporting period</w:t>
            </w:r>
          </w:p>
        </w:tc>
        <w:tc>
          <w:tcPr>
            <w:tcW w:w="1440" w:type="dxa"/>
            <w:vAlign w:val="bottom"/>
            <w:gridSpan w:val="2"/>
          </w:tcPr>
          <w:p>
            <w:pPr>
              <w:ind w:left="280"/>
              <w:spacing w:after="0"/>
              <w:rPr>
                <w:sz w:val="20"/>
                <w:szCs w:val="20"/>
                <w:color w:val="auto"/>
              </w:rPr>
            </w:pPr>
            <w:r>
              <w:rPr>
                <w:rFonts w:ascii="Arial" w:cs="Arial" w:eastAsia="Arial" w:hAnsi="Arial"/>
                <w:sz w:val="18"/>
                <w:szCs w:val="18"/>
                <w:b w:val="1"/>
                <w:bCs w:val="1"/>
                <w:color w:val="auto"/>
              </w:rPr>
              <w:t>Additions</w:t>
            </w:r>
          </w:p>
        </w:tc>
        <w:tc>
          <w:tcPr>
            <w:tcW w:w="1440" w:type="dxa"/>
            <w:vAlign w:val="bottom"/>
            <w:gridSpan w:val="2"/>
          </w:tcPr>
          <w:p>
            <w:pPr>
              <w:ind w:left="240"/>
              <w:spacing w:after="0"/>
              <w:rPr>
                <w:sz w:val="20"/>
                <w:szCs w:val="20"/>
                <w:color w:val="auto"/>
              </w:rPr>
            </w:pPr>
            <w:r>
              <w:rPr>
                <w:rFonts w:ascii="Arial" w:cs="Arial" w:eastAsia="Arial" w:hAnsi="Arial"/>
                <w:sz w:val="18"/>
                <w:szCs w:val="18"/>
                <w:b w:val="1"/>
                <w:bCs w:val="1"/>
                <w:color w:val="auto"/>
              </w:rPr>
              <w:t>Deductions</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reporting period</w:t>
            </w:r>
          </w:p>
        </w:tc>
      </w:tr>
      <w:tr>
        <w:trPr>
          <w:trHeight w:val="209"/>
        </w:trPr>
        <w:tc>
          <w:tcPr>
            <w:tcW w:w="540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b w:val="1"/>
                <w:bCs w:val="1"/>
                <w:color w:val="auto"/>
              </w:rPr>
              <w:t>Six months ended June 30, 2021</w:t>
            </w:r>
          </w:p>
        </w:tc>
        <w:tc>
          <w:tcPr>
            <w:tcW w:w="12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Accrued income</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1,591</w:t>
            </w: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(1,652)</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720</w:t>
            </w:r>
          </w:p>
        </w:tc>
      </w:tr>
      <w:tr>
        <w:trPr>
          <w:trHeight w:val="216"/>
        </w:trPr>
        <w:tc>
          <w:tcPr>
            <w:tcW w:w="55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Deferred income</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781</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409</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Six months ended June 30, 2020:</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55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Accrued income</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1,095</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(1,095)</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424</w:t>
            </w: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Deferred income</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4,477</w:t>
            </w:r>
          </w:p>
        </w:tc>
        <w:tc>
          <w:tcPr>
            <w:tcW w:w="1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(3,266)</w:t>
            </w:r>
          </w:p>
        </w:tc>
        <w:tc>
          <w:tcPr>
            <w:tcW w:w="10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1,407</w:t>
            </w:r>
          </w:p>
        </w:tc>
      </w:tr>
    </w:tbl>
    <w:p>
      <w:pPr>
        <w:spacing w:after="0" w:line="18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During the three and six months ended June 30, 2021 and 2020, the Company recognized the following contract revenues as a result of changes in the contract asset and the contract liability balances in the respective periods: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For the Three Months</w:t>
            </w:r>
          </w:p>
        </w:tc>
        <w:tc>
          <w:tcPr>
            <w:tcW w:w="0" w:type="dxa"/>
            <w:vAlign w:val="bottom"/>
          </w:tcPr>
          <w:p>
            <w:pPr>
              <w:spacing w:after="0"/>
              <w:rPr>
                <w:sz w:val="1"/>
                <w:szCs w:val="1"/>
                <w:color w:val="auto"/>
              </w:rPr>
            </w:pPr>
          </w:p>
        </w:tc>
      </w:tr>
      <w:tr>
        <w:trPr>
          <w:trHeight w:val="234"/>
        </w:trPr>
        <w:tc>
          <w:tcPr>
            <w:tcW w:w="8440" w:type="dxa"/>
            <w:vAlign w:val="bottom"/>
            <w:gridSpan w:val="2"/>
            <w:vMerge w:val="restart"/>
          </w:tcPr>
          <w:p>
            <w:pPr>
              <w:ind w:left="3460"/>
              <w:spacing w:after="0"/>
              <w:rPr>
                <w:sz w:val="20"/>
                <w:szCs w:val="20"/>
                <w:color w:val="auto"/>
              </w:rPr>
            </w:pPr>
            <w:r>
              <w:rPr>
                <w:rFonts w:ascii="Arial" w:cs="Arial" w:eastAsia="Arial" w:hAnsi="Arial"/>
                <w:sz w:val="18"/>
                <w:szCs w:val="18"/>
                <w:b w:val="1"/>
                <w:bCs w:val="1"/>
                <w:color w:val="auto"/>
              </w:rPr>
              <w:t>in CHF thousands</w:t>
            </w:r>
          </w:p>
        </w:tc>
        <w:tc>
          <w:tcPr>
            <w:tcW w:w="280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Ended June 30,</w:t>
            </w:r>
          </w:p>
        </w:tc>
        <w:tc>
          <w:tcPr>
            <w:tcW w:w="0" w:type="dxa"/>
            <w:vAlign w:val="bottom"/>
          </w:tcPr>
          <w:p>
            <w:pPr>
              <w:spacing w:after="0"/>
              <w:rPr>
                <w:sz w:val="1"/>
                <w:szCs w:val="1"/>
                <w:color w:val="auto"/>
              </w:rPr>
            </w:pPr>
          </w:p>
        </w:tc>
      </w:tr>
      <w:tr>
        <w:trPr>
          <w:trHeight w:val="210"/>
        </w:trPr>
        <w:tc>
          <w:tcPr>
            <w:tcW w:w="8440" w:type="dxa"/>
            <w:vAlign w:val="bottom"/>
            <w:gridSpan w:val="2"/>
            <w:vMerge w:val="continue"/>
          </w:tcPr>
          <w:p>
            <w:pPr>
              <w:spacing w:after="0"/>
              <w:rPr>
                <w:sz w:val="18"/>
                <w:szCs w:val="18"/>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832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b w:val="1"/>
                <w:bCs w:val="1"/>
                <w:color w:val="auto"/>
              </w:rPr>
              <w:t>Revenue recognized in the period from:</w:t>
            </w:r>
          </w:p>
        </w:tc>
        <w:tc>
          <w:tcPr>
            <w:tcW w:w="12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Amounts included in the contract liability at the beginning of the period</w:t>
            </w: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Performance obligations satisfied in previous periods</w:t>
            </w:r>
          </w:p>
        </w:tc>
        <w:tc>
          <w:tcPr>
            <w:tcW w:w="1460" w:type="dxa"/>
            <w:vAlign w:val="bottom"/>
            <w:gridSpan w:val="2"/>
            <w:shd w:val="clear" w:color="auto" w:fill="D5EAEA"/>
          </w:tcPr>
          <w:p>
            <w:pPr>
              <w:ind w:left="10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For the Six Months</w:t>
            </w:r>
          </w:p>
        </w:tc>
        <w:tc>
          <w:tcPr>
            <w:tcW w:w="0" w:type="dxa"/>
            <w:vAlign w:val="bottom"/>
          </w:tcPr>
          <w:p>
            <w:pPr>
              <w:spacing w:after="0"/>
              <w:rPr>
                <w:sz w:val="1"/>
                <w:szCs w:val="1"/>
                <w:color w:val="auto"/>
              </w:rPr>
            </w:pPr>
          </w:p>
        </w:tc>
      </w:tr>
      <w:tr>
        <w:trPr>
          <w:trHeight w:val="234"/>
        </w:trPr>
        <w:tc>
          <w:tcPr>
            <w:tcW w:w="8440" w:type="dxa"/>
            <w:vAlign w:val="bottom"/>
            <w:gridSpan w:val="2"/>
            <w:vMerge w:val="restart"/>
          </w:tcPr>
          <w:p>
            <w:pPr>
              <w:ind w:left="3460"/>
              <w:spacing w:after="0"/>
              <w:rPr>
                <w:sz w:val="20"/>
                <w:szCs w:val="20"/>
                <w:color w:val="auto"/>
              </w:rPr>
            </w:pPr>
            <w:r>
              <w:rPr>
                <w:rFonts w:ascii="Arial" w:cs="Arial" w:eastAsia="Arial" w:hAnsi="Arial"/>
                <w:sz w:val="18"/>
                <w:szCs w:val="18"/>
                <w:b w:val="1"/>
                <w:bCs w:val="1"/>
                <w:color w:val="auto"/>
              </w:rPr>
              <w:t>in CHF thousands</w:t>
            </w:r>
          </w:p>
        </w:tc>
        <w:tc>
          <w:tcPr>
            <w:tcW w:w="280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Ended June 30,</w:t>
            </w:r>
          </w:p>
        </w:tc>
        <w:tc>
          <w:tcPr>
            <w:tcW w:w="0" w:type="dxa"/>
            <w:vAlign w:val="bottom"/>
          </w:tcPr>
          <w:p>
            <w:pPr>
              <w:spacing w:after="0"/>
              <w:rPr>
                <w:sz w:val="1"/>
                <w:szCs w:val="1"/>
                <w:color w:val="auto"/>
              </w:rPr>
            </w:pPr>
          </w:p>
        </w:tc>
      </w:tr>
      <w:tr>
        <w:trPr>
          <w:trHeight w:val="209"/>
        </w:trPr>
        <w:tc>
          <w:tcPr>
            <w:tcW w:w="8440" w:type="dxa"/>
            <w:vAlign w:val="bottom"/>
            <w:gridSpan w:val="2"/>
            <w:vMerge w:val="continue"/>
          </w:tcPr>
          <w:p>
            <w:pPr>
              <w:spacing w:after="0"/>
              <w:rPr>
                <w:sz w:val="18"/>
                <w:szCs w:val="18"/>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832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b w:val="1"/>
                <w:bCs w:val="1"/>
                <w:color w:val="auto"/>
              </w:rPr>
              <w:t>Revenue recognized in the period from:</w:t>
            </w:r>
          </w:p>
        </w:tc>
        <w:tc>
          <w:tcPr>
            <w:tcW w:w="12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Amounts included in the contract liability at the beginning of the period</w:t>
            </w: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3,266</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Performance obligations satisfied in previous periods</w:t>
            </w:r>
          </w:p>
        </w:tc>
        <w:tc>
          <w:tcPr>
            <w:tcW w:w="1460" w:type="dxa"/>
            <w:vAlign w:val="bottom"/>
            <w:gridSpan w:val="2"/>
            <w:shd w:val="clear" w:color="auto" w:fill="D5EAEA"/>
          </w:tcPr>
          <w:p>
            <w:pPr>
              <w:ind w:left="10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Licensing and collaboration agreements</w:t>
      </w:r>
    </w:p>
    <w:p>
      <w:pPr>
        <w:spacing w:after="0" w:line="229"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For a discussion of our licensing and collaboration agreements for the fiscal year ended December 31, 2020, please refer to Note 12.1 “Licensing and Collaboration agreements” of our Annual Report on Form 20-F for the year ended December 31, 2020 filed on March 23, 2021.</w:t>
      </w:r>
    </w:p>
    <w:p>
      <w:pPr>
        <w:spacing w:after="0" w:line="14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There have been no significant events or transactions associated with our license and collaboration agreements that have occurred for the three and six months ended June 30,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Grant income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Grants from the Michael J. Fox Foundation</w:t>
      </w:r>
    </w:p>
    <w:p>
      <w:pPr>
        <w:spacing w:after="0" w:line="22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For a discussion of our Grants from the Michael J. Fox Foundation for the fiscal year ended December 31, 2020, please refer to Note 12.2 “Grant Income” of our Annual Report on Form 20-F for the year ended December 31, 2020 filed on March 23, 2021.</w:t>
      </w:r>
    </w:p>
    <w:p>
      <w:pPr>
        <w:spacing w:after="0" w:line="17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For the three months ended June 30, 2021 and 2020, the Company has recognized CHF 0.2 million and CHF 0.2 million in grant income, respectively. For the six months ended June 30, 2021 and 2020, the Company</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60" w:name="page61"/>
    <w:bookmarkEnd w:id="60"/>
    <w:p>
      <w:pPr>
        <w:ind w:right="300"/>
        <w:spacing w:after="0" w:line="277" w:lineRule="auto"/>
        <w:rPr>
          <w:sz w:val="20"/>
          <w:szCs w:val="20"/>
          <w:color w:val="auto"/>
        </w:rPr>
      </w:pPr>
      <w:r>
        <w:rPr>
          <w:rFonts w:ascii="Arial" w:cs="Arial" w:eastAsia="Arial" w:hAnsi="Arial"/>
          <w:sz w:val="18"/>
          <w:szCs w:val="18"/>
          <w:color w:val="auto"/>
        </w:rPr>
        <w:t>has recognized CHF 0.6 million and CHF 0.3 million in grant income, respectively. As of June 30, 2021, the Company has recorded CHF 0.5 million in short-term accrued income and CHF 0.2 million in short-term deferred income.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Grant from the Target ALS Foundation</w:t>
      </w:r>
    </w:p>
    <w:p>
      <w:pPr>
        <w:spacing w:after="0" w:line="225" w:lineRule="exact"/>
        <w:rPr>
          <w:sz w:val="20"/>
          <w:szCs w:val="20"/>
          <w:color w:val="auto"/>
        </w:rPr>
      </w:pPr>
    </w:p>
    <w:p>
      <w:pPr>
        <w:ind w:right="440" w:firstLine="324"/>
        <w:spacing w:after="0" w:line="311" w:lineRule="auto"/>
        <w:rPr>
          <w:sz w:val="20"/>
          <w:szCs w:val="20"/>
          <w:color w:val="auto"/>
        </w:rPr>
      </w:pPr>
      <w:r>
        <w:rPr>
          <w:rFonts w:ascii="Arial" w:cs="Arial" w:eastAsia="Arial" w:hAnsi="Arial"/>
          <w:sz w:val="16"/>
          <w:szCs w:val="16"/>
          <w:color w:val="auto"/>
        </w:rPr>
        <w:t>In Q1 2021, AC Immune was awarded a USD 0.3 (CHF 0.2) million grant from the Target ALS Foundation (“Target ALS”). This grant funds a collaboration between the Company and the Investigators at the Healey Center for ALS at Massachusetts General Hospital (“MGH”) to accelerate the development of the Company’s proprietary immunoassays to detect disease-associated forms of TDP-43 in CSF and blood samples.</w:t>
      </w:r>
    </w:p>
    <w:p>
      <w:pPr>
        <w:spacing w:after="0" w:line="14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For the three months ended June 30, 2021 and 2020, the Company recognized less than CHF 0.1 million and nil in grant income, respectively. For the six months ended June 30, 2021 and 2020, the Company recognized CHF 0.1 million and nil in grant income, respectively. As of June 30, 2021, the Company recorded CHF 0.1 million in short-term and long-term accrued income, respectively, and CHF 0.1 million in short-term and long-term deferred income, respectively.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4.  Loss per share</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8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For the Three Months</w:t>
            </w:r>
          </w:p>
        </w:tc>
        <w:tc>
          <w:tcPr>
            <w:tcW w:w="0" w:type="dxa"/>
            <w:vAlign w:val="bottom"/>
          </w:tcPr>
          <w:p>
            <w:pPr>
              <w:spacing w:after="0"/>
              <w:rPr>
                <w:sz w:val="1"/>
                <w:szCs w:val="1"/>
                <w:color w:val="auto"/>
              </w:rPr>
            </w:pPr>
          </w:p>
        </w:tc>
      </w:tr>
      <w:tr>
        <w:trPr>
          <w:trHeight w:val="234"/>
        </w:trPr>
        <w:tc>
          <w:tcPr>
            <w:tcW w:w="8440" w:type="dxa"/>
            <w:vAlign w:val="bottom"/>
            <w:gridSpan w:val="2"/>
            <w:vMerge w:val="restart"/>
          </w:tcPr>
          <w:p>
            <w:pPr>
              <w:ind w:left="2080"/>
              <w:spacing w:after="0"/>
              <w:rPr>
                <w:sz w:val="20"/>
                <w:szCs w:val="20"/>
                <w:color w:val="auto"/>
              </w:rPr>
            </w:pPr>
            <w:r>
              <w:rPr>
                <w:rFonts w:ascii="Arial" w:cs="Arial" w:eastAsia="Arial" w:hAnsi="Arial"/>
                <w:sz w:val="18"/>
                <w:szCs w:val="18"/>
                <w:b w:val="1"/>
                <w:bCs w:val="1"/>
                <w:color w:val="auto"/>
              </w:rPr>
              <w:t>in CHF thousands except for share and per share data</w:t>
            </w:r>
          </w:p>
        </w:tc>
        <w:tc>
          <w:tcPr>
            <w:tcW w:w="2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Ended June 30,</w:t>
            </w:r>
          </w:p>
        </w:tc>
        <w:tc>
          <w:tcPr>
            <w:tcW w:w="0" w:type="dxa"/>
            <w:vAlign w:val="bottom"/>
          </w:tcPr>
          <w:p>
            <w:pPr>
              <w:spacing w:after="0"/>
              <w:rPr>
                <w:sz w:val="1"/>
                <w:szCs w:val="1"/>
                <w:color w:val="auto"/>
              </w:rPr>
            </w:pPr>
          </w:p>
        </w:tc>
      </w:tr>
      <w:tr>
        <w:trPr>
          <w:trHeight w:val="209"/>
        </w:trPr>
        <w:tc>
          <w:tcPr>
            <w:tcW w:w="8440" w:type="dxa"/>
            <w:vAlign w:val="bottom"/>
            <w:gridSpan w:val="2"/>
            <w:vMerge w:val="continue"/>
          </w:tcPr>
          <w:p>
            <w:pPr>
              <w:spacing w:after="0"/>
              <w:rPr>
                <w:sz w:val="18"/>
                <w:szCs w:val="18"/>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832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b w:val="1"/>
                <w:bCs w:val="1"/>
                <w:color w:val="auto"/>
              </w:rPr>
              <w:t>Loss per share (EPS)</w:t>
            </w:r>
          </w:p>
        </w:tc>
        <w:tc>
          <w:tcPr>
            <w:tcW w:w="12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Numerator</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Net loss attributable to equity holders of the Company</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(19,069)</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(15,738)</w:t>
            </w: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Denominator</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40" w:type="dxa"/>
            <w:vAlign w:val="bottom"/>
            <w:gridSpan w:val="2"/>
            <w:shd w:val="clear" w:color="auto" w:fill="D5EAEA"/>
          </w:tcPr>
          <w:p>
            <w:pPr>
              <w:spacing w:after="0" w:line="201" w:lineRule="exact"/>
              <w:rPr>
                <w:sz w:val="20"/>
                <w:szCs w:val="20"/>
                <w:color w:val="auto"/>
              </w:rPr>
            </w:pPr>
            <w:r>
              <w:rPr>
                <w:rFonts w:ascii="Arial" w:cs="Arial" w:eastAsia="Arial" w:hAnsi="Arial"/>
                <w:sz w:val="18"/>
                <w:szCs w:val="18"/>
                <w:color w:val="auto"/>
                <w:w w:val="96"/>
              </w:rPr>
              <w:t>Weighted-average number of shares outstanding used to compute EPS basic and diluted attributable to equity</w:t>
            </w:r>
          </w:p>
        </w:tc>
        <w:tc>
          <w:tcPr>
            <w:tcW w:w="136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holders</w:t>
            </w:r>
          </w:p>
        </w:tc>
        <w:tc>
          <w:tcPr>
            <w:tcW w:w="13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72,715,783</w:t>
            </w:r>
          </w:p>
        </w:tc>
        <w:tc>
          <w:tcPr>
            <w:tcW w:w="100" w:type="dxa"/>
            <w:vAlign w:val="bottom"/>
            <w:shd w:val="clear" w:color="auto" w:fill="D5EAEA"/>
          </w:tcPr>
          <w:p>
            <w:pPr>
              <w:spacing w:after="0"/>
              <w:rPr>
                <w:sz w:val="20"/>
                <w:szCs w:val="20"/>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71,875,102</w:t>
            </w:r>
          </w:p>
        </w:tc>
        <w:tc>
          <w:tcPr>
            <w:tcW w:w="0" w:type="dxa"/>
            <w:vAlign w:val="bottom"/>
          </w:tcPr>
          <w:p>
            <w:pPr>
              <w:spacing w:after="0"/>
              <w:rPr>
                <w:sz w:val="1"/>
                <w:szCs w:val="1"/>
                <w:color w:val="auto"/>
              </w:rPr>
            </w:pPr>
          </w:p>
        </w:tc>
      </w:tr>
      <w:tr>
        <w:trPr>
          <w:trHeight w:val="209"/>
        </w:trPr>
        <w:tc>
          <w:tcPr>
            <w:tcW w:w="8440" w:type="dxa"/>
            <w:vAlign w:val="bottom"/>
            <w:gridSpan w:val="2"/>
          </w:tcPr>
          <w:p>
            <w:pPr>
              <w:spacing w:after="0"/>
              <w:rPr>
                <w:sz w:val="20"/>
                <w:szCs w:val="20"/>
                <w:color w:val="auto"/>
              </w:rPr>
            </w:pPr>
            <w:r>
              <w:rPr>
                <w:rFonts w:ascii="Arial" w:cs="Arial" w:eastAsia="Arial" w:hAnsi="Arial"/>
                <w:sz w:val="18"/>
                <w:szCs w:val="18"/>
                <w:color w:val="auto"/>
              </w:rPr>
              <w:t>Basic and diluted loss per share for the period attributable to equity holders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8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For the Six Months</w:t>
            </w:r>
          </w:p>
        </w:tc>
        <w:tc>
          <w:tcPr>
            <w:tcW w:w="0" w:type="dxa"/>
            <w:vAlign w:val="bottom"/>
          </w:tcPr>
          <w:p>
            <w:pPr>
              <w:spacing w:after="0"/>
              <w:rPr>
                <w:sz w:val="1"/>
                <w:szCs w:val="1"/>
                <w:color w:val="auto"/>
              </w:rPr>
            </w:pPr>
          </w:p>
        </w:tc>
      </w:tr>
      <w:tr>
        <w:trPr>
          <w:trHeight w:val="234"/>
        </w:trPr>
        <w:tc>
          <w:tcPr>
            <w:tcW w:w="8440" w:type="dxa"/>
            <w:vAlign w:val="bottom"/>
            <w:gridSpan w:val="2"/>
            <w:vMerge w:val="restart"/>
          </w:tcPr>
          <w:p>
            <w:pPr>
              <w:ind w:left="2080"/>
              <w:spacing w:after="0"/>
              <w:rPr>
                <w:sz w:val="20"/>
                <w:szCs w:val="20"/>
                <w:color w:val="auto"/>
              </w:rPr>
            </w:pPr>
            <w:r>
              <w:rPr>
                <w:rFonts w:ascii="Arial" w:cs="Arial" w:eastAsia="Arial" w:hAnsi="Arial"/>
                <w:sz w:val="18"/>
                <w:szCs w:val="18"/>
                <w:b w:val="1"/>
                <w:bCs w:val="1"/>
                <w:color w:val="auto"/>
              </w:rPr>
              <w:t>in CHF thousands except for share and per share data</w:t>
            </w:r>
          </w:p>
        </w:tc>
        <w:tc>
          <w:tcPr>
            <w:tcW w:w="2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Ended June 30,</w:t>
            </w:r>
          </w:p>
        </w:tc>
        <w:tc>
          <w:tcPr>
            <w:tcW w:w="0" w:type="dxa"/>
            <w:vAlign w:val="bottom"/>
          </w:tcPr>
          <w:p>
            <w:pPr>
              <w:spacing w:after="0"/>
              <w:rPr>
                <w:sz w:val="1"/>
                <w:szCs w:val="1"/>
                <w:color w:val="auto"/>
              </w:rPr>
            </w:pPr>
          </w:p>
        </w:tc>
      </w:tr>
      <w:tr>
        <w:trPr>
          <w:trHeight w:val="210"/>
        </w:trPr>
        <w:tc>
          <w:tcPr>
            <w:tcW w:w="8440" w:type="dxa"/>
            <w:vAlign w:val="bottom"/>
            <w:gridSpan w:val="2"/>
            <w:vMerge w:val="continue"/>
          </w:tcPr>
          <w:p>
            <w:pPr>
              <w:spacing w:after="0"/>
              <w:rPr>
                <w:sz w:val="18"/>
                <w:szCs w:val="18"/>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832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b w:val="1"/>
                <w:bCs w:val="1"/>
                <w:color w:val="auto"/>
              </w:rPr>
              <w:t>Loss per share (EPS)</w:t>
            </w:r>
          </w:p>
        </w:tc>
        <w:tc>
          <w:tcPr>
            <w:tcW w:w="12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Numerator</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Net loss attributable to equity holders of the Company</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(35,803)</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(23,425)</w:t>
            </w: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Denominator</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40" w:type="dxa"/>
            <w:vAlign w:val="bottom"/>
            <w:gridSpan w:val="2"/>
            <w:shd w:val="clear" w:color="auto" w:fill="D5EAEA"/>
          </w:tcPr>
          <w:p>
            <w:pPr>
              <w:spacing w:after="0" w:line="201" w:lineRule="exact"/>
              <w:rPr>
                <w:sz w:val="20"/>
                <w:szCs w:val="20"/>
                <w:color w:val="auto"/>
              </w:rPr>
            </w:pPr>
            <w:r>
              <w:rPr>
                <w:rFonts w:ascii="Arial" w:cs="Arial" w:eastAsia="Arial" w:hAnsi="Arial"/>
                <w:sz w:val="18"/>
                <w:szCs w:val="18"/>
                <w:color w:val="auto"/>
                <w:w w:val="96"/>
              </w:rPr>
              <w:t>Weighted-average number of shares outstanding used to compute EPS basic and diluted attributable to equity</w:t>
            </w:r>
          </w:p>
        </w:tc>
        <w:tc>
          <w:tcPr>
            <w:tcW w:w="136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holders</w:t>
            </w:r>
          </w:p>
        </w:tc>
        <w:tc>
          <w:tcPr>
            <w:tcW w:w="13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72,113,581</w:t>
            </w:r>
          </w:p>
        </w:tc>
        <w:tc>
          <w:tcPr>
            <w:tcW w:w="100" w:type="dxa"/>
            <w:vAlign w:val="bottom"/>
            <w:shd w:val="clear" w:color="auto" w:fill="D5EAEA"/>
          </w:tcPr>
          <w:p>
            <w:pPr>
              <w:spacing w:after="0"/>
              <w:rPr>
                <w:sz w:val="20"/>
                <w:szCs w:val="20"/>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71,869,658</w:t>
            </w:r>
          </w:p>
        </w:tc>
        <w:tc>
          <w:tcPr>
            <w:tcW w:w="0" w:type="dxa"/>
            <w:vAlign w:val="bottom"/>
          </w:tcPr>
          <w:p>
            <w:pPr>
              <w:spacing w:after="0"/>
              <w:rPr>
                <w:sz w:val="1"/>
                <w:szCs w:val="1"/>
                <w:color w:val="auto"/>
              </w:rPr>
            </w:pPr>
          </w:p>
        </w:tc>
      </w:tr>
      <w:tr>
        <w:trPr>
          <w:trHeight w:val="210"/>
        </w:trPr>
        <w:tc>
          <w:tcPr>
            <w:tcW w:w="8440" w:type="dxa"/>
            <w:vAlign w:val="bottom"/>
            <w:gridSpan w:val="2"/>
          </w:tcPr>
          <w:p>
            <w:pPr>
              <w:spacing w:after="0"/>
              <w:rPr>
                <w:sz w:val="20"/>
                <w:szCs w:val="20"/>
                <w:color w:val="auto"/>
              </w:rPr>
            </w:pPr>
            <w:r>
              <w:rPr>
                <w:rFonts w:ascii="Arial" w:cs="Arial" w:eastAsia="Arial" w:hAnsi="Arial"/>
                <w:sz w:val="18"/>
                <w:szCs w:val="18"/>
                <w:color w:val="auto"/>
              </w:rPr>
              <w:t>Basic and diluted loss per share for the period attributable to equity holders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Potentially dilutive securities that were not included in the diluted per share calculations because they would be anti-dilutive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8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For the Three Months</w:t>
            </w:r>
          </w:p>
        </w:tc>
      </w:tr>
      <w:tr>
        <w:trPr>
          <w:trHeight w:val="234"/>
        </w:trPr>
        <w:tc>
          <w:tcPr>
            <w:tcW w:w="45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Ended June 30,</w:t>
            </w:r>
          </w:p>
        </w:tc>
      </w:tr>
      <w:tr>
        <w:trPr>
          <w:trHeight w:val="210"/>
        </w:trPr>
        <w:tc>
          <w:tcPr>
            <w:tcW w:w="4520" w:type="dxa"/>
            <w:vAlign w:val="bottom"/>
            <w:tcBorders>
              <w:bottom w:val="single" w:sz="8" w:color="D5EAEA"/>
            </w:tcBorders>
          </w:tcPr>
          <w:p>
            <w:pPr>
              <w:spacing w:after="0"/>
              <w:rPr>
                <w:sz w:val="18"/>
                <w:szCs w:val="18"/>
                <w:color w:val="auto"/>
              </w:rPr>
            </w:pPr>
          </w:p>
        </w:tc>
        <w:tc>
          <w:tcPr>
            <w:tcW w:w="392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10"/>
        </w:trPr>
        <w:tc>
          <w:tcPr>
            <w:tcW w:w="4520" w:type="dxa"/>
            <w:vAlign w:val="bottom"/>
            <w:shd w:val="clear" w:color="auto" w:fill="D5EAEA"/>
          </w:tcPr>
          <w:p>
            <w:pPr>
              <w:spacing w:after="0"/>
              <w:rPr>
                <w:sz w:val="20"/>
                <w:szCs w:val="20"/>
                <w:color w:val="auto"/>
              </w:rPr>
            </w:pPr>
            <w:r>
              <w:rPr>
                <w:rFonts w:ascii="Arial" w:cs="Arial" w:eastAsia="Arial" w:hAnsi="Arial"/>
                <w:sz w:val="18"/>
                <w:szCs w:val="18"/>
                <w:color w:val="auto"/>
              </w:rPr>
              <w:t>Share options issued and outstanding</w:t>
            </w:r>
          </w:p>
        </w:tc>
        <w:tc>
          <w:tcPr>
            <w:tcW w:w="392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1,174,014</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324,422</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Restricted share awards subject to future vesting</w:t>
            </w:r>
          </w:p>
        </w:tc>
        <w:tc>
          <w:tcPr>
            <w:tcW w:w="5280" w:type="dxa"/>
            <w:vAlign w:val="bottom"/>
            <w:gridSpan w:val="2"/>
          </w:tcPr>
          <w:p>
            <w:pPr>
              <w:jc w:val="right"/>
              <w:ind w:right="30"/>
              <w:spacing w:after="0"/>
              <w:rPr>
                <w:sz w:val="20"/>
                <w:szCs w:val="20"/>
                <w:color w:val="auto"/>
              </w:rPr>
            </w:pPr>
            <w:r>
              <w:rPr>
                <w:rFonts w:ascii="Arial" w:cs="Arial" w:eastAsia="Arial" w:hAnsi="Arial"/>
                <w:sz w:val="18"/>
                <w:szCs w:val="18"/>
                <w:color w:val="auto"/>
              </w:rPr>
              <w:t>8,511</w:t>
            </w:r>
          </w:p>
        </w:tc>
        <w:tc>
          <w:tcPr>
            <w:tcW w:w="10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160,396</w:t>
            </w:r>
          </w:p>
        </w:tc>
      </w:tr>
      <w:tr>
        <w:trPr>
          <w:trHeight w:val="386"/>
        </w:trPr>
        <w:tc>
          <w:tcPr>
            <w:tcW w:w="45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8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For the Six Months</w:t>
            </w:r>
          </w:p>
        </w:tc>
      </w:tr>
      <w:tr>
        <w:trPr>
          <w:trHeight w:val="234"/>
        </w:trPr>
        <w:tc>
          <w:tcPr>
            <w:tcW w:w="45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Ended June 30,</w:t>
            </w:r>
          </w:p>
        </w:tc>
      </w:tr>
      <w:tr>
        <w:trPr>
          <w:trHeight w:val="209"/>
        </w:trPr>
        <w:tc>
          <w:tcPr>
            <w:tcW w:w="4520" w:type="dxa"/>
            <w:vAlign w:val="bottom"/>
            <w:tcBorders>
              <w:bottom w:val="single" w:sz="8" w:color="D5EAEA"/>
            </w:tcBorders>
          </w:tcPr>
          <w:p>
            <w:pPr>
              <w:spacing w:after="0"/>
              <w:rPr>
                <w:sz w:val="18"/>
                <w:szCs w:val="18"/>
                <w:color w:val="auto"/>
              </w:rPr>
            </w:pPr>
          </w:p>
        </w:tc>
        <w:tc>
          <w:tcPr>
            <w:tcW w:w="392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10"/>
        </w:trPr>
        <w:tc>
          <w:tcPr>
            <w:tcW w:w="4520" w:type="dxa"/>
            <w:vAlign w:val="bottom"/>
            <w:shd w:val="clear" w:color="auto" w:fill="D5EAEA"/>
          </w:tcPr>
          <w:p>
            <w:pPr>
              <w:spacing w:after="0"/>
              <w:rPr>
                <w:sz w:val="20"/>
                <w:szCs w:val="20"/>
                <w:color w:val="auto"/>
              </w:rPr>
            </w:pPr>
            <w:r>
              <w:rPr>
                <w:rFonts w:ascii="Arial" w:cs="Arial" w:eastAsia="Arial" w:hAnsi="Arial"/>
                <w:sz w:val="18"/>
                <w:szCs w:val="18"/>
                <w:color w:val="auto"/>
              </w:rPr>
              <w:t>Share options issued and outstanding</w:t>
            </w:r>
          </w:p>
        </w:tc>
        <w:tc>
          <w:tcPr>
            <w:tcW w:w="392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1,179,992</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325,828</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Restricted share awards subject to future vesting</w:t>
            </w:r>
          </w:p>
        </w:tc>
        <w:tc>
          <w:tcPr>
            <w:tcW w:w="5280" w:type="dxa"/>
            <w:vAlign w:val="bottom"/>
            <w:gridSpan w:val="2"/>
          </w:tcPr>
          <w:p>
            <w:pPr>
              <w:jc w:val="right"/>
              <w:ind w:right="30"/>
              <w:spacing w:after="0"/>
              <w:rPr>
                <w:sz w:val="20"/>
                <w:szCs w:val="20"/>
                <w:color w:val="auto"/>
              </w:rPr>
            </w:pPr>
            <w:r>
              <w:rPr>
                <w:rFonts w:ascii="Arial" w:cs="Arial" w:eastAsia="Arial" w:hAnsi="Arial"/>
                <w:sz w:val="18"/>
                <w:szCs w:val="18"/>
                <w:color w:val="auto"/>
              </w:rPr>
              <w:t>11,594</w:t>
            </w:r>
          </w:p>
        </w:tc>
        <w:tc>
          <w:tcPr>
            <w:tcW w:w="10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157,296</w:t>
            </w:r>
          </w:p>
        </w:tc>
      </w:tr>
      <w:tr>
        <w:trPr>
          <w:trHeight w:val="512"/>
        </w:trPr>
        <w:tc>
          <w:tcPr>
            <w:tcW w:w="45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jc w:val="right"/>
              <w:ind w:right="2710"/>
              <w:spacing w:after="0"/>
              <w:rPr>
                <w:sz w:val="20"/>
                <w:szCs w:val="20"/>
                <w:color w:val="auto"/>
              </w:rPr>
            </w:pPr>
            <w:r>
              <w:rPr>
                <w:rFonts w:ascii="Arial" w:cs="Arial" w:eastAsia="Arial" w:hAnsi="Arial"/>
                <w:sz w:val="18"/>
                <w:szCs w:val="18"/>
                <w:color w:val="auto"/>
              </w:rPr>
              <w:t>8</w:t>
            </w: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4" w:right="339" w:bottom="1440" w:gutter="0" w:footer="0" w:header="0"/>
        </w:sectPr>
      </w:pPr>
    </w:p>
    <w:bookmarkStart w:id="61" w:name="page62"/>
    <w:bookmarkEnd w:id="61"/>
    <w:p>
      <w:pPr>
        <w:ind w:left="340" w:hanging="332"/>
        <w:spacing w:after="0"/>
        <w:tabs>
          <w:tab w:leader="none" w:pos="34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The following table shows the movement in the net book values of property, plant and equipment for the six months ended June 30, 2021: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0"/>
              </w:rPr>
              <w:t>As of June 30, 2021</w:t>
            </w: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191"/>
        </w:trPr>
        <w:tc>
          <w:tcPr>
            <w:tcW w:w="3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87"/>
              </w:rPr>
              <w:t>Leasehold</w:t>
            </w:r>
          </w:p>
        </w:tc>
        <w:tc>
          <w:tcPr>
            <w:tcW w:w="1340" w:type="dxa"/>
            <w:vAlign w:val="bottom"/>
          </w:tcPr>
          <w:p>
            <w:pPr>
              <w:spacing w:after="0"/>
              <w:rPr>
                <w:sz w:val="16"/>
                <w:szCs w:val="16"/>
                <w:color w:val="auto"/>
              </w:rPr>
            </w:pPr>
          </w:p>
        </w:tc>
      </w:tr>
      <w:tr>
        <w:trPr>
          <w:trHeight w:val="234"/>
        </w:trPr>
        <w:tc>
          <w:tcPr>
            <w:tcW w:w="4080" w:type="dxa"/>
            <w:vAlign w:val="bottom"/>
            <w:gridSpan w:val="2"/>
          </w:tcPr>
          <w:p>
            <w:pPr>
              <w:ind w:left="1280"/>
              <w:spacing w:after="0"/>
              <w:rPr>
                <w:sz w:val="20"/>
                <w:szCs w:val="20"/>
                <w:color w:val="auto"/>
              </w:rPr>
            </w:pPr>
            <w:r>
              <w:rPr>
                <w:rFonts w:ascii="Arial" w:cs="Arial" w:eastAsia="Arial" w:hAnsi="Arial"/>
                <w:sz w:val="18"/>
                <w:szCs w:val="18"/>
                <w:b w:val="1"/>
                <w:bCs w:val="1"/>
                <w:color w:val="auto"/>
              </w:rPr>
              <w:t>in CHF thousands</w:t>
            </w:r>
          </w:p>
        </w:tc>
        <w:tc>
          <w:tcPr>
            <w:tcW w:w="1480" w:type="dxa"/>
            <w:vAlign w:val="bottom"/>
            <w:gridSpan w:val="2"/>
          </w:tcPr>
          <w:p>
            <w:pPr>
              <w:ind w:left="300"/>
              <w:spacing w:after="0"/>
              <w:rPr>
                <w:sz w:val="20"/>
                <w:szCs w:val="20"/>
                <w:color w:val="auto"/>
              </w:rPr>
            </w:pPr>
            <w:r>
              <w:rPr>
                <w:rFonts w:ascii="Arial" w:cs="Arial" w:eastAsia="Arial" w:hAnsi="Arial"/>
                <w:sz w:val="18"/>
                <w:szCs w:val="18"/>
                <w:b w:val="1"/>
                <w:bCs w:val="1"/>
                <w:color w:val="auto"/>
              </w:rPr>
              <w:t>Furniture</w:t>
            </w:r>
          </w:p>
        </w:tc>
        <w:tc>
          <w:tcPr>
            <w:tcW w:w="1340" w:type="dxa"/>
            <w:vAlign w:val="bottom"/>
          </w:tcPr>
          <w:p>
            <w:pPr>
              <w:jc w:val="right"/>
              <w:ind w:right="30"/>
              <w:spacing w:after="0"/>
              <w:rPr>
                <w:sz w:val="20"/>
                <w:szCs w:val="20"/>
                <w:color w:val="auto"/>
              </w:rPr>
            </w:pPr>
            <w:r>
              <w:rPr>
                <w:rFonts w:ascii="Arial" w:cs="Arial" w:eastAsia="Arial" w:hAnsi="Arial"/>
                <w:sz w:val="18"/>
                <w:szCs w:val="18"/>
                <w:b w:val="1"/>
                <w:bCs w:val="1"/>
                <w:color w:val="auto"/>
              </w:rPr>
              <w:t>IT Equipment</w:t>
            </w:r>
          </w:p>
        </w:tc>
        <w:tc>
          <w:tcPr>
            <w:tcW w:w="120" w:type="dxa"/>
            <w:vAlign w:val="bottom"/>
          </w:tcPr>
          <w:p>
            <w:pPr>
              <w:spacing w:after="0"/>
              <w:rPr>
                <w:sz w:val="20"/>
                <w:szCs w:val="20"/>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Lab Equipment</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Improvements</w:t>
            </w: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09"/>
        </w:trPr>
        <w:tc>
          <w:tcPr>
            <w:tcW w:w="394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b w:val="1"/>
                <w:bCs w:val="1"/>
                <w:color w:val="auto"/>
              </w:rPr>
              <w:t>Acquisition Cost</w:t>
            </w:r>
          </w:p>
        </w:tc>
        <w:tc>
          <w:tcPr>
            <w:tcW w:w="14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2020</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1,497</w:t>
            </w:r>
          </w:p>
        </w:tc>
        <w:tc>
          <w:tcPr>
            <w:tcW w:w="1460" w:type="dxa"/>
            <w:vAlign w:val="bottom"/>
            <w:gridSpan w:val="2"/>
          </w:tcPr>
          <w:p>
            <w:pPr>
              <w:jc w:val="right"/>
              <w:ind w:right="30"/>
              <w:spacing w:after="0"/>
              <w:rPr>
                <w:sz w:val="20"/>
                <w:szCs w:val="20"/>
                <w:color w:val="auto"/>
              </w:rPr>
            </w:pPr>
            <w:r>
              <w:rPr>
                <w:rFonts w:ascii="Arial" w:cs="Arial" w:eastAsia="Arial" w:hAnsi="Arial"/>
                <w:sz w:val="18"/>
                <w:szCs w:val="18"/>
                <w:color w:val="auto"/>
              </w:rPr>
              <w:t>7,958</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10,133</w:t>
            </w:r>
          </w:p>
        </w:tc>
      </w:tr>
      <w:tr>
        <w:trPr>
          <w:trHeight w:val="216"/>
        </w:trPr>
        <w:tc>
          <w:tcPr>
            <w:tcW w:w="40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Acquisitions</w:t>
            </w: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220</w:t>
            </w:r>
          </w:p>
        </w:tc>
        <w:tc>
          <w:tcPr>
            <w:tcW w:w="1460" w:type="dxa"/>
            <w:vAlign w:val="bottom"/>
            <w:gridSpan w:val="2"/>
            <w:shd w:val="clear" w:color="auto" w:fill="D5EAEA"/>
          </w:tcPr>
          <w:p>
            <w:pPr>
              <w:jc w:val="right"/>
              <w:ind w:right="30"/>
              <w:spacing w:after="0"/>
              <w:rPr>
                <w:sz w:val="20"/>
                <w:szCs w:val="20"/>
                <w:color w:val="auto"/>
              </w:rPr>
            </w:pPr>
            <w:r>
              <w:rPr>
                <w:rFonts w:ascii="Arial" w:cs="Arial" w:eastAsia="Arial" w:hAnsi="Arial"/>
                <w:sz w:val="18"/>
                <w:szCs w:val="18"/>
                <w:color w:val="auto"/>
              </w:rPr>
              <w:t>1,155</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1,665</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Disposals</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0"/>
        </w:trPr>
        <w:tc>
          <w:tcPr>
            <w:tcW w:w="4080" w:type="dxa"/>
            <w:vAlign w:val="bottom"/>
            <w:tcBorders>
              <w:top w:val="single" w:sz="8" w:color="D5EAEA"/>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Balance at June 30, 2021</w:t>
            </w:r>
          </w:p>
        </w:tc>
        <w:tc>
          <w:tcPr>
            <w:tcW w:w="136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231</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1,717</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9,103</w:t>
            </w: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737</w:t>
            </w: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11,788</w:t>
            </w:r>
          </w:p>
        </w:tc>
      </w:tr>
      <w:tr>
        <w:trPr>
          <w:trHeight w:val="20"/>
        </w:trPr>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7"/>
        </w:trPr>
        <w:tc>
          <w:tcPr>
            <w:tcW w:w="3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408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Accumulated depreciation</w:t>
            </w: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2020</w:t>
            </w:r>
          </w:p>
        </w:tc>
        <w:tc>
          <w:tcPr>
            <w:tcW w:w="136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(970)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(4,405)</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(5,717)</w:t>
            </w:r>
          </w:p>
        </w:tc>
      </w:tr>
      <w:tr>
        <w:trPr>
          <w:trHeight w:val="216"/>
        </w:trPr>
        <w:tc>
          <w:tcPr>
            <w:tcW w:w="40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Depreciation expense</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(177)</w:t>
            </w:r>
          </w:p>
        </w:tc>
        <w:tc>
          <w:tcPr>
            <w:tcW w:w="146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(916)</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Disposals</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10"/>
        </w:trPr>
        <w:tc>
          <w:tcPr>
            <w:tcW w:w="4080" w:type="dxa"/>
            <w:vAlign w:val="bottom"/>
            <w:tcBorders>
              <w:top w:val="single" w:sz="8" w:color="D5EAEA"/>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Balance at June 30, 2021</w:t>
            </w:r>
          </w:p>
        </w:tc>
        <w:tc>
          <w:tcPr>
            <w:tcW w:w="13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(1,147)</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(5,071)</w:t>
            </w: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(6,623)</w:t>
            </w:r>
          </w:p>
        </w:tc>
      </w:tr>
      <w:tr>
        <w:trPr>
          <w:trHeight w:val="20"/>
        </w:trPr>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6"/>
        </w:trPr>
        <w:tc>
          <w:tcPr>
            <w:tcW w:w="3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408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Carrying Amount</w:t>
            </w: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December 31, 2020</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527</w:t>
            </w:r>
          </w:p>
        </w:tc>
        <w:tc>
          <w:tcPr>
            <w:tcW w:w="1460" w:type="dxa"/>
            <w:vAlign w:val="bottom"/>
            <w:gridSpan w:val="2"/>
          </w:tcPr>
          <w:p>
            <w:pPr>
              <w:jc w:val="right"/>
              <w:ind w:right="30"/>
              <w:spacing w:after="0"/>
              <w:rPr>
                <w:sz w:val="20"/>
                <w:szCs w:val="20"/>
                <w:color w:val="auto"/>
              </w:rPr>
            </w:pPr>
            <w:r>
              <w:rPr>
                <w:rFonts w:ascii="Arial" w:cs="Arial" w:eastAsia="Arial" w:hAnsi="Arial"/>
                <w:sz w:val="18"/>
                <w:szCs w:val="18"/>
                <w:color w:val="auto"/>
              </w:rPr>
              <w:t>3,553</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4,416</w:t>
            </w:r>
          </w:p>
        </w:tc>
      </w:tr>
      <w:tr>
        <w:trPr>
          <w:trHeight w:val="216"/>
        </w:trPr>
        <w:tc>
          <w:tcPr>
            <w:tcW w:w="40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June 30, 2021</w:t>
            </w: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570</w:t>
            </w:r>
          </w:p>
        </w:tc>
        <w:tc>
          <w:tcPr>
            <w:tcW w:w="1460" w:type="dxa"/>
            <w:vAlign w:val="bottom"/>
            <w:gridSpan w:val="2"/>
            <w:shd w:val="clear" w:color="auto" w:fill="D5EAEA"/>
          </w:tcPr>
          <w:p>
            <w:pPr>
              <w:jc w:val="right"/>
              <w:ind w:right="30"/>
              <w:spacing w:after="0"/>
              <w:rPr>
                <w:sz w:val="20"/>
                <w:szCs w:val="20"/>
                <w:color w:val="auto"/>
              </w:rPr>
            </w:pPr>
            <w:r>
              <w:rPr>
                <w:rFonts w:ascii="Arial" w:cs="Arial" w:eastAsia="Arial" w:hAnsi="Arial"/>
                <w:sz w:val="18"/>
                <w:szCs w:val="18"/>
                <w:color w:val="auto"/>
              </w:rPr>
              <w:t>4,032</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5,165</w:t>
            </w:r>
          </w:p>
        </w:tc>
      </w:tr>
    </w:tbl>
    <w:p>
      <w:pPr>
        <w:spacing w:after="0" w:line="202"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AC Immune continues to enhance its laboratory equipment to support its R&amp;D functions. This effort has continued since the year ended December 31, 2020, with CHF 1.4 million invested in lab and IT equipment, representing an increase of 15%. This is consistent with the Company’s long-term strategic plan.</w:t>
      </w:r>
    </w:p>
    <w:p>
      <w:pPr>
        <w:spacing w:after="0" w:line="180" w:lineRule="exact"/>
        <w:rPr>
          <w:sz w:val="20"/>
          <w:szCs w:val="20"/>
          <w:color w:val="auto"/>
        </w:rPr>
      </w:pPr>
    </w:p>
    <w:p>
      <w:pPr>
        <w:ind w:left="340" w:hanging="332"/>
        <w:spacing w:after="0"/>
        <w:tabs>
          <w:tab w:leader="none" w:pos="34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Right-of-use assets and lease liabilities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AC Immune recognized additions of CHF 0.7 million for right-of-use of leased assets for the six months ended June 30, 2021.</w:t>
      </w:r>
    </w:p>
    <w:p>
      <w:pPr>
        <w:spacing w:after="0" w:line="225" w:lineRule="exact"/>
        <w:rPr>
          <w:sz w:val="20"/>
          <w:szCs w:val="20"/>
          <w:color w:val="auto"/>
        </w:rPr>
      </w:pPr>
    </w:p>
    <w:p>
      <w:pPr>
        <w:jc w:val="both"/>
        <w:ind w:right="460" w:firstLine="324"/>
        <w:spacing w:after="0" w:line="263" w:lineRule="auto"/>
        <w:rPr>
          <w:sz w:val="20"/>
          <w:szCs w:val="20"/>
          <w:color w:val="auto"/>
        </w:rPr>
      </w:pPr>
      <w:r>
        <w:rPr>
          <w:rFonts w:ascii="Arial" w:cs="Arial" w:eastAsia="Arial" w:hAnsi="Arial"/>
          <w:sz w:val="18"/>
          <w:szCs w:val="18"/>
          <w:color w:val="auto"/>
        </w:rPr>
        <w:t>Regarding lease liabilities, the amortization depends on the rate implicit in the contract or the incremental borrowing rate for the respective lease component. The weighted averages of the incremental borrowing rates are 2.5% for buildings, 4.6% for office equipment and 2.6% for IT equipment, respectively.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shows the movements in the net book values of right-of-use of leased assets for the six months ended June 30, 2021: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Office</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IT</w:t>
            </w:r>
          </w:p>
        </w:tc>
        <w:tc>
          <w:tcPr>
            <w:tcW w:w="1340" w:type="dxa"/>
            <w:vAlign w:val="bottom"/>
          </w:tcPr>
          <w:p>
            <w:pPr>
              <w:spacing w:after="0"/>
              <w:rPr>
                <w:sz w:val="18"/>
                <w:szCs w:val="18"/>
                <w:color w:val="auto"/>
              </w:rPr>
            </w:pPr>
          </w:p>
        </w:tc>
      </w:tr>
      <w:tr>
        <w:trPr>
          <w:trHeight w:val="234"/>
        </w:trPr>
        <w:tc>
          <w:tcPr>
            <w:tcW w:w="5520" w:type="dxa"/>
            <w:vAlign w:val="bottom"/>
            <w:gridSpan w:val="2"/>
          </w:tcPr>
          <w:p>
            <w:pPr>
              <w:ind w:left="2000"/>
              <w:spacing w:after="0"/>
              <w:rPr>
                <w:sz w:val="20"/>
                <w:szCs w:val="20"/>
                <w:color w:val="auto"/>
              </w:rPr>
            </w:pPr>
            <w:r>
              <w:rPr>
                <w:rFonts w:ascii="Arial" w:cs="Arial" w:eastAsia="Arial" w:hAnsi="Arial"/>
                <w:sz w:val="18"/>
                <w:szCs w:val="18"/>
                <w:b w:val="1"/>
                <w:bCs w:val="1"/>
                <w:color w:val="auto"/>
              </w:rPr>
              <w:t>in CHF thousands</w:t>
            </w:r>
          </w:p>
        </w:tc>
        <w:tc>
          <w:tcPr>
            <w:tcW w:w="1500" w:type="dxa"/>
            <w:vAlign w:val="bottom"/>
            <w:gridSpan w:val="2"/>
          </w:tcPr>
          <w:p>
            <w:pPr>
              <w:ind w:left="340"/>
              <w:spacing w:after="0"/>
              <w:rPr>
                <w:sz w:val="20"/>
                <w:szCs w:val="20"/>
                <w:color w:val="auto"/>
              </w:rPr>
            </w:pPr>
            <w:r>
              <w:rPr>
                <w:rFonts w:ascii="Arial" w:cs="Arial" w:eastAsia="Arial" w:hAnsi="Arial"/>
                <w:sz w:val="18"/>
                <w:szCs w:val="18"/>
                <w:b w:val="1"/>
                <w:bCs w:val="1"/>
                <w:color w:val="auto"/>
              </w:rPr>
              <w:t>Buildings</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Equipment</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Equipment</w:t>
            </w: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10"/>
        </w:trPr>
        <w:tc>
          <w:tcPr>
            <w:tcW w:w="540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b w:val="1"/>
                <w:bCs w:val="1"/>
                <w:color w:val="auto"/>
              </w:rPr>
              <w:t>Balance as of December 31, 2020</w:t>
            </w:r>
          </w:p>
        </w:tc>
        <w:tc>
          <w:tcPr>
            <w:tcW w:w="12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2,106</w:t>
            </w: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2,223</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712</w:t>
            </w:r>
          </w:p>
        </w:tc>
      </w:tr>
      <w:tr>
        <w:trPr>
          <w:trHeight w:val="216"/>
        </w:trPr>
        <w:tc>
          <w:tcPr>
            <w:tcW w:w="55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Disposals</w:t>
            </w:r>
          </w:p>
        </w:tc>
        <w:tc>
          <w:tcPr>
            <w:tcW w:w="1500" w:type="dxa"/>
            <w:vAlign w:val="bottom"/>
            <w:gridSpan w:val="2"/>
            <w:shd w:val="clear" w:color="auto" w:fill="D5EAEA"/>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D5EAEA"/>
          </w:tcPr>
          <w:p>
            <w:pPr>
              <w:spacing w:after="0"/>
              <w:rPr>
                <w:sz w:val="18"/>
                <w:szCs w:val="18"/>
                <w:color w:val="auto"/>
              </w:rPr>
            </w:pPr>
          </w:p>
        </w:tc>
        <w:tc>
          <w:tcPr>
            <w:tcW w:w="14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52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Depreciation</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r>
      <w:tr>
        <w:trPr>
          <w:trHeight w:val="210"/>
        </w:trPr>
        <w:tc>
          <w:tcPr>
            <w:tcW w:w="552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Balance as of June 30, 2021</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2,567</w:t>
            </w:r>
          </w:p>
        </w:tc>
        <w:tc>
          <w:tcPr>
            <w:tcW w:w="120" w:type="dxa"/>
            <w:vAlign w:val="bottom"/>
            <w:tcBorders>
              <w:bottom w:val="single" w:sz="8" w:color="D5EAEA"/>
            </w:tcBorders>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D5EAEA"/>
            </w:tcBorders>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D5EAEA"/>
            </w:tcBorders>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2,699</w:t>
            </w: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There are no variable lease payments that are not included in the measurement of lease obligations. All extension options have been included in the measurement of lease obligations.</w:t>
      </w:r>
    </w:p>
    <w:p>
      <w:pPr>
        <w:spacing w:after="0" w:line="17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For the three and six months ended June 30, 2021, and 2020, the impact on the Company’s statements of income/(loss) and statements of cash flows is as follows:</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For the Three Months</w:t>
            </w:r>
          </w:p>
        </w:tc>
        <w:tc>
          <w:tcPr>
            <w:tcW w:w="0" w:type="dxa"/>
            <w:vAlign w:val="bottom"/>
          </w:tcPr>
          <w:p>
            <w:pPr>
              <w:spacing w:after="0"/>
              <w:rPr>
                <w:sz w:val="1"/>
                <w:szCs w:val="1"/>
                <w:color w:val="auto"/>
              </w:rPr>
            </w:pPr>
          </w:p>
        </w:tc>
      </w:tr>
      <w:tr>
        <w:trPr>
          <w:trHeight w:val="234"/>
        </w:trPr>
        <w:tc>
          <w:tcPr>
            <w:tcW w:w="8440" w:type="dxa"/>
            <w:vAlign w:val="bottom"/>
            <w:gridSpan w:val="2"/>
            <w:vMerge w:val="restart"/>
          </w:tcPr>
          <w:p>
            <w:pPr>
              <w:ind w:left="3460"/>
              <w:spacing w:after="0"/>
              <w:rPr>
                <w:sz w:val="20"/>
                <w:szCs w:val="20"/>
                <w:color w:val="auto"/>
              </w:rPr>
            </w:pPr>
            <w:r>
              <w:rPr>
                <w:rFonts w:ascii="Arial" w:cs="Arial" w:eastAsia="Arial" w:hAnsi="Arial"/>
                <w:sz w:val="18"/>
                <w:szCs w:val="18"/>
                <w:b w:val="1"/>
                <w:bCs w:val="1"/>
                <w:color w:val="auto"/>
              </w:rPr>
              <w:t>in CHF thousands</w:t>
            </w:r>
          </w:p>
        </w:tc>
        <w:tc>
          <w:tcPr>
            <w:tcW w:w="28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Ended June 30,</w:t>
            </w:r>
          </w:p>
        </w:tc>
        <w:tc>
          <w:tcPr>
            <w:tcW w:w="0" w:type="dxa"/>
            <w:vAlign w:val="bottom"/>
          </w:tcPr>
          <w:p>
            <w:pPr>
              <w:spacing w:after="0"/>
              <w:rPr>
                <w:sz w:val="1"/>
                <w:szCs w:val="1"/>
                <w:color w:val="auto"/>
              </w:rPr>
            </w:pPr>
          </w:p>
        </w:tc>
      </w:tr>
      <w:tr>
        <w:trPr>
          <w:trHeight w:val="210"/>
        </w:trPr>
        <w:tc>
          <w:tcPr>
            <w:tcW w:w="8440" w:type="dxa"/>
            <w:vAlign w:val="bottom"/>
            <w:gridSpan w:val="2"/>
            <w:vMerge w:val="continue"/>
          </w:tcPr>
          <w:p>
            <w:pPr>
              <w:spacing w:after="0"/>
              <w:rPr>
                <w:sz w:val="18"/>
                <w:szCs w:val="18"/>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2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i w:val="1"/>
                <w:iCs w:val="1"/>
                <w:color w:val="auto"/>
              </w:rPr>
              <w:t>Statements of income/(loss)</w:t>
            </w:r>
          </w:p>
        </w:tc>
        <w:tc>
          <w:tcPr>
            <w:tcW w:w="12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24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auto"/>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Depreciation of right-of-use assets</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Interest expense on lease liabilities</w:t>
            </w: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D5EAEA"/>
          </w:tcPr>
          <w:p>
            <w:pPr>
              <w:spacing w:after="0"/>
              <w:rPr>
                <w:sz w:val="18"/>
                <w:szCs w:val="18"/>
                <w:color w:val="auto"/>
              </w:rPr>
            </w:pPr>
          </w:p>
        </w:tc>
        <w:tc>
          <w:tcPr>
            <w:tcW w:w="13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844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Expense for short-term leases and leases of low value</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9"/>
        </w:trPr>
        <w:tc>
          <w:tcPr>
            <w:tcW w:w="844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D5EAEA"/>
            </w:tcBorders>
            <w:shd w:val="clear" w:color="auto" w:fill="D5EAEA"/>
          </w:tcPr>
          <w:p>
            <w:pPr>
              <w:spacing w:after="0"/>
              <w:rPr>
                <w:sz w:val="18"/>
                <w:szCs w:val="18"/>
                <w:color w:val="auto"/>
              </w:rPr>
            </w:pPr>
          </w:p>
        </w:tc>
        <w:tc>
          <w:tcPr>
            <w:tcW w:w="1340" w:type="dxa"/>
            <w:vAlign w:val="bottom"/>
            <w:tcBorders>
              <w:bottom w:val="single" w:sz="8" w:color="auto"/>
            </w:tcBorders>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D5EAEA"/>
          </w:tcPr>
          <w:p>
            <w:pPr>
              <w:spacing w:after="0"/>
              <w:rPr>
                <w:sz w:val="20"/>
                <w:szCs w:val="20"/>
                <w:color w:val="auto"/>
              </w:rPr>
            </w:pPr>
            <w:r>
              <w:rPr>
                <w:rFonts w:ascii="Arial" w:cs="Arial" w:eastAsia="Arial" w:hAnsi="Arial"/>
                <w:sz w:val="18"/>
                <w:szCs w:val="18"/>
                <w:i w:val="1"/>
                <w:iCs w:val="1"/>
                <w:color w:val="auto"/>
              </w:rPr>
              <w:t>Statements of cash flows</w:t>
            </w:r>
          </w:p>
        </w:tc>
        <w:tc>
          <w:tcPr>
            <w:tcW w:w="1360" w:type="dxa"/>
            <w:vAlign w:val="bottom"/>
            <w:tcBorders>
              <w:bottom w:val="single" w:sz="8" w:color="auto"/>
            </w:tcBorders>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40" w:type="dxa"/>
            <w:vAlign w:val="bottom"/>
            <w:tcBorders>
              <w:bottom w:val="single" w:sz="8" w:color="auto"/>
            </w:tcBorders>
            <w:shd w:val="clear" w:color="auto" w:fill="D5EAEA"/>
          </w:tcPr>
          <w:p>
            <w:pPr>
              <w:spacing w:after="0"/>
              <w:rPr>
                <w:sz w:val="18"/>
                <w:szCs w:val="18"/>
                <w:color w:val="auto"/>
              </w:rPr>
            </w:pPr>
          </w:p>
        </w:tc>
        <w:tc>
          <w:tcPr>
            <w:tcW w:w="100" w:type="dxa"/>
            <w:vAlign w:val="bottom"/>
            <w:tcBorders>
              <w:bottom w:val="single" w:sz="8" w:color="auto"/>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40" w:type="dxa"/>
            <w:vAlign w:val="bottom"/>
            <w:gridSpan w:val="2"/>
          </w:tcPr>
          <w:p>
            <w:pPr>
              <w:spacing w:after="0"/>
              <w:rPr>
                <w:sz w:val="20"/>
                <w:szCs w:val="20"/>
                <w:color w:val="auto"/>
              </w:rPr>
            </w:pPr>
            <w:r>
              <w:rPr>
                <w:rFonts w:ascii="Arial" w:cs="Arial" w:eastAsia="Arial" w:hAnsi="Arial"/>
                <w:sz w:val="18"/>
                <w:szCs w:val="18"/>
                <w:color w:val="auto"/>
              </w:rPr>
              <w:t>Total cash outflow for leases</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8"/>
                <w:szCs w:val="18"/>
                <w:color w:val="auto"/>
              </w:rPr>
            </w:pPr>
          </w:p>
        </w:tc>
        <w:tc>
          <w:tcPr>
            <w:tcW w:w="13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8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For the Six Months</w:t>
            </w:r>
          </w:p>
        </w:tc>
        <w:tc>
          <w:tcPr>
            <w:tcW w:w="0" w:type="dxa"/>
            <w:vAlign w:val="bottom"/>
          </w:tcPr>
          <w:p>
            <w:pPr>
              <w:spacing w:after="0"/>
              <w:rPr>
                <w:sz w:val="1"/>
                <w:szCs w:val="1"/>
                <w:color w:val="auto"/>
              </w:rPr>
            </w:pPr>
          </w:p>
        </w:tc>
      </w:tr>
      <w:tr>
        <w:trPr>
          <w:trHeight w:val="234"/>
        </w:trPr>
        <w:tc>
          <w:tcPr>
            <w:tcW w:w="8440" w:type="dxa"/>
            <w:vAlign w:val="bottom"/>
            <w:gridSpan w:val="2"/>
            <w:vMerge w:val="restart"/>
          </w:tcPr>
          <w:p>
            <w:pPr>
              <w:ind w:left="3460"/>
              <w:spacing w:after="0"/>
              <w:rPr>
                <w:sz w:val="20"/>
                <w:szCs w:val="20"/>
                <w:color w:val="auto"/>
              </w:rPr>
            </w:pPr>
            <w:r>
              <w:rPr>
                <w:rFonts w:ascii="Arial" w:cs="Arial" w:eastAsia="Arial" w:hAnsi="Arial"/>
                <w:sz w:val="18"/>
                <w:szCs w:val="18"/>
                <w:b w:val="1"/>
                <w:bCs w:val="1"/>
                <w:color w:val="auto"/>
              </w:rPr>
              <w:t>in CHF thousands</w:t>
            </w:r>
          </w:p>
        </w:tc>
        <w:tc>
          <w:tcPr>
            <w:tcW w:w="28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Ended June 30,</w:t>
            </w:r>
          </w:p>
        </w:tc>
        <w:tc>
          <w:tcPr>
            <w:tcW w:w="0" w:type="dxa"/>
            <w:vAlign w:val="bottom"/>
          </w:tcPr>
          <w:p>
            <w:pPr>
              <w:spacing w:after="0"/>
              <w:rPr>
                <w:sz w:val="1"/>
                <w:szCs w:val="1"/>
                <w:color w:val="auto"/>
              </w:rPr>
            </w:pPr>
          </w:p>
        </w:tc>
      </w:tr>
      <w:tr>
        <w:trPr>
          <w:trHeight w:val="210"/>
        </w:trPr>
        <w:tc>
          <w:tcPr>
            <w:tcW w:w="8440" w:type="dxa"/>
            <w:vAlign w:val="bottom"/>
            <w:gridSpan w:val="2"/>
            <w:vMerge w:val="continue"/>
          </w:tcPr>
          <w:p>
            <w:pPr>
              <w:spacing w:after="0"/>
              <w:rPr>
                <w:sz w:val="18"/>
                <w:szCs w:val="18"/>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2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i w:val="1"/>
                <w:iCs w:val="1"/>
                <w:color w:val="auto"/>
              </w:rPr>
              <w:t>Statements of income/(loss)</w:t>
            </w:r>
          </w:p>
        </w:tc>
        <w:tc>
          <w:tcPr>
            <w:tcW w:w="12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24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auto"/>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Depreciation of right-of-use assets</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Interest expense on lease liabilities</w:t>
            </w: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D5EAEA"/>
          </w:tcPr>
          <w:p>
            <w:pPr>
              <w:spacing w:after="0"/>
              <w:rPr>
                <w:sz w:val="18"/>
                <w:szCs w:val="18"/>
                <w:color w:val="auto"/>
              </w:rPr>
            </w:pPr>
          </w:p>
        </w:tc>
        <w:tc>
          <w:tcPr>
            <w:tcW w:w="13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844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Expense for short-term leases and leases of low value</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09"/>
        </w:trPr>
        <w:tc>
          <w:tcPr>
            <w:tcW w:w="844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D5EAEA"/>
            </w:tcBorders>
            <w:shd w:val="clear" w:color="auto" w:fill="D5EAEA"/>
          </w:tcPr>
          <w:p>
            <w:pPr>
              <w:spacing w:after="0"/>
              <w:rPr>
                <w:sz w:val="18"/>
                <w:szCs w:val="18"/>
                <w:color w:val="auto"/>
              </w:rPr>
            </w:pPr>
          </w:p>
        </w:tc>
        <w:tc>
          <w:tcPr>
            <w:tcW w:w="1340" w:type="dxa"/>
            <w:vAlign w:val="bottom"/>
            <w:tcBorders>
              <w:bottom w:val="single" w:sz="8" w:color="auto"/>
            </w:tcBorders>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0"/>
        </w:trPr>
        <w:tc>
          <w:tcPr>
            <w:tcW w:w="8440" w:type="dxa"/>
            <w:vAlign w:val="bottom"/>
            <w:gridSpan w:val="2"/>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D5EAEA"/>
          </w:tcPr>
          <w:p>
            <w:pPr>
              <w:spacing w:after="0"/>
              <w:rPr>
                <w:sz w:val="20"/>
                <w:szCs w:val="20"/>
                <w:color w:val="auto"/>
              </w:rPr>
            </w:pPr>
            <w:r>
              <w:rPr>
                <w:rFonts w:ascii="Arial" w:cs="Arial" w:eastAsia="Arial" w:hAnsi="Arial"/>
                <w:sz w:val="18"/>
                <w:szCs w:val="18"/>
                <w:i w:val="1"/>
                <w:iCs w:val="1"/>
                <w:color w:val="auto"/>
              </w:rPr>
              <w:t>Statements of cash flows</w:t>
            </w:r>
          </w:p>
        </w:tc>
        <w:tc>
          <w:tcPr>
            <w:tcW w:w="1360" w:type="dxa"/>
            <w:vAlign w:val="bottom"/>
            <w:tcBorders>
              <w:bottom w:val="single" w:sz="8" w:color="auto"/>
            </w:tcBorders>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40" w:type="dxa"/>
            <w:vAlign w:val="bottom"/>
            <w:tcBorders>
              <w:bottom w:val="single" w:sz="8" w:color="auto"/>
            </w:tcBorders>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40" w:type="dxa"/>
            <w:vAlign w:val="bottom"/>
            <w:gridSpan w:val="2"/>
          </w:tcPr>
          <w:p>
            <w:pPr>
              <w:spacing w:after="0"/>
              <w:rPr>
                <w:sz w:val="20"/>
                <w:szCs w:val="20"/>
                <w:color w:val="auto"/>
              </w:rPr>
            </w:pPr>
            <w:r>
              <w:rPr>
                <w:rFonts w:ascii="Arial" w:cs="Arial" w:eastAsia="Arial" w:hAnsi="Arial"/>
                <w:sz w:val="18"/>
                <w:szCs w:val="18"/>
                <w:color w:val="auto"/>
              </w:rPr>
              <w:t>Total cash outflow for leases</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00" w:firstLine="324"/>
        <w:spacing w:after="0" w:line="277" w:lineRule="auto"/>
        <w:rPr>
          <w:sz w:val="20"/>
          <w:szCs w:val="20"/>
          <w:color w:val="auto"/>
        </w:rPr>
      </w:pPr>
      <w:r>
        <w:rPr>
          <w:rFonts w:ascii="Arial" w:cs="Arial" w:eastAsia="Arial" w:hAnsi="Arial"/>
          <w:sz w:val="18"/>
          <w:szCs w:val="18"/>
          <w:color w:val="auto"/>
        </w:rPr>
        <w:t>The Company’s statements of cash flow were impacted by a shift from cash generated from operations of CHF 0.2 million and CHF 0.2 million to net cash used in financing activities, for the six months ended June 30, 2021, and 2020,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00" w:type="dxa"/>
            <w:vAlign w:val="bottom"/>
          </w:tcPr>
          <w:p>
            <w:pPr>
              <w:ind w:left="340"/>
              <w:spacing w:after="0"/>
              <w:rPr>
                <w:sz w:val="20"/>
                <w:szCs w:val="20"/>
                <w:color w:val="auto"/>
              </w:rPr>
            </w:pPr>
            <w:r>
              <w:rPr>
                <w:rFonts w:ascii="Arial" w:cs="Arial" w:eastAsia="Arial" w:hAnsi="Arial"/>
                <w:sz w:val="18"/>
                <w:szCs w:val="18"/>
                <w:color w:val="auto"/>
              </w:rPr>
              <w:t>The following table presents the contractual undiscounted cash flows for lease obligations as of June 30, 2021:</w:t>
            </w:r>
          </w:p>
        </w:tc>
        <w:tc>
          <w:tcPr>
            <w:tcW w:w="1340" w:type="dxa"/>
            <w:vAlign w:val="bottom"/>
          </w:tcPr>
          <w:p>
            <w:pPr>
              <w:spacing w:after="0"/>
              <w:rPr>
                <w:sz w:val="20"/>
                <w:szCs w:val="20"/>
                <w:color w:val="auto"/>
              </w:rPr>
            </w:pPr>
          </w:p>
        </w:tc>
      </w:tr>
      <w:tr>
        <w:trPr>
          <w:trHeight w:val="414"/>
        </w:trPr>
        <w:tc>
          <w:tcPr>
            <w:tcW w:w="9900" w:type="dxa"/>
            <w:vAlign w:val="bottom"/>
          </w:tcPr>
          <w:p>
            <w:pPr>
              <w:spacing w:after="0"/>
              <w:rPr>
                <w:sz w:val="24"/>
                <w:szCs w:val="24"/>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As of</w:t>
            </w:r>
          </w:p>
        </w:tc>
      </w:tr>
      <w:tr>
        <w:trPr>
          <w:trHeight w:val="234"/>
        </w:trPr>
        <w:tc>
          <w:tcPr>
            <w:tcW w:w="9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CHF thousands</w:t>
            </w: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June 30, 2021</w:t>
            </w:r>
          </w:p>
        </w:tc>
      </w:tr>
      <w:tr>
        <w:trPr>
          <w:trHeight w:val="210"/>
        </w:trPr>
        <w:tc>
          <w:tcPr>
            <w:tcW w:w="9900" w:type="dxa"/>
            <w:vAlign w:val="bottom"/>
            <w:shd w:val="clear" w:color="auto" w:fill="D5EAEA"/>
          </w:tcPr>
          <w:p>
            <w:pPr>
              <w:spacing w:after="0"/>
              <w:rPr>
                <w:sz w:val="20"/>
                <w:szCs w:val="20"/>
                <w:color w:val="auto"/>
              </w:rPr>
            </w:pPr>
            <w:r>
              <w:rPr>
                <w:rFonts w:ascii="Arial" w:cs="Arial" w:eastAsia="Arial" w:hAnsi="Arial"/>
                <w:sz w:val="18"/>
                <w:szCs w:val="18"/>
                <w:color w:val="auto"/>
              </w:rPr>
              <w:t>Less than one year</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634</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1-3 years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1,261</w:t>
            </w:r>
          </w:p>
        </w:tc>
      </w:tr>
      <w:tr>
        <w:trPr>
          <w:trHeight w:val="216"/>
        </w:trPr>
        <w:tc>
          <w:tcPr>
            <w:tcW w:w="9900" w:type="dxa"/>
            <w:vAlign w:val="bottom"/>
            <w:shd w:val="clear" w:color="auto" w:fill="D5EAEA"/>
          </w:tcPr>
          <w:p>
            <w:pPr>
              <w:spacing w:after="0"/>
              <w:rPr>
                <w:sz w:val="20"/>
                <w:szCs w:val="20"/>
                <w:color w:val="auto"/>
              </w:rPr>
            </w:pPr>
            <w:r>
              <w:rPr>
                <w:rFonts w:ascii="Arial" w:cs="Arial" w:eastAsia="Arial" w:hAnsi="Arial"/>
                <w:sz w:val="18"/>
                <w:szCs w:val="18"/>
                <w:color w:val="auto"/>
              </w:rPr>
              <w:t>3-5 years</w:t>
            </w: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965</w:t>
            </w:r>
          </w:p>
        </w:tc>
      </w:tr>
      <w:tr>
        <w:trPr>
          <w:trHeight w:val="210"/>
        </w:trPr>
        <w:tc>
          <w:tcPr>
            <w:tcW w:w="99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2,860</w:t>
            </w:r>
          </w:p>
        </w:tc>
      </w:tr>
      <w:tr>
        <w:trPr>
          <w:trHeight w:val="20"/>
        </w:trPr>
        <w:tc>
          <w:tcPr>
            <w:tcW w:w="99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Prepaid expenses</w:t>
      </w:r>
    </w:p>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Prepaid expenses include prepaid R&amp;D costs, administrative costs and net employee defined benefit liability expenses totaling CHF 2.7 million and CHF 4.0 million as of June 30, 2021 and December 31, 2020, respectively.</w:t>
      </w:r>
    </w:p>
    <w:p>
      <w:pPr>
        <w:spacing w:after="0" w:line="166" w:lineRule="exact"/>
        <w:rPr>
          <w:sz w:val="20"/>
          <w:szCs w:val="20"/>
          <w:color w:val="auto"/>
        </w:rPr>
      </w:pPr>
    </w:p>
    <w:p>
      <w:pPr>
        <w:ind w:left="340" w:hanging="332"/>
        <w:spacing w:after="0"/>
        <w:tabs>
          <w:tab w:leader="none" w:pos="34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 and financial assets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The following table summarizes AC Immune’s cash and cash equivalents and short-term financial assets as of June 30, 2021 and December 31, 2020: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Borders>
              <w:bottom w:val="single" w:sz="8" w:color="auto"/>
            </w:tcBorders>
            <w:gridSpan w:val="3"/>
          </w:tcPr>
          <w:p>
            <w:pPr>
              <w:ind w:left="1200"/>
              <w:spacing w:after="0"/>
              <w:rPr>
                <w:sz w:val="20"/>
                <w:szCs w:val="20"/>
                <w:color w:val="auto"/>
              </w:rPr>
            </w:pPr>
            <w:r>
              <w:rPr>
                <w:rFonts w:ascii="Arial" w:cs="Arial" w:eastAsia="Arial" w:hAnsi="Arial"/>
                <w:sz w:val="18"/>
                <w:szCs w:val="18"/>
                <w:b w:val="1"/>
                <w:bCs w:val="1"/>
                <w:color w:val="auto"/>
                <w:w w:val="84"/>
              </w:rPr>
              <w:t>As of</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1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3"/>
          </w:tcPr>
          <w:p>
            <w:pPr>
              <w:jc w:val="center"/>
              <w:ind w:right="240"/>
              <w:spacing w:after="0" w:line="191" w:lineRule="exact"/>
              <w:rPr>
                <w:sz w:val="20"/>
                <w:szCs w:val="20"/>
                <w:color w:val="auto"/>
              </w:rPr>
            </w:pPr>
            <w:r>
              <w:rPr>
                <w:rFonts w:ascii="Arial" w:cs="Arial" w:eastAsia="Arial" w:hAnsi="Arial"/>
                <w:sz w:val="18"/>
                <w:szCs w:val="18"/>
                <w:b w:val="1"/>
                <w:bCs w:val="1"/>
                <w:color w:val="auto"/>
                <w:w w:val="88"/>
              </w:rPr>
              <w:t>June 30,</w:t>
            </w:r>
          </w:p>
        </w:tc>
        <w:tc>
          <w:tcPr>
            <w:tcW w:w="120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5180" w:type="dxa"/>
            <w:vAlign w:val="bottom"/>
          </w:tcPr>
          <w:p>
            <w:pPr>
              <w:ind w:left="3460"/>
              <w:spacing w:after="0"/>
              <w:rPr>
                <w:sz w:val="20"/>
                <w:szCs w:val="20"/>
                <w:color w:val="auto"/>
              </w:rPr>
            </w:pPr>
            <w:r>
              <w:rPr>
                <w:rFonts w:ascii="Arial" w:cs="Arial" w:eastAsia="Arial" w:hAnsi="Arial"/>
                <w:sz w:val="18"/>
                <w:szCs w:val="18"/>
                <w:b w:val="1"/>
                <w:bCs w:val="1"/>
                <w:color w:val="auto"/>
              </w:rPr>
              <w:t>in CHF thousands</w:t>
            </w:r>
          </w:p>
        </w:tc>
        <w:tc>
          <w:tcPr>
            <w:tcW w:w="4620" w:type="dxa"/>
            <w:vAlign w:val="bottom"/>
            <w:gridSpan w:val="3"/>
          </w:tcPr>
          <w:p>
            <w:pPr>
              <w:jc w:val="center"/>
              <w:ind w:left="317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10"/>
        </w:trPr>
        <w:tc>
          <w:tcPr>
            <w:tcW w:w="518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Cash and cash equivalents</w:t>
            </w:r>
          </w:p>
        </w:tc>
        <w:tc>
          <w:tcPr>
            <w:tcW w:w="314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104,135</w:t>
            </w:r>
          </w:p>
        </w:tc>
        <w:tc>
          <w:tcPr>
            <w:tcW w:w="100" w:type="dxa"/>
            <w:vAlign w:val="bottom"/>
            <w:tcBorders>
              <w:top w:val="single" w:sz="8" w:color="D5EAEA"/>
            </w:tcBorders>
            <w:shd w:val="clear" w:color="auto" w:fill="D5EAEA"/>
          </w:tcPr>
          <w:p>
            <w:pPr>
              <w:spacing w:after="0"/>
              <w:rPr>
                <w:sz w:val="18"/>
                <w:szCs w:val="18"/>
                <w:color w:val="auto"/>
              </w:rPr>
            </w:pPr>
          </w:p>
        </w:tc>
        <w:tc>
          <w:tcPr>
            <w:tcW w:w="140" w:type="dxa"/>
            <w:vAlign w:val="bottom"/>
            <w:tcBorders>
              <w:top w:val="single" w:sz="8" w:color="auto"/>
              <w:bottom w:val="single" w:sz="8" w:color="auto"/>
            </w:tcBorders>
            <w:shd w:val="clear" w:color="auto" w:fill="D5EAEA"/>
          </w:tcPr>
          <w:p>
            <w:pPr>
              <w:spacing w:after="0"/>
              <w:rPr>
                <w:sz w:val="18"/>
                <w:szCs w:val="18"/>
                <w:color w:val="auto"/>
              </w:rPr>
            </w:pPr>
          </w:p>
        </w:tc>
        <w:tc>
          <w:tcPr>
            <w:tcW w:w="120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160,893</w:t>
            </w:r>
          </w:p>
        </w:tc>
        <w:tc>
          <w:tcPr>
            <w:tcW w:w="0" w:type="dxa"/>
            <w:vAlign w:val="bottom"/>
          </w:tcPr>
          <w:p>
            <w:pPr>
              <w:spacing w:after="0"/>
              <w:rPr>
                <w:sz w:val="1"/>
                <w:szCs w:val="1"/>
                <w:color w:val="auto"/>
              </w:rPr>
            </w:pPr>
          </w:p>
        </w:tc>
      </w:tr>
      <w:tr>
        <w:trPr>
          <w:trHeight w:val="209"/>
        </w:trPr>
        <w:tc>
          <w:tcPr>
            <w:tcW w:w="51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104,135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160,893</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1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Borders>
              <w:bottom w:val="single" w:sz="8" w:color="auto"/>
            </w:tcBorders>
            <w:gridSpan w:val="3"/>
          </w:tcPr>
          <w:p>
            <w:pPr>
              <w:ind w:left="1200"/>
              <w:spacing w:after="0"/>
              <w:rPr>
                <w:sz w:val="20"/>
                <w:szCs w:val="20"/>
                <w:color w:val="auto"/>
              </w:rPr>
            </w:pPr>
            <w:r>
              <w:rPr>
                <w:rFonts w:ascii="Arial" w:cs="Arial" w:eastAsia="Arial" w:hAnsi="Arial"/>
                <w:sz w:val="18"/>
                <w:szCs w:val="18"/>
                <w:b w:val="1"/>
                <w:bCs w:val="1"/>
                <w:color w:val="auto"/>
                <w:w w:val="84"/>
              </w:rPr>
              <w:t>As of</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1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3"/>
          </w:tcPr>
          <w:p>
            <w:pPr>
              <w:jc w:val="center"/>
              <w:ind w:right="240"/>
              <w:spacing w:after="0" w:line="191" w:lineRule="exact"/>
              <w:rPr>
                <w:sz w:val="20"/>
                <w:szCs w:val="20"/>
                <w:color w:val="auto"/>
              </w:rPr>
            </w:pPr>
            <w:r>
              <w:rPr>
                <w:rFonts w:ascii="Arial" w:cs="Arial" w:eastAsia="Arial" w:hAnsi="Arial"/>
                <w:sz w:val="18"/>
                <w:szCs w:val="18"/>
                <w:b w:val="1"/>
                <w:bCs w:val="1"/>
                <w:color w:val="auto"/>
                <w:w w:val="88"/>
              </w:rPr>
              <w:t>June 30,</w:t>
            </w:r>
          </w:p>
        </w:tc>
        <w:tc>
          <w:tcPr>
            <w:tcW w:w="120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5180" w:type="dxa"/>
            <w:vAlign w:val="bottom"/>
          </w:tcPr>
          <w:p>
            <w:pPr>
              <w:ind w:left="3460"/>
              <w:spacing w:after="0"/>
              <w:rPr>
                <w:sz w:val="20"/>
                <w:szCs w:val="20"/>
                <w:color w:val="auto"/>
              </w:rPr>
            </w:pPr>
            <w:r>
              <w:rPr>
                <w:rFonts w:ascii="Arial" w:cs="Arial" w:eastAsia="Arial" w:hAnsi="Arial"/>
                <w:sz w:val="18"/>
                <w:szCs w:val="18"/>
                <w:b w:val="1"/>
                <w:bCs w:val="1"/>
                <w:color w:val="auto"/>
              </w:rPr>
              <w:t>in CHF thousands</w:t>
            </w:r>
          </w:p>
        </w:tc>
        <w:tc>
          <w:tcPr>
            <w:tcW w:w="4620" w:type="dxa"/>
            <w:vAlign w:val="bottom"/>
            <w:gridSpan w:val="3"/>
          </w:tcPr>
          <w:p>
            <w:pPr>
              <w:jc w:val="center"/>
              <w:ind w:left="317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10"/>
        </w:trPr>
        <w:tc>
          <w:tcPr>
            <w:tcW w:w="518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Short-term financial assets due in one year or less</w:t>
            </w:r>
          </w:p>
        </w:tc>
        <w:tc>
          <w:tcPr>
            <w:tcW w:w="314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95,000</w:t>
            </w:r>
          </w:p>
        </w:tc>
        <w:tc>
          <w:tcPr>
            <w:tcW w:w="100" w:type="dxa"/>
            <w:vAlign w:val="bottom"/>
            <w:tcBorders>
              <w:top w:val="single" w:sz="8" w:color="D5EAEA"/>
            </w:tcBorders>
            <w:shd w:val="clear" w:color="auto" w:fill="D5EAEA"/>
          </w:tcPr>
          <w:p>
            <w:pPr>
              <w:spacing w:after="0"/>
              <w:rPr>
                <w:sz w:val="18"/>
                <w:szCs w:val="18"/>
                <w:color w:val="auto"/>
              </w:rPr>
            </w:pPr>
          </w:p>
        </w:tc>
        <w:tc>
          <w:tcPr>
            <w:tcW w:w="140" w:type="dxa"/>
            <w:vAlign w:val="bottom"/>
            <w:tcBorders>
              <w:top w:val="single" w:sz="8" w:color="auto"/>
              <w:bottom w:val="single" w:sz="8" w:color="auto"/>
            </w:tcBorders>
            <w:shd w:val="clear" w:color="auto" w:fill="D5EAEA"/>
          </w:tcPr>
          <w:p>
            <w:pPr>
              <w:spacing w:after="0"/>
              <w:rPr>
                <w:sz w:val="18"/>
                <w:szCs w:val="18"/>
                <w:color w:val="auto"/>
              </w:rPr>
            </w:pPr>
          </w:p>
        </w:tc>
        <w:tc>
          <w:tcPr>
            <w:tcW w:w="120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65,000</w:t>
            </w:r>
          </w:p>
        </w:tc>
        <w:tc>
          <w:tcPr>
            <w:tcW w:w="0" w:type="dxa"/>
            <w:vAlign w:val="bottom"/>
          </w:tcPr>
          <w:p>
            <w:pPr>
              <w:spacing w:after="0"/>
              <w:rPr>
                <w:sz w:val="1"/>
                <w:szCs w:val="1"/>
                <w:color w:val="auto"/>
              </w:rPr>
            </w:pPr>
          </w:p>
        </w:tc>
      </w:tr>
      <w:tr>
        <w:trPr>
          <w:trHeight w:val="209"/>
        </w:trPr>
        <w:tc>
          <w:tcPr>
            <w:tcW w:w="51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260" w:type="dxa"/>
            <w:vAlign w:val="bottom"/>
            <w:gridSpan w:val="2"/>
          </w:tcPr>
          <w:p>
            <w:pPr>
              <w:spacing w:after="0"/>
              <w:rPr>
                <w:sz w:val="18"/>
                <w:szCs w:val="18"/>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95,000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65,000</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140" w:type="dxa"/>
            <w:vAlign w:val="bottom"/>
            <w:vMerge w:val="restart"/>
          </w:tcPr>
          <w:p>
            <w:pPr>
              <w:jc w:val="right"/>
              <w:ind w:right="25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1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0" w:right="339" w:bottom="1440" w:gutter="0" w:footer="0" w:header="0"/>
        </w:sectPr>
      </w:pPr>
    </w:p>
    <w:bookmarkStart w:id="63" w:name="page64"/>
    <w:bookmarkEnd w:id="63"/>
    <w:p>
      <w:pPr>
        <w:ind w:firstLine="324"/>
        <w:spacing w:after="0" w:line="263" w:lineRule="auto"/>
        <w:rPr>
          <w:sz w:val="20"/>
          <w:szCs w:val="20"/>
          <w:color w:val="auto"/>
        </w:rPr>
      </w:pPr>
      <w:r>
        <w:rPr>
          <w:rFonts w:ascii="Arial" w:cs="Arial" w:eastAsia="Arial" w:hAnsi="Arial"/>
          <w:sz w:val="18"/>
          <w:szCs w:val="18"/>
          <w:color w:val="auto"/>
        </w:rPr>
        <w:t>For the six months ended June 30, 2021, the Company purchased a net CHF 30.0 million in short-term financial assets. The Company also has deposits in escrow accounts totaling CHF 0.4 million and CHF 0.3 million for leases of the Company’s premises as of June 30, 2021 and December 31, 2020, respectively.</w:t>
      </w:r>
    </w:p>
    <w:p>
      <w:pPr>
        <w:spacing w:after="0" w:line="180" w:lineRule="exact"/>
        <w:rPr>
          <w:sz w:val="20"/>
          <w:szCs w:val="20"/>
          <w:color w:val="auto"/>
        </w:rPr>
      </w:pPr>
    </w:p>
    <w:p>
      <w:pPr>
        <w:ind w:left="340" w:hanging="332"/>
        <w:spacing w:after="0"/>
        <w:tabs>
          <w:tab w:leader="none" w:pos="34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 and public offerings</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Q3 2020, AC Immune issued 5,000,000 common shares with a par value of CHF 0.02, which were held as treasury shares. The Company also established an “at the market offering program” (“ATM”) for the sale of up to USD 80.0 (CHF 74.4) million worth of our common shares issued from time to time by entering into an Open Market Sales Agreement (“Sales Agreement”) with Jefferies LLC (“Jefferies”) as the sales agent under a prior registration statement on Form F-3 which expired in Q2 2021.</w:t>
      </w:r>
    </w:p>
    <w:p>
      <w:pPr>
        <w:spacing w:after="0" w:line="18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In Q1 2021, the Company sold 764,977 common shares previously held as treasury shares pursuant to the Sales Agreement, raising USD 8.8 (CHF 8.0) million, net of underwriting fees.</w:t>
      </w:r>
    </w:p>
    <w:p>
      <w:pPr>
        <w:spacing w:after="0" w:line="170" w:lineRule="exact"/>
        <w:rPr>
          <w:sz w:val="20"/>
          <w:szCs w:val="20"/>
          <w:color w:val="auto"/>
        </w:rPr>
      </w:pPr>
    </w:p>
    <w:p>
      <w:pPr>
        <w:jc w:val="both"/>
        <w:ind w:right="560" w:firstLine="324"/>
        <w:spacing w:after="0" w:line="263" w:lineRule="auto"/>
        <w:rPr>
          <w:sz w:val="20"/>
          <w:szCs w:val="20"/>
          <w:color w:val="auto"/>
        </w:rPr>
      </w:pPr>
      <w:r>
        <w:rPr>
          <w:rFonts w:ascii="Arial" w:cs="Arial" w:eastAsia="Arial" w:hAnsi="Arial"/>
          <w:sz w:val="18"/>
          <w:szCs w:val="18"/>
          <w:color w:val="auto"/>
        </w:rPr>
        <w:t>In Q2 2021, the Company filed a new registration statement on Form F-3 and accompanying prospectus supplement in order to renew its ATM program. The Company also entered into a second Open Market Sales Agreement (the “New Sales Agreement”) with Jefferies to continue the ATM program.</w:t>
      </w:r>
    </w:p>
    <w:p>
      <w:pPr>
        <w:spacing w:after="0" w:line="184"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For the six months ended June 30, 2021, the Company sold 772,627 common shares previously held as treasury shares pursuant to the New Sales Agreement, raising USD 8.9 (CHF 8.0) million, net of underwriting fees. We paid commissions to Jefferies totaling USD 0.3 (CHF 0.2) million as of June 30, 2021 for share issuances in accordance with our ATM programs.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 result of these sales, the Company has 4,227,373 treasury shares remaining.</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10. Finance result, net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the three months ended June 30, 2021 and 2020, AC Immune recorded CHF 0.4 million and CHF 0.1 million in net financial losses,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CHF 0.2 million in interest expense and foreign currency losses in the period.</w:t>
      </w:r>
    </w:p>
    <w:p>
      <w:pPr>
        <w:spacing w:after="0" w:line="211"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For the six months ended June 30, 2021 and 2020, the Company recorded CHF 0.1 million in net financial gains and CHF 0.4 million in net financial losses, respectively. The Company recorded CHF 0.4 million in foreign currency gains compared to CHF 0.4 million in foreign currency losses in the prior period.</w:t>
      </w:r>
    </w:p>
    <w:p>
      <w:pPr>
        <w:spacing w:after="0" w:line="180" w:lineRule="exact"/>
        <w:rPr>
          <w:sz w:val="20"/>
          <w:szCs w:val="20"/>
          <w:color w:val="auto"/>
        </w:rPr>
      </w:pPr>
    </w:p>
    <w:p>
      <w:pPr>
        <w:ind w:left="340" w:hanging="332"/>
        <w:spacing w:after="0"/>
        <w:tabs>
          <w:tab w:leader="none" w:pos="34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Asset Purchase and Contribution in Kind Agreement (“Asset Purchase Agreement”)</w:t>
      </w:r>
    </w:p>
    <w:p>
      <w:pPr>
        <w:spacing w:after="0" w:line="225" w:lineRule="exact"/>
        <w:rPr>
          <w:sz w:val="20"/>
          <w:szCs w:val="20"/>
          <w:color w:val="auto"/>
        </w:rPr>
      </w:pPr>
    </w:p>
    <w:p>
      <w:pPr>
        <w:ind w:right="420" w:firstLine="324"/>
        <w:spacing w:after="0" w:line="308" w:lineRule="auto"/>
        <w:rPr>
          <w:sz w:val="20"/>
          <w:szCs w:val="20"/>
          <w:color w:val="auto"/>
        </w:rPr>
      </w:pPr>
      <w:r>
        <w:rPr>
          <w:rFonts w:ascii="Arial" w:cs="Arial" w:eastAsia="Arial" w:hAnsi="Arial"/>
          <w:sz w:val="17"/>
          <w:szCs w:val="17"/>
          <w:color w:val="auto"/>
        </w:rPr>
        <w:t>On July 27, 2021, the Company announced that it is acquiring Affiris AG’s (“Affiris”) portfolio of therapeutics targeting alpha-synuclein (a-syn), notably Affiris PD01, a clinically-validated active vaccine candidate for the treatment of Parkinson’s disease (the “Transferred Assets”).</w:t>
      </w:r>
    </w:p>
    <w:p>
      <w:pPr>
        <w:spacing w:after="0" w:line="146"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Pursuant to the Asset Purchase Agreement, AC Immune will acquire the Transferred Assets and USD 5.0 (CHF 4.6) million in cash in exchange for 7,106,840 shares of the Company at closing based on a price of USD 8.26 per common share, for a total value of USD 58.7 (CHF 53.9) million.</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acquisition is subject to customary regulatory approval in Austria and expected to complete at the beginning of Q4 2021.</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Convertible Note Agreements</w:t>
      </w:r>
    </w:p>
    <w:p>
      <w:pPr>
        <w:spacing w:after="0" w:line="225"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Concurrently with the Asset Purchase Agreement, the Company entered into two separate Convertible Note Agreements with entities affiliated with each of Athos Service GmbH and First Capital Partner GmbH (collectively, the “Investors”), both of which entities are shareholders of Affiris. Each Convertible Note Agreement provides for the sale of an unsecured subordinated Convertible Note of the Company with an aggregate principal amount of USD 12.5 (CHF 11.5) million. The total net proceeds to the Company are USD 25 (CHF 23.0) million.</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64" w:name="page65"/>
    <w:bookmarkEnd w:id="64"/>
    <w:p>
      <w:pPr>
        <w:ind w:right="60" w:firstLine="324"/>
        <w:spacing w:after="0" w:line="301" w:lineRule="auto"/>
        <w:rPr>
          <w:sz w:val="20"/>
          <w:szCs w:val="20"/>
          <w:color w:val="auto"/>
        </w:rPr>
      </w:pPr>
      <w:r>
        <w:rPr>
          <w:rFonts w:ascii="Arial" w:cs="Arial" w:eastAsia="Arial" w:hAnsi="Arial"/>
          <w:sz w:val="16"/>
          <w:szCs w:val="16"/>
          <w:color w:val="auto"/>
        </w:rPr>
        <w:t>The Convertible Notes are convertible into common shares after the Closing Date of the Asset Purchase Agreement at any time at the option of the Investors or of AC Immune at a conversion price of USD 8.26. These options are effective from the signing date of the Convertible Note Agreements until 10 calendar days prior to the Repayment Date (“Conversion Period”). If the Convertible Notes are not converted during the Conversion Period, they shall be repaid on the Repayment Date, which is July 26, 2022. The Convertible Notes do not permit partial settlement and do not bear interest.</w:t>
      </w:r>
    </w:p>
    <w:p>
      <w:pPr>
        <w:spacing w:after="0" w:line="15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total, the Company is issuing 10.1 million shares in conjunction with the asset acquisition and related financing, in exchange for the aforementioned anti-a-syn assets valued at USD 53.7 (CHF 49.3) million and USD 30.0 (CHF 27.5) million in cash.</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right="220" w:firstLine="324"/>
        <w:spacing w:after="0" w:line="275" w:lineRule="auto"/>
        <w:rPr>
          <w:sz w:val="20"/>
          <w:szCs w:val="20"/>
          <w:color w:val="auto"/>
        </w:rPr>
      </w:pPr>
      <w:r>
        <w:rPr>
          <w:rFonts w:ascii="Arial" w:cs="Arial" w:eastAsia="Arial" w:hAnsi="Arial"/>
          <w:sz w:val="17"/>
          <w:szCs w:val="17"/>
          <w:i w:val="1"/>
          <w:iCs w:val="1"/>
          <w:color w:val="auto"/>
        </w:rPr>
        <w:t>This management’s discussion and analysis is designed to provide you with a narrative explanation of our financial condition and results of operations. We recommend that you read this in conjunction with our unaudited interim condensed consolidated financial information as of and for the three and six months ended June 30, 2021, included as Exhibit 99.1 to this Report on Form 6-K. We also recommend that you read our management’s discussion and analysis and our audited financial statements and the notes thereto, which appear in our Annual Report on Form 20-F for the year ended December 31, 2020 on file with the U.S. Securities and Exchange Commission (the “SEC”).</w:t>
      </w:r>
    </w:p>
    <w:p>
      <w:pPr>
        <w:spacing w:after="0" w:line="176"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i w:val="1"/>
          <w:iCs w:val="1"/>
          <w:color w:val="auto"/>
        </w:rPr>
        <w:t>Unless otherwise indicated or the context otherwise requires, the terms “Company,” “AC Immune,” “ACIU,” “we,” “our,” “ours,” or “us” refer to AC Immune SA together with its fully-owned subsidiary, AC Immune USA, Inc.</w:t>
      </w:r>
    </w:p>
    <w:p>
      <w:pPr>
        <w:spacing w:after="0" w:line="17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i w:val="1"/>
          <w:iCs w:val="1"/>
          <w:color w:val="auto"/>
        </w:rPr>
        <w:t>We prepare and report our consolidated financial statements and financial information in accordance with International Financial Reporting Standards (“IFRS”) as issued by the International Accounting Standards Board (the “IASB”). None of our consolidated financial statements were prepared in accordance with generally accepted accounting principles in the United States. We maintain our books and records in Swiss Francs (CHF). We have made rounding adjustments to some of the figures included in this management’s discussion and analysis. Accordingly, numerical figures shown as totals in some tables may not be an arithmetic aggregation of the figures that precede them. Unless otherwise indicated, all references to currency amounts in this discussion and analysis are in Swiss Francs.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This discussion and analysis is dated as of August 4,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Our goal is to continue leveraging our proprietary discovery platforms, SupraAntigen and Morphomer, to become a global leader in precision medicine for the diagnosis and treatment of neurodegenerative diseases. We are executing a clear business strategy built on three pillars: (i) accelerate development of novel therapeutics in AD with our partners; (ii) expand our strategic focus in non-AD neurodegenerative diseases, including NeuroOrphan indications, Parkinson’s disease (PD) and limbic-predominant age-related TDP-43 encephalopathy (LATE); and (iii) a continued focus on diagnostics enabling precision medicine to be an ultimate differentiator for the Company.</w:t>
      </w:r>
    </w:p>
    <w:p>
      <w:pPr>
        <w:spacing w:after="0" w:line="188"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Our three-pillar execution strategy reflects our unique precision medicine approach, which ultimately creates differentiation due to our ability to address the high levels of co-pathologies present in AD and other neurodegenerative diseases. Much like cancer, neurodegenerative diseases are heterogeneous and may require multiple therapeutic interventions tailored to patients’ specific disease drivers, to be used in concert in order to slow or stop the disease course. Ultimately, it is our belief that precision medicine will increase the chance of treatment success by enabling clinical trial participants to be better defined by their various proteinopathies, affording treatment with the right therapies at the right time.</w:t>
      </w:r>
    </w:p>
    <w:p>
      <w:pPr>
        <w:spacing w:after="0" w:line="176"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Leveraging our dual proprietary technology platforms, we have built a comprehensive pipeline of first-in-class or best-in-class candidates spanning multiple treatment modalities and targeting both established and emerging neurodegenerative pathologies. We are currently advancing nine therapeutic and three diagnostic product candidates, with six currently in clinical trials, targeting five different types of misfolded pathological proteins related to AD and other neurodegenerative disorders. Our pipeline assets are further validated by the multiple partnerships we have established with leading global pharmaceutical companies. We believe our validated technology platforms and personalized medicine approach position AC Immune to revolutionize the treatment of neurodegenerative disease in the way precision diagnostics and targeted therapies are revolutionizing the treatment of cancer.</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clinical stage product candidates include:</w:t>
      </w:r>
    </w:p>
    <w:p>
      <w:pPr>
        <w:spacing w:after="0" w:line="221" w:lineRule="exact"/>
        <w:rPr>
          <w:sz w:val="20"/>
          <w:szCs w:val="20"/>
          <w:color w:val="auto"/>
        </w:rPr>
      </w:pPr>
    </w:p>
    <w:p>
      <w:pPr>
        <w:ind w:left="660" w:right="400" w:hanging="328"/>
        <w:spacing w:after="0" w:line="282" w:lineRule="auto"/>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b w:val="1"/>
          <w:bCs w:val="1"/>
          <w:i w:val="1"/>
          <w:iCs w:val="1"/>
          <w:color w:val="auto"/>
        </w:rPr>
        <w:t>ACI-35.030</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Janssen and AC Immune are evaluating the anti-phosphorylated-Tau (anti-pTau) vaccine candidate ACI-35.030 in a Phase 1b/2a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study in early AD. Interim results show that ACI-35.030</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6" w:name="page67"/>
    <w:bookmarkEnd w:id="66"/>
    <w:p>
      <w:pPr>
        <w:jc w:val="both"/>
        <w:ind w:left="660" w:right="40"/>
        <w:spacing w:after="0" w:line="259" w:lineRule="auto"/>
        <w:rPr>
          <w:sz w:val="20"/>
          <w:szCs w:val="20"/>
          <w:color w:val="auto"/>
        </w:rPr>
      </w:pPr>
      <w:r>
        <w:rPr>
          <w:rFonts w:ascii="Arial" w:cs="Arial" w:eastAsia="Arial" w:hAnsi="Arial"/>
          <w:sz w:val="18"/>
          <w:szCs w:val="18"/>
          <w:color w:val="auto"/>
        </w:rPr>
        <w:t>vaccination generated a potent antigen-specific antibody response against pTau in 100% of older patients, achieving antibody levels several orders of magnitude higher than pre-vaccination levels. No vaccine relevant adverse events were observed. These results support plans to further develop the Alzheimer Vaccine into Phase 2/3. ACI-35.030 specifically targets pathological pTau and is intended as a disease-modifying treatment for AD and other Tauopathies</w:t>
      </w:r>
    </w:p>
    <w:p>
      <w:pPr>
        <w:spacing w:after="0" w:line="183" w:lineRule="exact"/>
        <w:rPr>
          <w:sz w:val="20"/>
          <w:szCs w:val="20"/>
          <w:color w:val="auto"/>
        </w:rPr>
      </w:pPr>
    </w:p>
    <w:p>
      <w:pPr>
        <w:ind w:left="660" w:right="260" w:hanging="328"/>
        <w:spacing w:after="0" w:line="256" w:lineRule="auto"/>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b w:val="1"/>
          <w:bCs w:val="1"/>
          <w:i w:val="1"/>
          <w:iCs w:val="1"/>
          <w:color w:val="auto"/>
        </w:rPr>
        <w:t>Semorinemab</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collaboration partner, Genentech, a member of the Roche Group, is currently completing a Phase 2 clinical program for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anti-Tau monoclonal antibody semorinemab. A Phase 2 study (Tauriel) conducted in patients with prodromal-to-mild AD was completed in Q3 2020 and did not meet its primary efficacy endpoint of reducing decline on Clinical Dementia Rating-Sum of Boxes (CDR-SB) compared to placebo. A second Phase 2 study (Lauriet) conducted in patients with moderate AD remains ongoing with primary completion estimated in Q3 2021. Semorinemab is designed to slow the prion-like propagation of Tau pathology, which coincides with both clinical symptoms and disease progression in AD.</w:t>
      </w:r>
    </w:p>
    <w:p>
      <w:pPr>
        <w:spacing w:after="0" w:line="191" w:lineRule="exact"/>
        <w:rPr>
          <w:rFonts w:ascii="Arial" w:cs="Arial" w:eastAsia="Arial" w:hAnsi="Arial"/>
          <w:sz w:val="18"/>
          <w:szCs w:val="18"/>
          <w:color w:val="auto"/>
        </w:rPr>
      </w:pPr>
    </w:p>
    <w:p>
      <w:pPr>
        <w:ind w:left="660" w:right="40" w:hanging="328"/>
        <w:spacing w:after="0" w:line="254" w:lineRule="auto"/>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Morphomer Tau. </w:t>
      </w:r>
      <w:r>
        <w:rPr>
          <w:rFonts w:ascii="Arial" w:cs="Arial" w:eastAsia="Arial" w:hAnsi="Arial"/>
          <w:sz w:val="18"/>
          <w:szCs w:val="18"/>
          <w:color w:val="auto"/>
        </w:rPr>
        <w:t>In collaboration with our partner, Lilly, we are researching and developing small molecule Tau aggregation inhibitors with plans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evaluate candidates in AD and NeuroOrphan indications. We completed a Phase 1 clinical study in healthy volunteers with ACI-3024 in Q2 2020, which showed a dose-dependent exposure and brain penetration, achieving the desired levels of ACI-3024 in the cerebrospinal fluid. In addition to AD, the program was expanded to NeuroOrphan indications and ACI-3024 will be further evaluated for efficacy in models of rare Tauopathies. Continued candidate characterization across the research program has also identified new and highly differentiated candidates with excellent cerebrospinal fluid exposure and selectivity for pathological aggregated Tau. These will be broadly developed in Tau-dependent neurodegenerative diseases.</w:t>
      </w:r>
    </w:p>
    <w:p>
      <w:pPr>
        <w:spacing w:after="0" w:line="194"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ACI-24. </w:t>
      </w:r>
      <w:r>
        <w:rPr>
          <w:rFonts w:ascii="Arial" w:cs="Arial" w:eastAsia="Arial" w:hAnsi="Arial"/>
          <w:sz w:val="18"/>
          <w:szCs w:val="18"/>
          <w:color w:val="auto"/>
        </w:rPr>
        <w:t>We currently own the global rights to our anti-Abeta vaccine candidate ACI-24, and we continue to develop this asset in-house for 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DS.</w:t>
      </w:r>
    </w:p>
    <w:p>
      <w:pPr>
        <w:spacing w:after="0" w:line="170" w:lineRule="exact"/>
        <w:rPr>
          <w:rFonts w:ascii="Arial" w:cs="Arial" w:eastAsia="Arial" w:hAnsi="Arial"/>
          <w:sz w:val="18"/>
          <w:szCs w:val="18"/>
          <w:color w:val="auto"/>
        </w:rPr>
      </w:pPr>
    </w:p>
    <w:p>
      <w:pPr>
        <w:ind w:left="660" w:hanging="328"/>
        <w:spacing w:after="0" w:line="296" w:lineRule="auto"/>
        <w:tabs>
          <w:tab w:leader="none" w:pos="660" w:val="left"/>
        </w:tabs>
        <w:numPr>
          <w:ilvl w:val="0"/>
          <w:numId w:val="14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ACI-24 for AD. </w:t>
      </w:r>
      <w:r>
        <w:rPr>
          <w:rFonts w:ascii="Arial" w:cs="Arial" w:eastAsia="Arial" w:hAnsi="Arial"/>
          <w:sz w:val="16"/>
          <w:szCs w:val="16"/>
          <w:color w:val="auto"/>
        </w:rPr>
        <w:t>A Phase 2 study commenced in October 2018 and is currently ongoing to assess the safety, tolerability, immunogenicity and target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engagement of ACI-24 formulations using intramuscular injections, and to analyze the effects of ACI-24 on brain amyloid as assessed by PET imaging. The 18 months treatment and additional six-months safety observation is completed for all participants. The study is currently under analysis and AC Immune plans to present the results at an international Alzheimer conference. Non-human primate data further highlight the strong immunogenicity of our optimized ACI-24 formulation against pathological Abeta species, including oligomeric and pyroglutamate Abeta.</w:t>
      </w:r>
    </w:p>
    <w:p>
      <w:pPr>
        <w:spacing w:after="0" w:line="161" w:lineRule="exact"/>
        <w:rPr>
          <w:rFonts w:ascii="Arial" w:cs="Arial" w:eastAsia="Arial" w:hAnsi="Arial"/>
          <w:sz w:val="16"/>
          <w:szCs w:val="16"/>
          <w:color w:val="auto"/>
        </w:rPr>
      </w:pPr>
    </w:p>
    <w:p>
      <w:pPr>
        <w:ind w:left="660" w:right="160" w:hanging="328"/>
        <w:spacing w:after="0" w:line="259" w:lineRule="auto"/>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ACI-24 for DS. </w:t>
      </w:r>
      <w:r>
        <w:rPr>
          <w:rFonts w:ascii="Arial" w:cs="Arial" w:eastAsia="Arial" w:hAnsi="Arial"/>
          <w:sz w:val="18"/>
          <w:szCs w:val="18"/>
          <w:color w:val="auto"/>
        </w:rPr>
        <w:t>Our Phase 1b clinical study of ACI-24 for individuals with DS, intended to assess safety, tolerability and immunogenicity at two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doses, was completed and results reported in Q1 2021. The results support a favorable safety and tolerability profile of ACI-24 in this vulnerable patient population and the advancement of this program into Phase 2 studies, the initiation of which will be determined by appropriate public safety measures related to Covid-19.</w:t>
      </w:r>
    </w:p>
    <w:p>
      <w:pPr>
        <w:spacing w:after="0" w:line="186" w:lineRule="exact"/>
        <w:rPr>
          <w:rFonts w:ascii="Arial" w:cs="Arial" w:eastAsia="Arial" w:hAnsi="Arial"/>
          <w:sz w:val="18"/>
          <w:szCs w:val="18"/>
          <w:color w:val="auto"/>
        </w:rPr>
      </w:pPr>
    </w:p>
    <w:p>
      <w:pPr>
        <w:ind w:left="660" w:right="80" w:hanging="328"/>
        <w:spacing w:after="0" w:line="311" w:lineRule="auto"/>
        <w:tabs>
          <w:tab w:leader="none" w:pos="660" w:val="left"/>
        </w:tabs>
        <w:numPr>
          <w:ilvl w:val="0"/>
          <w:numId w:val="14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Crenezumab. </w:t>
      </w:r>
      <w:r>
        <w:rPr>
          <w:rFonts w:ascii="Arial" w:cs="Arial" w:eastAsia="Arial" w:hAnsi="Arial"/>
          <w:sz w:val="16"/>
          <w:szCs w:val="16"/>
          <w:color w:val="auto"/>
        </w:rPr>
        <w:t>The parent of our collaboration partner discontinued, as of January 2019, the Phase 3 clinical trials in AD but is continuing in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landmark prevention trial in Columbia, in a population of genetically predisposed people at risk of developing familial AD. The overall beneficial safety profile was confirmed in the CREAD studies, supporting use of crenezumab in healthy individuals with risk of developing AD.</w:t>
      </w:r>
    </w:p>
    <w:p>
      <w:pPr>
        <w:spacing w:after="0" w:line="144" w:lineRule="exact"/>
        <w:rPr>
          <w:rFonts w:ascii="Arial" w:cs="Arial" w:eastAsia="Arial" w:hAnsi="Arial"/>
          <w:sz w:val="16"/>
          <w:szCs w:val="16"/>
          <w:color w:val="auto"/>
        </w:rPr>
      </w:pPr>
    </w:p>
    <w:p>
      <w:pPr>
        <w:ind w:left="660" w:right="40" w:hanging="328"/>
        <w:spacing w:after="0" w:line="347" w:lineRule="auto"/>
        <w:tabs>
          <w:tab w:leader="none" w:pos="660" w:val="left"/>
        </w:tabs>
        <w:numPr>
          <w:ilvl w:val="0"/>
          <w:numId w:val="148"/>
        </w:numPr>
        <w:rPr>
          <w:rFonts w:ascii="Arial" w:cs="Arial" w:eastAsia="Arial" w:hAnsi="Arial"/>
          <w:sz w:val="16"/>
          <w:szCs w:val="16"/>
          <w:color w:val="auto"/>
        </w:rPr>
      </w:pPr>
      <w:r>
        <w:rPr>
          <w:rFonts w:ascii="Arial" w:cs="Arial" w:eastAsia="Arial" w:hAnsi="Arial"/>
          <w:sz w:val="16"/>
          <w:szCs w:val="16"/>
          <w:b w:val="1"/>
          <w:bCs w:val="1"/>
          <w:i w:val="1"/>
          <w:iCs w:val="1"/>
          <w:color w:val="auto"/>
        </w:rPr>
        <w:t>Diagnostic candidates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addition to the above product candidates, we will continue to develop our complementary diagnostic product candidates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Tau (with LMI), a-syn and TDP-43 to advance them through clinical development, either independently or with collaboration partners.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2021 Company Highlights</w:t>
      </w:r>
    </w:p>
    <w:p>
      <w:pPr>
        <w:spacing w:after="0" w:line="229" w:lineRule="exact"/>
        <w:rPr>
          <w:sz w:val="20"/>
          <w:szCs w:val="20"/>
          <w:color w:val="auto"/>
        </w:rPr>
      </w:pPr>
    </w:p>
    <w:p>
      <w:pPr>
        <w:jc w:val="both"/>
        <w:ind w:left="660" w:hanging="328"/>
        <w:spacing w:after="0" w:line="286" w:lineRule="auto"/>
        <w:tabs>
          <w:tab w:leader="none" w:pos="66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Announced an all-stock acquisition of Affiris’ portfolio of therapeutics targeting alpha-synuclein notably PD01, a clinically validated active vaccine candidate that places AC Immune at the forefront of Parkinson’s disease drug development. Through the planned acquisition and a concurrent financing, AC Immune will also strengthen its cash position and add Athos Service GmbH (Strüngmann family office),</w:t>
      </w: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7" w:name="page68"/>
    <w:bookmarkEnd w:id="67"/>
    <w:p>
      <w:pPr>
        <w:ind w:left="660"/>
        <w:spacing w:after="0" w:line="277" w:lineRule="auto"/>
        <w:rPr>
          <w:sz w:val="20"/>
          <w:szCs w:val="20"/>
          <w:color w:val="auto"/>
        </w:rPr>
      </w:pPr>
      <w:r>
        <w:rPr>
          <w:rFonts w:ascii="Arial" w:cs="Arial" w:eastAsia="Arial" w:hAnsi="Arial"/>
          <w:sz w:val="18"/>
          <w:szCs w:val="18"/>
          <w:color w:val="auto"/>
        </w:rPr>
        <w:t>First Capital Partner GmbH (Egger Family Office), and MIG Fonds, the three lead investors in Covid-19 vaccine innovator BioNTech SE, to its shareholder base.</w:t>
      </w:r>
    </w:p>
    <w:p>
      <w:pPr>
        <w:spacing w:after="0" w:line="170" w:lineRule="exact"/>
        <w:rPr>
          <w:sz w:val="20"/>
          <w:szCs w:val="20"/>
          <w:color w:val="auto"/>
        </w:rPr>
      </w:pPr>
    </w:p>
    <w:p>
      <w:pPr>
        <w:jc w:val="both"/>
        <w:ind w:left="660" w:hanging="328"/>
        <w:spacing w:after="0" w:line="257" w:lineRule="auto"/>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Presented the full results from the landmark Phase 1b clinical trial evaluating the anti-Abeta vaccine ACI-24 in subjects with Down syndrome at the Alzheimer’s Association International Conference (AAIC) 2021, showing that ACI-24 generated evidence of immunogenicity along with a positive pharmacodynamic response and a favorable safety and tolerability profile. Based on these results, the Company plans to advance an optimized formulation of ACI-24 into mid-stage clinical testing to treat and prevent the progression of Down syndrome (DS)-related Alzheimer’s disease (AD).</w:t>
      </w:r>
    </w:p>
    <w:p>
      <w:pPr>
        <w:spacing w:after="0" w:line="187"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Provided key clinical and preclinical updates for its AD vaccine candidates targeting pathological amyloid beta (Abeta). The 18 months treatment and additional six-months safety observation is completed for all participants. The study is currently under analysis and AC Immune plans to present the results at an international Alzheimer conference. Non-human primate data further highlight the strong immunogenicity of our optimized ACI-24 formulation against pathological Abeta species, including oligomeric and pyroglutamate Abeta.</w:t>
      </w:r>
    </w:p>
    <w:p>
      <w:pPr>
        <w:spacing w:after="0" w:line="171"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Expanded the Phase 1b/2a trial evaluating the first-in-class anti-phosphorylated-Tau (pTau) vaccine candidate ACI-35.030 for the treatment of AD in collaboration with Janssen Pharmaceuticals, Inc. The trial expansion, which was based on encouraging interim safety, tolerability and immunogenicity results to date, specifically includes vaccination of additional AD patients at the second highest dose to support continued development of ACI-35.030.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The Covid-19 global pandemic has impacted various countries in which AC Immune currently operates clinical trials and business operations. The extent to which Covid-19 may impact us will depend on future developments, which are currently uncertain and cannot be predicted with confidence, such as the duration of the outbreak, the severity of Covid-19, or the effectiveness of actions to contain and treat Covid-19.</w:t>
      </w:r>
    </w:p>
    <w:p>
      <w:pPr>
        <w:spacing w:after="0" w:line="165"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The Company continues to effect its business continuity plan and adapt as the situation evolves. Currently, we have resumed normal operations at full capacity, with minimal disruption to our business. We are continuously assessing and adapting our working practices and business operations to ensure compliance with official guidance and orders related to the pandemic and are working proactively with our partners and other stakeholders to take steps intended to mitigate and minimize any negative impact to our research, clinical programs and other business operations.</w:t>
      </w:r>
    </w:p>
    <w:p>
      <w:pPr>
        <w:spacing w:after="0" w:line="171"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The Company does not currently have or project material impacts to the ongoing key trials. Additionally, the Company has drug supplies that are expected to be sufficient to complete ongoing trials as well as additional drug substance supplies expected to be sufficient to support ongoing cohorts of clinical trials for a period of at least three to six months. The Company will refrain from starting new clinical trials if a minimum of a six-month supply on hand cannot be secured. Finally, the Company currently does not expect delays to its clinical trials due to manufacturing or supply-chain issues.</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Comparison of the three and six months ended June 30, 2021 and 2020</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 revenues</w:t>
      </w:r>
    </w:p>
    <w:p>
      <w:pPr>
        <w:spacing w:after="0" w:line="225"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For the three months ended June 30, 2021, AC Immune generated no contract revenues compared with CHF 1.1 million for the comparable period in 2020. This represents a decrease of CHF 1.1 million. The following table summarizes our contract revenues during the three months ended June 30, 2021, and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For the Three Months</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Ended June 30,</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300"/>
              <w:spacing w:after="0"/>
              <w:rPr>
                <w:sz w:val="20"/>
                <w:szCs w:val="20"/>
                <w:color w:val="auto"/>
              </w:rPr>
            </w:pPr>
            <w:r>
              <w:rPr>
                <w:rFonts w:ascii="Arial" w:cs="Arial" w:eastAsia="Arial" w:hAnsi="Arial"/>
                <w:sz w:val="18"/>
                <w:szCs w:val="18"/>
                <w:b w:val="1"/>
                <w:bCs w:val="1"/>
                <w:color w:val="auto"/>
              </w:rPr>
              <w:t>in CHF thousands, unaudited</w:t>
            </w:r>
          </w:p>
        </w:tc>
        <w:tc>
          <w:tcPr>
            <w:tcW w:w="1920" w:type="dxa"/>
            <w:vAlign w:val="bottom"/>
            <w:gridSpan w:val="2"/>
          </w:tcPr>
          <w:p>
            <w:pPr>
              <w:spacing w:after="0"/>
              <w:rPr>
                <w:sz w:val="18"/>
                <w:szCs w:val="18"/>
                <w:color w:val="auto"/>
              </w:rPr>
            </w:pPr>
          </w:p>
        </w:tc>
        <w:tc>
          <w:tcPr>
            <w:tcW w:w="13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30"/>
        </w:trPr>
        <w:tc>
          <w:tcPr>
            <w:tcW w:w="506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Contract revenue</w:t>
            </w:r>
          </w:p>
        </w:tc>
        <w:tc>
          <w:tcPr>
            <w:tcW w:w="1800" w:type="dxa"/>
            <w:vAlign w:val="bottom"/>
            <w:tcBorders>
              <w:top w:val="single" w:sz="8" w:color="auto"/>
            </w:tcBorders>
            <w:shd w:val="clear" w:color="auto" w:fill="D5EAEA"/>
          </w:tcPr>
          <w:p>
            <w:pPr>
              <w:spacing w:after="0"/>
              <w:rPr>
                <w:sz w:val="19"/>
                <w:szCs w:val="19"/>
                <w:color w:val="auto"/>
              </w:rPr>
            </w:pPr>
          </w:p>
        </w:tc>
        <w:tc>
          <w:tcPr>
            <w:tcW w:w="120" w:type="dxa"/>
            <w:vAlign w:val="bottom"/>
            <w:tcBorders>
              <w:top w:val="single" w:sz="8" w:color="D5EAEA"/>
            </w:tcBorders>
            <w:shd w:val="clear" w:color="auto" w:fill="D5EAEA"/>
          </w:tcPr>
          <w:p>
            <w:pPr>
              <w:spacing w:after="0"/>
              <w:rPr>
                <w:sz w:val="19"/>
                <w:szCs w:val="19"/>
                <w:color w:val="auto"/>
              </w:rPr>
            </w:pPr>
          </w:p>
        </w:tc>
        <w:tc>
          <w:tcPr>
            <w:tcW w:w="1380" w:type="dxa"/>
            <w:vAlign w:val="bottom"/>
            <w:tcBorders>
              <w:top w:val="single" w:sz="8" w:color="auto"/>
              <w:bottom w:val="single" w:sz="8" w:color="auto"/>
            </w:tcBorders>
            <w:shd w:val="clear" w:color="auto" w:fill="D5EAEA"/>
          </w:tcPr>
          <w:p>
            <w:pPr>
              <w:ind w:left="10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1,083</w:t>
            </w:r>
          </w:p>
        </w:tc>
        <w:tc>
          <w:tcPr>
            <w:tcW w:w="100" w:type="dxa"/>
            <w:vAlign w:val="bottom"/>
            <w:tcBorders>
              <w:top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Arial" w:cs="Arial" w:eastAsia="Arial" w:hAnsi="Arial"/>
                <w:sz w:val="18"/>
                <w:szCs w:val="18"/>
                <w:b w:val="1"/>
                <w:bCs w:val="1"/>
                <w:color w:val="auto"/>
              </w:rPr>
              <w:t>Total revenues</w:t>
            </w: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800" w:type="dxa"/>
            <w:vAlign w:val="bottom"/>
            <w:vMerge w:val="restart"/>
          </w:tcPr>
          <w:p>
            <w:pPr>
              <w:jc w:val="right"/>
              <w:ind w:right="11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0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4" w:right="339" w:bottom="1440" w:gutter="0" w:footer="0" w:header="0"/>
        </w:sectPr>
      </w:pPr>
    </w:p>
    <w:bookmarkStart w:id="68" w:name="page69"/>
    <w:bookmarkEnd w:id="68"/>
    <w:p>
      <w:pPr>
        <w:ind w:left="340"/>
        <w:spacing w:after="0"/>
        <w:rPr>
          <w:sz w:val="20"/>
          <w:szCs w:val="20"/>
          <w:color w:val="auto"/>
        </w:rPr>
      </w:pPr>
      <w:r>
        <w:rPr>
          <w:rFonts w:ascii="Arial" w:cs="Arial" w:eastAsia="Arial" w:hAnsi="Arial"/>
          <w:sz w:val="18"/>
          <w:szCs w:val="18"/>
          <w:color w:val="auto"/>
        </w:rPr>
        <w:t>For the three months ended June 30, 2021, the CHF 1.1 million decrease compared with the prior period is predominantly related to:</w:t>
      </w:r>
    </w:p>
    <w:p>
      <w:pPr>
        <w:spacing w:after="0" w:line="225" w:lineRule="exact"/>
        <w:rPr>
          <w:sz w:val="20"/>
          <w:szCs w:val="20"/>
          <w:color w:val="auto"/>
        </w:rPr>
      </w:pPr>
    </w:p>
    <w:p>
      <w:pPr>
        <w:ind w:left="660" w:hanging="328"/>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 decrease of CHF 0.9 million for R&amp;D activities in our agreement with Lilly;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 decrease of CHF 0.2 million in our collaboration with Janssen.</w:t>
      </w:r>
    </w:p>
    <w:p>
      <w:pPr>
        <w:spacing w:after="0" w:line="225"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For the six months ended June 30, 2021, AC Immune generated no contract revenues compared with CHF 13.4 million for the comparable period in 2020. This represents a decrease of CHF 13.4 million. The following table summarizes our contract revenues during the six months ended June 30, 2021, and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For the Six Months</w:t>
            </w:r>
          </w:p>
        </w:tc>
        <w:tc>
          <w:tcPr>
            <w:tcW w:w="1340" w:type="dxa"/>
            <w:vAlign w:val="bottom"/>
          </w:tcPr>
          <w:p>
            <w:pPr>
              <w:spacing w:after="0"/>
              <w:rPr>
                <w:sz w:val="18"/>
                <w:szCs w:val="18"/>
                <w:color w:val="auto"/>
              </w:rPr>
            </w:pPr>
          </w:p>
        </w:tc>
      </w:tr>
      <w:tr>
        <w:trPr>
          <w:trHeight w:val="234"/>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Ended June 30,</w:t>
            </w:r>
          </w:p>
        </w:tc>
        <w:tc>
          <w:tcPr>
            <w:tcW w:w="1340" w:type="dxa"/>
            <w:vAlign w:val="bottom"/>
          </w:tcPr>
          <w:p>
            <w:pPr>
              <w:spacing w:after="0"/>
              <w:rPr>
                <w:sz w:val="20"/>
                <w:szCs w:val="20"/>
                <w:color w:val="auto"/>
              </w:rPr>
            </w:pPr>
          </w:p>
        </w:tc>
      </w:tr>
      <w:tr>
        <w:trPr>
          <w:trHeight w:val="223"/>
        </w:trPr>
        <w:tc>
          <w:tcPr>
            <w:tcW w:w="6980" w:type="dxa"/>
            <w:vAlign w:val="bottom"/>
            <w:gridSpan w:val="2"/>
          </w:tcPr>
          <w:p>
            <w:pPr>
              <w:ind w:left="2300"/>
              <w:spacing w:after="0"/>
              <w:rPr>
                <w:sz w:val="20"/>
                <w:szCs w:val="20"/>
                <w:color w:val="auto"/>
              </w:rPr>
            </w:pPr>
            <w:r>
              <w:rPr>
                <w:rFonts w:ascii="Arial" w:cs="Arial" w:eastAsia="Arial" w:hAnsi="Arial"/>
                <w:sz w:val="18"/>
                <w:szCs w:val="18"/>
                <w:b w:val="1"/>
                <w:bCs w:val="1"/>
                <w:color w:val="auto"/>
              </w:rPr>
              <w:t>in CHF thousands, unaudited</w:t>
            </w:r>
          </w:p>
        </w:tc>
        <w:tc>
          <w:tcPr>
            <w:tcW w:w="13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223"/>
        </w:trPr>
        <w:tc>
          <w:tcPr>
            <w:tcW w:w="686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Contract revenue</w:t>
            </w:r>
          </w:p>
        </w:tc>
        <w:tc>
          <w:tcPr>
            <w:tcW w:w="120" w:type="dxa"/>
            <w:vAlign w:val="bottom"/>
            <w:tcBorders>
              <w:top w:val="single" w:sz="8" w:color="D5EAEA"/>
            </w:tcBorders>
            <w:shd w:val="clear" w:color="auto" w:fill="D5EAEA"/>
          </w:tcPr>
          <w:p>
            <w:pPr>
              <w:spacing w:after="0"/>
              <w:rPr>
                <w:sz w:val="19"/>
                <w:szCs w:val="19"/>
                <w:color w:val="auto"/>
              </w:rPr>
            </w:pPr>
          </w:p>
        </w:tc>
        <w:tc>
          <w:tcPr>
            <w:tcW w:w="1380" w:type="dxa"/>
            <w:vAlign w:val="bottom"/>
            <w:tcBorders>
              <w:top w:val="single" w:sz="8" w:color="auto"/>
              <w:bottom w:val="single" w:sz="8" w:color="auto"/>
            </w:tcBorders>
            <w:shd w:val="clear" w:color="auto" w:fill="D5EAEA"/>
          </w:tcPr>
          <w:p>
            <w:pPr>
              <w:ind w:left="10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13,365</w:t>
            </w:r>
          </w:p>
        </w:tc>
        <w:tc>
          <w:tcPr>
            <w:tcW w:w="100" w:type="dxa"/>
            <w:vAlign w:val="bottom"/>
            <w:tcBorders>
              <w:top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(13,365)</w:t>
            </w: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Total revenues</w:t>
            </w:r>
          </w:p>
        </w:tc>
        <w:tc>
          <w:tcPr>
            <w:tcW w:w="138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13,365</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(13,365)</w:t>
            </w: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six months ended June 30, 2021, the CHF 13.4 million decrease compared with the prior period is predominantly related to:</w:t>
      </w:r>
    </w:p>
    <w:p>
      <w:pPr>
        <w:spacing w:after="0" w:line="225" w:lineRule="exact"/>
        <w:rPr>
          <w:sz w:val="20"/>
          <w:szCs w:val="20"/>
          <w:color w:val="auto"/>
        </w:rPr>
      </w:pPr>
    </w:p>
    <w:p>
      <w:pPr>
        <w:ind w:left="660" w:right="80" w:hanging="328"/>
        <w:spacing w:after="0" w:line="277" w:lineRule="auto"/>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 decrease of CHF 12.9 million in our agreement with Lilly. The Company recognized a CHF 10 million milestone as well as CHF 2.9 million for R&amp;D activities in 2020;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 decrease of CHF 0.4 million in our collaboration with Janssen.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Research and development (R&amp;D) activities are essential to our business and represent the majority of our costs incurred. Costs for certain development activities, such as clinical trials, are recognized based on an evaluation of the progress to completion of specific tasks using information from the clinical sites and our vendors. Our collaboration arrangements have different arrangements to share costs for the development of our product candidates.</w:t>
      </w:r>
    </w:p>
    <w:p>
      <w:pPr>
        <w:spacing w:after="0" w:line="187"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We have completed our R&amp;D spending in both of our Genentech collaborations. We and Janssen are co-developing second-generation therapeutic vaccines, ACI-35.030 and JACI-35.054, through Phase 1b/2a completion. AC Immune and Janssen will jointly share research and development costs until the completion of the first Phase 2b (AC Immune’s contribution to the first Phase 2b trial is capped). From Phase 2b and onwards, Janssen will assume responsibility for the clinical development, manufacturing and commercialization of the vaccines.</w:t>
      </w:r>
    </w:p>
    <w:p>
      <w:pPr>
        <w:spacing w:after="0" w:line="17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We expect to incur additional R&amp;D expenditures associated with the expansion of our Morphomer Tau program into NeuroOrphan indications as well as an expansion of ACI-3024 to be evaluated in other rare Tauopathies. We also intend to further characterize our preclinical candidates. In addition to these arrangements, we expect that our total future R&amp;D costs will continue to increase over current levels, in line with our three-pillar strategy that focuses on (i) AD, (ii) focused non-AD NDD including NeuroOrphan indications and (iii) diagnostics.</w:t>
      </w:r>
    </w:p>
    <w:p>
      <w:pPr>
        <w:spacing w:after="0" w:line="17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table below provides a breakdown of our R&amp;D costs, including direct R&amp;D costs, manufacturing costs related to R&amp;D and other R&amp;D costs not allocated directly to programs. The R&amp;D costs not allocated to specific programs include employment costs, regulatory, quality assurance and intellectual property (IP) costs. We do not assign our internal costs, such as salary and benefits, share-based compensation expenses, laboratory supplies, and other direct expenses and infrastructure costs to individual R&amp;D projects, because the employees within our R&amp;D groups are typically deployed across multiple research and development programs.</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9" w:name="page70"/>
    <w:bookmarkEnd w:id="69"/>
    <w:p>
      <w:pPr>
        <w:ind w:right="420" w:firstLine="324"/>
        <w:spacing w:after="0" w:line="263" w:lineRule="auto"/>
        <w:rPr>
          <w:sz w:val="20"/>
          <w:szCs w:val="20"/>
          <w:color w:val="auto"/>
        </w:rPr>
      </w:pPr>
      <w:r>
        <w:rPr>
          <w:rFonts w:ascii="Arial" w:cs="Arial" w:eastAsia="Arial" w:hAnsi="Arial"/>
          <w:sz w:val="18"/>
          <w:szCs w:val="18"/>
          <w:color w:val="auto"/>
        </w:rPr>
        <w:t>For the three months ended June 30, 2021, research and development expenses totaled CHF 13.7 million compared with CHF 12.8 million for the comparable period in 2020, respectively. This represents an increase of CHF 0.9 million. The following table presents the research and development expenses during the three months ended June 30, 2021 and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2"/>
              </w:rPr>
              <w:t>For the Three Months</w:t>
            </w:r>
          </w:p>
        </w:tc>
        <w:tc>
          <w:tcPr>
            <w:tcW w:w="1340" w:type="dxa"/>
            <w:vAlign w:val="bottom"/>
          </w:tcPr>
          <w:p>
            <w:pPr>
              <w:spacing w:after="0"/>
              <w:rPr>
                <w:sz w:val="18"/>
                <w:szCs w:val="18"/>
                <w:color w:val="auto"/>
              </w:rPr>
            </w:pPr>
          </w:p>
        </w:tc>
      </w:tr>
      <w:tr>
        <w:trPr>
          <w:trHeight w:val="234"/>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Ended June 30,</w:t>
            </w:r>
          </w:p>
        </w:tc>
        <w:tc>
          <w:tcPr>
            <w:tcW w:w="1340" w:type="dxa"/>
            <w:vAlign w:val="bottom"/>
          </w:tcPr>
          <w:p>
            <w:pPr>
              <w:spacing w:after="0"/>
              <w:rPr>
                <w:sz w:val="20"/>
                <w:szCs w:val="20"/>
                <w:color w:val="auto"/>
              </w:rPr>
            </w:pPr>
          </w:p>
        </w:tc>
      </w:tr>
      <w:tr>
        <w:trPr>
          <w:trHeight w:val="223"/>
        </w:trPr>
        <w:tc>
          <w:tcPr>
            <w:tcW w:w="6980" w:type="dxa"/>
            <w:vAlign w:val="bottom"/>
            <w:gridSpan w:val="2"/>
          </w:tcPr>
          <w:p>
            <w:pPr>
              <w:ind w:left="2300"/>
              <w:spacing w:after="0"/>
              <w:rPr>
                <w:sz w:val="20"/>
                <w:szCs w:val="20"/>
                <w:color w:val="auto"/>
              </w:rPr>
            </w:pPr>
            <w:r>
              <w:rPr>
                <w:rFonts w:ascii="Arial" w:cs="Arial" w:eastAsia="Arial" w:hAnsi="Arial"/>
                <w:sz w:val="18"/>
                <w:szCs w:val="18"/>
                <w:b w:val="1"/>
                <w:bCs w:val="1"/>
                <w:color w:val="auto"/>
              </w:rPr>
              <w:t>in CHF thousands, unaudited</w:t>
            </w:r>
          </w:p>
        </w:tc>
        <w:tc>
          <w:tcPr>
            <w:tcW w:w="13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209"/>
        </w:trPr>
        <w:tc>
          <w:tcPr>
            <w:tcW w:w="686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Discovery and preclinical expenses</w:t>
            </w:r>
          </w:p>
        </w:tc>
        <w:tc>
          <w:tcPr>
            <w:tcW w:w="12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4,932</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4,113</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819</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Clinical expenses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2,958</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3,553</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29"/>
        </w:trPr>
        <w:tc>
          <w:tcPr>
            <w:tcW w:w="69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Group function expenses</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(132)</w:t>
            </w:r>
          </w:p>
        </w:tc>
      </w:tr>
      <w:tr>
        <w:trPr>
          <w:trHeight w:val="263"/>
        </w:trPr>
        <w:tc>
          <w:tcPr>
            <w:tcW w:w="698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b w:val="1"/>
                <w:bCs w:val="1"/>
                <w:color w:val="auto"/>
              </w:rPr>
              <w:t>Total Direct R&amp;D</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8,031</w:t>
            </w:r>
          </w:p>
        </w:tc>
        <w:tc>
          <w:tcPr>
            <w:tcW w:w="100" w:type="dxa"/>
            <w:vAlign w:val="bottom"/>
            <w:tcBorders>
              <w:bottom w:val="single" w:sz="8" w:color="D5EAEA"/>
            </w:tcBorders>
          </w:tcPr>
          <w:p>
            <w:pPr>
              <w:spacing w:after="0"/>
              <w:rPr>
                <w:sz w:val="22"/>
                <w:szCs w:val="22"/>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7,939</w:t>
            </w:r>
          </w:p>
        </w:tc>
        <w:tc>
          <w:tcPr>
            <w:tcW w:w="100" w:type="dxa"/>
            <w:vAlign w:val="bottom"/>
            <w:tcBorders>
              <w:bottom w:val="single" w:sz="8" w:color="D5EAEA"/>
            </w:tcBorders>
          </w:tcPr>
          <w:p>
            <w:pPr>
              <w:spacing w:after="0"/>
              <w:rPr>
                <w:sz w:val="22"/>
                <w:szCs w:val="22"/>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w:t>
            </w:r>
          </w:p>
        </w:tc>
      </w:tr>
      <w:tr>
        <w:trPr>
          <w:trHeight w:val="197"/>
        </w:trPr>
        <w:tc>
          <w:tcPr>
            <w:tcW w:w="6980" w:type="dxa"/>
            <w:vAlign w:val="bottom"/>
            <w:gridSpan w:val="2"/>
            <w:shd w:val="clear" w:color="auto" w:fill="D5EAEA"/>
          </w:tcPr>
          <w:p>
            <w:pPr>
              <w:spacing w:after="0" w:line="196" w:lineRule="exact"/>
              <w:rPr>
                <w:sz w:val="20"/>
                <w:szCs w:val="20"/>
                <w:color w:val="auto"/>
              </w:rPr>
            </w:pPr>
            <w:r>
              <w:rPr>
                <w:rFonts w:ascii="Arial" w:cs="Arial" w:eastAsia="Arial" w:hAnsi="Arial"/>
                <w:sz w:val="18"/>
                <w:szCs w:val="18"/>
                <w:color w:val="auto"/>
              </w:rPr>
              <w:t>Payroll expenses</w:t>
            </w:r>
          </w:p>
        </w:tc>
        <w:tc>
          <w:tcPr>
            <w:tcW w:w="1380" w:type="dxa"/>
            <w:vAlign w:val="bottom"/>
            <w:shd w:val="clear" w:color="auto" w:fill="D5EAEA"/>
          </w:tcPr>
          <w:p>
            <w:pPr>
              <w:jc w:val="right"/>
              <w:ind w:right="30"/>
              <w:spacing w:after="0" w:line="196" w:lineRule="exact"/>
              <w:rPr>
                <w:sz w:val="20"/>
                <w:szCs w:val="20"/>
                <w:color w:val="auto"/>
              </w:rPr>
            </w:pPr>
            <w:r>
              <w:rPr>
                <w:rFonts w:ascii="Arial" w:cs="Arial" w:eastAsia="Arial" w:hAnsi="Arial"/>
                <w:sz w:val="18"/>
                <w:szCs w:val="18"/>
                <w:color w:val="auto"/>
              </w:rPr>
              <w:t>4,021</w:t>
            </w: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jc w:val="right"/>
              <w:ind w:right="30"/>
              <w:spacing w:after="0" w:line="196" w:lineRule="exact"/>
              <w:rPr>
                <w:sz w:val="20"/>
                <w:szCs w:val="20"/>
                <w:color w:val="auto"/>
              </w:rPr>
            </w:pPr>
            <w:r>
              <w:rPr>
                <w:rFonts w:ascii="Arial" w:cs="Arial" w:eastAsia="Arial" w:hAnsi="Arial"/>
                <w:sz w:val="18"/>
                <w:szCs w:val="18"/>
                <w:color w:val="auto"/>
              </w:rPr>
              <w:t>3,651</w:t>
            </w: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jc w:val="right"/>
              <w:ind w:right="10"/>
              <w:spacing w:after="0" w:line="196" w:lineRule="exact"/>
              <w:rPr>
                <w:sz w:val="20"/>
                <w:szCs w:val="20"/>
                <w:color w:val="auto"/>
              </w:rPr>
            </w:pPr>
            <w:r>
              <w:rPr>
                <w:rFonts w:ascii="Arial" w:cs="Arial" w:eastAsia="Arial" w:hAnsi="Arial"/>
                <w:sz w:val="18"/>
                <w:szCs w:val="18"/>
                <w:color w:val="auto"/>
              </w:rPr>
              <w:t>370</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Share-based compensation</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30"/>
        </w:trPr>
        <w:tc>
          <w:tcPr>
            <w:tcW w:w="69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Other non-allocated</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1,330</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430</w:t>
            </w: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Total R&amp;D</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13,710</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12,809</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901</w:t>
            </w: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For the Three Months</w:t>
            </w:r>
          </w:p>
        </w:tc>
        <w:tc>
          <w:tcPr>
            <w:tcW w:w="1340" w:type="dxa"/>
            <w:vAlign w:val="bottom"/>
          </w:tcPr>
          <w:p>
            <w:pPr>
              <w:spacing w:after="0"/>
              <w:rPr>
                <w:sz w:val="18"/>
                <w:szCs w:val="18"/>
                <w:color w:val="auto"/>
              </w:rPr>
            </w:pPr>
          </w:p>
        </w:tc>
      </w:tr>
      <w:tr>
        <w:trPr>
          <w:trHeight w:val="234"/>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Ended June 30,</w:t>
            </w:r>
          </w:p>
        </w:tc>
        <w:tc>
          <w:tcPr>
            <w:tcW w:w="1340" w:type="dxa"/>
            <w:vAlign w:val="bottom"/>
          </w:tcPr>
          <w:p>
            <w:pPr>
              <w:spacing w:after="0"/>
              <w:rPr>
                <w:sz w:val="20"/>
                <w:szCs w:val="20"/>
                <w:color w:val="auto"/>
              </w:rPr>
            </w:pPr>
          </w:p>
        </w:tc>
      </w:tr>
      <w:tr>
        <w:trPr>
          <w:trHeight w:val="223"/>
        </w:trPr>
        <w:tc>
          <w:tcPr>
            <w:tcW w:w="6980" w:type="dxa"/>
            <w:vAlign w:val="bottom"/>
            <w:gridSpan w:val="2"/>
          </w:tcPr>
          <w:p>
            <w:pPr>
              <w:ind w:left="2300"/>
              <w:spacing w:after="0"/>
              <w:rPr>
                <w:sz w:val="20"/>
                <w:szCs w:val="20"/>
                <w:color w:val="auto"/>
              </w:rPr>
            </w:pPr>
            <w:r>
              <w:rPr>
                <w:rFonts w:ascii="Arial" w:cs="Arial" w:eastAsia="Arial" w:hAnsi="Arial"/>
                <w:sz w:val="18"/>
                <w:szCs w:val="18"/>
                <w:b w:val="1"/>
                <w:bCs w:val="1"/>
                <w:color w:val="auto"/>
              </w:rPr>
              <w:t>in CHF thousands, unaudited</w:t>
            </w:r>
          </w:p>
        </w:tc>
        <w:tc>
          <w:tcPr>
            <w:tcW w:w="13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250"/>
        </w:trPr>
        <w:tc>
          <w:tcPr>
            <w:tcW w:w="6860" w:type="dxa"/>
            <w:vAlign w:val="bottom"/>
            <w:tcBorders>
              <w:top w:val="single" w:sz="8" w:color="auto"/>
            </w:tcBorders>
            <w:shd w:val="clear" w:color="auto" w:fill="D5EAEA"/>
          </w:tcPr>
          <w:p>
            <w:pPr>
              <w:spacing w:after="0" w:line="250" w:lineRule="exact"/>
              <w:rPr>
                <w:sz w:val="20"/>
                <w:szCs w:val="20"/>
                <w:color w:val="auto"/>
              </w:rPr>
            </w:pPr>
            <w:r>
              <w:rPr>
                <w:rFonts w:ascii="Arial" w:cs="Arial" w:eastAsia="Arial" w:hAnsi="Arial"/>
                <w:sz w:val="17"/>
                <w:szCs w:val="17"/>
                <w:color w:val="auto"/>
              </w:rPr>
              <w:t>Operating expenses</w:t>
            </w:r>
            <w:r>
              <w:rPr>
                <w:rFonts w:ascii="Arial" w:cs="Arial" w:eastAsia="Arial" w:hAnsi="Arial"/>
                <w:sz w:val="28"/>
                <w:szCs w:val="28"/>
                <w:color w:val="auto"/>
                <w:vertAlign w:val="superscript"/>
              </w:rPr>
              <w:t>1</w:t>
            </w:r>
          </w:p>
        </w:tc>
        <w:tc>
          <w:tcPr>
            <w:tcW w:w="120" w:type="dxa"/>
            <w:vAlign w:val="bottom"/>
            <w:tcBorders>
              <w:top w:val="single" w:sz="8" w:color="D5EAEA"/>
            </w:tcBorders>
            <w:shd w:val="clear" w:color="auto" w:fill="D5EAEA"/>
          </w:tcPr>
          <w:p>
            <w:pPr>
              <w:spacing w:after="0"/>
              <w:rPr>
                <w:sz w:val="21"/>
                <w:szCs w:val="21"/>
                <w:color w:val="auto"/>
              </w:rPr>
            </w:pPr>
          </w:p>
        </w:tc>
        <w:tc>
          <w:tcPr>
            <w:tcW w:w="138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9,361</w:t>
            </w:r>
          </w:p>
        </w:tc>
        <w:tc>
          <w:tcPr>
            <w:tcW w:w="100" w:type="dxa"/>
            <w:vAlign w:val="bottom"/>
            <w:tcBorders>
              <w:top w:val="single" w:sz="8" w:color="D5EAEA"/>
            </w:tcBorders>
            <w:shd w:val="clear" w:color="auto" w:fill="D5EAEA"/>
          </w:tcPr>
          <w:p>
            <w:pPr>
              <w:spacing w:after="0"/>
              <w:rPr>
                <w:sz w:val="21"/>
                <w:szCs w:val="21"/>
                <w:color w:val="auto"/>
              </w:rPr>
            </w:pPr>
          </w:p>
        </w:tc>
        <w:tc>
          <w:tcPr>
            <w:tcW w:w="13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8,839</w:t>
            </w:r>
          </w:p>
        </w:tc>
        <w:tc>
          <w:tcPr>
            <w:tcW w:w="100" w:type="dxa"/>
            <w:vAlign w:val="bottom"/>
            <w:tcBorders>
              <w:top w:val="single" w:sz="8" w:color="D5EAEA"/>
            </w:tcBorders>
            <w:shd w:val="clear" w:color="auto" w:fill="D5EAEA"/>
          </w:tcPr>
          <w:p>
            <w:pPr>
              <w:spacing w:after="0"/>
              <w:rPr>
                <w:sz w:val="21"/>
                <w:szCs w:val="21"/>
                <w:color w:val="auto"/>
              </w:rPr>
            </w:pPr>
          </w:p>
        </w:tc>
        <w:tc>
          <w:tcPr>
            <w:tcW w:w="134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522</w:t>
            </w:r>
          </w:p>
        </w:tc>
      </w:tr>
      <w:tr>
        <w:trPr>
          <w:trHeight w:val="270"/>
        </w:trPr>
        <w:tc>
          <w:tcPr>
            <w:tcW w:w="6980" w:type="dxa"/>
            <w:vAlign w:val="bottom"/>
            <w:tcBorders>
              <w:bottom w:val="single" w:sz="8" w:color="D5EAEA"/>
            </w:tcBorders>
            <w:gridSpan w:val="2"/>
          </w:tcPr>
          <w:p>
            <w:pPr>
              <w:spacing w:after="0" w:line="270" w:lineRule="exact"/>
              <w:rPr>
                <w:sz w:val="20"/>
                <w:szCs w:val="20"/>
                <w:color w:val="auto"/>
              </w:rPr>
            </w:pPr>
            <w:r>
              <w:rPr>
                <w:rFonts w:ascii="Arial" w:cs="Arial" w:eastAsia="Arial" w:hAnsi="Arial"/>
                <w:sz w:val="18"/>
                <w:szCs w:val="18"/>
                <w:color w:val="auto"/>
              </w:rPr>
              <w:t>Salaries and related costs</w:t>
            </w:r>
            <w:r>
              <w:rPr>
                <w:rFonts w:ascii="Arial" w:cs="Arial" w:eastAsia="Arial" w:hAnsi="Arial"/>
                <w:sz w:val="29"/>
                <w:szCs w:val="29"/>
                <w:color w:val="auto"/>
                <w:vertAlign w:val="superscript"/>
              </w:rPr>
              <w:t>2</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4,349</w:t>
            </w:r>
          </w:p>
        </w:tc>
        <w:tc>
          <w:tcPr>
            <w:tcW w:w="100" w:type="dxa"/>
            <w:vAlign w:val="bottom"/>
            <w:tcBorders>
              <w:bottom w:val="single" w:sz="8" w:color="D5EAEA"/>
            </w:tcBorders>
          </w:tcPr>
          <w:p>
            <w:pPr>
              <w:spacing w:after="0"/>
              <w:rPr>
                <w:sz w:val="23"/>
                <w:szCs w:val="23"/>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3,970</w:t>
            </w:r>
          </w:p>
        </w:tc>
        <w:tc>
          <w:tcPr>
            <w:tcW w:w="100" w:type="dxa"/>
            <w:vAlign w:val="bottom"/>
            <w:tcBorders>
              <w:bottom w:val="single" w:sz="8" w:color="D5EAEA"/>
            </w:tcBorders>
          </w:tcPr>
          <w:p>
            <w:pPr>
              <w:spacing w:after="0"/>
              <w:rPr>
                <w:sz w:val="23"/>
                <w:szCs w:val="23"/>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379</w:t>
            </w:r>
          </w:p>
        </w:tc>
      </w:tr>
      <w:tr>
        <w:trPr>
          <w:trHeight w:val="223"/>
        </w:trPr>
        <w:tc>
          <w:tcPr>
            <w:tcW w:w="698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Total R&amp;D expenses</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13,710</w:t>
            </w:r>
          </w:p>
        </w:tc>
        <w:tc>
          <w:tcPr>
            <w:tcW w:w="10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12,809</w:t>
            </w:r>
          </w:p>
        </w:tc>
        <w:tc>
          <w:tcPr>
            <w:tcW w:w="10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901</w:t>
            </w: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ind w:left="340" w:hanging="211"/>
        <w:spacing w:after="0" w:line="180" w:lineRule="auto"/>
        <w:tabs>
          <w:tab w:leader="none" w:pos="340" w:val="left"/>
        </w:tabs>
        <w:numPr>
          <w:ilvl w:val="0"/>
          <w:numId w:val="153"/>
        </w:numPr>
        <w:rPr>
          <w:rFonts w:ascii="Arial" w:cs="Arial" w:eastAsia="Arial" w:hAnsi="Arial"/>
          <w:sz w:val="25"/>
          <w:szCs w:val="25"/>
          <w:color w:val="auto"/>
          <w:vertAlign w:val="superscript"/>
        </w:rPr>
      </w:pPr>
      <w:r>
        <w:rPr>
          <w:rFonts w:ascii="Arial" w:cs="Arial" w:eastAsia="Arial" w:hAnsi="Arial"/>
          <w:sz w:val="15"/>
          <w:szCs w:val="15"/>
          <w:color w:val="auto"/>
        </w:rPr>
        <w:t>Includes depreciation expense</w:t>
      </w:r>
    </w:p>
    <w:p>
      <w:pPr>
        <w:spacing w:after="0" w:line="2" w:lineRule="exact"/>
        <w:rPr>
          <w:sz w:val="20"/>
          <w:szCs w:val="20"/>
          <w:color w:val="auto"/>
        </w:rPr>
      </w:pPr>
    </w:p>
    <w:p>
      <w:pPr>
        <w:ind w:right="7720" w:firstLine="129"/>
        <w:spacing w:after="0" w:line="449" w:lineRule="auto"/>
        <w:tabs>
          <w:tab w:leader="none" w:pos="337" w:val="left"/>
        </w:tabs>
        <w:numPr>
          <w:ilvl w:val="0"/>
          <w:numId w:val="154"/>
        </w:numPr>
        <w:rPr>
          <w:rFonts w:ascii="Arial" w:cs="Arial" w:eastAsia="Arial" w:hAnsi="Arial"/>
          <w:sz w:val="25"/>
          <w:szCs w:val="25"/>
          <w:color w:val="auto"/>
          <w:vertAlign w:val="superscript"/>
        </w:rPr>
      </w:pPr>
      <w:r>
        <w:rPr>
          <w:rFonts w:ascii="Arial" w:cs="Arial" w:eastAsia="Arial" w:hAnsi="Arial"/>
          <w:sz w:val="15"/>
          <w:szCs w:val="15"/>
          <w:color w:val="auto"/>
        </w:rPr>
        <w:t>Includes share-based compensation expense For the three months ended June 30, 2021:</w:t>
      </w:r>
    </w:p>
    <w:p>
      <w:pPr>
        <w:spacing w:after="0" w:line="1" w:lineRule="exact"/>
        <w:rPr>
          <w:rFonts w:ascii="Arial" w:cs="Arial" w:eastAsia="Arial" w:hAnsi="Arial"/>
          <w:sz w:val="25"/>
          <w:szCs w:val="25"/>
          <w:color w:val="auto"/>
          <w:vertAlign w:val="superscript"/>
        </w:rPr>
      </w:pPr>
    </w:p>
    <w:p>
      <w:pPr>
        <w:ind w:left="340"/>
        <w:spacing w:after="0"/>
        <w:rPr>
          <w:rFonts w:ascii="Arial" w:cs="Arial" w:eastAsia="Arial" w:hAnsi="Arial"/>
          <w:sz w:val="25"/>
          <w:szCs w:val="25"/>
          <w:color w:val="auto"/>
          <w:vertAlign w:val="superscript"/>
        </w:rPr>
      </w:pPr>
      <w:r>
        <w:rPr>
          <w:rFonts w:ascii="Arial" w:cs="Arial" w:eastAsia="Arial" w:hAnsi="Arial"/>
          <w:sz w:val="18"/>
          <w:szCs w:val="18"/>
          <w:color w:val="auto"/>
        </w:rPr>
        <w:t>Discovery and preclinical expenses increased by CHF 0.8 million, primarily due to:</w:t>
      </w:r>
    </w:p>
    <w:p>
      <w:pPr>
        <w:spacing w:after="0" w:line="225" w:lineRule="exact"/>
        <w:rPr>
          <w:sz w:val="20"/>
          <w:szCs w:val="20"/>
          <w:color w:val="auto"/>
        </w:rPr>
      </w:pPr>
    </w:p>
    <w:p>
      <w:pPr>
        <w:ind w:left="660" w:right="20" w:hanging="328"/>
        <w:spacing w:after="0" w:line="311" w:lineRule="auto"/>
        <w:tabs>
          <w:tab w:leader="none" w:pos="6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an increase of CHF 0.4 million for the expansion of our Morphomer Tau program into NeuroOrphan indications and the further characterization of our preclinical candidates, CHF 0.3 million for the development of our anti-TDP-43 antibody with the initiation of investigational new drug-enabling studies, CHF 0.2 million for development of our diagnostic imaging agents and CHF 0.2 million for other discovery programs,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This was partially offset by:</w:t>
      </w:r>
    </w:p>
    <w:p>
      <w:pPr>
        <w:spacing w:after="0" w:line="225" w:lineRule="exact"/>
        <w:rPr>
          <w:sz w:val="20"/>
          <w:szCs w:val="20"/>
          <w:color w:val="auto"/>
        </w:rPr>
      </w:pPr>
    </w:p>
    <w:p>
      <w:pPr>
        <w:ind w:left="660" w:right="300" w:hanging="328"/>
        <w:spacing w:after="0" w:line="277" w:lineRule="auto"/>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 decrease of CHF 0.2 million in ACI-35 due to the completion of the majority of the preclinical safety evaluation for JACI-35.054 in the prior period and CHF 0.1 million for certain a-syn projects.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Clinical expenses decreased by CHF 0.6 million, primarily due to:</w:t>
      </w:r>
    </w:p>
    <w:p>
      <w:pPr>
        <w:spacing w:after="0" w:line="225" w:lineRule="exact"/>
        <w:rPr>
          <w:sz w:val="20"/>
          <w:szCs w:val="20"/>
          <w:color w:val="auto"/>
        </w:rPr>
      </w:pPr>
    </w:p>
    <w:p>
      <w:pPr>
        <w:ind w:left="660" w:hanging="328"/>
        <w:spacing w:after="0" w:line="263" w:lineRule="auto"/>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 decrease of CHF 0.8 million for ACI-24 for DS as a result of prior period scaling up activities for a Phase 2 clinical trial which were not repeated in the current period, CHF 0.7 million for Phase 1 activities for our Morphomer Tau compound which completed in 2020 and CHF 0.2 million for ACI-24 for AD as the six-month safety period completes,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This was partially offset by:</w:t>
      </w:r>
    </w:p>
    <w:p>
      <w:pPr>
        <w:spacing w:after="0" w:line="225" w:lineRule="exact"/>
        <w:rPr>
          <w:sz w:val="20"/>
          <w:szCs w:val="20"/>
          <w:color w:val="auto"/>
        </w:rPr>
      </w:pPr>
    </w:p>
    <w:p>
      <w:pPr>
        <w:ind w:left="660" w:right="220" w:hanging="328"/>
        <w:spacing w:after="0" w:line="277" w:lineRule="auto"/>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 increase of CHF 0.9 million for the clinical development of ACI-35.030 driven by a scope expansion in the program and expenses associated with the R&amp;D cost sharing as well as CHF 0.2 million for our diagnostic imaging agents.</w:t>
      </w:r>
    </w:p>
    <w:p>
      <w:pPr>
        <w:spacing w:after="0" w:line="170" w:lineRule="exact"/>
        <w:rPr>
          <w:sz w:val="20"/>
          <w:szCs w:val="20"/>
          <w:color w:val="auto"/>
        </w:rPr>
      </w:pPr>
    </w:p>
    <w:p>
      <w:pPr>
        <w:ind w:right="520" w:firstLine="168"/>
        <w:spacing w:after="0" w:line="277" w:lineRule="auto"/>
        <w:rPr>
          <w:sz w:val="20"/>
          <w:szCs w:val="20"/>
          <w:color w:val="auto"/>
        </w:rPr>
      </w:pPr>
      <w:r>
        <w:rPr>
          <w:rFonts w:ascii="Arial" w:cs="Arial" w:eastAsia="Arial" w:hAnsi="Arial"/>
          <w:sz w:val="18"/>
          <w:szCs w:val="18"/>
          <w:color w:val="auto"/>
        </w:rPr>
        <w:t>The variances in Group function expenses relate to regulatory and quality assurance, IP and other non-allocated costs. The variances in Other non-allocated expenses relate to administrative R&amp;D and certain non-allocated functional expenses.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salaries and related costs increased by CHF 0.4 million, primarily due to:</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0" w:name="page71"/>
    <w:bookmarkEnd w:id="70"/>
    <w:p>
      <w:pPr>
        <w:ind w:left="660" w:right="160" w:hanging="328"/>
        <w:spacing w:after="0" w:line="277" w:lineRule="auto"/>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 increase in salary- and benefit-related costs of CHF 0.4 million primarily related to the internal reallocation of certain employees’ salaries and annualization of 2020 hires.</w:t>
      </w:r>
    </w:p>
    <w:p>
      <w:pPr>
        <w:spacing w:after="0" w:line="170"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For the six months ended June 30, 2021, research and development expenses totaled CHF 27.0 million compared with CHF 28.0 million for the comparable period in 2020. This represents a decrease of CHF 1.0 million. The following table presents the research and development expenses during the six months ended June 30, 2021 and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2"/>
              </w:rPr>
              <w:t>For the Six Months</w:t>
            </w:r>
          </w:p>
        </w:tc>
        <w:tc>
          <w:tcPr>
            <w:tcW w:w="1340" w:type="dxa"/>
            <w:vAlign w:val="bottom"/>
          </w:tcPr>
          <w:p>
            <w:pPr>
              <w:spacing w:after="0"/>
              <w:rPr>
                <w:sz w:val="18"/>
                <w:szCs w:val="18"/>
                <w:color w:val="auto"/>
              </w:rPr>
            </w:pPr>
          </w:p>
        </w:tc>
      </w:tr>
      <w:tr>
        <w:trPr>
          <w:trHeight w:val="234"/>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Ended June 30,</w:t>
            </w:r>
          </w:p>
        </w:tc>
        <w:tc>
          <w:tcPr>
            <w:tcW w:w="1340" w:type="dxa"/>
            <w:vAlign w:val="bottom"/>
          </w:tcPr>
          <w:p>
            <w:pPr>
              <w:spacing w:after="0"/>
              <w:rPr>
                <w:sz w:val="20"/>
                <w:szCs w:val="20"/>
                <w:color w:val="auto"/>
              </w:rPr>
            </w:pPr>
          </w:p>
        </w:tc>
      </w:tr>
      <w:tr>
        <w:trPr>
          <w:trHeight w:val="223"/>
        </w:trPr>
        <w:tc>
          <w:tcPr>
            <w:tcW w:w="6980" w:type="dxa"/>
            <w:vAlign w:val="bottom"/>
            <w:gridSpan w:val="2"/>
          </w:tcPr>
          <w:p>
            <w:pPr>
              <w:ind w:left="2300"/>
              <w:spacing w:after="0"/>
              <w:rPr>
                <w:sz w:val="20"/>
                <w:szCs w:val="20"/>
                <w:color w:val="auto"/>
              </w:rPr>
            </w:pPr>
            <w:r>
              <w:rPr>
                <w:rFonts w:ascii="Arial" w:cs="Arial" w:eastAsia="Arial" w:hAnsi="Arial"/>
                <w:sz w:val="18"/>
                <w:szCs w:val="18"/>
                <w:b w:val="1"/>
                <w:bCs w:val="1"/>
                <w:color w:val="auto"/>
              </w:rPr>
              <w:t>in CHF thousands, unaudited</w:t>
            </w:r>
          </w:p>
        </w:tc>
        <w:tc>
          <w:tcPr>
            <w:tcW w:w="13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209"/>
        </w:trPr>
        <w:tc>
          <w:tcPr>
            <w:tcW w:w="686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Discovery and preclinical expenses</w:t>
            </w:r>
          </w:p>
        </w:tc>
        <w:tc>
          <w:tcPr>
            <w:tcW w:w="12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9,812</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7,813</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1,999</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Clinical expenses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5,162</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9,865</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(4,703)</w:t>
            </w:r>
          </w:p>
        </w:tc>
      </w:tr>
      <w:tr>
        <w:trPr>
          <w:trHeight w:val="229"/>
        </w:trPr>
        <w:tc>
          <w:tcPr>
            <w:tcW w:w="69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Group function expenses</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41</w:t>
            </w:r>
          </w:p>
        </w:tc>
      </w:tr>
      <w:tr>
        <w:trPr>
          <w:trHeight w:val="263"/>
        </w:trPr>
        <w:tc>
          <w:tcPr>
            <w:tcW w:w="698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b w:val="1"/>
                <w:bCs w:val="1"/>
                <w:color w:val="auto"/>
              </w:rPr>
              <w:t>Total Direct R&amp;D</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15,400</w:t>
            </w:r>
          </w:p>
        </w:tc>
        <w:tc>
          <w:tcPr>
            <w:tcW w:w="100" w:type="dxa"/>
            <w:vAlign w:val="bottom"/>
            <w:tcBorders>
              <w:bottom w:val="single" w:sz="8" w:color="D5EAEA"/>
            </w:tcBorders>
          </w:tcPr>
          <w:p>
            <w:pPr>
              <w:spacing w:after="0"/>
              <w:rPr>
                <w:sz w:val="22"/>
                <w:szCs w:val="22"/>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18,063</w:t>
            </w:r>
          </w:p>
        </w:tc>
        <w:tc>
          <w:tcPr>
            <w:tcW w:w="100" w:type="dxa"/>
            <w:vAlign w:val="bottom"/>
            <w:tcBorders>
              <w:bottom w:val="single" w:sz="8" w:color="D5EAEA"/>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(2,663)</w:t>
            </w:r>
          </w:p>
        </w:tc>
      </w:tr>
      <w:tr>
        <w:trPr>
          <w:trHeight w:val="197"/>
        </w:trPr>
        <w:tc>
          <w:tcPr>
            <w:tcW w:w="6980" w:type="dxa"/>
            <w:vAlign w:val="bottom"/>
            <w:gridSpan w:val="2"/>
            <w:shd w:val="clear" w:color="auto" w:fill="D5EAEA"/>
          </w:tcPr>
          <w:p>
            <w:pPr>
              <w:spacing w:after="0" w:line="196" w:lineRule="exact"/>
              <w:rPr>
                <w:sz w:val="20"/>
                <w:szCs w:val="20"/>
                <w:color w:val="auto"/>
              </w:rPr>
            </w:pPr>
            <w:r>
              <w:rPr>
                <w:rFonts w:ascii="Arial" w:cs="Arial" w:eastAsia="Arial" w:hAnsi="Arial"/>
                <w:sz w:val="18"/>
                <w:szCs w:val="18"/>
                <w:color w:val="auto"/>
              </w:rPr>
              <w:t>Payroll expenses</w:t>
            </w:r>
          </w:p>
        </w:tc>
        <w:tc>
          <w:tcPr>
            <w:tcW w:w="1380" w:type="dxa"/>
            <w:vAlign w:val="bottom"/>
            <w:shd w:val="clear" w:color="auto" w:fill="D5EAEA"/>
          </w:tcPr>
          <w:p>
            <w:pPr>
              <w:jc w:val="right"/>
              <w:ind w:right="30"/>
              <w:spacing w:after="0" w:line="196" w:lineRule="exact"/>
              <w:rPr>
                <w:sz w:val="20"/>
                <w:szCs w:val="20"/>
                <w:color w:val="auto"/>
              </w:rPr>
            </w:pPr>
            <w:r>
              <w:rPr>
                <w:rFonts w:ascii="Arial" w:cs="Arial" w:eastAsia="Arial" w:hAnsi="Arial"/>
                <w:sz w:val="18"/>
                <w:szCs w:val="18"/>
                <w:color w:val="auto"/>
              </w:rPr>
              <w:t>8,521</w:t>
            </w: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jc w:val="right"/>
              <w:ind w:right="30"/>
              <w:spacing w:after="0" w:line="196" w:lineRule="exact"/>
              <w:rPr>
                <w:sz w:val="20"/>
                <w:szCs w:val="20"/>
                <w:color w:val="auto"/>
              </w:rPr>
            </w:pPr>
            <w:r>
              <w:rPr>
                <w:rFonts w:ascii="Arial" w:cs="Arial" w:eastAsia="Arial" w:hAnsi="Arial"/>
                <w:sz w:val="18"/>
                <w:szCs w:val="18"/>
                <w:color w:val="auto"/>
              </w:rPr>
              <w:t>7,110</w:t>
            </w: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jc w:val="right"/>
              <w:ind w:right="10"/>
              <w:spacing w:after="0" w:line="196" w:lineRule="exact"/>
              <w:rPr>
                <w:sz w:val="20"/>
                <w:szCs w:val="20"/>
                <w:color w:val="auto"/>
              </w:rPr>
            </w:pPr>
            <w:r>
              <w:rPr>
                <w:rFonts w:ascii="Arial" w:cs="Arial" w:eastAsia="Arial" w:hAnsi="Arial"/>
                <w:sz w:val="18"/>
                <w:szCs w:val="18"/>
                <w:color w:val="auto"/>
              </w:rPr>
              <w:t>1,411</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Share-based compensation</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29"/>
        </w:trPr>
        <w:tc>
          <w:tcPr>
            <w:tcW w:w="69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Other non-allocated</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2,475</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2,222</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253</w:t>
            </w: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Total R&amp;D</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27,040</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28,018</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w:t>
            </w: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For the Six Months</w:t>
            </w:r>
          </w:p>
        </w:tc>
        <w:tc>
          <w:tcPr>
            <w:tcW w:w="1340" w:type="dxa"/>
            <w:vAlign w:val="bottom"/>
          </w:tcPr>
          <w:p>
            <w:pPr>
              <w:spacing w:after="0"/>
              <w:rPr>
                <w:sz w:val="18"/>
                <w:szCs w:val="18"/>
                <w:color w:val="auto"/>
              </w:rPr>
            </w:pPr>
          </w:p>
        </w:tc>
      </w:tr>
      <w:tr>
        <w:trPr>
          <w:trHeight w:val="234"/>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Ended June 30,</w:t>
            </w:r>
          </w:p>
        </w:tc>
        <w:tc>
          <w:tcPr>
            <w:tcW w:w="1340" w:type="dxa"/>
            <w:vAlign w:val="bottom"/>
          </w:tcPr>
          <w:p>
            <w:pPr>
              <w:spacing w:after="0"/>
              <w:rPr>
                <w:sz w:val="20"/>
                <w:szCs w:val="20"/>
                <w:color w:val="auto"/>
              </w:rPr>
            </w:pPr>
          </w:p>
        </w:tc>
      </w:tr>
      <w:tr>
        <w:trPr>
          <w:trHeight w:val="223"/>
        </w:trPr>
        <w:tc>
          <w:tcPr>
            <w:tcW w:w="6980" w:type="dxa"/>
            <w:vAlign w:val="bottom"/>
            <w:gridSpan w:val="2"/>
          </w:tcPr>
          <w:p>
            <w:pPr>
              <w:ind w:left="2300"/>
              <w:spacing w:after="0"/>
              <w:rPr>
                <w:sz w:val="20"/>
                <w:szCs w:val="20"/>
                <w:color w:val="auto"/>
              </w:rPr>
            </w:pPr>
            <w:r>
              <w:rPr>
                <w:rFonts w:ascii="Arial" w:cs="Arial" w:eastAsia="Arial" w:hAnsi="Arial"/>
                <w:sz w:val="18"/>
                <w:szCs w:val="18"/>
                <w:b w:val="1"/>
                <w:bCs w:val="1"/>
                <w:color w:val="auto"/>
              </w:rPr>
              <w:t>in CHF thousands, unaudited</w:t>
            </w:r>
          </w:p>
        </w:tc>
        <w:tc>
          <w:tcPr>
            <w:tcW w:w="13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250"/>
        </w:trPr>
        <w:tc>
          <w:tcPr>
            <w:tcW w:w="6860" w:type="dxa"/>
            <w:vAlign w:val="bottom"/>
            <w:tcBorders>
              <w:top w:val="single" w:sz="8" w:color="auto"/>
            </w:tcBorders>
            <w:shd w:val="clear" w:color="auto" w:fill="D5EAEA"/>
          </w:tcPr>
          <w:p>
            <w:pPr>
              <w:spacing w:after="0" w:line="250" w:lineRule="exact"/>
              <w:rPr>
                <w:sz w:val="20"/>
                <w:szCs w:val="20"/>
                <w:color w:val="auto"/>
              </w:rPr>
            </w:pPr>
            <w:r>
              <w:rPr>
                <w:rFonts w:ascii="Arial" w:cs="Arial" w:eastAsia="Arial" w:hAnsi="Arial"/>
                <w:sz w:val="17"/>
                <w:szCs w:val="17"/>
                <w:color w:val="auto"/>
              </w:rPr>
              <w:t>Operating expenses</w:t>
            </w:r>
            <w:r>
              <w:rPr>
                <w:rFonts w:ascii="Arial" w:cs="Arial" w:eastAsia="Arial" w:hAnsi="Arial"/>
                <w:sz w:val="28"/>
                <w:szCs w:val="28"/>
                <w:color w:val="auto"/>
                <w:vertAlign w:val="superscript"/>
              </w:rPr>
              <w:t>1</w:t>
            </w:r>
          </w:p>
        </w:tc>
        <w:tc>
          <w:tcPr>
            <w:tcW w:w="120" w:type="dxa"/>
            <w:vAlign w:val="bottom"/>
            <w:tcBorders>
              <w:top w:val="single" w:sz="8" w:color="D5EAEA"/>
            </w:tcBorders>
            <w:shd w:val="clear" w:color="auto" w:fill="D5EAEA"/>
          </w:tcPr>
          <w:p>
            <w:pPr>
              <w:spacing w:after="0"/>
              <w:rPr>
                <w:sz w:val="21"/>
                <w:szCs w:val="21"/>
                <w:color w:val="auto"/>
              </w:rPr>
            </w:pPr>
          </w:p>
        </w:tc>
        <w:tc>
          <w:tcPr>
            <w:tcW w:w="138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17,875</w:t>
            </w:r>
          </w:p>
        </w:tc>
        <w:tc>
          <w:tcPr>
            <w:tcW w:w="100" w:type="dxa"/>
            <w:vAlign w:val="bottom"/>
            <w:tcBorders>
              <w:top w:val="single" w:sz="8" w:color="D5EAEA"/>
            </w:tcBorders>
            <w:shd w:val="clear" w:color="auto" w:fill="D5EAEA"/>
          </w:tcPr>
          <w:p>
            <w:pPr>
              <w:spacing w:after="0"/>
              <w:rPr>
                <w:sz w:val="21"/>
                <w:szCs w:val="21"/>
                <w:color w:val="auto"/>
              </w:rPr>
            </w:pPr>
          </w:p>
        </w:tc>
        <w:tc>
          <w:tcPr>
            <w:tcW w:w="13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20,285</w:t>
            </w:r>
          </w:p>
        </w:tc>
        <w:tc>
          <w:tcPr>
            <w:tcW w:w="100" w:type="dxa"/>
            <w:vAlign w:val="bottom"/>
            <w:tcBorders>
              <w:top w:val="single" w:sz="8" w:color="D5EAEA"/>
            </w:tcBorders>
            <w:shd w:val="clear" w:color="auto" w:fill="D5EAEA"/>
          </w:tcPr>
          <w:p>
            <w:pPr>
              <w:spacing w:after="0"/>
              <w:rPr>
                <w:sz w:val="21"/>
                <w:szCs w:val="21"/>
                <w:color w:val="auto"/>
              </w:rPr>
            </w:pPr>
          </w:p>
        </w:tc>
        <w:tc>
          <w:tcPr>
            <w:tcW w:w="13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(2,410)</w:t>
            </w:r>
          </w:p>
        </w:tc>
      </w:tr>
      <w:tr>
        <w:trPr>
          <w:trHeight w:val="270"/>
        </w:trPr>
        <w:tc>
          <w:tcPr>
            <w:tcW w:w="6980" w:type="dxa"/>
            <w:vAlign w:val="bottom"/>
            <w:tcBorders>
              <w:bottom w:val="single" w:sz="8" w:color="D5EAEA"/>
            </w:tcBorders>
            <w:gridSpan w:val="2"/>
          </w:tcPr>
          <w:p>
            <w:pPr>
              <w:spacing w:after="0" w:line="270" w:lineRule="exact"/>
              <w:rPr>
                <w:sz w:val="20"/>
                <w:szCs w:val="20"/>
                <w:color w:val="auto"/>
              </w:rPr>
            </w:pPr>
            <w:r>
              <w:rPr>
                <w:rFonts w:ascii="Arial" w:cs="Arial" w:eastAsia="Arial" w:hAnsi="Arial"/>
                <w:sz w:val="18"/>
                <w:szCs w:val="18"/>
                <w:color w:val="auto"/>
              </w:rPr>
              <w:t>Salaries and related costs</w:t>
            </w:r>
            <w:r>
              <w:rPr>
                <w:rFonts w:ascii="Arial" w:cs="Arial" w:eastAsia="Arial" w:hAnsi="Arial"/>
                <w:sz w:val="29"/>
                <w:szCs w:val="29"/>
                <w:color w:val="auto"/>
                <w:vertAlign w:val="superscript"/>
              </w:rPr>
              <w:t>2</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9,165</w:t>
            </w:r>
          </w:p>
        </w:tc>
        <w:tc>
          <w:tcPr>
            <w:tcW w:w="100" w:type="dxa"/>
            <w:vAlign w:val="bottom"/>
            <w:tcBorders>
              <w:bottom w:val="single" w:sz="8" w:color="D5EAEA"/>
            </w:tcBorders>
          </w:tcPr>
          <w:p>
            <w:pPr>
              <w:spacing w:after="0"/>
              <w:rPr>
                <w:sz w:val="23"/>
                <w:szCs w:val="23"/>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7,733</w:t>
            </w:r>
          </w:p>
        </w:tc>
        <w:tc>
          <w:tcPr>
            <w:tcW w:w="100" w:type="dxa"/>
            <w:vAlign w:val="bottom"/>
            <w:tcBorders>
              <w:bottom w:val="single" w:sz="8" w:color="D5EAEA"/>
            </w:tcBorders>
          </w:tcPr>
          <w:p>
            <w:pPr>
              <w:spacing w:after="0"/>
              <w:rPr>
                <w:sz w:val="23"/>
                <w:szCs w:val="23"/>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1,432</w:t>
            </w:r>
          </w:p>
        </w:tc>
      </w:tr>
      <w:tr>
        <w:trPr>
          <w:trHeight w:val="223"/>
        </w:trPr>
        <w:tc>
          <w:tcPr>
            <w:tcW w:w="698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Total R&amp;D expenses</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27,040</w:t>
            </w:r>
          </w:p>
        </w:tc>
        <w:tc>
          <w:tcPr>
            <w:tcW w:w="10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28,018</w:t>
            </w:r>
          </w:p>
        </w:tc>
        <w:tc>
          <w:tcPr>
            <w:tcW w:w="10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(978)</w:t>
            </w: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ind w:left="340" w:hanging="211"/>
        <w:spacing w:after="0" w:line="180" w:lineRule="auto"/>
        <w:tabs>
          <w:tab w:leader="none" w:pos="340" w:val="left"/>
        </w:tabs>
        <w:numPr>
          <w:ilvl w:val="0"/>
          <w:numId w:val="160"/>
        </w:numPr>
        <w:rPr>
          <w:rFonts w:ascii="Arial" w:cs="Arial" w:eastAsia="Arial" w:hAnsi="Arial"/>
          <w:sz w:val="25"/>
          <w:szCs w:val="25"/>
          <w:color w:val="auto"/>
          <w:vertAlign w:val="superscript"/>
        </w:rPr>
      </w:pPr>
      <w:r>
        <w:rPr>
          <w:rFonts w:ascii="Arial" w:cs="Arial" w:eastAsia="Arial" w:hAnsi="Arial"/>
          <w:sz w:val="15"/>
          <w:szCs w:val="15"/>
          <w:color w:val="auto"/>
        </w:rPr>
        <w:t>Includes depreciation expense</w:t>
      </w:r>
    </w:p>
    <w:p>
      <w:pPr>
        <w:spacing w:after="0" w:line="2" w:lineRule="exact"/>
        <w:rPr>
          <w:sz w:val="20"/>
          <w:szCs w:val="20"/>
          <w:color w:val="auto"/>
        </w:rPr>
      </w:pPr>
    </w:p>
    <w:p>
      <w:pPr>
        <w:ind w:right="7720" w:firstLine="129"/>
        <w:spacing w:after="0" w:line="449" w:lineRule="auto"/>
        <w:tabs>
          <w:tab w:leader="none" w:pos="337" w:val="left"/>
        </w:tabs>
        <w:numPr>
          <w:ilvl w:val="0"/>
          <w:numId w:val="161"/>
        </w:numPr>
        <w:rPr>
          <w:rFonts w:ascii="Arial" w:cs="Arial" w:eastAsia="Arial" w:hAnsi="Arial"/>
          <w:sz w:val="25"/>
          <w:szCs w:val="25"/>
          <w:color w:val="auto"/>
          <w:vertAlign w:val="superscript"/>
        </w:rPr>
      </w:pPr>
      <w:r>
        <w:rPr>
          <w:rFonts w:ascii="Arial" w:cs="Arial" w:eastAsia="Arial" w:hAnsi="Arial"/>
          <w:sz w:val="15"/>
          <w:szCs w:val="15"/>
          <w:color w:val="auto"/>
        </w:rPr>
        <w:t>Includes share-based compensation expense For the six months ended June 30, 2021:</w:t>
      </w:r>
    </w:p>
    <w:p>
      <w:pPr>
        <w:spacing w:after="0" w:line="1" w:lineRule="exact"/>
        <w:rPr>
          <w:rFonts w:ascii="Arial" w:cs="Arial" w:eastAsia="Arial" w:hAnsi="Arial"/>
          <w:sz w:val="25"/>
          <w:szCs w:val="25"/>
          <w:color w:val="auto"/>
          <w:vertAlign w:val="superscript"/>
        </w:rPr>
      </w:pPr>
    </w:p>
    <w:p>
      <w:pPr>
        <w:ind w:left="340"/>
        <w:spacing w:after="0"/>
        <w:rPr>
          <w:rFonts w:ascii="Arial" w:cs="Arial" w:eastAsia="Arial" w:hAnsi="Arial"/>
          <w:sz w:val="25"/>
          <w:szCs w:val="25"/>
          <w:color w:val="auto"/>
          <w:vertAlign w:val="superscript"/>
        </w:rPr>
      </w:pPr>
      <w:r>
        <w:rPr>
          <w:rFonts w:ascii="Arial" w:cs="Arial" w:eastAsia="Arial" w:hAnsi="Arial"/>
          <w:sz w:val="18"/>
          <w:szCs w:val="18"/>
          <w:color w:val="auto"/>
        </w:rPr>
        <w:t>Discovery and preclinical expenses increased by CHF 2.0 million, primarily due to:</w:t>
      </w:r>
    </w:p>
    <w:p>
      <w:pPr>
        <w:spacing w:after="0" w:line="225" w:lineRule="exact"/>
        <w:rPr>
          <w:rFonts w:ascii="Arial" w:cs="Arial" w:eastAsia="Arial" w:hAnsi="Arial"/>
          <w:sz w:val="25"/>
          <w:szCs w:val="25"/>
          <w:color w:val="auto"/>
          <w:vertAlign w:val="superscript"/>
        </w:rPr>
      </w:pPr>
    </w:p>
    <w:p>
      <w:pPr>
        <w:ind w:left="660" w:hanging="328"/>
        <w:spacing w:after="0" w:line="257" w:lineRule="auto"/>
        <w:tabs>
          <w:tab w:leader="none" w:pos="66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an increase of CHF 0.7 million for the expansion of our Morphomer Tau program into NeuroOrphan indications and the further characterization of our preclinical candidates, CHF 0.6 million for the development of our anti-TDP-43 antibody with the initiation of investigational new drug-enabling studies, CHF 0.5 million in ACI-24 for DS for development costs associated with the optimized vaccine formulation, CHF 0.2 million for certain neuroinflammation investments, CHF 0.2 million for development of our diagnostic imaging agents, and CHF 0.6 million for other discovery programs,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This was partially offset by:</w:t>
      </w:r>
    </w:p>
    <w:p>
      <w:pPr>
        <w:spacing w:after="0" w:line="225" w:lineRule="exact"/>
        <w:rPr>
          <w:sz w:val="20"/>
          <w:szCs w:val="20"/>
          <w:color w:val="auto"/>
        </w:rPr>
      </w:pPr>
    </w:p>
    <w:p>
      <w:pPr>
        <w:ind w:left="660" w:right="180" w:hanging="328"/>
        <w:spacing w:after="0" w:line="277" w:lineRule="auto"/>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 decrease of CHF 0.5 million in ACI-24 for AD based on completion of manufacturing process development and CHF 0.3 million for certain a-syn projects.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Clinical expenses decreased by CHF 4.7 million, primarily due to:</w:t>
      </w:r>
    </w:p>
    <w:p>
      <w:pPr>
        <w:spacing w:after="0" w:line="225" w:lineRule="exact"/>
        <w:rPr>
          <w:sz w:val="20"/>
          <w:szCs w:val="20"/>
          <w:color w:val="auto"/>
        </w:rPr>
      </w:pPr>
    </w:p>
    <w:p>
      <w:pPr>
        <w:ind w:left="660" w:right="60" w:hanging="328"/>
        <w:spacing w:after="0" w:line="263" w:lineRule="auto"/>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 decrease of CHF 2.5 million for Phase 1 activities for our Morphomer Tau compound which completed in 2020, CHF 1.8 million for ACI-24 for DS as a result of prior period scaling up activities for a Phase 2 clinical trial which were not repeated in the current period, CHF 0.8 million for ACI-24 for AD as the six-month safety period completes,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This was partially offset by:</w:t>
      </w:r>
    </w:p>
    <w:p>
      <w:pPr>
        <w:spacing w:after="0" w:line="225" w:lineRule="exact"/>
        <w:rPr>
          <w:sz w:val="20"/>
          <w:szCs w:val="20"/>
          <w:color w:val="auto"/>
        </w:rPr>
      </w:pPr>
    </w:p>
    <w:p>
      <w:pPr>
        <w:ind w:left="660" w:right="60" w:hanging="328"/>
        <w:spacing w:after="0" w:line="277" w:lineRule="auto"/>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 increase of CHF 0.1 million for ACI-35.030 driven by a scope expansion in the program and expenses associated with the R&amp;D cost sharing as well as a CHF 0.3 million increase for development of our diagnostic imaging agents.</w:t>
      </w:r>
    </w:p>
    <w:p>
      <w:pPr>
        <w:spacing w:after="0" w:line="170" w:lineRule="exact"/>
        <w:rPr>
          <w:sz w:val="20"/>
          <w:szCs w:val="20"/>
          <w:color w:val="auto"/>
        </w:rPr>
      </w:pPr>
    </w:p>
    <w:p>
      <w:pPr>
        <w:ind w:right="520" w:firstLine="168"/>
        <w:spacing w:after="0" w:line="277" w:lineRule="auto"/>
        <w:rPr>
          <w:sz w:val="20"/>
          <w:szCs w:val="20"/>
          <w:color w:val="auto"/>
        </w:rPr>
      </w:pPr>
      <w:r>
        <w:rPr>
          <w:rFonts w:ascii="Arial" w:cs="Arial" w:eastAsia="Arial" w:hAnsi="Arial"/>
          <w:sz w:val="18"/>
          <w:szCs w:val="18"/>
          <w:color w:val="auto"/>
        </w:rPr>
        <w:t>The variances in Group function expenses relate to regulatory and quality assurance, IP and other non-allocated costs. The variances in Other non-allocated expenses relate to administrative R&amp;D and certain non-allocated functional expenses.</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1" w:name="page72"/>
    <w:bookmarkEnd w:id="71"/>
    <w:p>
      <w:pPr>
        <w:ind w:left="180"/>
        <w:spacing w:after="0"/>
        <w:rPr>
          <w:sz w:val="20"/>
          <w:szCs w:val="20"/>
          <w:color w:val="auto"/>
        </w:rPr>
      </w:pPr>
      <w:r>
        <w:rPr>
          <w:rFonts w:ascii="Arial" w:cs="Arial" w:eastAsia="Arial" w:hAnsi="Arial"/>
          <w:sz w:val="18"/>
          <w:szCs w:val="18"/>
          <w:color w:val="auto"/>
        </w:rPr>
        <w:t>Total salaries and related costs increased by CHF 1.4 million, primarily due to:</w:t>
      </w:r>
    </w:p>
    <w:p>
      <w:pPr>
        <w:spacing w:after="0" w:line="225" w:lineRule="exact"/>
        <w:rPr>
          <w:sz w:val="20"/>
          <w:szCs w:val="20"/>
          <w:color w:val="auto"/>
        </w:rPr>
      </w:pPr>
    </w:p>
    <w:p>
      <w:pPr>
        <w:ind w:left="660" w:right="160" w:hanging="328"/>
        <w:spacing w:after="0" w:line="277" w:lineRule="auto"/>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 increase in salary- and benefit-related costs of CHF 1.4 million primarily related to the internal reallocation of certain employees’ salaries and annualization of 2020 hires.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General and administrative expenses consist primarily of salaries and related costs, including share-based compensation, professional fees such as legal and accounting related services, infrastructure expenses, and other operating expenses.</w:t>
      </w:r>
    </w:p>
    <w:p>
      <w:pPr>
        <w:spacing w:after="0" w:line="170" w:lineRule="exact"/>
        <w:rPr>
          <w:sz w:val="20"/>
          <w:szCs w:val="20"/>
          <w:color w:val="auto"/>
        </w:rPr>
      </w:pPr>
    </w:p>
    <w:p>
      <w:pPr>
        <w:jc w:val="both"/>
        <w:ind w:right="540" w:firstLine="324"/>
        <w:spacing w:after="0" w:line="263" w:lineRule="auto"/>
        <w:rPr>
          <w:sz w:val="20"/>
          <w:szCs w:val="20"/>
          <w:color w:val="auto"/>
        </w:rPr>
      </w:pPr>
      <w:r>
        <w:rPr>
          <w:rFonts w:ascii="Arial" w:cs="Arial" w:eastAsia="Arial" w:hAnsi="Arial"/>
          <w:sz w:val="18"/>
          <w:szCs w:val="18"/>
          <w:color w:val="auto"/>
        </w:rPr>
        <w:t>For the three months ended June 30, 2021, general and administrative expenses totaled CHF 5.2 million compared with CHF 4.2 million for the comparable period in 2020, respectively. This represents an increase of CHF 1.0 million. The following table presents the general and administrative expenses during the three months ended June 30, 2021 and 2020:</w:t>
      </w:r>
    </w:p>
    <w:p>
      <w:pPr>
        <w:sectPr>
          <w:pgSz w:w="11900" w:h="16838" w:orient="portrait"/>
          <w:cols w:equalWidth="0" w:num="1">
            <w:col w:w="11240"/>
          </w:cols>
          <w:pgMar w:left="320" w:top="5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600"/>
        <w:spacing w:after="0"/>
        <w:rPr>
          <w:sz w:val="20"/>
          <w:szCs w:val="20"/>
          <w:color w:val="auto"/>
        </w:rPr>
      </w:pPr>
      <w:r>
        <w:rPr>
          <w:rFonts w:ascii="Arial" w:cs="Arial" w:eastAsia="Arial" w:hAnsi="Arial"/>
          <w:sz w:val="18"/>
          <w:szCs w:val="18"/>
          <w:b w:val="1"/>
          <w:bCs w:val="1"/>
          <w:color w:val="auto"/>
        </w:rPr>
        <w:t>in CHF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14" w:lineRule="auto"/>
        <w:rPr>
          <w:sz w:val="20"/>
          <w:szCs w:val="20"/>
          <w:color w:val="auto"/>
        </w:rPr>
      </w:pPr>
      <w:r>
        <w:rPr>
          <w:rFonts w:ascii="Arial" w:cs="Arial" w:eastAsia="Arial" w:hAnsi="Arial"/>
          <w:sz w:val="18"/>
          <w:szCs w:val="18"/>
          <w:color w:val="auto"/>
        </w:rPr>
        <w:t>Operating expenses</w:t>
      </w:r>
      <w:r>
        <w:rPr>
          <w:rFonts w:ascii="Arial" w:cs="Arial" w:eastAsia="Arial" w:hAnsi="Arial"/>
          <w:sz w:val="29"/>
          <w:szCs w:val="29"/>
          <w:color w:val="auto"/>
          <w:vertAlign w:val="superscript"/>
        </w:rPr>
        <w:t>1</w:t>
      </w:r>
    </w:p>
    <w:p>
      <w:pPr>
        <w:spacing w:after="0" w:line="195" w:lineRule="auto"/>
        <w:rPr>
          <w:sz w:val="20"/>
          <w:szCs w:val="20"/>
          <w:color w:val="auto"/>
        </w:rPr>
      </w:pPr>
      <w:r>
        <w:rPr>
          <w:rFonts w:ascii="Arial" w:cs="Arial" w:eastAsia="Arial" w:hAnsi="Arial"/>
          <w:sz w:val="18"/>
          <w:szCs w:val="18"/>
          <w:color w:val="auto"/>
        </w:rPr>
        <w:t>Salaries and related costs</w:t>
      </w:r>
      <w:r>
        <w:rPr>
          <w:rFonts w:ascii="Arial" w:cs="Arial" w:eastAsia="Arial" w:hAnsi="Arial"/>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63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Total general and administrative expenses</w:t>
      </w:r>
    </w:p>
    <w:p>
      <w:pPr>
        <w:ind w:left="340" w:hanging="211"/>
        <w:spacing w:after="0" w:line="202" w:lineRule="auto"/>
        <w:tabs>
          <w:tab w:leader="none" w:pos="340" w:val="left"/>
        </w:tabs>
        <w:numPr>
          <w:ilvl w:val="0"/>
          <w:numId w:val="166"/>
        </w:numPr>
        <w:rPr>
          <w:rFonts w:ascii="Arial" w:cs="Arial" w:eastAsia="Arial" w:hAnsi="Arial"/>
          <w:sz w:val="30"/>
          <w:szCs w:val="30"/>
          <w:color w:val="auto"/>
          <w:vertAlign w:val="superscript"/>
        </w:rPr>
      </w:pPr>
      <w:r>
        <w:rPr>
          <w:rFonts w:ascii="Arial" w:cs="Arial" w:eastAsia="Arial" w:hAnsi="Arial"/>
          <w:sz w:val="18"/>
          <w:szCs w:val="18"/>
          <w:color w:val="auto"/>
        </w:rPr>
        <w:t>Includes depreciation expense</w:t>
      </w:r>
    </w:p>
    <w:p>
      <w:pPr>
        <w:ind w:left="340" w:hanging="211"/>
        <w:spacing w:after="0" w:line="180" w:lineRule="auto"/>
        <w:tabs>
          <w:tab w:leader="none" w:pos="340" w:val="left"/>
        </w:tabs>
        <w:numPr>
          <w:ilvl w:val="0"/>
          <w:numId w:val="167"/>
        </w:numPr>
        <w:rPr>
          <w:rFonts w:ascii="Arial" w:cs="Arial" w:eastAsia="Arial" w:hAnsi="Arial"/>
          <w:sz w:val="25"/>
          <w:szCs w:val="25"/>
          <w:color w:val="auto"/>
          <w:vertAlign w:val="superscript"/>
        </w:rPr>
      </w:pPr>
      <w:r>
        <w:rPr>
          <w:rFonts w:ascii="Arial" w:cs="Arial" w:eastAsia="Arial" w:hAnsi="Arial"/>
          <w:sz w:val="15"/>
          <w:szCs w:val="15"/>
          <w:color w:val="auto"/>
        </w:rPr>
        <w:t>Includes share-based compensation expense</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June 30, 2021, this increase is primarily due to:</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9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For the Three Months</w:t>
            </w:r>
          </w:p>
        </w:tc>
        <w:tc>
          <w:tcPr>
            <w:tcW w:w="1340" w:type="dxa"/>
            <w:vAlign w:val="bottom"/>
          </w:tcPr>
          <w:p>
            <w:pPr>
              <w:spacing w:after="0"/>
              <w:rPr>
                <w:sz w:val="18"/>
                <w:szCs w:val="18"/>
                <w:color w:val="auto"/>
              </w:rPr>
            </w:pPr>
          </w:p>
        </w:tc>
      </w:tr>
      <w:tr>
        <w:trPr>
          <w:trHeight w:val="234"/>
        </w:trPr>
        <w:tc>
          <w:tcPr>
            <w:tcW w:w="29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Ended June 30,</w:t>
            </w:r>
          </w:p>
        </w:tc>
        <w:tc>
          <w:tcPr>
            <w:tcW w:w="1340" w:type="dxa"/>
            <w:vAlign w:val="bottom"/>
          </w:tcPr>
          <w:p>
            <w:pPr>
              <w:spacing w:after="0"/>
              <w:rPr>
                <w:sz w:val="20"/>
                <w:szCs w:val="20"/>
                <w:color w:val="auto"/>
              </w:rPr>
            </w:pPr>
          </w:p>
        </w:tc>
      </w:tr>
      <w:tr>
        <w:trPr>
          <w:trHeight w:val="223"/>
        </w:trPr>
        <w:tc>
          <w:tcPr>
            <w:tcW w:w="13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250"/>
        </w:trPr>
        <w:tc>
          <w:tcPr>
            <w:tcW w:w="1380" w:type="dxa"/>
            <w:vAlign w:val="bottom"/>
          </w:tcPr>
          <w:p>
            <w:pPr>
              <w:jc w:val="right"/>
              <w:ind w:right="30"/>
              <w:spacing w:after="0"/>
              <w:rPr>
                <w:sz w:val="20"/>
                <w:szCs w:val="20"/>
                <w:color w:val="auto"/>
              </w:rPr>
            </w:pPr>
            <w:r>
              <w:rPr>
                <w:rFonts w:ascii="Arial" w:cs="Arial" w:eastAsia="Arial" w:hAnsi="Arial"/>
                <w:sz w:val="18"/>
                <w:szCs w:val="18"/>
                <w:color w:val="auto"/>
              </w:rPr>
              <w:t>2,393</w:t>
            </w:r>
          </w:p>
        </w:tc>
        <w:tc>
          <w:tcPr>
            <w:tcW w:w="1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1,539</w:t>
            </w:r>
          </w:p>
        </w:tc>
        <w:tc>
          <w:tcPr>
            <w:tcW w:w="1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854</w:t>
            </w:r>
          </w:p>
        </w:tc>
      </w:tr>
      <w:tr>
        <w:trPr>
          <w:trHeight w:val="270"/>
        </w:trPr>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2,842</w:t>
            </w:r>
          </w:p>
        </w:tc>
        <w:tc>
          <w:tcPr>
            <w:tcW w:w="100" w:type="dxa"/>
            <w:vAlign w:val="bottom"/>
          </w:tcPr>
          <w:p>
            <w:pPr>
              <w:spacing w:after="0"/>
              <w:rPr>
                <w:sz w:val="23"/>
                <w:szCs w:val="23"/>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2,617</w:t>
            </w:r>
          </w:p>
        </w:tc>
        <w:tc>
          <w:tcPr>
            <w:tcW w:w="100" w:type="dxa"/>
            <w:vAlign w:val="bottom"/>
          </w:tcPr>
          <w:p>
            <w:pPr>
              <w:spacing w:after="0"/>
              <w:rPr>
                <w:sz w:val="23"/>
                <w:szCs w:val="23"/>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225</w:t>
            </w:r>
          </w:p>
        </w:tc>
      </w:tr>
      <w:tr>
        <w:trPr>
          <w:trHeight w:val="223"/>
        </w:trPr>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5,235</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4,156</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1,079</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044" w:lineRule="exact"/>
        <w:rPr>
          <w:sz w:val="20"/>
          <w:szCs w:val="20"/>
          <w:color w:val="auto"/>
        </w:rPr>
      </w:pPr>
    </w:p>
    <w:p>
      <w:pPr>
        <w:sectPr>
          <w:pgSz w:w="11900" w:h="16838" w:orient="portrait"/>
          <w:cols w:equalWidth="0" w:num="2">
            <w:col w:w="6260" w:space="720"/>
            <w:col w:w="4260"/>
          </w:cols>
          <w:pgMar w:left="320" w:top="544" w:right="339" w:bottom="1440" w:gutter="0" w:footer="0" w:header="0"/>
          <w:type w:val="continuous"/>
        </w:sectPr>
      </w:pPr>
    </w:p>
    <w:p>
      <w:pPr>
        <w:spacing w:after="0" w:line="48" w:lineRule="exact"/>
        <w:rPr>
          <w:sz w:val="20"/>
          <w:szCs w:val="20"/>
          <w:color w:val="auto"/>
        </w:rPr>
      </w:pPr>
    </w:p>
    <w:p>
      <w:pPr>
        <w:ind w:left="660" w:hanging="328"/>
        <w:spacing w:after="0"/>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an increase in salary- and benefit-related costs of CHF 0.4 million primarily related to hiring of temporary personnel;</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an increase of CHF 0.4 million for transaction costs associated with our asset acquisition for a portfolio of therapeutics targeting alpha-synuclein and cash;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an increase in our directors and officers insurance of CHF 0.3 million for the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was partially offset by;</w:t>
      </w:r>
    </w:p>
    <w:p>
      <w:pPr>
        <w:spacing w:after="0" w:line="225" w:lineRule="exact"/>
        <w:rPr>
          <w:sz w:val="20"/>
          <w:szCs w:val="20"/>
          <w:color w:val="auto"/>
        </w:rPr>
      </w:pPr>
    </w:p>
    <w:p>
      <w:pPr>
        <w:ind w:left="660" w:hanging="328"/>
        <w:spacing w:after="0"/>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 decrease in share-based compensation expense of CHF 0.2 million.</w:t>
      </w:r>
    </w:p>
    <w:p>
      <w:pPr>
        <w:spacing w:after="0" w:line="22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For the six months ended June 30, 2021, general and administrative expenses totaled CHF 9.6 million compared with CHF 8.7 million for the comparable period in 2020. This represents a decrease of CHF 0.9 million. The following table presents the general and administrative expenses during the six months ended June 30, 2021 and 2020:</w:t>
      </w:r>
    </w:p>
    <w:p>
      <w:pPr>
        <w:sectPr>
          <w:pgSz w:w="11900" w:h="16838" w:orient="portrait"/>
          <w:cols w:equalWidth="0" w:num="1">
            <w:col w:w="11240"/>
          </w:cols>
          <w:pgMar w:left="320" w:top="54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in CHF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14" w:lineRule="auto"/>
        <w:rPr>
          <w:sz w:val="20"/>
          <w:szCs w:val="20"/>
          <w:color w:val="auto"/>
        </w:rPr>
      </w:pPr>
      <w:r>
        <w:rPr>
          <w:rFonts w:ascii="Arial" w:cs="Arial" w:eastAsia="Arial" w:hAnsi="Arial"/>
          <w:sz w:val="18"/>
          <w:szCs w:val="18"/>
          <w:color w:val="auto"/>
        </w:rPr>
        <w:t>Operating expenses</w:t>
      </w:r>
      <w:r>
        <w:rPr>
          <w:rFonts w:ascii="Arial" w:cs="Arial" w:eastAsia="Arial" w:hAnsi="Arial"/>
          <w:sz w:val="29"/>
          <w:szCs w:val="29"/>
          <w:color w:val="auto"/>
          <w:vertAlign w:val="superscript"/>
        </w:rPr>
        <w:t>1</w:t>
      </w:r>
    </w:p>
    <w:p>
      <w:pPr>
        <w:spacing w:after="0" w:line="195" w:lineRule="auto"/>
        <w:rPr>
          <w:sz w:val="20"/>
          <w:szCs w:val="20"/>
          <w:color w:val="auto"/>
        </w:rPr>
      </w:pPr>
      <w:r>
        <w:rPr>
          <w:rFonts w:ascii="Arial" w:cs="Arial" w:eastAsia="Arial" w:hAnsi="Arial"/>
          <w:sz w:val="18"/>
          <w:szCs w:val="18"/>
          <w:color w:val="auto"/>
        </w:rPr>
        <w:t>Salaries and related costs</w:t>
      </w:r>
      <w:r>
        <w:rPr>
          <w:rFonts w:ascii="Arial" w:cs="Arial" w:eastAsia="Arial" w:hAnsi="Arial"/>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62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Total general and administrative expenses</w:t>
      </w:r>
    </w:p>
    <w:p>
      <w:pPr>
        <w:ind w:left="340" w:hanging="211"/>
        <w:spacing w:after="0" w:line="202" w:lineRule="auto"/>
        <w:tabs>
          <w:tab w:leader="none" w:pos="340" w:val="left"/>
        </w:tabs>
        <w:numPr>
          <w:ilvl w:val="0"/>
          <w:numId w:val="170"/>
        </w:numPr>
        <w:rPr>
          <w:rFonts w:ascii="Arial" w:cs="Arial" w:eastAsia="Arial" w:hAnsi="Arial"/>
          <w:sz w:val="30"/>
          <w:szCs w:val="30"/>
          <w:color w:val="auto"/>
          <w:vertAlign w:val="superscript"/>
        </w:rPr>
      </w:pPr>
      <w:r>
        <w:rPr>
          <w:rFonts w:ascii="Arial" w:cs="Arial" w:eastAsia="Arial" w:hAnsi="Arial"/>
          <w:sz w:val="18"/>
          <w:szCs w:val="18"/>
          <w:color w:val="auto"/>
        </w:rPr>
        <w:t>Includes depreciation expense</w:t>
      </w:r>
    </w:p>
    <w:p>
      <w:pPr>
        <w:ind w:left="340" w:hanging="211"/>
        <w:spacing w:after="0" w:line="180" w:lineRule="auto"/>
        <w:tabs>
          <w:tab w:leader="none" w:pos="340" w:val="left"/>
        </w:tabs>
        <w:numPr>
          <w:ilvl w:val="0"/>
          <w:numId w:val="171"/>
        </w:numPr>
        <w:rPr>
          <w:rFonts w:ascii="Arial" w:cs="Arial" w:eastAsia="Arial" w:hAnsi="Arial"/>
          <w:sz w:val="25"/>
          <w:szCs w:val="25"/>
          <w:color w:val="auto"/>
          <w:vertAlign w:val="superscript"/>
        </w:rPr>
      </w:pPr>
      <w:r>
        <w:rPr>
          <w:rFonts w:ascii="Arial" w:cs="Arial" w:eastAsia="Arial" w:hAnsi="Arial"/>
          <w:sz w:val="15"/>
          <w:szCs w:val="15"/>
          <w:color w:val="auto"/>
        </w:rPr>
        <w:t>Includes share-based compensation expense</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For the six months ended June 30, 2021, this increase is primarily due to:</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9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For the Six Months</w:t>
            </w:r>
          </w:p>
        </w:tc>
        <w:tc>
          <w:tcPr>
            <w:tcW w:w="1340" w:type="dxa"/>
            <w:vAlign w:val="bottom"/>
          </w:tcPr>
          <w:p>
            <w:pPr>
              <w:spacing w:after="0"/>
              <w:rPr>
                <w:sz w:val="18"/>
                <w:szCs w:val="18"/>
                <w:color w:val="auto"/>
              </w:rPr>
            </w:pPr>
          </w:p>
        </w:tc>
      </w:tr>
      <w:tr>
        <w:trPr>
          <w:trHeight w:val="234"/>
        </w:trPr>
        <w:tc>
          <w:tcPr>
            <w:tcW w:w="29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Ended June 30,</w:t>
            </w:r>
          </w:p>
        </w:tc>
        <w:tc>
          <w:tcPr>
            <w:tcW w:w="1340" w:type="dxa"/>
            <w:vAlign w:val="bottom"/>
          </w:tcPr>
          <w:p>
            <w:pPr>
              <w:spacing w:after="0"/>
              <w:rPr>
                <w:sz w:val="20"/>
                <w:szCs w:val="20"/>
                <w:color w:val="auto"/>
              </w:rPr>
            </w:pPr>
          </w:p>
        </w:tc>
      </w:tr>
      <w:tr>
        <w:trPr>
          <w:trHeight w:val="223"/>
        </w:trPr>
        <w:tc>
          <w:tcPr>
            <w:tcW w:w="13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250"/>
        </w:trPr>
        <w:tc>
          <w:tcPr>
            <w:tcW w:w="1380" w:type="dxa"/>
            <w:vAlign w:val="bottom"/>
          </w:tcPr>
          <w:p>
            <w:pPr>
              <w:jc w:val="right"/>
              <w:ind w:right="30"/>
              <w:spacing w:after="0"/>
              <w:rPr>
                <w:sz w:val="20"/>
                <w:szCs w:val="20"/>
                <w:color w:val="auto"/>
              </w:rPr>
            </w:pPr>
            <w:r>
              <w:rPr>
                <w:rFonts w:ascii="Arial" w:cs="Arial" w:eastAsia="Arial" w:hAnsi="Arial"/>
                <w:sz w:val="18"/>
                <w:szCs w:val="18"/>
                <w:color w:val="auto"/>
              </w:rPr>
              <w:t>4,337</w:t>
            </w:r>
          </w:p>
        </w:tc>
        <w:tc>
          <w:tcPr>
            <w:tcW w:w="1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3,275</w:t>
            </w:r>
          </w:p>
        </w:tc>
        <w:tc>
          <w:tcPr>
            <w:tcW w:w="1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1,062</w:t>
            </w:r>
          </w:p>
        </w:tc>
      </w:tr>
      <w:tr>
        <w:trPr>
          <w:trHeight w:val="270"/>
        </w:trPr>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5,236</w:t>
            </w:r>
          </w:p>
        </w:tc>
        <w:tc>
          <w:tcPr>
            <w:tcW w:w="100" w:type="dxa"/>
            <w:vAlign w:val="bottom"/>
          </w:tcPr>
          <w:p>
            <w:pPr>
              <w:spacing w:after="0"/>
              <w:rPr>
                <w:sz w:val="23"/>
                <w:szCs w:val="23"/>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5,385</w:t>
            </w:r>
          </w:p>
        </w:tc>
        <w:tc>
          <w:tcPr>
            <w:tcW w:w="100" w:type="dxa"/>
            <w:vAlign w:val="bottom"/>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r>
      <w:tr>
        <w:trPr>
          <w:trHeight w:val="223"/>
        </w:trPr>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9,573</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8,660</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913</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044" w:lineRule="exact"/>
        <w:rPr>
          <w:sz w:val="20"/>
          <w:szCs w:val="20"/>
          <w:color w:val="auto"/>
        </w:rPr>
      </w:pPr>
    </w:p>
    <w:p>
      <w:pPr>
        <w:sectPr>
          <w:pgSz w:w="11900" w:h="16838" w:orient="portrait"/>
          <w:cols w:equalWidth="0" w:num="2">
            <w:col w:w="6260" w:space="720"/>
            <w:col w:w="4260"/>
          </w:cols>
          <w:pgMar w:left="320" w:top="544" w:right="339" w:bottom="1440" w:gutter="0" w:footer="0" w:header="0"/>
          <w:type w:val="continuous"/>
        </w:sectPr>
      </w:pPr>
    </w:p>
    <w:p>
      <w:pPr>
        <w:spacing w:after="0" w:line="48" w:lineRule="exact"/>
        <w:rPr>
          <w:sz w:val="20"/>
          <w:szCs w:val="20"/>
          <w:color w:val="auto"/>
        </w:rPr>
      </w:pPr>
    </w:p>
    <w:p>
      <w:pPr>
        <w:ind w:left="660" w:right="160" w:hanging="328"/>
        <w:spacing w:after="0" w:line="277" w:lineRule="auto"/>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an increase of CHF 0.4 million for transaction costs associated with our asset acquisition for a portfolio of therapeutics targeting alpha-synuclein and cash;</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an increase in our directors and officers insurance of CHF 0.5 million for the period;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an increase of CHF 0.2 million for certain professional services associated with our ATM program and ongoing reporting requirements,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This was partially offset by;</w:t>
      </w:r>
    </w:p>
    <w:p>
      <w:pPr>
        <w:spacing w:after="0" w:line="225" w:lineRule="exact"/>
        <w:rPr>
          <w:sz w:val="20"/>
          <w:szCs w:val="20"/>
          <w:color w:val="auto"/>
        </w:rPr>
      </w:pPr>
    </w:p>
    <w:p>
      <w:pPr>
        <w:jc w:val="right"/>
        <w:ind w:left="5560" w:right="5600" w:hanging="5228"/>
        <w:spacing w:after="0" w:line="535" w:lineRule="auto"/>
        <w:tabs>
          <w:tab w:leader="none" w:pos="660" w:val="left"/>
        </w:tabs>
        <w:numPr>
          <w:ilvl w:val="0"/>
          <w:numId w:val="173"/>
        </w:numPr>
        <w:rPr>
          <w:rFonts w:ascii="Arial" w:cs="Arial" w:eastAsia="Arial" w:hAnsi="Arial"/>
          <w:sz w:val="15"/>
          <w:szCs w:val="15"/>
          <w:color w:val="auto"/>
        </w:rPr>
      </w:pPr>
      <w:r>
        <w:rPr>
          <w:rFonts w:ascii="Arial" w:cs="Arial" w:eastAsia="Arial" w:hAnsi="Arial"/>
          <w:sz w:val="15"/>
          <w:szCs w:val="15"/>
          <w:color w:val="auto"/>
        </w:rPr>
        <w:t>a decrease in share-based compensation expense of CHF 0.2 million.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type w:val="continuous"/>
        </w:sectPr>
      </w:pPr>
    </w:p>
    <w:bookmarkStart w:id="72" w:name="page73"/>
    <w:bookmarkEnd w:id="72"/>
    <w:p>
      <w:pPr>
        <w:ind w:left="340"/>
        <w:spacing w:after="0"/>
        <w:rPr>
          <w:sz w:val="20"/>
          <w:szCs w:val="20"/>
          <w:color w:val="auto"/>
        </w:rPr>
      </w:pPr>
      <w:r>
        <w:rPr>
          <w:rFonts w:ascii="Arial" w:cs="Arial" w:eastAsia="Arial" w:hAnsi="Arial"/>
          <w:sz w:val="18"/>
          <w:szCs w:val="18"/>
          <w:i w:val="1"/>
          <w:iCs w:val="1"/>
          <w:color w:val="auto"/>
        </w:rPr>
        <w:t>Finance result, net</w:t>
      </w:r>
    </w:p>
    <w:p>
      <w:pPr>
        <w:spacing w:after="0" w:line="22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For the three months ended June 30, 2021, finance result was a CHF 0.4 million loss compared with a CHF 0.1 million loss for the comparable period in 2020. This represents a decrease of CHF 0.3 million. The following table presents the finance result during the three months ended June 30, 2021 and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For the Three Months</w:t>
            </w:r>
          </w:p>
        </w:tc>
        <w:tc>
          <w:tcPr>
            <w:tcW w:w="1340" w:type="dxa"/>
            <w:vAlign w:val="bottom"/>
          </w:tcPr>
          <w:p>
            <w:pPr>
              <w:spacing w:after="0"/>
              <w:rPr>
                <w:sz w:val="18"/>
                <w:szCs w:val="18"/>
                <w:color w:val="auto"/>
              </w:rPr>
            </w:pPr>
          </w:p>
        </w:tc>
      </w:tr>
      <w:tr>
        <w:trPr>
          <w:trHeight w:val="234"/>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Ended June 30,</w:t>
            </w:r>
          </w:p>
        </w:tc>
        <w:tc>
          <w:tcPr>
            <w:tcW w:w="1340" w:type="dxa"/>
            <w:vAlign w:val="bottom"/>
          </w:tcPr>
          <w:p>
            <w:pPr>
              <w:spacing w:after="0"/>
              <w:rPr>
                <w:sz w:val="20"/>
                <w:szCs w:val="20"/>
                <w:color w:val="auto"/>
              </w:rPr>
            </w:pPr>
          </w:p>
        </w:tc>
      </w:tr>
      <w:tr>
        <w:trPr>
          <w:trHeight w:val="223"/>
        </w:trPr>
        <w:tc>
          <w:tcPr>
            <w:tcW w:w="6980" w:type="dxa"/>
            <w:vAlign w:val="bottom"/>
            <w:gridSpan w:val="2"/>
          </w:tcPr>
          <w:p>
            <w:pPr>
              <w:ind w:left="2300"/>
              <w:spacing w:after="0"/>
              <w:rPr>
                <w:sz w:val="20"/>
                <w:szCs w:val="20"/>
                <w:color w:val="auto"/>
              </w:rPr>
            </w:pPr>
            <w:r>
              <w:rPr>
                <w:rFonts w:ascii="Arial" w:cs="Arial" w:eastAsia="Arial" w:hAnsi="Arial"/>
                <w:sz w:val="18"/>
                <w:szCs w:val="18"/>
                <w:b w:val="1"/>
                <w:bCs w:val="1"/>
                <w:color w:val="auto"/>
              </w:rPr>
              <w:t>in CHF thousands, unaudited</w:t>
            </w:r>
          </w:p>
        </w:tc>
        <w:tc>
          <w:tcPr>
            <w:tcW w:w="13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210"/>
        </w:trPr>
        <w:tc>
          <w:tcPr>
            <w:tcW w:w="686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Financial income</w:t>
            </w:r>
          </w:p>
        </w:tc>
        <w:tc>
          <w:tcPr>
            <w:tcW w:w="12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Financial expense</w:t>
            </w:r>
          </w:p>
        </w:tc>
        <w:tc>
          <w:tcPr>
            <w:tcW w:w="138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29"/>
        </w:trPr>
        <w:tc>
          <w:tcPr>
            <w:tcW w:w="69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Exchange differences</w:t>
            </w:r>
          </w:p>
        </w:tc>
        <w:tc>
          <w:tcPr>
            <w:tcW w:w="13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(166)</w:t>
            </w: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Finance result, net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June 30, 2021, net finance result was a loss, primarily related to:</w:t>
      </w:r>
    </w:p>
    <w:p>
      <w:pPr>
        <w:spacing w:after="0" w:line="225" w:lineRule="exact"/>
        <w:rPr>
          <w:sz w:val="20"/>
          <w:szCs w:val="20"/>
          <w:color w:val="auto"/>
        </w:rPr>
      </w:pPr>
    </w:p>
    <w:p>
      <w:pPr>
        <w:ind w:left="660" w:right="160" w:hanging="328"/>
        <w:spacing w:after="0" w:line="277" w:lineRule="auto"/>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 CHF 0.2 million decrease in exchange difference, primarily related to unfavorable movement in the USD-CHF exchange rate during the period as well as interest expense paid on short-term deposits.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the six months ended June 30, 2021, finance result was a CHF 0.1 million gain compared with a CHF 0.4 million loss for the comparable period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2020. This represents an increase of CHF 0.5 million. The following table presents the finance result during the six months ended June 30, 2021 and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For the Six Months</w:t>
            </w:r>
          </w:p>
        </w:tc>
        <w:tc>
          <w:tcPr>
            <w:tcW w:w="1340" w:type="dxa"/>
            <w:vAlign w:val="bottom"/>
          </w:tcPr>
          <w:p>
            <w:pPr>
              <w:spacing w:after="0"/>
              <w:rPr>
                <w:sz w:val="18"/>
                <w:szCs w:val="18"/>
                <w:color w:val="auto"/>
              </w:rPr>
            </w:pPr>
          </w:p>
        </w:tc>
      </w:tr>
      <w:tr>
        <w:trPr>
          <w:trHeight w:val="234"/>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Ended June 30,</w:t>
            </w:r>
          </w:p>
        </w:tc>
        <w:tc>
          <w:tcPr>
            <w:tcW w:w="1340" w:type="dxa"/>
            <w:vAlign w:val="bottom"/>
          </w:tcPr>
          <w:p>
            <w:pPr>
              <w:spacing w:after="0"/>
              <w:rPr>
                <w:sz w:val="20"/>
                <w:szCs w:val="20"/>
                <w:color w:val="auto"/>
              </w:rPr>
            </w:pPr>
          </w:p>
        </w:tc>
      </w:tr>
      <w:tr>
        <w:trPr>
          <w:trHeight w:val="223"/>
        </w:trPr>
        <w:tc>
          <w:tcPr>
            <w:tcW w:w="6980" w:type="dxa"/>
            <w:vAlign w:val="bottom"/>
            <w:gridSpan w:val="2"/>
          </w:tcPr>
          <w:p>
            <w:pPr>
              <w:ind w:left="2300"/>
              <w:spacing w:after="0"/>
              <w:rPr>
                <w:sz w:val="20"/>
                <w:szCs w:val="20"/>
                <w:color w:val="auto"/>
              </w:rPr>
            </w:pPr>
            <w:r>
              <w:rPr>
                <w:rFonts w:ascii="Arial" w:cs="Arial" w:eastAsia="Arial" w:hAnsi="Arial"/>
                <w:sz w:val="18"/>
                <w:szCs w:val="18"/>
                <w:b w:val="1"/>
                <w:bCs w:val="1"/>
                <w:color w:val="auto"/>
              </w:rPr>
              <w:t>in CHF thousands, unaudited</w:t>
            </w:r>
          </w:p>
        </w:tc>
        <w:tc>
          <w:tcPr>
            <w:tcW w:w="13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209"/>
        </w:trPr>
        <w:tc>
          <w:tcPr>
            <w:tcW w:w="686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Financial income</w:t>
            </w:r>
          </w:p>
        </w:tc>
        <w:tc>
          <w:tcPr>
            <w:tcW w:w="12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Financial expense</w:t>
            </w:r>
          </w:p>
        </w:tc>
        <w:tc>
          <w:tcPr>
            <w:tcW w:w="138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29"/>
        </w:trPr>
        <w:tc>
          <w:tcPr>
            <w:tcW w:w="69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Exchange differences</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766</w:t>
            </w: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Finance result, net</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573</w:t>
            </w: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2021, net finance result was a gain, primarily related to:</w:t>
      </w:r>
    </w:p>
    <w:p>
      <w:pPr>
        <w:spacing w:after="0" w:line="225" w:lineRule="exact"/>
        <w:rPr>
          <w:sz w:val="20"/>
          <w:szCs w:val="20"/>
          <w:color w:val="auto"/>
        </w:rPr>
      </w:pPr>
    </w:p>
    <w:p>
      <w:pPr>
        <w:ind w:left="660" w:right="500" w:hanging="328"/>
        <w:spacing w:after="0" w:line="277" w:lineRule="auto"/>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 CHF 0.4 million gain on exchange differences, primarily related to overall favorable movement in the USD-CHF exchange rate during the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was partially offset by;</w:t>
      </w:r>
    </w:p>
    <w:p>
      <w:pPr>
        <w:spacing w:after="0" w:line="225" w:lineRule="exact"/>
        <w:rPr>
          <w:sz w:val="20"/>
          <w:szCs w:val="20"/>
          <w:color w:val="auto"/>
        </w:rPr>
      </w:pPr>
    </w:p>
    <w:p>
      <w:pPr>
        <w:ind w:left="660" w:hanging="328"/>
        <w:spacing w:after="0"/>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CHF 0.2 million paid in finance costs and interest expense on short-term deposits.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To date, AC Immune has financed its cash requirements primarily from its public offerings, share issuances, contract revenues from licensing and collaboration agreements and grants. The Company is a clinical-stage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 (i) establish and maintain a strong patent position and protection; (ii) enter into collaborations with partners in the pharmaceutical and biopharmaceutical industries;(iii) successfully move its product candidates through clinical development; (iv) attract and retain key personnel; and (v) acquire capital to support its operations. As of June 30, 2021, we had cash and cash equivalents of CHF 104.1 million and short-term financial assets of CHF 95.0 million for a total liquidity balance of CHF 199.1 million.</w:t>
      </w:r>
    </w:p>
    <w:p>
      <w:pPr>
        <w:spacing w:after="0" w:line="166"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Our primary uses of capital are, and we expect will continue to be, R&amp;D expenses, compensation and related expenses, and other operating expenses including rent. Cash and cash equivalents used to fund operating expenses are impacted by the timing of when we pay expenses, as reflected in the change in our outstanding accounts payable and accrued expenses. We expect to incur substantial expenses in connection with a number of our product candidates in various stages of clinical development. We and Janssen are co-developing second-generation therapeutic vaccines, ACI-35.030 and JACI-35.054, through Phase 1b/2a completion. AC Immune</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3" w:name="page74"/>
    <w:bookmarkEnd w:id="73"/>
    <w:p>
      <w:pPr>
        <w:ind w:right="80"/>
        <w:spacing w:after="0" w:line="301" w:lineRule="auto"/>
        <w:rPr>
          <w:sz w:val="20"/>
          <w:szCs w:val="20"/>
          <w:color w:val="auto"/>
        </w:rPr>
      </w:pPr>
      <w:r>
        <w:rPr>
          <w:rFonts w:ascii="Arial" w:cs="Arial" w:eastAsia="Arial" w:hAnsi="Arial"/>
          <w:sz w:val="16"/>
          <w:szCs w:val="16"/>
          <w:color w:val="auto"/>
        </w:rPr>
        <w:t>and Janssen will jointly share research and development costs until the completion of the first Phase 2b (AC Immune’s contribution to the first Phase 2b trial is capped). From Phase 2b and onwards, Janssen will assume responsibility for the clinical development, manufacturing and commercialization of the vaccines. We expect to incur additional R&amp;D expenditures associated with the expansion of our Morphomer Tau program into NeuroOrphan indications as well as an expansion of ACI-3024 to be evaluated in other rare Tauopathies. We also intend to further characterize our preclinical candidates.</w:t>
      </w:r>
    </w:p>
    <w:p>
      <w:pPr>
        <w:spacing w:after="0" w:line="157"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We plan to continue to fund our operating and capital funding needs through proceeds received from licensing and collaboration agreements (LCAs) and through equity or other forms of financing. For example, in Q3 2020 we entered into the Sales Agreement with Jefferies LLC (“Jefferies”), which provides that, upon the terms and subject to the conditions and limitations set forth in the Sales Agreement, we may elect to issue and sell, from time to time, shares of our common shares having an aggregate offering price of up to USD 80.0 (CHF 74.4) million through Jefferies acting as our sales agent. We replaced this Sales Agreement in Q2 2021 to continue the ATM program. Under the New Sales Agreement, Jefferies may sell the shares of common shares by any method permitted by law deemed to be an “at the market offering” as defined under the Securities Act of 1933, as amended, in privately negotiated transactions with our consent or in block transactions. Jefferies will use commercially reasonable efforts to sell the shares of common shares subject to the New Sales Agreement from time to time, consistent with its normal sales and trading practices, on mutually agreed terms. We will pay Jefferies a commission of up to 3.0% of the gross sales proceeds of any common shares sold through Jefferies under the New Sales Agreement. We are not obligated to make any sales of common shares under the New Sales Agreement, and we have not yet sold any common shares pursuant to the New Sales Agreement.</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may also consider entering into additional LCAs and selectively partnering for clinical development and commercialization.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Cash Flows</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32"/>
        </w:trPr>
        <w:tc>
          <w:tcPr>
            <w:tcW w:w="6980" w:type="dxa"/>
            <w:vAlign w:val="bottom"/>
            <w:gridSpan w:val="2"/>
          </w:tcPr>
          <w:p>
            <w:pPr>
              <w:ind w:left="340"/>
              <w:spacing w:after="0"/>
              <w:rPr>
                <w:sz w:val="20"/>
                <w:szCs w:val="20"/>
                <w:color w:val="auto"/>
              </w:rPr>
            </w:pPr>
            <w:r>
              <w:rPr>
                <w:rFonts w:ascii="Arial" w:cs="Arial" w:eastAsia="Arial" w:hAnsi="Arial"/>
                <w:sz w:val="18"/>
                <w:szCs w:val="18"/>
                <w:color w:val="auto"/>
              </w:rPr>
              <w:t>The following table summarizes AC Immune’s cash flows for the periods indicated:</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14"/>
        </w:trPr>
        <w:tc>
          <w:tcPr>
            <w:tcW w:w="6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2"/>
              </w:rPr>
              <w:t>For the Six Months</w:t>
            </w:r>
          </w:p>
        </w:tc>
        <w:tc>
          <w:tcPr>
            <w:tcW w:w="1340" w:type="dxa"/>
            <w:vAlign w:val="bottom"/>
          </w:tcPr>
          <w:p>
            <w:pPr>
              <w:spacing w:after="0"/>
              <w:rPr>
                <w:sz w:val="24"/>
                <w:szCs w:val="24"/>
                <w:color w:val="auto"/>
              </w:rPr>
            </w:pPr>
          </w:p>
        </w:tc>
      </w:tr>
      <w:tr>
        <w:trPr>
          <w:trHeight w:val="234"/>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Ended June 30,</w:t>
            </w:r>
          </w:p>
        </w:tc>
        <w:tc>
          <w:tcPr>
            <w:tcW w:w="1340" w:type="dxa"/>
            <w:vAlign w:val="bottom"/>
          </w:tcPr>
          <w:p>
            <w:pPr>
              <w:spacing w:after="0"/>
              <w:rPr>
                <w:sz w:val="20"/>
                <w:szCs w:val="20"/>
                <w:color w:val="auto"/>
              </w:rPr>
            </w:pPr>
          </w:p>
        </w:tc>
      </w:tr>
      <w:tr>
        <w:trPr>
          <w:trHeight w:val="223"/>
        </w:trPr>
        <w:tc>
          <w:tcPr>
            <w:tcW w:w="6980" w:type="dxa"/>
            <w:vAlign w:val="bottom"/>
            <w:gridSpan w:val="2"/>
          </w:tcPr>
          <w:p>
            <w:pPr>
              <w:ind w:left="2300"/>
              <w:spacing w:after="0"/>
              <w:rPr>
                <w:sz w:val="20"/>
                <w:szCs w:val="20"/>
                <w:color w:val="auto"/>
              </w:rPr>
            </w:pPr>
            <w:r>
              <w:rPr>
                <w:rFonts w:ascii="Arial" w:cs="Arial" w:eastAsia="Arial" w:hAnsi="Arial"/>
                <w:sz w:val="18"/>
                <w:szCs w:val="18"/>
                <w:b w:val="1"/>
                <w:bCs w:val="1"/>
                <w:color w:val="auto"/>
              </w:rPr>
              <w:t>in CHF thousands, unaudited</w:t>
            </w:r>
          </w:p>
        </w:tc>
        <w:tc>
          <w:tcPr>
            <w:tcW w:w="13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210"/>
        </w:trPr>
        <w:tc>
          <w:tcPr>
            <w:tcW w:w="686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Net cash provided by/(used in):</w:t>
            </w:r>
          </w:p>
        </w:tc>
        <w:tc>
          <w:tcPr>
            <w:tcW w:w="12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1380" w:type="dxa"/>
            <w:vAlign w:val="bottom"/>
          </w:tcPr>
          <w:p>
            <w:pPr>
              <w:jc w:val="right"/>
              <w:spacing w:after="0"/>
              <w:rPr>
                <w:sz w:val="20"/>
                <w:szCs w:val="20"/>
                <w:color w:val="auto"/>
              </w:rPr>
            </w:pPr>
            <w:r>
              <w:rPr>
                <w:rFonts w:ascii="Arial" w:cs="Arial" w:eastAsia="Arial" w:hAnsi="Arial"/>
                <w:sz w:val="18"/>
                <w:szCs w:val="18"/>
                <w:color w:val="auto"/>
              </w:rPr>
              <w:t>(33,362)</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(24,557)</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(8,805)</w:t>
            </w:r>
          </w:p>
        </w:tc>
      </w:tr>
      <w:tr>
        <w:trPr>
          <w:trHeight w:val="216"/>
        </w:trPr>
        <w:tc>
          <w:tcPr>
            <w:tcW w:w="69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Investing activities</w:t>
            </w:r>
          </w:p>
        </w:tc>
        <w:tc>
          <w:tcPr>
            <w:tcW w:w="13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(31,447)</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9,413</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(40,860)</w:t>
            </w:r>
          </w:p>
        </w:tc>
      </w:tr>
      <w:tr>
        <w:trPr>
          <w:trHeight w:val="230"/>
        </w:trPr>
        <w:tc>
          <w:tcPr>
            <w:tcW w:w="698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Financing activities</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7,688</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8,169</w:t>
            </w:r>
          </w:p>
        </w:tc>
      </w:tr>
      <w:tr>
        <w:trPr>
          <w:trHeight w:val="223"/>
        </w:trPr>
        <w:tc>
          <w:tcPr>
            <w:tcW w:w="698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3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(57,121)</w:t>
            </w:r>
          </w:p>
        </w:tc>
        <w:tc>
          <w:tcPr>
            <w:tcW w:w="10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(15,625)</w:t>
            </w:r>
          </w:p>
        </w:tc>
        <w:tc>
          <w:tcPr>
            <w:tcW w:w="10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(41,496)</w:t>
            </w: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Net cash used in operating activities was CHF 33.4 million for the six months ended June 30, 2021, compared with net cash used in operating activities of CHF 24.6 million for the six months ended June 30, 2020. The change in cash used in operating activities for the six months ended June 30, 2021 was due to the Company’s reporting a net loss of CHF 35.8 million for the six months ended June 30, 2021, compared with a net loss of CHF 23.4 million for the same period in 2020, driven by (i) a decrease of CHF 13.4 million in contract revenues, principally due to the recognition of a CHF 10 million milestone payment and CHF 2.9 million for R&amp;D activities associated with our agreement with Lilly in the prior period, which did not repeat in the current period, partially offset by (ii) a CHF 1.0 million decrease in R&amp;D expenditures for the six months ended June 30, 2021.</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Net cash used in investing activities was CHF 31.4 million for the six months ended June 30, 2021, compared with net cash provided by investing activities of CHF 9.4 million for the six months ended June 30, 2020. The Company increased investments in short-term financial assets by CHF 30.0 million for the current period compared to the maturing of a net CHF 10.0 million in the prior period. The Company additionally acquired CHF 1.4 million in fixed assets in the current period compared to CHF 0.6 million in the prior period.</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Financing activities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4" w:name="page75"/>
    <w:bookmarkEnd w:id="74"/>
    <w:p>
      <w:pPr>
        <w:ind w:right="440" w:firstLine="324"/>
        <w:spacing w:after="0" w:line="286" w:lineRule="auto"/>
        <w:rPr>
          <w:sz w:val="20"/>
          <w:szCs w:val="20"/>
          <w:color w:val="auto"/>
        </w:rPr>
      </w:pPr>
      <w:r>
        <w:rPr>
          <w:rFonts w:ascii="Arial" w:cs="Arial" w:eastAsia="Arial" w:hAnsi="Arial"/>
          <w:sz w:val="17"/>
          <w:szCs w:val="17"/>
          <w:color w:val="auto"/>
        </w:rPr>
        <w:t>Net cash provided by financing activities was CHF 7.7 million for the six months ended June 30, 2021, compared with net cash used in financing activities of CHF 0.5 million for the six months ended June 30, 2020. The increase of CHF 8.2 million is predominantly related to CHF 7.8 million received from proceeds from the sale of treasury shares in public offerings, net of underwriting fees and transaction costs.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Capital Requirements and Plan of Operations</w:t>
      </w:r>
    </w:p>
    <w:p>
      <w:pPr>
        <w:spacing w:after="0" w:line="22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do not expect to generate revenues from royalties based on product sales unless and until our partners obtain regulatory approval of, and successfully commercialize, our current or any future product candidates. As of June 30, 2021, we had cash and cash equivalents of CHF 104.1 million and short-term financial assets of CHF 95.0 million, resulting in CHF 199.1 million of liquidity. The decrease relative to December 31, 2020 was predominantly related to R&amp;D spending on our major discovery and R&amp;D programs, and the strengthening of the Company’s infrastructure, systems and organization. This was offset by the receipt of CHF 7.8 million, net of underwriting fees and transaction costs, for the sale of 772,627 of our common shares that were previously held as treasury shares in accordance with our ATM program. There can be no certainty as to the exact timing of future milestone payments, or in fact, whether any of these will ever be made, given that they are contingent on clear milestones being reached. Accordingly, assuming that we do not receive potential milestone payments and based upon our currently contemplated R&amp;D strategy, we believe that our existing capital resources will be sufficient to meet our projected operating requirements through Q1 2024.</w:t>
      </w:r>
    </w:p>
    <w:p>
      <w:pPr>
        <w:spacing w:after="0" w:line="18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expect to generate losses for the foreseeable future, and these losses could increase as we continue product development until we successfully achieve regulatory approvals for our product candidates and begin to commercialize any approved products. We are subject to all the risks pertinent to the development of new products, and we may encounter unforeseen expenses, difficulties, complications, delays and other unknown factors that may harm our business. We expect to incur additional costs associated with operating a public company and we anticipate that we will need substantial additional funding in connection with our continuing operations. If we need to raise additional capital to fund our operations and complete our ongoing and planned clinical studies, funding may not be available to us on acceptable terms, or at all.</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future funding requirements will depend on many factors, including but not limited to the following:</w:t>
      </w:r>
    </w:p>
    <w:p>
      <w:pPr>
        <w:spacing w:after="0" w:line="225" w:lineRule="exact"/>
        <w:rPr>
          <w:sz w:val="20"/>
          <w:szCs w:val="20"/>
          <w:color w:val="auto"/>
        </w:rPr>
      </w:pPr>
    </w:p>
    <w:p>
      <w:pPr>
        <w:ind w:left="660" w:right="100" w:hanging="328"/>
        <w:spacing w:after="0" w:line="277" w:lineRule="auto"/>
        <w:tabs>
          <w:tab w:leader="none" w:pos="6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preclinical and clinical studies and other related activities, according to our long-term strategic plan;</w:t>
      </w:r>
    </w:p>
    <w:p>
      <w:pPr>
        <w:spacing w:after="0" w:line="156"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cost of manufacturing clinical supplies and establishing commercial supplies of our product candidates and any other products we may develop;</w:t>
      </w:r>
    </w:p>
    <w:p>
      <w:pPr>
        <w:spacing w:after="0" w:line="156" w:lineRule="exact"/>
        <w:rPr>
          <w:rFonts w:ascii="Arial" w:cs="Arial" w:eastAsia="Arial" w:hAnsi="Arial"/>
          <w:sz w:val="18"/>
          <w:szCs w:val="18"/>
          <w:color w:val="auto"/>
        </w:rPr>
      </w:pPr>
    </w:p>
    <w:p>
      <w:pPr>
        <w:ind w:left="660" w:hanging="328"/>
        <w:spacing w:after="0"/>
        <w:tabs>
          <w:tab w:leader="none" w:pos="6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211"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including any required milestone and royalty payments thereunder;</w:t>
      </w:r>
    </w:p>
    <w:p>
      <w:pPr>
        <w:spacing w:after="0" w:line="156" w:lineRule="exact"/>
        <w:rPr>
          <w:rFonts w:ascii="Arial" w:cs="Arial" w:eastAsia="Arial" w:hAnsi="Arial"/>
          <w:sz w:val="18"/>
          <w:szCs w:val="18"/>
          <w:color w:val="auto"/>
        </w:rPr>
      </w:pPr>
    </w:p>
    <w:p>
      <w:pPr>
        <w:ind w:left="660" w:hanging="328"/>
        <w:spacing w:after="0"/>
        <w:tabs>
          <w:tab w:leader="none" w:pos="6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potential cost and timing of managing and protecting our portfolio of IP.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Quantitative and Qualitative Disclosures about Market Risk</w:t>
      </w:r>
    </w:p>
    <w:p>
      <w:pPr>
        <w:spacing w:after="0" w:line="22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During the three and six months ended June 30, 2021, there were no significant changes to our quantitative and qualitative disclosures about market risk described under the heading “Management’s Discussion and Analysis of Financial Condition and Results of Operations – Quantitative and Qualitative Disclosures About Market Risk” in the Annual Report on Form 20-F.</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Critical Judgments and Accounting Estimates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5" w:name="page76"/>
    <w:bookmarkEnd w:id="75"/>
    <w:p>
      <w:pPr>
        <w:ind w:right="140" w:firstLine="324"/>
        <w:spacing w:after="0" w:line="342" w:lineRule="auto"/>
        <w:rPr>
          <w:sz w:val="20"/>
          <w:szCs w:val="20"/>
          <w:color w:val="auto"/>
        </w:rPr>
      </w:pPr>
      <w:r>
        <w:rPr>
          <w:rFonts w:ascii="Arial" w:cs="Arial" w:eastAsia="Arial" w:hAnsi="Arial"/>
          <w:sz w:val="16"/>
          <w:szCs w:val="16"/>
          <w:color w:val="auto"/>
        </w:rPr>
        <w:t>There have been no material changes to the significant accounting policies and estimates described under the heading “Management’s Discussion and Analysis of Financial Condition and Results of Operations – Critical Judgments and Accounting Estimates” in the Annual Report on Form 20-F.</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Jumpstart our Business Startups Act Exemption</w:t>
      </w:r>
    </w:p>
    <w:p>
      <w:pPr>
        <w:spacing w:after="0" w:line="225"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On April 5, 2012, the Jumpstart our Business Startups Act of 2012, (“the JOBS Act”), was signed into law. The JOBS Act contains provisions that, among other things, reduce certain reporting requirements for an “emerging growth company.” As an emerging growth company, we are not required to provide an auditor attestation report on our system of internal controls over financial reporting. This exemption will apply for a period of five years following the completion of our initial public offering (through 2021) or until we no longer meet the requirements of being an emerging growth company, whichever is earlier. We would also cease to be an emerging growth company if (i) we have more than USD 1.07 billion in annual revenue; (ii) we are deemed to be a “large accelerated filer” under the rules of the Securities Exchange Commission, which means that the market value of our common shares that are held by non-affiliates exceeds USD 700 million as of the most recently completed second fiscal quarter; or (iii) we have issued more than USD 1.0 billion in non-convertible debt during the prior three-year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Non-IFRS Financial Measures</w:t>
      </w:r>
    </w:p>
    <w:p>
      <w:pPr>
        <w:spacing w:after="0" w:line="229"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In addition to AC Immune’s operating results, as calculated in accordance with International Financial Reporting Standards (IFRS), as issued by the International Accounting Standards Board, we use adjusted loss and adjusted loss per share when monitoring and evaluating our operational performance. Adjusted loss is defined as loss for the relevant period, as adjusted for certain items that we believe are not indicative of our ongoing operating performance. Adjusted loss per share is defined as adjusted loss for the relevant period divided by the weighted-average number of shares for such period.</w:t>
      </w:r>
    </w:p>
    <w:p>
      <w:pPr>
        <w:spacing w:after="0" w:line="157"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We believe that these measures assist our shareholders because they enhance the comparability of our results each period and provide more useful insight into operational results for the period. The Company’s executive management uses these non-IFRS measures to evaluate our operational performance. These non-IFRS financial measures are not meant to be considered alone or as substitutes for our IFRS financial measures and should be read in conjunction with the Company’s financial statements prepared in accordance with IFRS. The most directly comparable IFRS measure to these non-IFRS measures is net loss. The following table reconciles net loss to adjusted loss and adjusted loss per share for the periods presented: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Loss to Adjusted Loss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Share to Adjusted Loss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3"/>
              </w:rPr>
              <w:t>For the Three Months</w:t>
            </w:r>
          </w:p>
        </w:tc>
        <w:tc>
          <w:tcPr>
            <w:tcW w:w="278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For the Six Months</w:t>
            </w:r>
          </w:p>
        </w:tc>
      </w:tr>
      <w:tr>
        <w:trPr>
          <w:trHeight w:val="234"/>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Ended June 30,</w:t>
            </w:r>
          </w:p>
        </w:tc>
        <w:tc>
          <w:tcPr>
            <w:tcW w:w="278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Ended June 30,</w:t>
            </w:r>
          </w:p>
        </w:tc>
      </w:tr>
      <w:tr>
        <w:trPr>
          <w:trHeight w:val="223"/>
        </w:trPr>
        <w:tc>
          <w:tcPr>
            <w:tcW w:w="5520" w:type="dxa"/>
            <w:vAlign w:val="bottom"/>
            <w:gridSpan w:val="2"/>
          </w:tcPr>
          <w:p>
            <w:pPr>
              <w:ind w:left="200"/>
              <w:spacing w:after="0"/>
              <w:rPr>
                <w:sz w:val="20"/>
                <w:szCs w:val="20"/>
                <w:color w:val="auto"/>
              </w:rPr>
            </w:pPr>
            <w:r>
              <w:rPr>
                <w:rFonts w:ascii="Arial" w:cs="Arial" w:eastAsia="Arial" w:hAnsi="Arial"/>
                <w:sz w:val="18"/>
                <w:szCs w:val="18"/>
                <w:b w:val="1"/>
                <w:bCs w:val="1"/>
                <w:color w:val="auto"/>
                <w:w w:val="94"/>
              </w:rPr>
              <w:t>in CHF thousands except for share and per share data, unaudited</w:t>
            </w:r>
          </w:p>
        </w:tc>
        <w:tc>
          <w:tcPr>
            <w:tcW w:w="138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3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3"/>
        </w:trPr>
        <w:tc>
          <w:tcPr>
            <w:tcW w:w="540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b w:val="1"/>
                <w:bCs w:val="1"/>
                <w:color w:val="auto"/>
              </w:rPr>
              <w:t>Loss</w:t>
            </w:r>
          </w:p>
        </w:tc>
        <w:tc>
          <w:tcPr>
            <w:tcW w:w="120" w:type="dxa"/>
            <w:vAlign w:val="bottom"/>
            <w:tcBorders>
              <w:top w:val="single" w:sz="8" w:color="D5EAEA"/>
            </w:tcBorders>
            <w:shd w:val="clear" w:color="auto" w:fill="D5EAEA"/>
          </w:tcPr>
          <w:p>
            <w:pPr>
              <w:spacing w:after="0"/>
              <w:rPr>
                <w:sz w:val="19"/>
                <w:szCs w:val="19"/>
                <w:color w:val="auto"/>
              </w:rPr>
            </w:pPr>
          </w:p>
        </w:tc>
        <w:tc>
          <w:tcPr>
            <w:tcW w:w="13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(19,069)</w:t>
            </w:r>
          </w:p>
        </w:tc>
        <w:tc>
          <w:tcPr>
            <w:tcW w:w="120" w:type="dxa"/>
            <w:vAlign w:val="bottom"/>
            <w:tcBorders>
              <w:top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(15,738)</w:t>
            </w:r>
          </w:p>
        </w:tc>
        <w:tc>
          <w:tcPr>
            <w:tcW w:w="100" w:type="dxa"/>
            <w:vAlign w:val="bottom"/>
            <w:tcBorders>
              <w:top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(35,803)</w:t>
            </w:r>
          </w:p>
        </w:tc>
        <w:tc>
          <w:tcPr>
            <w:tcW w:w="100" w:type="dxa"/>
            <w:vAlign w:val="bottom"/>
            <w:tcBorders>
              <w:top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(23,425)</w:t>
            </w:r>
          </w:p>
        </w:tc>
      </w:tr>
      <w:tr>
        <w:trPr>
          <w:trHeight w:val="210"/>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Adjustments: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56"/>
        </w:trPr>
        <w:tc>
          <w:tcPr>
            <w:tcW w:w="5520" w:type="dxa"/>
            <w:vAlign w:val="bottom"/>
            <w:gridSpan w:val="2"/>
            <w:shd w:val="clear" w:color="auto" w:fill="D5EAEA"/>
          </w:tcPr>
          <w:p>
            <w:pPr>
              <w:spacing w:after="0" w:line="256" w:lineRule="exact"/>
              <w:rPr>
                <w:sz w:val="20"/>
                <w:szCs w:val="20"/>
                <w:color w:val="auto"/>
              </w:rPr>
            </w:pPr>
            <w:r>
              <w:rPr>
                <w:rFonts w:ascii="Arial" w:cs="Arial" w:eastAsia="Arial" w:hAnsi="Arial"/>
                <w:sz w:val="18"/>
                <w:szCs w:val="18"/>
                <w:color w:val="auto"/>
              </w:rPr>
              <w:t>Non-cash share-based payments</w:t>
            </w:r>
            <w:r>
              <w:rPr>
                <w:rFonts w:ascii="Arial" w:cs="Arial" w:eastAsia="Arial" w:hAnsi="Arial"/>
                <w:sz w:val="29"/>
                <w:szCs w:val="29"/>
                <w:color w:val="auto"/>
                <w:vertAlign w:val="superscript"/>
              </w:rPr>
              <w:t>1</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836</w:t>
            </w:r>
          </w:p>
        </w:tc>
        <w:tc>
          <w:tcPr>
            <w:tcW w:w="120" w:type="dxa"/>
            <w:vAlign w:val="bottom"/>
            <w:shd w:val="clear" w:color="auto" w:fill="D5EAEA"/>
          </w:tcPr>
          <w:p>
            <w:pPr>
              <w:spacing w:after="0"/>
              <w:rPr>
                <w:sz w:val="22"/>
                <w:szCs w:val="22"/>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D5EAEA"/>
          </w:tcPr>
          <w:p>
            <w:pPr>
              <w:spacing w:after="0"/>
              <w:rPr>
                <w:sz w:val="22"/>
                <w:szCs w:val="22"/>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1,694</w:t>
            </w:r>
          </w:p>
        </w:tc>
        <w:tc>
          <w:tcPr>
            <w:tcW w:w="100" w:type="dxa"/>
            <w:vAlign w:val="bottom"/>
            <w:shd w:val="clear" w:color="auto" w:fill="D5EAEA"/>
          </w:tcPr>
          <w:p>
            <w:pPr>
              <w:spacing w:after="0"/>
              <w:rPr>
                <w:sz w:val="22"/>
                <w:szCs w:val="22"/>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1,847</w:t>
            </w:r>
          </w:p>
        </w:tc>
      </w:tr>
      <w:tr>
        <w:trPr>
          <w:trHeight w:val="257"/>
        </w:trPr>
        <w:tc>
          <w:tcPr>
            <w:tcW w:w="5520" w:type="dxa"/>
            <w:vAlign w:val="bottom"/>
            <w:gridSpan w:val="2"/>
          </w:tcPr>
          <w:p>
            <w:pPr>
              <w:spacing w:after="0" w:line="256" w:lineRule="exact"/>
              <w:rPr>
                <w:sz w:val="20"/>
                <w:szCs w:val="20"/>
                <w:color w:val="auto"/>
              </w:rPr>
            </w:pPr>
            <w:r>
              <w:rPr>
                <w:rFonts w:ascii="Arial" w:cs="Arial" w:eastAsia="Arial" w:hAnsi="Arial"/>
                <w:sz w:val="18"/>
                <w:szCs w:val="18"/>
                <w:color w:val="auto"/>
              </w:rPr>
              <w:t>Foreign currency losses</w:t>
            </w:r>
            <w:r>
              <w:rPr>
                <w:rFonts w:ascii="Arial" w:cs="Arial" w:eastAsia="Arial" w:hAnsi="Arial"/>
                <w:sz w:val="29"/>
                <w:szCs w:val="29"/>
                <w:color w:val="auto"/>
                <w:vertAlign w:val="superscript"/>
              </w:rPr>
              <w:t>2</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2"/>
                <w:szCs w:val="22"/>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498</w:t>
            </w:r>
          </w:p>
        </w:tc>
      </w:tr>
      <w:tr>
        <w:trPr>
          <w:trHeight w:val="270"/>
        </w:trPr>
        <w:tc>
          <w:tcPr>
            <w:tcW w:w="5520" w:type="dxa"/>
            <w:vAlign w:val="bottom"/>
            <w:gridSpan w:val="2"/>
            <w:shd w:val="clear" w:color="auto" w:fill="D5EAEA"/>
          </w:tcPr>
          <w:p>
            <w:pPr>
              <w:spacing w:after="0" w:line="270" w:lineRule="exact"/>
              <w:rPr>
                <w:sz w:val="20"/>
                <w:szCs w:val="20"/>
                <w:color w:val="auto"/>
              </w:rPr>
            </w:pPr>
            <w:r>
              <w:rPr>
                <w:rFonts w:ascii="Arial" w:cs="Arial" w:eastAsia="Arial" w:hAnsi="Arial"/>
                <w:sz w:val="18"/>
                <w:szCs w:val="18"/>
                <w:color w:val="auto"/>
              </w:rPr>
              <w:t>Transaction costs</w:t>
            </w:r>
            <w:r>
              <w:rPr>
                <w:rFonts w:ascii="Arial" w:cs="Arial" w:eastAsia="Arial" w:hAnsi="Arial"/>
                <w:sz w:val="29"/>
                <w:szCs w:val="29"/>
                <w:color w:val="auto"/>
                <w:vertAlign w:val="superscript"/>
              </w:rPr>
              <w:t>3</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D5EAEA"/>
          </w:tcPr>
          <w:p>
            <w:pPr>
              <w:spacing w:after="0"/>
              <w:rPr>
                <w:sz w:val="23"/>
                <w:szCs w:val="23"/>
                <w:color w:val="auto"/>
              </w:rPr>
            </w:pPr>
          </w:p>
        </w:tc>
        <w:tc>
          <w:tcPr>
            <w:tcW w:w="14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D5EAEA"/>
          </w:tcPr>
          <w:p>
            <w:pPr>
              <w:spacing w:after="0"/>
              <w:rPr>
                <w:sz w:val="23"/>
                <w:szCs w:val="23"/>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552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b w:val="1"/>
                <w:bCs w:val="1"/>
                <w:color w:val="auto"/>
              </w:rPr>
              <w:t>Adjusted Loss</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(17,565)</w:t>
            </w:r>
          </w:p>
        </w:tc>
        <w:tc>
          <w:tcPr>
            <w:tcW w:w="120" w:type="dxa"/>
            <w:vAlign w:val="bottom"/>
            <w:tcBorders>
              <w:bottom w:val="single" w:sz="8" w:color="D5EAEA"/>
            </w:tcBorders>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(14,700)</w:t>
            </w:r>
          </w:p>
        </w:tc>
        <w:tc>
          <w:tcPr>
            <w:tcW w:w="100" w:type="dxa"/>
            <w:vAlign w:val="bottom"/>
            <w:tcBorders>
              <w:bottom w:val="single" w:sz="8" w:color="D5EAEA"/>
            </w:tcBorders>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(34,062)</w:t>
            </w:r>
          </w:p>
        </w:tc>
        <w:tc>
          <w:tcPr>
            <w:tcW w:w="100" w:type="dxa"/>
            <w:vAlign w:val="bottom"/>
            <w:tcBorders>
              <w:bottom w:val="single" w:sz="8" w:color="D5EAEA"/>
            </w:tcBorders>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(21,080)</w:t>
            </w:r>
          </w:p>
        </w:tc>
      </w:tr>
      <w:tr>
        <w:trPr>
          <w:trHeight w:val="196"/>
        </w:trPr>
        <w:tc>
          <w:tcPr>
            <w:tcW w:w="54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8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Loss per share – basic and diluted</w:t>
            </w:r>
          </w:p>
        </w:tc>
        <w:tc>
          <w:tcPr>
            <w:tcW w:w="138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(0.33)</w:t>
            </w:r>
          </w:p>
        </w:tc>
      </w:tr>
      <w:tr>
        <w:trPr>
          <w:trHeight w:val="216"/>
        </w:trPr>
        <w:tc>
          <w:tcPr>
            <w:tcW w:w="55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Adjustment to loss per share – basic and diluted</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0.04</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Adjusted loss per share – basic and diluted</w:t>
            </w:r>
          </w:p>
        </w:tc>
        <w:tc>
          <w:tcPr>
            <w:tcW w:w="138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(0.29)</w:t>
            </w:r>
          </w:p>
        </w:tc>
      </w:tr>
      <w:tr>
        <w:trPr>
          <w:trHeight w:val="202"/>
        </w:trPr>
        <w:tc>
          <w:tcPr>
            <w:tcW w:w="5520" w:type="dxa"/>
            <w:vAlign w:val="bottom"/>
            <w:gridSpan w:val="2"/>
            <w:shd w:val="clear" w:color="auto" w:fill="D5EAEA"/>
          </w:tcPr>
          <w:p>
            <w:pPr>
              <w:spacing w:after="0" w:line="201" w:lineRule="exact"/>
              <w:rPr>
                <w:sz w:val="20"/>
                <w:szCs w:val="20"/>
                <w:color w:val="auto"/>
              </w:rPr>
            </w:pPr>
            <w:r>
              <w:rPr>
                <w:rFonts w:ascii="Arial" w:cs="Arial" w:eastAsia="Arial" w:hAnsi="Arial"/>
                <w:sz w:val="18"/>
                <w:szCs w:val="18"/>
                <w:color w:val="auto"/>
                <w:w w:val="91"/>
              </w:rPr>
              <w:t>Weighted-average number of shares outstanding Adjusted loss – basic and</w:t>
            </w:r>
          </w:p>
        </w:tc>
        <w:tc>
          <w:tcPr>
            <w:tcW w:w="138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r>
      <w:tr>
        <w:trPr>
          <w:trHeight w:val="230"/>
        </w:trPr>
        <w:tc>
          <w:tcPr>
            <w:tcW w:w="55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diluted</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72,715,783</w:t>
            </w:r>
          </w:p>
        </w:tc>
        <w:tc>
          <w:tcPr>
            <w:tcW w:w="120" w:type="dxa"/>
            <w:vAlign w:val="bottom"/>
            <w:shd w:val="clear" w:color="auto" w:fill="D5EAEA"/>
          </w:tcPr>
          <w:p>
            <w:pPr>
              <w:spacing w:after="0"/>
              <w:rPr>
                <w:sz w:val="20"/>
                <w:szCs w:val="20"/>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71,875,102</w:t>
            </w:r>
          </w:p>
        </w:tc>
        <w:tc>
          <w:tcPr>
            <w:tcW w:w="100" w:type="dxa"/>
            <w:vAlign w:val="bottom"/>
            <w:shd w:val="clear" w:color="auto" w:fill="D5EAEA"/>
          </w:tcPr>
          <w:p>
            <w:pPr>
              <w:spacing w:after="0"/>
              <w:rPr>
                <w:sz w:val="20"/>
                <w:szCs w:val="20"/>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72,113,581</w:t>
            </w:r>
          </w:p>
        </w:tc>
        <w:tc>
          <w:tcPr>
            <w:tcW w:w="100" w:type="dxa"/>
            <w:vAlign w:val="bottom"/>
            <w:shd w:val="clear" w:color="auto" w:fill="D5EAEA"/>
          </w:tcPr>
          <w:p>
            <w:pPr>
              <w:spacing w:after="0"/>
              <w:rPr>
                <w:sz w:val="20"/>
                <w:szCs w:val="20"/>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71,869,658</w:t>
            </w:r>
          </w:p>
        </w:tc>
      </w:tr>
    </w:tbl>
    <w:p>
      <w:pPr>
        <w:spacing w:after="0" w:line="188" w:lineRule="exact"/>
        <w:rPr>
          <w:sz w:val="20"/>
          <w:szCs w:val="20"/>
          <w:color w:val="auto"/>
        </w:rPr>
      </w:pPr>
    </w:p>
    <w:p>
      <w:pPr>
        <w:ind w:left="260" w:right="600" w:hanging="198"/>
        <w:spacing w:after="0" w:line="216" w:lineRule="auto"/>
        <w:tabs>
          <w:tab w:leader="none" w:pos="260" w:val="left"/>
        </w:tabs>
        <w:numPr>
          <w:ilvl w:val="0"/>
          <w:numId w:val="178"/>
        </w:numPr>
        <w:rPr>
          <w:rFonts w:ascii="Arial" w:cs="Arial" w:eastAsia="Arial" w:hAnsi="Arial"/>
          <w:sz w:val="27"/>
          <w:szCs w:val="27"/>
          <w:color w:val="auto"/>
          <w:vertAlign w:val="superscript"/>
        </w:rPr>
      </w:pPr>
      <w:r>
        <w:rPr>
          <w:rFonts w:ascii="Arial" w:cs="Arial" w:eastAsia="Arial" w:hAnsi="Arial"/>
          <w:sz w:val="16"/>
          <w:szCs w:val="16"/>
          <w:color w:val="auto"/>
        </w:rPr>
        <w:t>Reflects non-cash expenses associated with share-based compensation for equity awards issued to Directors, Management and employees of the Company. This expense reflects the awards’ fair value recognized for the portion of the equity award which is vesting over the period.</w:t>
      </w:r>
    </w:p>
    <w:p>
      <w:pPr>
        <w:spacing w:after="0" w:line="1" w:lineRule="exact"/>
        <w:rPr>
          <w:sz w:val="20"/>
          <w:szCs w:val="20"/>
          <w:color w:val="auto"/>
        </w:rPr>
      </w:pPr>
    </w:p>
    <w:p>
      <w:pPr>
        <w:ind w:left="260" w:right="160" w:hanging="198"/>
        <w:spacing w:after="0" w:line="187" w:lineRule="auto"/>
        <w:tabs>
          <w:tab w:leader="none" w:pos="260" w:val="left"/>
        </w:tabs>
        <w:numPr>
          <w:ilvl w:val="0"/>
          <w:numId w:val="179"/>
        </w:numPr>
        <w:rPr>
          <w:rFonts w:ascii="Arial" w:cs="Arial" w:eastAsia="Arial" w:hAnsi="Arial"/>
          <w:sz w:val="30"/>
          <w:szCs w:val="30"/>
          <w:color w:val="auto"/>
          <w:vertAlign w:val="superscript"/>
        </w:rPr>
      </w:pPr>
      <w:r>
        <w:rPr>
          <w:rFonts w:ascii="Arial" w:cs="Arial" w:eastAsia="Arial" w:hAnsi="Arial"/>
          <w:sz w:val="18"/>
          <w:szCs w:val="18"/>
          <w:color w:val="auto"/>
        </w:rPr>
        <w:t>Reflects foreign currency re-measurement gains and losses for the period, predominantly impacted by the change in the exchange rate between the US Dollar and Euro with the Swiss Franc.</w:t>
      </w:r>
    </w:p>
    <w:p>
      <w:pPr>
        <w:spacing w:after="0" w:line="2" w:lineRule="exact"/>
        <w:rPr>
          <w:sz w:val="20"/>
          <w:szCs w:val="20"/>
          <w:color w:val="auto"/>
        </w:rPr>
      </w:pPr>
    </w:p>
    <w:p>
      <w:pPr>
        <w:ind w:left="5520" w:right="1740" w:hanging="5458"/>
        <w:spacing w:after="0" w:line="234" w:lineRule="auto"/>
        <w:tabs>
          <w:tab w:leader="none" w:pos="269" w:val="left"/>
        </w:tabs>
        <w:numPr>
          <w:ilvl w:val="0"/>
          <w:numId w:val="180"/>
        </w:numPr>
        <w:rPr>
          <w:rFonts w:ascii="Arial" w:cs="Arial" w:eastAsia="Arial" w:hAnsi="Arial"/>
          <w:sz w:val="30"/>
          <w:szCs w:val="30"/>
          <w:color w:val="auto"/>
          <w:vertAlign w:val="superscript"/>
        </w:rPr>
      </w:pPr>
      <w:r>
        <w:rPr>
          <w:rFonts w:ascii="Arial" w:cs="Arial" w:eastAsia="Arial" w:hAnsi="Arial"/>
          <w:sz w:val="18"/>
          <w:szCs w:val="18"/>
          <w:color w:val="auto"/>
        </w:rPr>
        <w:t>Reflects transaction costs associated with our asset acquisition for a portfolio of therapeutics targeting alpha-synuclein and cash.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6" w:name="page77"/>
    <w:bookmarkEnd w:id="76"/>
    <w:p>
      <w:pPr>
        <w:ind w:left="180" w:right="40" w:firstLine="324"/>
        <w:spacing w:after="0" w:line="273" w:lineRule="auto"/>
        <w:rPr>
          <w:sz w:val="20"/>
          <w:szCs w:val="20"/>
          <w:color w:val="auto"/>
        </w:rPr>
      </w:pPr>
      <w:r>
        <w:rPr>
          <w:rFonts w:ascii="Arial" w:cs="Arial" w:eastAsia="Arial" w:hAnsi="Arial"/>
          <w:sz w:val="17"/>
          <w:szCs w:val="17"/>
          <w:color w:val="auto"/>
        </w:rPr>
        <w:t>Adjustments for the three and six months ended June 30, 2021, decreased net loss by CHF 1.5 million and CHF 1.7 million, respectively compared with a decrease to net loss of CHF 1.0 million and CHF 2.3 million for the comparable periods in 2020, respectively. The Company recorded CHF 0.8 million and CHF 1.7 million for share-based compensation expenses, respectively, in each of these periods. There were foreign currency re-measurement losses of CHF 0.3 million and gains of CHF 0.4 million, respectively, primarily related to movement in the USD-CHF exchange rate during the respective periods. Finally, the Company incurred CHF 0.4 million in transaction costs associated with its acquisition of a portfolio of therapeutics targeting alpha-synuclein in the three months ended June 30, 2021.</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Cautionary Statement Regarding Forward Looking Statements</w:t>
      </w:r>
    </w:p>
    <w:p>
      <w:pPr>
        <w:spacing w:after="0" w:line="225"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This discussion and analysis contains statements that constitute forward-looking statements. All statements other than statements of historical facts contained in this discussion and analysis, including statements regarding our future results of operations and financial position, business strategy, product candidates, product pipeline, ongoing and planned clinical studies, including those of our collaboration partners, regulatory approvals, R&amp;D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 Forward-looking statements appear in a number of places in this discussion and analysis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our Annual Report on Form 20-F, including the impact of Covid-19 on our business, suppliers, patients and employees, and any other impact of Covid-19. These forward-looking statements speak only as of the date of this discussion and analysis, and are subject to a number of risks, uncertainties and assumptions as described under the sections in our Annual Report on Form 20-F entitled “Risk Factors” and in this discussion and analysis.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such as the global pandemic originating with Covid-19,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1774190" cy="5575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74190" cy="55753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9320"/>
        <w:spacing w:after="0"/>
        <w:rPr>
          <w:sz w:val="20"/>
          <w:szCs w:val="20"/>
          <w:color w:val="auto"/>
        </w:rPr>
      </w:pPr>
      <w:r>
        <w:rPr>
          <w:rFonts w:ascii="Arial" w:cs="Arial" w:eastAsia="Arial" w:hAnsi="Arial"/>
          <w:sz w:val="22"/>
          <w:szCs w:val="22"/>
          <w:b w:val="1"/>
          <w:bCs w:val="1"/>
          <w:color w:val="auto"/>
        </w:rPr>
        <w:t>PRESS RELEASE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AC Immune Reports Second Quarter 2021 Financial Results and Provides Corporate Update</w:t>
      </w:r>
    </w:p>
    <w:p>
      <w:pPr>
        <w:spacing w:after="0" w:line="318" w:lineRule="exact"/>
        <w:rPr>
          <w:sz w:val="20"/>
          <w:szCs w:val="20"/>
          <w:color w:val="auto"/>
        </w:rPr>
      </w:pPr>
    </w:p>
    <w:p>
      <w:pPr>
        <w:jc w:val="center"/>
        <w:spacing w:after="0" w:line="267" w:lineRule="auto"/>
        <w:rPr>
          <w:sz w:val="20"/>
          <w:szCs w:val="20"/>
          <w:color w:val="auto"/>
        </w:rPr>
      </w:pPr>
      <w:r>
        <w:rPr>
          <w:rFonts w:ascii="Arial" w:cs="Arial" w:eastAsia="Arial" w:hAnsi="Arial"/>
          <w:sz w:val="18"/>
          <w:szCs w:val="18"/>
          <w:i w:val="1"/>
          <w:iCs w:val="1"/>
          <w:color w:val="auto"/>
        </w:rPr>
        <w:t>Announced strategic acquisition of industry-leading Parkinson’s disease vaccine and equity investment led by key investors in Covid-19 vaccine innovator BioNTech SE</w:t>
      </w:r>
    </w:p>
    <w:p>
      <w:pPr>
        <w:spacing w:after="0" w:line="147" w:lineRule="exact"/>
        <w:rPr>
          <w:sz w:val="20"/>
          <w:szCs w:val="20"/>
          <w:color w:val="auto"/>
        </w:rPr>
      </w:pPr>
    </w:p>
    <w:p>
      <w:pPr>
        <w:jc w:val="center"/>
        <w:spacing w:after="0" w:line="267" w:lineRule="auto"/>
        <w:rPr>
          <w:sz w:val="20"/>
          <w:szCs w:val="20"/>
          <w:color w:val="auto"/>
        </w:rPr>
      </w:pPr>
      <w:r>
        <w:rPr>
          <w:rFonts w:ascii="Arial" w:cs="Arial" w:eastAsia="Arial" w:hAnsi="Arial"/>
          <w:sz w:val="18"/>
          <w:szCs w:val="18"/>
          <w:i w:val="1"/>
          <w:iCs w:val="1"/>
          <w:color w:val="auto"/>
        </w:rPr>
        <w:t>ACI-24 full Phase 1b results presented at AAIC 2021 support the continued clinical development of anti-Abeta vaccine approaches in Down syndrome-related Alzheimer’s disease</w:t>
      </w:r>
    </w:p>
    <w:p>
      <w:pPr>
        <w:spacing w:after="0" w:line="147" w:lineRule="exact"/>
        <w:rPr>
          <w:sz w:val="20"/>
          <w:szCs w:val="20"/>
          <w:color w:val="auto"/>
        </w:rPr>
      </w:pPr>
    </w:p>
    <w:p>
      <w:pPr>
        <w:jc w:val="center"/>
        <w:ind w:left="340" w:right="280"/>
        <w:spacing w:after="0" w:line="267" w:lineRule="auto"/>
        <w:rPr>
          <w:sz w:val="20"/>
          <w:szCs w:val="20"/>
          <w:color w:val="auto"/>
        </w:rPr>
      </w:pPr>
      <w:r>
        <w:rPr>
          <w:rFonts w:ascii="Arial" w:cs="Arial" w:eastAsia="Arial" w:hAnsi="Arial"/>
          <w:sz w:val="18"/>
          <w:szCs w:val="18"/>
          <w:i w:val="1"/>
          <w:iCs w:val="1"/>
          <w:color w:val="auto"/>
        </w:rPr>
        <w:t>Expanded Phase 1b/2 anti-pTau Alzheimer’s vaccine trial in collaboration with Janssen Pharmaceuticals, Inc. to support the program’s continued development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Strong financial position of CHF 199.1 million in cash ensures the Company is fully financed through at least Q1 2024</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Lausanne, Switzerland, August 4, 2021 </w:t>
      </w:r>
      <w:r>
        <w:rPr>
          <w:rFonts w:ascii="Arial" w:cs="Arial" w:eastAsia="Arial" w:hAnsi="Arial"/>
          <w:sz w:val="18"/>
          <w:szCs w:val="18"/>
          <w:color w:val="auto"/>
        </w:rPr>
        <w:t>– AC Immune SA (NASDAQ: ACIU), a clinical-stage biopharmaceutical company pioneering</w:t>
      </w:r>
      <w:r>
        <w:rPr>
          <w:rFonts w:ascii="Arial" w:cs="Arial" w:eastAsia="Arial" w:hAnsi="Arial"/>
          <w:sz w:val="18"/>
          <w:szCs w:val="18"/>
          <w:b w:val="1"/>
          <w:bCs w:val="1"/>
          <w:color w:val="auto"/>
        </w:rPr>
        <w:t xml:space="preserve"> </w:t>
      </w:r>
      <w:r>
        <w:rPr>
          <w:rFonts w:ascii="Arial" w:cs="Arial" w:eastAsia="Arial" w:hAnsi="Arial"/>
          <w:sz w:val="18"/>
          <w:szCs w:val="18"/>
          <w:color w:val="auto"/>
        </w:rPr>
        <w:t>precision medicine for neurodegenerative diseases, today reported its financial results for the quarter ended June 30, 2021, and provided a corporate update.</w:t>
      </w:r>
    </w:p>
    <w:p>
      <w:pPr>
        <w:spacing w:after="0" w:line="17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Prof. Andrea Pfeifer, CEO of AC Immune SA, commented: “AC Immune continues its expansion with the transformative acquisition of PD01, which significantly strengthens our active vaccines portfolio by adding a clinically validated candidate in Parkinson’s disease, whilst maintaining a strong financial position of CHF 199.1 million in cash. In Q1, the Company released positive data on the safety and immunogenicity of ACI-24 and ACI-35.030, our anti-Abeta and anti-Tau vaccines in Alzheimer’s disease. We firmly believe that a vaccine approach coupled with the right diagnostic tools can bring an alternative therapeutic approach to prevent neurodegenerative diseases in large populations, like for Covid-19.”</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 2021 and Subsequent Highlights</w:t>
      </w:r>
    </w:p>
    <w:p>
      <w:pPr>
        <w:spacing w:after="0" w:line="220" w:lineRule="exact"/>
        <w:rPr>
          <w:sz w:val="20"/>
          <w:szCs w:val="20"/>
          <w:color w:val="auto"/>
        </w:rPr>
      </w:pPr>
    </w:p>
    <w:p>
      <w:pPr>
        <w:jc w:val="both"/>
        <w:ind w:left="660" w:hanging="328"/>
        <w:spacing w:after="0" w:line="224" w:lineRule="auto"/>
        <w:tabs>
          <w:tab w:leader="none" w:pos="660" w:val="left"/>
        </w:tabs>
        <w:numPr>
          <w:ilvl w:val="0"/>
          <w:numId w:val="181"/>
        </w:numPr>
        <w:rPr>
          <w:rFonts w:ascii="Arial" w:cs="Arial" w:eastAsia="Arial" w:hAnsi="Arial"/>
          <w:sz w:val="22"/>
          <w:szCs w:val="22"/>
          <w:color w:val="C00000"/>
        </w:rPr>
      </w:pPr>
      <w:r>
        <w:rPr>
          <w:rFonts w:ascii="Arial" w:cs="Arial" w:eastAsia="Arial" w:hAnsi="Arial"/>
          <w:sz w:val="18"/>
          <w:szCs w:val="18"/>
          <w:color w:val="auto"/>
        </w:rPr>
        <w:t xml:space="preserve">Announced </w:t>
      </w:r>
      <w:r>
        <w:rPr>
          <w:rFonts w:ascii="Arial" w:cs="Arial" w:eastAsia="Arial" w:hAnsi="Arial"/>
          <w:sz w:val="18"/>
          <w:szCs w:val="18"/>
          <w:u w:val="single" w:color="auto"/>
          <w:color w:val="0000FF"/>
        </w:rPr>
        <w:t>an all-stock acquisition of Affiris’ portfolio of therapeutics targeting alpha-synuclein</w:t>
      </w:r>
      <w:r>
        <w:rPr>
          <w:rFonts w:ascii="Arial" w:cs="Arial" w:eastAsia="Arial" w:hAnsi="Arial"/>
          <w:sz w:val="18"/>
          <w:szCs w:val="18"/>
          <w:color w:val="auto"/>
        </w:rPr>
        <w:t xml:space="preserve"> notably PD01, a clinically validated active vaccine candidate that places AC Immune at the forefront of Parkinson’s disease drug development. Through the planned acquisition and a concurrent financing, AC Immune will also strengthen its cash position and add Athos Service GmbH (Strüngmann family office), First Capital Partner GmbH (Egger Family Office), and MIG Fonds, the three lead investors in Covid-19 vaccine innovator BioNTech SE, to its shareholder base.</w:t>
      </w:r>
    </w:p>
    <w:p>
      <w:pPr>
        <w:spacing w:after="0" w:line="3" w:lineRule="exact"/>
        <w:rPr>
          <w:rFonts w:ascii="Arial" w:cs="Arial" w:eastAsia="Arial" w:hAnsi="Arial"/>
          <w:sz w:val="22"/>
          <w:szCs w:val="22"/>
          <w:color w:val="C00000"/>
        </w:rPr>
      </w:pPr>
    </w:p>
    <w:p>
      <w:pPr>
        <w:jc w:val="both"/>
        <w:ind w:left="660" w:hanging="328"/>
        <w:spacing w:after="0" w:line="226" w:lineRule="auto"/>
        <w:tabs>
          <w:tab w:leader="none" w:pos="660" w:val="left"/>
        </w:tabs>
        <w:numPr>
          <w:ilvl w:val="0"/>
          <w:numId w:val="181"/>
        </w:numPr>
        <w:rPr>
          <w:rFonts w:ascii="Arial" w:cs="Arial" w:eastAsia="Arial" w:hAnsi="Arial"/>
          <w:sz w:val="22"/>
          <w:szCs w:val="22"/>
          <w:color w:val="C00000"/>
        </w:rPr>
      </w:pPr>
      <w:r>
        <w:rPr>
          <w:rFonts w:ascii="Arial" w:cs="Arial" w:eastAsia="Arial" w:hAnsi="Arial"/>
          <w:sz w:val="18"/>
          <w:szCs w:val="18"/>
          <w:color w:val="auto"/>
        </w:rPr>
        <w:t xml:space="preserve">Presented </w:t>
      </w:r>
      <w:r>
        <w:rPr>
          <w:rFonts w:ascii="Arial" w:cs="Arial" w:eastAsia="Arial" w:hAnsi="Arial"/>
          <w:sz w:val="18"/>
          <w:szCs w:val="18"/>
          <w:u w:val="single" w:color="auto"/>
          <w:color w:val="0000FF"/>
        </w:rPr>
        <w:t>the full results</w:t>
      </w:r>
      <w:r>
        <w:rPr>
          <w:rFonts w:ascii="Arial" w:cs="Arial" w:eastAsia="Arial" w:hAnsi="Arial"/>
          <w:sz w:val="18"/>
          <w:szCs w:val="18"/>
          <w:color w:val="auto"/>
        </w:rPr>
        <w:t xml:space="preserve"> from the landmark Phase 1b clinical trial evaluating the anti-Abeta vaccine ACI-24 in subjects with Down syndrome at the Alzheimer’s Association International Conference (AAIC) 2021, showing that ACI-24 generated evidence of immunogenicity along with a positive pharmacodynamic response and a favorable safety and tolerability profile. Based on these results, the Company plans to advance an optimized</w:t>
      </w:r>
    </w:p>
    <w:p>
      <w:pPr>
        <w:spacing w:after="0" w:line="338" w:lineRule="exact"/>
        <w:rPr>
          <w:sz w:val="20"/>
          <w:szCs w:val="20"/>
          <w:color w:val="auto"/>
        </w:rPr>
      </w:pPr>
    </w:p>
    <w:p>
      <w:pPr>
        <w:ind w:left="10840"/>
        <w:spacing w:after="0"/>
        <w:rPr>
          <w:sz w:val="20"/>
          <w:szCs w:val="20"/>
          <w:color w:val="auto"/>
        </w:rPr>
      </w:pPr>
      <w:r>
        <w:rPr>
          <w:rFonts w:ascii="Arial" w:cs="Arial" w:eastAsia="Arial" w:hAnsi="Arial"/>
          <w:sz w:val="18"/>
          <w:szCs w:val="18"/>
          <w:color w:val="auto"/>
        </w:rPr>
        <w:t>1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8" w:name="page79"/>
    <w:bookmarkEnd w:id="78"/>
    <w:p>
      <w:pPr>
        <w:ind w:left="660" w:right="60"/>
        <w:spacing w:after="0" w:line="231" w:lineRule="auto"/>
        <w:rPr>
          <w:sz w:val="20"/>
          <w:szCs w:val="20"/>
          <w:color w:val="auto"/>
        </w:rPr>
      </w:pPr>
      <w:r>
        <w:rPr>
          <w:rFonts w:ascii="Arial" w:cs="Arial" w:eastAsia="Arial" w:hAnsi="Arial"/>
          <w:sz w:val="18"/>
          <w:szCs w:val="18"/>
          <w:color w:val="auto"/>
        </w:rPr>
        <w:t>formulation of ACI-24 into mid-stage clinical testing to treat and prevent the progression of Down syndrome (DS)-related Alzheimer’s disease (AD).</w:t>
      </w:r>
    </w:p>
    <w:p>
      <w:pPr>
        <w:spacing w:after="0" w:line="7" w:lineRule="exact"/>
        <w:rPr>
          <w:sz w:val="20"/>
          <w:szCs w:val="20"/>
          <w:color w:val="auto"/>
        </w:rPr>
      </w:pPr>
    </w:p>
    <w:p>
      <w:pPr>
        <w:jc w:val="both"/>
        <w:ind w:left="660" w:hanging="328"/>
        <w:spacing w:after="0" w:line="224" w:lineRule="auto"/>
        <w:tabs>
          <w:tab w:leader="none" w:pos="660" w:val="left"/>
        </w:tabs>
        <w:numPr>
          <w:ilvl w:val="0"/>
          <w:numId w:val="182"/>
        </w:numPr>
        <w:rPr>
          <w:rFonts w:ascii="Arial" w:cs="Arial" w:eastAsia="Arial" w:hAnsi="Arial"/>
          <w:sz w:val="22"/>
          <w:szCs w:val="22"/>
          <w:color w:val="C00000"/>
        </w:rPr>
      </w:pPr>
      <w:r>
        <w:rPr>
          <w:rFonts w:ascii="Arial" w:cs="Arial" w:eastAsia="Arial" w:hAnsi="Arial"/>
          <w:sz w:val="18"/>
          <w:szCs w:val="18"/>
          <w:color w:val="auto"/>
        </w:rPr>
        <w:t xml:space="preserve">Provided </w:t>
      </w:r>
      <w:r>
        <w:rPr>
          <w:rFonts w:ascii="Arial" w:cs="Arial" w:eastAsia="Arial" w:hAnsi="Arial"/>
          <w:sz w:val="18"/>
          <w:szCs w:val="18"/>
          <w:u w:val="single" w:color="auto"/>
          <w:color w:val="0000FF"/>
        </w:rPr>
        <w:t>key clinical and preclinical updates</w:t>
      </w:r>
      <w:r>
        <w:rPr>
          <w:rFonts w:ascii="Arial" w:cs="Arial" w:eastAsia="Arial" w:hAnsi="Arial"/>
          <w:sz w:val="18"/>
          <w:szCs w:val="18"/>
          <w:color w:val="auto"/>
        </w:rPr>
        <w:t xml:space="preserve"> for its AD vaccine candidates targeting pathological amyloid beta (Abeta). The 18 months treatment and additional six-months safety observation is completed for all participants. The study is currently under analysis and AC Immune plans to present the results at an international Alzheimer conference. Non-human primate data further highlight the strong immunogenicity of our optimized ACI-24 formulation against pathological Abeta species, including oligomeric and pyroglutamate Abeta.</w:t>
      </w:r>
    </w:p>
    <w:p>
      <w:pPr>
        <w:spacing w:after="0" w:line="3" w:lineRule="exact"/>
        <w:rPr>
          <w:rFonts w:ascii="Arial" w:cs="Arial" w:eastAsia="Arial" w:hAnsi="Arial"/>
          <w:sz w:val="22"/>
          <w:szCs w:val="22"/>
          <w:color w:val="C00000"/>
        </w:rPr>
      </w:pPr>
    </w:p>
    <w:p>
      <w:pPr>
        <w:jc w:val="both"/>
        <w:ind w:left="660" w:hanging="328"/>
        <w:spacing w:after="0" w:line="226" w:lineRule="auto"/>
        <w:tabs>
          <w:tab w:leader="none" w:pos="660" w:val="left"/>
        </w:tabs>
        <w:numPr>
          <w:ilvl w:val="0"/>
          <w:numId w:val="182"/>
        </w:numPr>
        <w:rPr>
          <w:rFonts w:ascii="Arial" w:cs="Arial" w:eastAsia="Arial" w:hAnsi="Arial"/>
          <w:sz w:val="22"/>
          <w:szCs w:val="22"/>
          <w:color w:val="C00000"/>
        </w:rPr>
      </w:pPr>
      <w:r>
        <w:rPr>
          <w:rFonts w:ascii="Arial" w:cs="Arial" w:eastAsia="Arial" w:hAnsi="Arial"/>
          <w:sz w:val="18"/>
          <w:szCs w:val="18"/>
          <w:color w:val="auto"/>
        </w:rPr>
        <w:t xml:space="preserve">Expanded the Phase 1b/2a trial evaluating the first-in-class anti-phosphorylated-Tau (pTau) vaccine candidate </w:t>
      </w:r>
      <w:r>
        <w:rPr>
          <w:rFonts w:ascii="Arial" w:cs="Arial" w:eastAsia="Arial" w:hAnsi="Arial"/>
          <w:sz w:val="18"/>
          <w:szCs w:val="18"/>
          <w:u w:val="single" w:color="auto"/>
          <w:color w:val="0000FF"/>
        </w:rPr>
        <w:t>ACI-35.030 for the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treatment of AD</w:t>
      </w:r>
      <w:r>
        <w:rPr>
          <w:rFonts w:ascii="Arial" w:cs="Arial" w:eastAsia="Arial" w:hAnsi="Arial"/>
          <w:sz w:val="18"/>
          <w:szCs w:val="18"/>
          <w:color w:val="0000FF"/>
        </w:rPr>
        <w:t xml:space="preserve"> </w:t>
      </w:r>
      <w:r>
        <w:rPr>
          <w:rFonts w:ascii="Arial" w:cs="Arial" w:eastAsia="Arial" w:hAnsi="Arial"/>
          <w:sz w:val="18"/>
          <w:szCs w:val="18"/>
          <w:color w:val="000000"/>
        </w:rPr>
        <w:t>in collaboration with Janssen Pharmaceuticals, Inc. The trial expansion, which was based on</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encouraging interim</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safety, tolerability and immunogenicity results</w:t>
      </w:r>
      <w:r>
        <w:rPr>
          <w:rFonts w:ascii="Arial" w:cs="Arial" w:eastAsia="Arial" w:hAnsi="Arial"/>
          <w:sz w:val="18"/>
          <w:szCs w:val="18"/>
          <w:color w:val="0000FF"/>
        </w:rPr>
        <w:t xml:space="preserve"> </w:t>
      </w:r>
      <w:r>
        <w:rPr>
          <w:rFonts w:ascii="Arial" w:cs="Arial" w:eastAsia="Arial" w:hAnsi="Arial"/>
          <w:sz w:val="18"/>
          <w:szCs w:val="18"/>
          <w:color w:val="000000"/>
        </w:rPr>
        <w:t>to date, specifically includes vaccination of additional AD patients at the second</w:t>
      </w:r>
      <w:r>
        <w:rPr>
          <w:rFonts w:ascii="Arial" w:cs="Arial" w:eastAsia="Arial" w:hAnsi="Arial"/>
          <w:sz w:val="18"/>
          <w:szCs w:val="18"/>
          <w:color w:val="0000FF"/>
        </w:rPr>
        <w:t xml:space="preserve"> </w:t>
      </w:r>
      <w:r>
        <w:rPr>
          <w:rFonts w:ascii="Arial" w:cs="Arial" w:eastAsia="Arial" w:hAnsi="Arial"/>
          <w:sz w:val="18"/>
          <w:szCs w:val="18"/>
          <w:color w:val="000000"/>
        </w:rPr>
        <w:t>highest dose to support continued development of ACI-35.030.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Achieved and Anticipated 2021 milestones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Clinical Milestones</w:t>
      </w:r>
    </w:p>
    <w:p>
      <w:pPr>
        <w:spacing w:after="0" w:line="6" w:lineRule="exact"/>
        <w:rPr>
          <w:sz w:val="20"/>
          <w:szCs w:val="20"/>
          <w:color w:val="auto"/>
        </w:rPr>
      </w:pPr>
    </w:p>
    <w:p>
      <w:pPr>
        <w:ind w:left="660" w:hanging="328"/>
        <w:spacing w:after="0" w:line="211" w:lineRule="auto"/>
        <w:tabs>
          <w:tab w:leader="none" w:pos="660" w:val="left"/>
        </w:tabs>
        <w:numPr>
          <w:ilvl w:val="0"/>
          <w:numId w:val="183"/>
        </w:numPr>
        <w:rPr>
          <w:rFonts w:ascii="Arial" w:cs="Arial" w:eastAsia="Arial" w:hAnsi="Arial"/>
          <w:sz w:val="22"/>
          <w:szCs w:val="22"/>
          <w:color w:val="C00000"/>
        </w:rPr>
      </w:pPr>
      <w:r>
        <w:rPr>
          <w:rFonts w:ascii="Arial" w:cs="Arial" w:eastAsia="Arial" w:hAnsi="Arial"/>
          <w:sz w:val="18"/>
          <w:szCs w:val="18"/>
          <w:color w:val="auto"/>
        </w:rPr>
        <w:t>ACI-35.030 anti-pTau vaccine: reported Phase 1b/2a interim results in AD patients in Q1 (second highest dose); further Phase 1b/2a interim analysis in Q4 (highest dose)</w:t>
      </w:r>
    </w:p>
    <w:p>
      <w:pPr>
        <w:ind w:left="660" w:hanging="328"/>
        <w:spacing w:after="0" w:line="205" w:lineRule="auto"/>
        <w:tabs>
          <w:tab w:leader="none" w:pos="660" w:val="left"/>
        </w:tabs>
        <w:numPr>
          <w:ilvl w:val="0"/>
          <w:numId w:val="183"/>
        </w:numPr>
        <w:rPr>
          <w:rFonts w:ascii="Arial" w:cs="Arial" w:eastAsia="Arial" w:hAnsi="Arial"/>
          <w:sz w:val="22"/>
          <w:szCs w:val="22"/>
          <w:color w:val="C00000"/>
        </w:rPr>
      </w:pPr>
      <w:r>
        <w:rPr>
          <w:rFonts w:ascii="Arial" w:cs="Arial" w:eastAsia="Arial" w:hAnsi="Arial"/>
          <w:sz w:val="18"/>
          <w:szCs w:val="18"/>
          <w:color w:val="auto"/>
        </w:rPr>
        <w:t>JACI-35.054 alternative anti-pTau vaccine: reported a Phase 1b/2a interim analysis in AD patients in Q2 (low dose)</w:t>
      </w:r>
    </w:p>
    <w:p>
      <w:pPr>
        <w:spacing w:after="0" w:line="26" w:lineRule="exact"/>
        <w:rPr>
          <w:rFonts w:ascii="Arial" w:cs="Arial" w:eastAsia="Arial" w:hAnsi="Arial"/>
          <w:sz w:val="22"/>
          <w:szCs w:val="22"/>
          <w:color w:val="C00000"/>
        </w:rPr>
      </w:pPr>
    </w:p>
    <w:p>
      <w:pPr>
        <w:ind w:left="660" w:right="20" w:hanging="328"/>
        <w:spacing w:after="0" w:line="211" w:lineRule="auto"/>
        <w:tabs>
          <w:tab w:leader="none" w:pos="660" w:val="left"/>
        </w:tabs>
        <w:numPr>
          <w:ilvl w:val="0"/>
          <w:numId w:val="183"/>
        </w:numPr>
        <w:rPr>
          <w:rFonts w:ascii="Arial" w:cs="Arial" w:eastAsia="Arial" w:hAnsi="Arial"/>
          <w:sz w:val="22"/>
          <w:szCs w:val="22"/>
          <w:color w:val="C00000"/>
        </w:rPr>
      </w:pPr>
      <w:r>
        <w:rPr>
          <w:rFonts w:ascii="Arial" w:cs="Arial" w:eastAsia="Arial" w:hAnsi="Arial"/>
          <w:sz w:val="18"/>
          <w:szCs w:val="18"/>
          <w:color w:val="auto"/>
        </w:rPr>
        <w:t>Alpha-synuclein PET imaging agent: advanced third-generation candidate to first-in-human clinical study in Q1; readout expected in Q3</w:t>
      </w:r>
    </w:p>
    <w:p>
      <w:pPr>
        <w:ind w:left="660" w:hanging="328"/>
        <w:spacing w:after="0" w:line="205" w:lineRule="auto"/>
        <w:tabs>
          <w:tab w:leader="none" w:pos="660" w:val="left"/>
        </w:tabs>
        <w:numPr>
          <w:ilvl w:val="0"/>
          <w:numId w:val="183"/>
        </w:numPr>
        <w:rPr>
          <w:rFonts w:ascii="Arial" w:cs="Arial" w:eastAsia="Arial" w:hAnsi="Arial"/>
          <w:sz w:val="22"/>
          <w:szCs w:val="22"/>
          <w:color w:val="C00000"/>
        </w:rPr>
      </w:pPr>
      <w:r>
        <w:rPr>
          <w:rFonts w:ascii="Arial" w:cs="Arial" w:eastAsia="Arial" w:hAnsi="Arial"/>
          <w:sz w:val="18"/>
          <w:szCs w:val="18"/>
          <w:color w:val="auto"/>
        </w:rPr>
        <w:t>ACI-24 anti-Abeta vaccine in DS: reported Phase 1b topline results in Q1</w:t>
      </w:r>
    </w:p>
    <w:p>
      <w:pPr>
        <w:spacing w:after="0" w:line="26" w:lineRule="exact"/>
        <w:rPr>
          <w:rFonts w:ascii="Arial" w:cs="Arial" w:eastAsia="Arial" w:hAnsi="Arial"/>
          <w:sz w:val="22"/>
          <w:szCs w:val="22"/>
          <w:color w:val="C00000"/>
        </w:rPr>
      </w:pPr>
    </w:p>
    <w:p>
      <w:pPr>
        <w:ind w:left="660" w:hanging="328"/>
        <w:spacing w:after="0" w:line="205" w:lineRule="auto"/>
        <w:tabs>
          <w:tab w:leader="none" w:pos="660" w:val="left"/>
        </w:tabs>
        <w:numPr>
          <w:ilvl w:val="0"/>
          <w:numId w:val="183"/>
        </w:numPr>
        <w:rPr>
          <w:rFonts w:ascii="Arial" w:cs="Arial" w:eastAsia="Arial" w:hAnsi="Arial"/>
          <w:sz w:val="22"/>
          <w:szCs w:val="22"/>
          <w:color w:val="C00000"/>
        </w:rPr>
      </w:pPr>
      <w:r>
        <w:rPr>
          <w:rFonts w:ascii="Arial" w:cs="Arial" w:eastAsia="Arial" w:hAnsi="Arial"/>
          <w:sz w:val="18"/>
          <w:szCs w:val="18"/>
          <w:color w:val="auto"/>
        </w:rPr>
        <w:t>ACI-24 in AD: reported Phase 2, 12-month interim analysis in Q1; reported 18-month interim analysis in Q2</w:t>
      </w:r>
    </w:p>
    <w:p>
      <w:pPr>
        <w:spacing w:after="0" w:line="26" w:lineRule="exact"/>
        <w:rPr>
          <w:rFonts w:ascii="Arial" w:cs="Arial" w:eastAsia="Arial" w:hAnsi="Arial"/>
          <w:sz w:val="22"/>
          <w:szCs w:val="22"/>
          <w:color w:val="C00000"/>
        </w:rPr>
      </w:pPr>
    </w:p>
    <w:p>
      <w:pPr>
        <w:ind w:left="660" w:hanging="328"/>
        <w:spacing w:after="0" w:line="205" w:lineRule="auto"/>
        <w:tabs>
          <w:tab w:leader="none" w:pos="660" w:val="left"/>
        </w:tabs>
        <w:numPr>
          <w:ilvl w:val="0"/>
          <w:numId w:val="183"/>
        </w:numPr>
        <w:rPr>
          <w:rFonts w:ascii="Arial" w:cs="Arial" w:eastAsia="Arial" w:hAnsi="Arial"/>
          <w:sz w:val="22"/>
          <w:szCs w:val="22"/>
          <w:color w:val="C00000"/>
        </w:rPr>
      </w:pPr>
      <w:r>
        <w:rPr>
          <w:rFonts w:ascii="Arial" w:cs="Arial" w:eastAsia="Arial" w:hAnsi="Arial"/>
          <w:sz w:val="18"/>
          <w:szCs w:val="18"/>
          <w:color w:val="auto"/>
        </w:rPr>
        <w:t>Semorinemab anti-Tau antibody: Phase 2 trial primary completion (estimated last patient, last visit) in moderate AD in Q3</w:t>
      </w:r>
    </w:p>
    <w:p>
      <w:pPr>
        <w:spacing w:after="0" w:line="37" w:lineRule="exact"/>
        <w:rPr>
          <w:rFonts w:ascii="Arial" w:cs="Arial" w:eastAsia="Arial" w:hAnsi="Arial"/>
          <w:sz w:val="22"/>
          <w:szCs w:val="22"/>
          <w:color w:val="C00000"/>
        </w:rPr>
      </w:pPr>
    </w:p>
    <w:p>
      <w:pPr>
        <w:ind w:left="660" w:hanging="328"/>
        <w:spacing w:after="0" w:line="186" w:lineRule="auto"/>
        <w:tabs>
          <w:tab w:leader="none" w:pos="660" w:val="left"/>
        </w:tabs>
        <w:numPr>
          <w:ilvl w:val="0"/>
          <w:numId w:val="183"/>
        </w:numPr>
        <w:rPr>
          <w:rFonts w:ascii="Arial" w:cs="Arial" w:eastAsia="Arial" w:hAnsi="Arial"/>
          <w:sz w:val="20"/>
          <w:szCs w:val="20"/>
          <w:color w:val="C00000"/>
        </w:rPr>
      </w:pPr>
      <w:r>
        <w:rPr>
          <w:rFonts w:ascii="Arial" w:cs="Arial" w:eastAsia="Arial" w:hAnsi="Arial"/>
          <w:sz w:val="16"/>
          <w:szCs w:val="16"/>
          <w:color w:val="auto"/>
        </w:rPr>
        <w:t>ACI-3024 small molecule Morphomer</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Tau aggregation inhibitor: select NeuroOrphan indication for further development in H2</w:t>
      </w:r>
    </w:p>
    <w:p>
      <w:pPr>
        <w:ind w:left="660" w:hanging="328"/>
        <w:spacing w:after="0" w:line="205" w:lineRule="auto"/>
        <w:tabs>
          <w:tab w:leader="none" w:pos="660" w:val="left"/>
        </w:tabs>
        <w:numPr>
          <w:ilvl w:val="0"/>
          <w:numId w:val="183"/>
        </w:numPr>
        <w:rPr>
          <w:rFonts w:ascii="Arial" w:cs="Arial" w:eastAsia="Arial" w:hAnsi="Arial"/>
          <w:sz w:val="22"/>
          <w:szCs w:val="22"/>
          <w:color w:val="C00000"/>
        </w:rPr>
      </w:pPr>
      <w:r>
        <w:rPr>
          <w:rFonts w:ascii="Arial" w:cs="Arial" w:eastAsia="Arial" w:hAnsi="Arial"/>
          <w:sz w:val="18"/>
          <w:szCs w:val="18"/>
          <w:color w:val="auto"/>
        </w:rPr>
        <w:t>ACI-24 in DS: submit investigational new drug (IND) application for optimized vaccine formulation in Q4</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Preclinical Milestones</w:t>
      </w:r>
    </w:p>
    <w:p>
      <w:pPr>
        <w:ind w:left="660" w:hanging="328"/>
        <w:spacing w:after="0" w:line="214" w:lineRule="auto"/>
        <w:tabs>
          <w:tab w:leader="none" w:pos="660" w:val="left"/>
        </w:tabs>
        <w:numPr>
          <w:ilvl w:val="0"/>
          <w:numId w:val="184"/>
        </w:numPr>
        <w:rPr>
          <w:rFonts w:ascii="Arial" w:cs="Arial" w:eastAsia="Arial" w:hAnsi="Arial"/>
          <w:sz w:val="22"/>
          <w:szCs w:val="22"/>
          <w:color w:val="C00000"/>
        </w:rPr>
      </w:pPr>
      <w:r>
        <w:rPr>
          <w:rFonts w:ascii="Arial" w:cs="Arial" w:eastAsia="Arial" w:hAnsi="Arial"/>
          <w:sz w:val="18"/>
          <w:szCs w:val="18"/>
          <w:color w:val="auto"/>
        </w:rPr>
        <w:t xml:space="preserve">Alpha-synuclein small molecule inhibitor: identified first biologically active small molecule in Q1; start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proof-of-concept studies in Q3</w:t>
      </w:r>
    </w:p>
    <w:p>
      <w:pPr>
        <w:ind w:left="660" w:hanging="328"/>
        <w:spacing w:after="0" w:line="205" w:lineRule="auto"/>
        <w:tabs>
          <w:tab w:leader="none" w:pos="660" w:val="left"/>
        </w:tabs>
        <w:numPr>
          <w:ilvl w:val="0"/>
          <w:numId w:val="184"/>
        </w:numPr>
        <w:rPr>
          <w:rFonts w:ascii="Arial" w:cs="Arial" w:eastAsia="Arial" w:hAnsi="Arial"/>
          <w:sz w:val="22"/>
          <w:szCs w:val="22"/>
          <w:color w:val="C00000"/>
        </w:rPr>
      </w:pPr>
      <w:r>
        <w:rPr>
          <w:rFonts w:ascii="Arial" w:cs="Arial" w:eastAsia="Arial" w:hAnsi="Arial"/>
          <w:sz w:val="18"/>
          <w:szCs w:val="18"/>
          <w:color w:val="auto"/>
        </w:rPr>
        <w:t>TDP-43 imaging agent: initiate investigational new drug (IND)-enabling studies in Q3</w:t>
      </w:r>
    </w:p>
    <w:p>
      <w:pPr>
        <w:spacing w:after="0" w:line="37" w:lineRule="exact"/>
        <w:rPr>
          <w:rFonts w:ascii="Arial" w:cs="Arial" w:eastAsia="Arial" w:hAnsi="Arial"/>
          <w:sz w:val="22"/>
          <w:szCs w:val="22"/>
          <w:color w:val="C00000"/>
        </w:rPr>
      </w:pPr>
    </w:p>
    <w:p>
      <w:pPr>
        <w:ind w:left="660" w:hanging="328"/>
        <w:spacing w:after="0" w:line="199" w:lineRule="auto"/>
        <w:tabs>
          <w:tab w:leader="none" w:pos="660" w:val="left"/>
        </w:tabs>
        <w:numPr>
          <w:ilvl w:val="0"/>
          <w:numId w:val="184"/>
        </w:numPr>
        <w:rPr>
          <w:rFonts w:ascii="Arial" w:cs="Arial" w:eastAsia="Arial" w:hAnsi="Arial"/>
          <w:sz w:val="22"/>
          <w:szCs w:val="22"/>
          <w:color w:val="C00000"/>
        </w:rPr>
      </w:pPr>
      <w:r>
        <w:rPr>
          <w:rFonts w:ascii="Arial" w:cs="Arial" w:eastAsia="Arial" w:hAnsi="Arial"/>
          <w:sz w:val="18"/>
          <w:szCs w:val="18"/>
          <w:color w:val="auto"/>
        </w:rPr>
        <w:t>Morphomer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NLRP3-ASC: report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proof-of-concept results in a non-central nervous system (CNS) disease model and begin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proof-of-concept studies with validated candidate in CNS in Q4</w:t>
      </w:r>
    </w:p>
    <w:p>
      <w:pPr>
        <w:spacing w:after="0" w:line="338" w:lineRule="exact"/>
        <w:rPr>
          <w:sz w:val="20"/>
          <w:szCs w:val="20"/>
          <w:color w:val="auto"/>
        </w:rPr>
      </w:pPr>
    </w:p>
    <w:p>
      <w:pPr>
        <w:ind w:left="10840"/>
        <w:spacing w:after="0"/>
        <w:rPr>
          <w:sz w:val="20"/>
          <w:szCs w:val="20"/>
          <w:color w:val="auto"/>
        </w:rPr>
      </w:pPr>
      <w:r>
        <w:rPr>
          <w:rFonts w:ascii="Arial" w:cs="Arial" w:eastAsia="Arial" w:hAnsi="Arial"/>
          <w:sz w:val="18"/>
          <w:szCs w:val="18"/>
          <w:color w:val="auto"/>
        </w:rPr>
        <w:t>2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9" w:name="page80"/>
    <w:bookmarkEnd w:id="79"/>
    <w:p>
      <w:pPr>
        <w:ind w:left="660" w:hanging="328"/>
        <w:spacing w:after="0"/>
        <w:tabs>
          <w:tab w:leader="none" w:pos="660" w:val="left"/>
        </w:tabs>
        <w:numPr>
          <w:ilvl w:val="0"/>
          <w:numId w:val="185"/>
        </w:numPr>
        <w:rPr>
          <w:rFonts w:ascii="Arial" w:cs="Arial" w:eastAsia="Arial" w:hAnsi="Arial"/>
          <w:sz w:val="22"/>
          <w:szCs w:val="22"/>
          <w:color w:val="C00000"/>
        </w:rPr>
      </w:pPr>
      <w:r>
        <w:rPr>
          <w:rFonts w:ascii="Arial" w:cs="Arial" w:eastAsia="Arial" w:hAnsi="Arial"/>
          <w:sz w:val="18"/>
          <w:szCs w:val="18"/>
          <w:color w:val="auto"/>
        </w:rPr>
        <w:t xml:space="preserve">Anti-NLRP3-ASC antibody: begin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proof-of-concept studies in Q4</w:t>
      </w:r>
    </w:p>
    <w:p>
      <w:pPr>
        <w:spacing w:after="0" w:line="26" w:lineRule="exact"/>
        <w:rPr>
          <w:rFonts w:ascii="Arial" w:cs="Arial" w:eastAsia="Arial" w:hAnsi="Arial"/>
          <w:sz w:val="22"/>
          <w:szCs w:val="22"/>
          <w:color w:val="C00000"/>
        </w:rPr>
      </w:pPr>
    </w:p>
    <w:p>
      <w:pPr>
        <w:ind w:left="660" w:hanging="328"/>
        <w:spacing w:after="0" w:line="205" w:lineRule="auto"/>
        <w:tabs>
          <w:tab w:leader="none" w:pos="660" w:val="left"/>
        </w:tabs>
        <w:numPr>
          <w:ilvl w:val="0"/>
          <w:numId w:val="185"/>
        </w:numPr>
        <w:rPr>
          <w:rFonts w:ascii="Arial" w:cs="Arial" w:eastAsia="Arial" w:hAnsi="Arial"/>
          <w:sz w:val="22"/>
          <w:szCs w:val="22"/>
          <w:color w:val="C00000"/>
        </w:rPr>
      </w:pPr>
      <w:r>
        <w:rPr>
          <w:rFonts w:ascii="Arial" w:cs="Arial" w:eastAsia="Arial" w:hAnsi="Arial"/>
          <w:sz w:val="18"/>
          <w:szCs w:val="18"/>
          <w:color w:val="auto"/>
        </w:rPr>
        <w:t>Anti-TDP-43 antibody: initiate IND-enabling toxicology studies in Q4</w:t>
      </w:r>
    </w:p>
    <w:p>
      <w:pPr>
        <w:spacing w:after="0" w:line="26" w:lineRule="exact"/>
        <w:rPr>
          <w:rFonts w:ascii="Arial" w:cs="Arial" w:eastAsia="Arial" w:hAnsi="Arial"/>
          <w:sz w:val="22"/>
          <w:szCs w:val="22"/>
          <w:color w:val="C00000"/>
        </w:rPr>
      </w:pPr>
    </w:p>
    <w:p>
      <w:pPr>
        <w:ind w:left="660" w:hanging="328"/>
        <w:spacing w:after="0" w:line="205" w:lineRule="auto"/>
        <w:tabs>
          <w:tab w:leader="none" w:pos="660" w:val="left"/>
        </w:tabs>
        <w:numPr>
          <w:ilvl w:val="0"/>
          <w:numId w:val="185"/>
        </w:numPr>
        <w:rPr>
          <w:rFonts w:ascii="Arial" w:cs="Arial" w:eastAsia="Arial" w:hAnsi="Arial"/>
          <w:sz w:val="22"/>
          <w:szCs w:val="22"/>
          <w:color w:val="C00000"/>
        </w:rPr>
      </w:pPr>
      <w:r>
        <w:rPr>
          <w:rFonts w:ascii="Arial" w:cs="Arial" w:eastAsia="Arial" w:hAnsi="Arial"/>
          <w:sz w:val="18"/>
          <w:szCs w:val="18"/>
          <w:color w:val="auto"/>
        </w:rPr>
        <w:t>TDP-43 biofluid diagnostic: establish validation-ready assay in Q4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Financial Statements for the quarter ended June 30, 2021</w:t>
      </w:r>
    </w:p>
    <w:p>
      <w:pPr>
        <w:spacing w:after="0" w:line="198" w:lineRule="exact"/>
        <w:rPr>
          <w:sz w:val="20"/>
          <w:szCs w:val="20"/>
          <w:color w:val="auto"/>
        </w:rPr>
      </w:pPr>
    </w:p>
    <w:p>
      <w:pPr>
        <w:jc w:val="both"/>
        <w:ind w:left="660" w:hanging="328"/>
        <w:spacing w:after="0" w:line="228" w:lineRule="auto"/>
        <w:tabs>
          <w:tab w:leader="none" w:pos="660" w:val="left"/>
        </w:tabs>
        <w:numPr>
          <w:ilvl w:val="0"/>
          <w:numId w:val="186"/>
        </w:numPr>
        <w:rPr>
          <w:rFonts w:ascii="Arial" w:cs="Arial" w:eastAsia="Arial" w:hAnsi="Arial"/>
          <w:sz w:val="22"/>
          <w:szCs w:val="22"/>
          <w:color w:val="C00000"/>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The Company had a total cash balance of CHF 199.1 million, composed of CHF 104.1 million in cash and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and CHF 95.0 million in short-term financial assets. This compares to a total cash balance of CHF 225.9 million as of December 31, 2020. The Company’s cash balance provides enough capital resources to progress through at least Q1 2024 without consideration of potential incoming milestone payments.</w:t>
      </w:r>
    </w:p>
    <w:p>
      <w:pPr>
        <w:spacing w:after="0" w:line="1" w:lineRule="exact"/>
        <w:rPr>
          <w:rFonts w:ascii="Arial" w:cs="Arial" w:eastAsia="Arial" w:hAnsi="Arial"/>
          <w:sz w:val="22"/>
          <w:szCs w:val="22"/>
          <w:color w:val="C00000"/>
        </w:rPr>
      </w:pPr>
    </w:p>
    <w:p>
      <w:pPr>
        <w:jc w:val="both"/>
        <w:ind w:left="660" w:hanging="328"/>
        <w:spacing w:after="0" w:line="218" w:lineRule="auto"/>
        <w:tabs>
          <w:tab w:leader="none" w:pos="660" w:val="left"/>
        </w:tabs>
        <w:numPr>
          <w:ilvl w:val="0"/>
          <w:numId w:val="186"/>
        </w:numPr>
        <w:rPr>
          <w:rFonts w:ascii="Arial" w:cs="Arial" w:eastAsia="Arial" w:hAnsi="Arial"/>
          <w:sz w:val="22"/>
          <w:szCs w:val="22"/>
          <w:color w:val="C00000"/>
        </w:rPr>
      </w:pPr>
      <w:r>
        <w:rPr>
          <w:rFonts w:ascii="Arial" w:cs="Arial" w:eastAsia="Arial" w:hAnsi="Arial"/>
          <w:sz w:val="18"/>
          <w:szCs w:val="18"/>
          <w:b w:val="1"/>
          <w:bCs w:val="1"/>
          <w:color w:val="auto"/>
        </w:rPr>
        <w:t xml:space="preserve">Contract Revenues: </w:t>
      </w:r>
      <w:r>
        <w:rPr>
          <w:rFonts w:ascii="Arial" w:cs="Arial" w:eastAsia="Arial" w:hAnsi="Arial"/>
          <w:sz w:val="18"/>
          <w:szCs w:val="18"/>
          <w:color w:val="auto"/>
        </w:rPr>
        <w:t>The Company did not record contract revenues for the three months ended June 30, 2021, a decrease of CHF</w:t>
      </w:r>
      <w:r>
        <w:rPr>
          <w:rFonts w:ascii="Arial" w:cs="Arial" w:eastAsia="Arial" w:hAnsi="Arial"/>
          <w:sz w:val="18"/>
          <w:szCs w:val="18"/>
          <w:b w:val="1"/>
          <w:bCs w:val="1"/>
          <w:color w:val="auto"/>
        </w:rPr>
        <w:t xml:space="preserve"> </w:t>
      </w:r>
      <w:r>
        <w:rPr>
          <w:rFonts w:ascii="Arial" w:cs="Arial" w:eastAsia="Arial" w:hAnsi="Arial"/>
          <w:sz w:val="18"/>
          <w:szCs w:val="18"/>
          <w:color w:val="auto"/>
        </w:rPr>
        <w:t>1.1 million from the comparable period. The overall decrease is predominantly related to CHF 0.9 million of contract revenue associated with R&amp;D activities in our agreement with Lilly that were recognized in 2020 and did not repeat in the current period.</w:t>
      </w:r>
    </w:p>
    <w:p>
      <w:pPr>
        <w:spacing w:after="0" w:line="1" w:lineRule="exact"/>
        <w:rPr>
          <w:rFonts w:ascii="Arial" w:cs="Arial" w:eastAsia="Arial" w:hAnsi="Arial"/>
          <w:sz w:val="22"/>
          <w:szCs w:val="22"/>
          <w:color w:val="C00000"/>
        </w:rPr>
      </w:pPr>
    </w:p>
    <w:p>
      <w:pPr>
        <w:ind w:left="660" w:hanging="328"/>
        <w:spacing w:after="0" w:line="205" w:lineRule="auto"/>
        <w:tabs>
          <w:tab w:leader="none" w:pos="660" w:val="left"/>
        </w:tabs>
        <w:numPr>
          <w:ilvl w:val="0"/>
          <w:numId w:val="186"/>
        </w:numPr>
        <w:rPr>
          <w:rFonts w:ascii="Arial" w:cs="Arial" w:eastAsia="Arial" w:hAnsi="Arial"/>
          <w:sz w:val="22"/>
          <w:szCs w:val="22"/>
          <w:color w:val="C00000"/>
        </w:rPr>
      </w:pPr>
      <w:r>
        <w:rPr>
          <w:rFonts w:ascii="Arial" w:cs="Arial" w:eastAsia="Arial" w:hAnsi="Arial"/>
          <w:sz w:val="18"/>
          <w:szCs w:val="18"/>
          <w:b w:val="1"/>
          <w:bCs w:val="1"/>
          <w:color w:val="auto"/>
        </w:rPr>
        <w:t xml:space="preserve">R&amp;D Expenditures: </w:t>
      </w:r>
      <w:r>
        <w:rPr>
          <w:rFonts w:ascii="Arial" w:cs="Arial" w:eastAsia="Arial" w:hAnsi="Arial"/>
          <w:sz w:val="18"/>
          <w:szCs w:val="18"/>
          <w:color w:val="auto"/>
        </w:rPr>
        <w:t>R&amp;D expenses increased by CHF 0.9 million for the three months ended June 30, 2021, to CHF 13.7 million.</w:t>
      </w:r>
    </w:p>
    <w:p>
      <w:pPr>
        <w:spacing w:after="0" w:line="27" w:lineRule="exact"/>
        <w:rPr>
          <w:sz w:val="20"/>
          <w:szCs w:val="20"/>
          <w:color w:val="auto"/>
        </w:rPr>
      </w:pPr>
    </w:p>
    <w:p>
      <w:pPr>
        <w:jc w:val="both"/>
        <w:ind w:left="1300" w:hanging="320"/>
        <w:spacing w:after="0" w:line="213" w:lineRule="auto"/>
        <w:tabs>
          <w:tab w:leader="none" w:pos="1300" w:val="left"/>
        </w:tabs>
        <w:numPr>
          <w:ilvl w:val="1"/>
          <w:numId w:val="187"/>
        </w:numPr>
        <w:rPr>
          <w:rFonts w:ascii="Arial" w:cs="Arial" w:eastAsia="Arial" w:hAnsi="Arial"/>
          <w:sz w:val="18"/>
          <w:szCs w:val="18"/>
          <w:color w:val="auto"/>
        </w:rPr>
      </w:pPr>
      <w:r>
        <w:rPr>
          <w:rFonts w:ascii="Arial" w:cs="Arial" w:eastAsia="Arial" w:hAnsi="Arial"/>
          <w:sz w:val="18"/>
          <w:szCs w:val="18"/>
          <w:b w:val="1"/>
          <w:bCs w:val="1"/>
          <w:color w:val="auto"/>
        </w:rPr>
        <w:t xml:space="preserve">Discovery and preclinical expenses (+0.8 million): </w:t>
      </w:r>
      <w:r>
        <w:rPr>
          <w:rFonts w:ascii="Arial" w:cs="Arial" w:eastAsia="Arial" w:hAnsi="Arial"/>
          <w:sz w:val="18"/>
          <w:szCs w:val="18"/>
          <w:color w:val="auto"/>
        </w:rPr>
        <w:t>The Company increased expenditures across a variety of its discovery</w:t>
      </w:r>
      <w:r>
        <w:rPr>
          <w:rFonts w:ascii="Arial" w:cs="Arial" w:eastAsia="Arial" w:hAnsi="Arial"/>
          <w:sz w:val="18"/>
          <w:szCs w:val="18"/>
          <w:b w:val="1"/>
          <w:bCs w:val="1"/>
          <w:color w:val="auto"/>
        </w:rPr>
        <w:t xml:space="preserve"> </w:t>
      </w:r>
      <w:r>
        <w:rPr>
          <w:rFonts w:ascii="Arial" w:cs="Arial" w:eastAsia="Arial" w:hAnsi="Arial"/>
          <w:sz w:val="18"/>
          <w:szCs w:val="18"/>
          <w:color w:val="auto"/>
        </w:rPr>
        <w:t>and preclinical programs. These include investments for the development of our anti-TDP-43 antibody with the initiation of IND-enabling studies, the expansion of our Morphomer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Tau program into NeuroOrphan indications and various other investments across our programs.</w:t>
      </w:r>
    </w:p>
    <w:p>
      <w:pPr>
        <w:spacing w:after="0" w:line="3" w:lineRule="exact"/>
        <w:rPr>
          <w:rFonts w:ascii="Arial" w:cs="Arial" w:eastAsia="Arial" w:hAnsi="Arial"/>
          <w:sz w:val="18"/>
          <w:szCs w:val="18"/>
          <w:color w:val="auto"/>
        </w:rPr>
      </w:pPr>
    </w:p>
    <w:p>
      <w:pPr>
        <w:jc w:val="both"/>
        <w:ind w:left="1300" w:hanging="320"/>
        <w:spacing w:after="0" w:line="217" w:lineRule="auto"/>
        <w:tabs>
          <w:tab w:leader="none" w:pos="1300" w:val="left"/>
        </w:tabs>
        <w:numPr>
          <w:ilvl w:val="1"/>
          <w:numId w:val="187"/>
        </w:numPr>
        <w:rPr>
          <w:rFonts w:ascii="Arial" w:cs="Arial" w:eastAsia="Arial" w:hAnsi="Arial"/>
          <w:sz w:val="18"/>
          <w:szCs w:val="18"/>
          <w:color w:val="auto"/>
        </w:rPr>
      </w:pPr>
      <w:r>
        <w:rPr>
          <w:rFonts w:ascii="Arial" w:cs="Arial" w:eastAsia="Arial" w:hAnsi="Arial"/>
          <w:sz w:val="18"/>
          <w:szCs w:val="18"/>
          <w:b w:val="1"/>
          <w:bCs w:val="1"/>
          <w:color w:val="auto"/>
        </w:rPr>
        <w:t xml:space="preserve">Clinical expenses (-0.6 million): </w:t>
      </w:r>
      <w:r>
        <w:rPr>
          <w:rFonts w:ascii="Arial" w:cs="Arial" w:eastAsia="Arial" w:hAnsi="Arial"/>
          <w:sz w:val="18"/>
          <w:szCs w:val="18"/>
          <w:color w:val="auto"/>
        </w:rPr>
        <w:t>The Company decreased expenditures across multiple clinical programs, as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activities completed or incurred significant scaling up in the prior period. For example, the Company completed its clinical activities of the Phase 1 trial of our Morphomer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Tau asset in partnership with Lilly. Additionally, the Company incurred less expense for ACI-24 for DS-related AD as a result of prior period scaling up activities for a Phase 2 clinical trial which were not repeated in the current period.</w:t>
      </w:r>
    </w:p>
    <w:p>
      <w:pPr>
        <w:spacing w:after="0" w:line="2" w:lineRule="exact"/>
        <w:rPr>
          <w:rFonts w:ascii="Arial" w:cs="Arial" w:eastAsia="Arial" w:hAnsi="Arial"/>
          <w:sz w:val="18"/>
          <w:szCs w:val="18"/>
          <w:color w:val="auto"/>
        </w:rPr>
      </w:pPr>
    </w:p>
    <w:p>
      <w:pPr>
        <w:jc w:val="both"/>
        <w:ind w:left="1300" w:hanging="320"/>
        <w:spacing w:after="0" w:line="234" w:lineRule="auto"/>
        <w:tabs>
          <w:tab w:leader="none" w:pos="1300" w:val="left"/>
        </w:tabs>
        <w:numPr>
          <w:ilvl w:val="1"/>
          <w:numId w:val="187"/>
        </w:numPr>
        <w:rPr>
          <w:rFonts w:ascii="Arial" w:cs="Arial" w:eastAsia="Arial" w:hAnsi="Arial"/>
          <w:sz w:val="18"/>
          <w:szCs w:val="18"/>
          <w:color w:val="auto"/>
        </w:rPr>
      </w:pPr>
      <w:r>
        <w:rPr>
          <w:rFonts w:ascii="Arial" w:cs="Arial" w:eastAsia="Arial" w:hAnsi="Arial"/>
          <w:sz w:val="18"/>
          <w:szCs w:val="18"/>
          <w:b w:val="1"/>
          <w:bCs w:val="1"/>
          <w:color w:val="auto"/>
        </w:rPr>
        <w:t xml:space="preserve">Salary- and benefit-related costs (+0.4 million): </w:t>
      </w:r>
      <w:r>
        <w:rPr>
          <w:rFonts w:ascii="Arial" w:cs="Arial" w:eastAsia="Arial" w:hAnsi="Arial"/>
          <w:sz w:val="18"/>
          <w:szCs w:val="18"/>
          <w:color w:val="auto"/>
        </w:rPr>
        <w:t>The Company’s salary- and benefit-related costs increased primarily due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internal reallocation of certain employees’ salaries and annualization of 2020 hires and increases in share-based compensation</w:t>
      </w:r>
    </w:p>
    <w:p>
      <w:pPr>
        <w:spacing w:after="0" w:line="2" w:lineRule="exact"/>
        <w:rPr>
          <w:rFonts w:ascii="Arial" w:cs="Arial" w:eastAsia="Arial" w:hAnsi="Arial"/>
          <w:sz w:val="18"/>
          <w:szCs w:val="18"/>
          <w:color w:val="auto"/>
        </w:rPr>
      </w:pPr>
    </w:p>
    <w:p>
      <w:pPr>
        <w:jc w:val="both"/>
        <w:ind w:left="660" w:hanging="328"/>
        <w:spacing w:after="0" w:line="223" w:lineRule="auto"/>
        <w:tabs>
          <w:tab w:leader="none" w:pos="660" w:val="left"/>
        </w:tabs>
        <w:numPr>
          <w:ilvl w:val="0"/>
          <w:numId w:val="187"/>
        </w:numPr>
        <w:rPr>
          <w:rFonts w:ascii="Arial" w:cs="Arial" w:eastAsia="Arial" w:hAnsi="Arial"/>
          <w:sz w:val="22"/>
          <w:szCs w:val="22"/>
          <w:color w:val="C00000"/>
        </w:rPr>
      </w:pPr>
      <w:r>
        <w:rPr>
          <w:rFonts w:ascii="Arial" w:cs="Arial" w:eastAsia="Arial" w:hAnsi="Arial"/>
          <w:sz w:val="18"/>
          <w:szCs w:val="18"/>
          <w:b w:val="1"/>
          <w:bCs w:val="1"/>
          <w:color w:val="auto"/>
        </w:rPr>
        <w:t xml:space="preserve">G&amp;A Expenditures: </w:t>
      </w:r>
      <w:r>
        <w:rPr>
          <w:rFonts w:ascii="Arial" w:cs="Arial" w:eastAsia="Arial" w:hAnsi="Arial"/>
          <w:sz w:val="18"/>
          <w:szCs w:val="18"/>
          <w:color w:val="auto"/>
        </w:rPr>
        <w:t>For the three months ended June 30, 2021, G&amp;A increased by CHF 1.1 million to 5.2 million. This increase is</w:t>
      </w:r>
      <w:r>
        <w:rPr>
          <w:rFonts w:ascii="Arial" w:cs="Arial" w:eastAsia="Arial" w:hAnsi="Arial"/>
          <w:sz w:val="18"/>
          <w:szCs w:val="18"/>
          <w:b w:val="1"/>
          <w:bCs w:val="1"/>
          <w:color w:val="auto"/>
        </w:rPr>
        <w:t xml:space="preserve"> </w:t>
      </w:r>
      <w:r>
        <w:rPr>
          <w:rFonts w:ascii="Arial" w:cs="Arial" w:eastAsia="Arial" w:hAnsi="Arial"/>
          <w:sz w:val="18"/>
          <w:szCs w:val="18"/>
          <w:color w:val="auto"/>
        </w:rPr>
        <w:t>predominantly related transaction costs incurred in completing the asset acquisition for Affiris’ alpha-synuclein portfolio and cash, the internal reallocation of certain employees’ salaries and other administrative items.</w:t>
      </w:r>
    </w:p>
    <w:p>
      <w:pPr>
        <w:spacing w:after="0" w:line="339" w:lineRule="exact"/>
        <w:rPr>
          <w:sz w:val="20"/>
          <w:szCs w:val="20"/>
          <w:color w:val="auto"/>
        </w:rPr>
      </w:pPr>
    </w:p>
    <w:p>
      <w:pPr>
        <w:ind w:left="10840"/>
        <w:spacing w:after="0"/>
        <w:rPr>
          <w:sz w:val="20"/>
          <w:szCs w:val="20"/>
          <w:color w:val="auto"/>
        </w:rPr>
      </w:pPr>
      <w:r>
        <w:rPr>
          <w:rFonts w:ascii="Arial" w:cs="Arial" w:eastAsia="Arial" w:hAnsi="Arial"/>
          <w:sz w:val="18"/>
          <w:szCs w:val="18"/>
          <w:color w:val="auto"/>
        </w:rPr>
        <w:t>3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21" w:right="339" w:bottom="1440" w:gutter="0" w:footer="0" w:header="0"/>
        </w:sectPr>
      </w:pPr>
    </w:p>
    <w:bookmarkStart w:id="80" w:name="page81"/>
    <w:bookmarkEnd w:id="80"/>
    <w:p>
      <w:pPr>
        <w:jc w:val="both"/>
        <w:ind w:left="660" w:hanging="328"/>
        <w:spacing w:after="0" w:line="226" w:lineRule="auto"/>
        <w:tabs>
          <w:tab w:leader="none" w:pos="660" w:val="left"/>
        </w:tabs>
        <w:numPr>
          <w:ilvl w:val="0"/>
          <w:numId w:val="188"/>
        </w:numPr>
        <w:rPr>
          <w:rFonts w:ascii="Arial" w:cs="Arial" w:eastAsia="Arial" w:hAnsi="Arial"/>
          <w:sz w:val="22"/>
          <w:szCs w:val="22"/>
          <w:color w:val="C00000"/>
        </w:rPr>
      </w:pPr>
      <w:r>
        <w:rPr>
          <w:rFonts w:ascii="Arial" w:cs="Arial" w:eastAsia="Arial" w:hAnsi="Arial"/>
          <w:sz w:val="18"/>
          <w:szCs w:val="18"/>
          <w:b w:val="1"/>
          <w:bCs w:val="1"/>
          <w:color w:val="auto"/>
        </w:rPr>
        <w:t xml:space="preserve">Other Operating Income: </w:t>
      </w:r>
      <w:r>
        <w:rPr>
          <w:rFonts w:ascii="Arial" w:cs="Arial" w:eastAsia="Arial" w:hAnsi="Arial"/>
          <w:sz w:val="18"/>
          <w:szCs w:val="18"/>
          <w:color w:val="auto"/>
        </w:rPr>
        <w:t>The Company recognized CHF 0.3 million in grant income for R&amp;D activities performed under our Michael</w:t>
      </w:r>
      <w:r>
        <w:rPr>
          <w:rFonts w:ascii="Arial" w:cs="Arial" w:eastAsia="Arial" w:hAnsi="Arial"/>
          <w:sz w:val="18"/>
          <w:szCs w:val="18"/>
          <w:b w:val="1"/>
          <w:bCs w:val="1"/>
          <w:color w:val="auto"/>
        </w:rPr>
        <w:t xml:space="preserve"> </w:t>
      </w:r>
      <w:r>
        <w:rPr>
          <w:rFonts w:ascii="Arial" w:cs="Arial" w:eastAsia="Arial" w:hAnsi="Arial"/>
          <w:sz w:val="18"/>
          <w:szCs w:val="18"/>
          <w:color w:val="auto"/>
        </w:rPr>
        <w:t>J. Fox Foundation for Parkinson’s Research (MJFF) and Target ALS grants, an increase of CHF 0.1 million compared to the prior period.</w:t>
      </w:r>
    </w:p>
    <w:p>
      <w:pPr>
        <w:spacing w:after="0" w:line="1" w:lineRule="exact"/>
        <w:rPr>
          <w:rFonts w:ascii="Arial" w:cs="Arial" w:eastAsia="Arial" w:hAnsi="Arial"/>
          <w:sz w:val="22"/>
          <w:szCs w:val="22"/>
          <w:color w:val="C00000"/>
        </w:rPr>
      </w:pPr>
    </w:p>
    <w:p>
      <w:pPr>
        <w:ind w:left="660" w:hanging="328"/>
        <w:spacing w:after="0" w:line="218" w:lineRule="auto"/>
        <w:tabs>
          <w:tab w:leader="none" w:pos="660" w:val="left"/>
        </w:tabs>
        <w:numPr>
          <w:ilvl w:val="0"/>
          <w:numId w:val="188"/>
        </w:numPr>
        <w:rPr>
          <w:rFonts w:ascii="Arial" w:cs="Arial" w:eastAsia="Arial" w:hAnsi="Arial"/>
          <w:sz w:val="22"/>
          <w:szCs w:val="22"/>
          <w:color w:val="C00000"/>
        </w:rPr>
      </w:pPr>
      <w:r>
        <w:rPr>
          <w:rFonts w:ascii="Arial" w:cs="Arial" w:eastAsia="Arial" w:hAnsi="Arial"/>
          <w:sz w:val="18"/>
          <w:szCs w:val="18"/>
          <w:b w:val="1"/>
          <w:bCs w:val="1"/>
          <w:color w:val="auto"/>
        </w:rPr>
        <w:t xml:space="preserve">IFRS Loss for the Period: </w:t>
      </w:r>
      <w:r>
        <w:rPr>
          <w:rFonts w:ascii="Arial" w:cs="Arial" w:eastAsia="Arial" w:hAnsi="Arial"/>
          <w:sz w:val="18"/>
          <w:szCs w:val="18"/>
          <w:color w:val="auto"/>
        </w:rPr>
        <w:t>The Company reported a net loss after taxes of CHF 19.1 million for the three months ended June 30,</w:t>
      </w:r>
      <w:r>
        <w:rPr>
          <w:rFonts w:ascii="Arial" w:cs="Arial" w:eastAsia="Arial" w:hAnsi="Arial"/>
          <w:sz w:val="18"/>
          <w:szCs w:val="18"/>
          <w:b w:val="1"/>
          <w:bCs w:val="1"/>
          <w:color w:val="auto"/>
        </w:rPr>
        <w:t xml:space="preserve"> </w:t>
      </w:r>
      <w:r>
        <w:rPr>
          <w:rFonts w:ascii="Arial" w:cs="Arial" w:eastAsia="Arial" w:hAnsi="Arial"/>
          <w:sz w:val="18"/>
          <w:szCs w:val="18"/>
          <w:color w:val="auto"/>
        </w:rPr>
        <w:t>2021, compared with a net loss of CHF 15.8 million for the comparable period in 2020.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 SA</w:t>
      </w:r>
    </w:p>
    <w:p>
      <w:pPr>
        <w:spacing w:after="0" w:line="18"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AC Immune SA is clinical-stage biopharmaceutical company that aims to become a global leader in precision medicine for neurodegenerative diseases, including Alzheimer’s disease, Parkinson’s disease, and NeuroOrphan indications driven by misfolded proteins. The Company’s</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two clinically validated technology platforms, 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Morphomer</w:t>
      </w:r>
      <w:r>
        <w:rPr>
          <w:rFonts w:ascii="Arial" w:cs="Arial" w:eastAsia="Arial" w:hAnsi="Arial"/>
          <w:sz w:val="29"/>
          <w:szCs w:val="29"/>
          <w:color w:val="auto"/>
          <w:vertAlign w:val="superscript"/>
        </w:rPr>
        <w:t>®</w:t>
      </w:r>
      <w:r>
        <w:rPr>
          <w:rFonts w:ascii="Arial" w:cs="Arial" w:eastAsia="Arial" w:hAnsi="Arial"/>
          <w:sz w:val="18"/>
          <w:szCs w:val="18"/>
          <w:color w:val="auto"/>
        </w:rPr>
        <w:t>, fuel its broad and diversified pipeline of first- and best-in-class assets, which currently features ten therapeutic and three diagnostic candidates, six of which are currently in clinical trials. AC Immune has a strong track record of securing strategic partnerships with leading global pharmaceutical companies including Genentech, a member of the Roche Group, Eli Lilly and Company, and Janssen Pharmaceuticals, Inc., resulting in substantial non-dilutive funding to advance its proprietary programs and &gt;$3 billion in potential milestone payments.</w:t>
      </w:r>
    </w:p>
    <w:p>
      <w:pPr>
        <w:spacing w:after="0" w:line="191" w:lineRule="exact"/>
        <w:rPr>
          <w:sz w:val="20"/>
          <w:szCs w:val="20"/>
          <w:color w:val="auto"/>
        </w:rPr>
      </w:pPr>
    </w:p>
    <w:p>
      <w:pPr>
        <w:jc w:val="both"/>
        <w:spacing w:after="0" w:line="204" w:lineRule="auto"/>
        <w:rPr>
          <w:sz w:val="20"/>
          <w:szCs w:val="20"/>
          <w:color w:val="auto"/>
        </w:rPr>
      </w:pPr>
      <w:r>
        <w:rPr>
          <w:rFonts w:ascii="Arial" w:cs="Arial" w:eastAsia="Arial" w:hAnsi="Arial"/>
          <w:sz w:val="18"/>
          <w:szCs w:val="18"/>
          <w:color w:val="auto"/>
        </w:rPr>
        <w:t>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is a registered trademark of AC Immune SA in the following territories: AU, EU, CH, GB, JP and RU. Morphomer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is a registered trademark of AC Immune SA in CN, CH, GB, JP, and NO.</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144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391"/>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Media Relations</w:t>
            </w:r>
          </w:p>
        </w:tc>
        <w:tc>
          <w:tcPr>
            <w:tcW w:w="3840" w:type="dxa"/>
            <w:vAlign w:val="bottom"/>
            <w:gridSpan w:val="2"/>
          </w:tcPr>
          <w:p>
            <w:pPr>
              <w:ind w:left="900"/>
              <w:spacing w:after="0"/>
              <w:rPr>
                <w:sz w:val="20"/>
                <w:szCs w:val="20"/>
                <w:color w:val="auto"/>
              </w:rPr>
            </w:pPr>
            <w:r>
              <w:rPr>
                <w:rFonts w:ascii="Arial" w:cs="Arial" w:eastAsia="Arial" w:hAnsi="Arial"/>
                <w:sz w:val="18"/>
                <w:szCs w:val="18"/>
                <w:b w:val="1"/>
                <w:bCs w:val="1"/>
                <w:color w:val="auto"/>
              </w:rPr>
              <w:t>Investor Relations</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Saoyuth Nidh</w:t>
            </w:r>
          </w:p>
        </w:tc>
        <w:tc>
          <w:tcPr>
            <w:tcW w:w="384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Yves Kremer, Ph.D.</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AC Immune</w:t>
            </w:r>
          </w:p>
        </w:tc>
        <w:tc>
          <w:tcPr>
            <w:tcW w:w="384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AC Immune</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Phone: +41 21 345 91 34</w:t>
            </w:r>
          </w:p>
        </w:tc>
        <w:tc>
          <w:tcPr>
            <w:tcW w:w="384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Phone: +41 21 345 91 90</w:t>
            </w:r>
          </w:p>
        </w:tc>
      </w:tr>
      <w:tr>
        <w:trPr>
          <w:trHeight w:val="176"/>
        </w:trPr>
        <w:tc>
          <w:tcPr>
            <w:tcW w:w="4280" w:type="dxa"/>
            <w:vAlign w:val="bottom"/>
            <w:gridSpan w:val="3"/>
          </w:tcPr>
          <w:p>
            <w:pPr>
              <w:spacing w:after="0" w:line="176"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saoyuth.nidh@acimmune.com</w:t>
            </w:r>
          </w:p>
        </w:tc>
        <w:tc>
          <w:tcPr>
            <w:tcW w:w="3840" w:type="dxa"/>
            <w:vAlign w:val="bottom"/>
            <w:gridSpan w:val="2"/>
          </w:tcPr>
          <w:p>
            <w:pPr>
              <w:ind w:left="900"/>
              <w:spacing w:after="0" w:line="176" w:lineRule="exact"/>
              <w:rPr>
                <w:sz w:val="20"/>
                <w:szCs w:val="20"/>
                <w:color w:val="auto"/>
              </w:rPr>
            </w:pPr>
            <w:r>
              <w:rPr>
                <w:rFonts w:ascii="Arial" w:cs="Arial" w:eastAsia="Arial" w:hAnsi="Arial"/>
                <w:sz w:val="18"/>
                <w:szCs w:val="18"/>
                <w:color w:val="auto"/>
                <w:w w:val="99"/>
              </w:rPr>
              <w:t xml:space="preserve">Email: </w:t>
            </w:r>
            <w:r>
              <w:rPr>
                <w:rFonts w:ascii="Arial" w:cs="Arial" w:eastAsia="Arial" w:hAnsi="Arial"/>
                <w:sz w:val="18"/>
                <w:szCs w:val="18"/>
                <w:color w:val="0000FF"/>
                <w:w w:val="99"/>
              </w:rPr>
              <w:t>yves.kremer@acimmune.com</w:t>
            </w:r>
          </w:p>
        </w:tc>
      </w:tr>
      <w:tr>
        <w:trPr>
          <w:trHeight w:val="20"/>
        </w:trPr>
        <w:tc>
          <w:tcPr>
            <w:tcW w:w="56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U.S. Media</w:t>
            </w:r>
          </w:p>
        </w:tc>
        <w:tc>
          <w:tcPr>
            <w:tcW w:w="4400" w:type="dxa"/>
            <w:vAlign w:val="bottom"/>
            <w:gridSpan w:val="2"/>
          </w:tcPr>
          <w:p>
            <w:pPr>
              <w:ind w:left="1640"/>
              <w:spacing w:after="0"/>
              <w:rPr>
                <w:sz w:val="20"/>
                <w:szCs w:val="20"/>
                <w:color w:val="auto"/>
              </w:rPr>
            </w:pPr>
            <w:r>
              <w:rPr>
                <w:rFonts w:ascii="Arial" w:cs="Arial" w:eastAsia="Arial" w:hAnsi="Arial"/>
                <w:sz w:val="18"/>
                <w:szCs w:val="18"/>
                <w:b w:val="1"/>
                <w:bCs w:val="1"/>
                <w:color w:val="auto"/>
              </w:rPr>
              <w:t>U.S. Investors</w:t>
            </w:r>
          </w:p>
        </w:tc>
      </w:tr>
      <w:tr>
        <w:trPr>
          <w:trHeight w:val="203"/>
        </w:trPr>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rPr>
              <w:t>Katie Gallagher</w:t>
            </w:r>
          </w:p>
        </w:tc>
        <w:tc>
          <w:tcPr>
            <w:tcW w:w="4400" w:type="dxa"/>
            <w:vAlign w:val="bottom"/>
            <w:gridSpan w:val="2"/>
          </w:tcPr>
          <w:p>
            <w:pPr>
              <w:ind w:left="1640"/>
              <w:spacing w:after="0" w:line="202" w:lineRule="exact"/>
              <w:rPr>
                <w:sz w:val="20"/>
                <w:szCs w:val="20"/>
                <w:color w:val="auto"/>
              </w:rPr>
            </w:pPr>
            <w:r>
              <w:rPr>
                <w:rFonts w:ascii="Arial" w:cs="Arial" w:eastAsia="Arial" w:hAnsi="Arial"/>
                <w:sz w:val="18"/>
                <w:szCs w:val="18"/>
                <w:color w:val="auto"/>
              </w:rPr>
              <w:t>Corey Davis, Ph.D.</w:t>
            </w:r>
          </w:p>
        </w:tc>
      </w:tr>
      <w:tr>
        <w:trPr>
          <w:trHeight w:val="203"/>
        </w:trPr>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rPr>
              <w:t>LaVoie Health Science</w:t>
            </w:r>
          </w:p>
        </w:tc>
        <w:tc>
          <w:tcPr>
            <w:tcW w:w="4400" w:type="dxa"/>
            <w:vAlign w:val="bottom"/>
            <w:gridSpan w:val="2"/>
          </w:tcPr>
          <w:p>
            <w:pPr>
              <w:ind w:left="1640"/>
              <w:spacing w:after="0" w:line="202" w:lineRule="exact"/>
              <w:rPr>
                <w:sz w:val="20"/>
                <w:szCs w:val="20"/>
                <w:color w:val="auto"/>
              </w:rPr>
            </w:pPr>
            <w:r>
              <w:rPr>
                <w:rFonts w:ascii="Arial" w:cs="Arial" w:eastAsia="Arial" w:hAnsi="Arial"/>
                <w:sz w:val="18"/>
                <w:szCs w:val="18"/>
                <w:color w:val="auto"/>
              </w:rPr>
              <w:t>LifeSci Advisors</w:t>
            </w:r>
          </w:p>
        </w:tc>
      </w:tr>
      <w:tr>
        <w:trPr>
          <w:trHeight w:val="203"/>
        </w:trPr>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rPr>
              <w:t>Phone: +1 617 792 3937</w:t>
            </w:r>
          </w:p>
        </w:tc>
        <w:tc>
          <w:tcPr>
            <w:tcW w:w="4400" w:type="dxa"/>
            <w:vAlign w:val="bottom"/>
            <w:gridSpan w:val="2"/>
          </w:tcPr>
          <w:p>
            <w:pPr>
              <w:ind w:left="1640"/>
              <w:spacing w:after="0" w:line="202" w:lineRule="exact"/>
              <w:rPr>
                <w:sz w:val="20"/>
                <w:szCs w:val="20"/>
                <w:color w:val="auto"/>
              </w:rPr>
            </w:pPr>
            <w:r>
              <w:rPr>
                <w:rFonts w:ascii="Arial" w:cs="Arial" w:eastAsia="Arial" w:hAnsi="Arial"/>
                <w:sz w:val="18"/>
                <w:szCs w:val="18"/>
                <w:color w:val="auto"/>
              </w:rPr>
              <w:t>Phone: +1 212 915 2577</w:t>
            </w:r>
          </w:p>
        </w:tc>
      </w:tr>
      <w:tr>
        <w:trPr>
          <w:trHeight w:val="176"/>
        </w:trPr>
        <w:tc>
          <w:tcPr>
            <w:tcW w:w="3540" w:type="dxa"/>
            <w:vAlign w:val="bottom"/>
            <w:gridSpan w:val="2"/>
          </w:tcPr>
          <w:p>
            <w:pPr>
              <w:spacing w:after="0" w:line="176" w:lineRule="exact"/>
              <w:rPr>
                <w:sz w:val="20"/>
                <w:szCs w:val="20"/>
                <w:color w:val="auto"/>
              </w:rPr>
            </w:pPr>
            <w:r>
              <w:rPr>
                <w:rFonts w:ascii="Arial" w:cs="Arial" w:eastAsia="Arial" w:hAnsi="Arial"/>
                <w:sz w:val="18"/>
                <w:szCs w:val="18"/>
                <w:color w:val="auto"/>
                <w:w w:val="99"/>
              </w:rPr>
              <w:t xml:space="preserve">Email: </w:t>
            </w:r>
            <w:r>
              <w:rPr>
                <w:rFonts w:ascii="Arial" w:cs="Arial" w:eastAsia="Arial" w:hAnsi="Arial"/>
                <w:sz w:val="18"/>
                <w:szCs w:val="18"/>
                <w:color w:val="0000FF"/>
                <w:w w:val="99"/>
              </w:rPr>
              <w:t>kgallagher@lavoiehealthscience.com</w:t>
            </w:r>
          </w:p>
        </w:tc>
        <w:tc>
          <w:tcPr>
            <w:tcW w:w="4400" w:type="dxa"/>
            <w:vAlign w:val="bottom"/>
            <w:gridSpan w:val="2"/>
          </w:tcPr>
          <w:p>
            <w:pPr>
              <w:ind w:left="1640"/>
              <w:spacing w:after="0" w:line="176" w:lineRule="exact"/>
              <w:rPr>
                <w:sz w:val="20"/>
                <w:szCs w:val="20"/>
                <w:color w:val="auto"/>
              </w:rPr>
            </w:pPr>
            <w:r>
              <w:rPr>
                <w:rFonts w:ascii="Arial" w:cs="Arial" w:eastAsia="Arial" w:hAnsi="Arial"/>
                <w:sz w:val="18"/>
                <w:szCs w:val="18"/>
                <w:color w:val="auto"/>
                <w:w w:val="99"/>
              </w:rPr>
              <w:t xml:space="preserve">Email: </w:t>
            </w:r>
            <w:r>
              <w:rPr>
                <w:rFonts w:ascii="Arial" w:cs="Arial" w:eastAsia="Arial" w:hAnsi="Arial"/>
                <w:sz w:val="18"/>
                <w:szCs w:val="18"/>
                <w:color w:val="0000FF"/>
                <w:w w:val="99"/>
              </w:rPr>
              <w:t>cdavis@lifesciadvisors.com</w:t>
            </w:r>
          </w:p>
        </w:tc>
      </w:tr>
      <w:tr>
        <w:trPr>
          <w:trHeight w:val="20"/>
        </w:trPr>
        <w:tc>
          <w:tcPr>
            <w:tcW w:w="560" w:type="dxa"/>
            <w:vAlign w:val="bottom"/>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w:t>
      </w:r>
    </w:p>
    <w:p>
      <w:pPr>
        <w:spacing w:after="0" w:line="297" w:lineRule="exact"/>
        <w:rPr>
          <w:sz w:val="20"/>
          <w:szCs w:val="20"/>
          <w:color w:val="auto"/>
        </w:rPr>
      </w:pPr>
    </w:p>
    <w:p>
      <w:pPr>
        <w:ind w:left="10840"/>
        <w:spacing w:after="0"/>
        <w:rPr>
          <w:sz w:val="20"/>
          <w:szCs w:val="20"/>
          <w:color w:val="auto"/>
        </w:rPr>
      </w:pPr>
      <w:r>
        <w:rPr>
          <w:rFonts w:ascii="Arial" w:cs="Arial" w:eastAsia="Arial" w:hAnsi="Arial"/>
          <w:sz w:val="18"/>
          <w:szCs w:val="18"/>
          <w:color w:val="auto"/>
        </w:rPr>
        <w:t>4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81" w:name="page82"/>
    <w:bookmarkEnd w:id="81"/>
    <w:p>
      <w:pPr>
        <w:jc w:val="both"/>
        <w:spacing w:after="0" w:line="236" w:lineRule="auto"/>
        <w:rPr>
          <w:sz w:val="20"/>
          <w:szCs w:val="20"/>
          <w:color w:val="auto"/>
        </w:rPr>
      </w:pPr>
      <w:r>
        <w:rPr>
          <w:rFonts w:ascii="Arial" w:cs="Arial" w:eastAsia="Arial" w:hAnsi="Arial"/>
          <w:sz w:val="18"/>
          <w:szCs w:val="18"/>
          <w:color w:val="auto"/>
        </w:rPr>
        <w:t>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These include: the impact of Covid-19 on our business, suppliers, patients and employees and any other impact of Covid-19.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300" w:lineRule="exact"/>
        <w:rPr>
          <w:sz w:val="20"/>
          <w:szCs w:val="20"/>
          <w:color w:val="auto"/>
        </w:rPr>
      </w:pPr>
    </w:p>
    <w:p>
      <w:pPr>
        <w:ind w:left="10840"/>
        <w:spacing w:after="0"/>
        <w:rPr>
          <w:sz w:val="20"/>
          <w:szCs w:val="20"/>
          <w:color w:val="auto"/>
        </w:rPr>
      </w:pPr>
      <w:r>
        <w:rPr>
          <w:rFonts w:ascii="Arial" w:cs="Arial" w:eastAsia="Arial" w:hAnsi="Arial"/>
          <w:sz w:val="18"/>
          <w:szCs w:val="18"/>
          <w:color w:val="auto"/>
        </w:rPr>
        <w:t>5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20"/>
          <w:szCs w:val="20"/>
          <w:b w:val="1"/>
          <w:bCs w:val="1"/>
          <w:color w:val="auto"/>
        </w:rPr>
        <w:t>Balance Sheets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CHF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03"/>
        </w:trPr>
        <w:tc>
          <w:tcPr>
            <w:tcW w:w="8440" w:type="dxa"/>
            <w:vAlign w:val="bottom"/>
          </w:tcPr>
          <w:p>
            <w:pPr>
              <w:spacing w:after="0"/>
              <w:rPr>
                <w:sz w:val="17"/>
                <w:szCs w:val="17"/>
                <w:color w:val="auto"/>
              </w:rPr>
            </w:pPr>
          </w:p>
        </w:tc>
        <w:tc>
          <w:tcPr>
            <w:tcW w:w="1460" w:type="dxa"/>
            <w:vAlign w:val="bottom"/>
            <w:gridSpan w:val="2"/>
          </w:tcPr>
          <w:p>
            <w:pPr>
              <w:ind w:left="80"/>
              <w:spacing w:after="0" w:line="202" w:lineRule="exact"/>
              <w:rPr>
                <w:sz w:val="20"/>
                <w:szCs w:val="20"/>
                <w:color w:val="auto"/>
              </w:rPr>
            </w:pPr>
            <w:r>
              <w:rPr>
                <w:rFonts w:ascii="Arial" w:cs="Arial" w:eastAsia="Arial" w:hAnsi="Arial"/>
                <w:sz w:val="18"/>
                <w:szCs w:val="18"/>
                <w:b w:val="1"/>
                <w:bCs w:val="1"/>
                <w:color w:val="auto"/>
              </w:rPr>
              <w:t>As of June 30,</w:t>
            </w:r>
          </w:p>
        </w:tc>
        <w:tc>
          <w:tcPr>
            <w:tcW w:w="13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844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173"/>
        </w:trPr>
        <w:tc>
          <w:tcPr>
            <w:tcW w:w="8440" w:type="dxa"/>
            <w:vAlign w:val="bottom"/>
            <w:vMerge w:val="continue"/>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44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D5EAEA"/>
          </w:tcPr>
          <w:p>
            <w:pPr>
              <w:ind w:left="180"/>
              <w:spacing w:after="0" w:line="202" w:lineRule="exact"/>
              <w:rPr>
                <w:sz w:val="20"/>
                <w:szCs w:val="20"/>
                <w:color w:val="auto"/>
              </w:rPr>
            </w:pPr>
            <w:r>
              <w:rPr>
                <w:rFonts w:ascii="Arial" w:cs="Arial" w:eastAsia="Arial" w:hAnsi="Arial"/>
                <w:sz w:val="18"/>
                <w:szCs w:val="18"/>
                <w:color w:val="auto"/>
              </w:rPr>
              <w:t>Property, plant and equipment</w:t>
            </w:r>
          </w:p>
        </w:tc>
        <w:tc>
          <w:tcPr>
            <w:tcW w:w="136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5,165</w:t>
            </w: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4,416</w:t>
            </w:r>
          </w:p>
        </w:tc>
        <w:tc>
          <w:tcPr>
            <w:tcW w:w="0" w:type="dxa"/>
            <w:vAlign w:val="bottom"/>
          </w:tcPr>
          <w:p>
            <w:pPr>
              <w:spacing w:after="0"/>
              <w:rPr>
                <w:sz w:val="1"/>
                <w:szCs w:val="1"/>
                <w:color w:val="auto"/>
              </w:rPr>
            </w:pPr>
          </w:p>
        </w:tc>
      </w:tr>
      <w:tr>
        <w:trPr>
          <w:trHeight w:val="203"/>
        </w:trPr>
        <w:tc>
          <w:tcPr>
            <w:tcW w:w="8440" w:type="dxa"/>
            <w:vAlign w:val="bottom"/>
          </w:tcPr>
          <w:p>
            <w:pPr>
              <w:ind w:left="180"/>
              <w:spacing w:after="0" w:line="202" w:lineRule="exact"/>
              <w:rPr>
                <w:sz w:val="20"/>
                <w:szCs w:val="20"/>
                <w:color w:val="auto"/>
              </w:rPr>
            </w:pPr>
            <w:r>
              <w:rPr>
                <w:rFonts w:ascii="Arial" w:cs="Arial" w:eastAsia="Arial" w:hAnsi="Arial"/>
                <w:sz w:val="18"/>
                <w:szCs w:val="18"/>
                <w:color w:val="auto"/>
              </w:rPr>
              <w:t>Right-of-use assets</w:t>
            </w: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2,699</w:t>
            </w:r>
          </w:p>
        </w:tc>
        <w:tc>
          <w:tcPr>
            <w:tcW w:w="100" w:type="dxa"/>
            <w:vAlign w:val="bottom"/>
          </w:tcPr>
          <w:p>
            <w:pPr>
              <w:spacing w:after="0"/>
              <w:rPr>
                <w:sz w:val="17"/>
                <w:szCs w:val="17"/>
                <w:color w:val="auto"/>
              </w:rPr>
            </w:pP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203"/>
        </w:trPr>
        <w:tc>
          <w:tcPr>
            <w:tcW w:w="8440" w:type="dxa"/>
            <w:vAlign w:val="bottom"/>
            <w:shd w:val="clear" w:color="auto" w:fill="D5EAEA"/>
          </w:tcPr>
          <w:p>
            <w:pPr>
              <w:ind w:left="180"/>
              <w:spacing w:after="0" w:line="202" w:lineRule="exact"/>
              <w:rPr>
                <w:sz w:val="20"/>
                <w:szCs w:val="20"/>
                <w:color w:val="auto"/>
              </w:rPr>
            </w:pPr>
            <w:r>
              <w:rPr>
                <w:rFonts w:ascii="Arial" w:cs="Arial" w:eastAsia="Arial" w:hAnsi="Arial"/>
                <w:sz w:val="18"/>
                <w:szCs w:val="18"/>
                <w:color w:val="auto"/>
              </w:rPr>
              <w:t>Long-term accrued income</w:t>
            </w:r>
          </w:p>
        </w:tc>
        <w:tc>
          <w:tcPr>
            <w:tcW w:w="136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61</w:t>
            </w: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40" w:type="dxa"/>
            <w:vAlign w:val="bottom"/>
            <w:tcBorders>
              <w:bottom w:val="single" w:sz="8" w:color="D5EAEA"/>
            </w:tcBorders>
          </w:tcPr>
          <w:p>
            <w:pPr>
              <w:ind w:left="180"/>
              <w:spacing w:after="0"/>
              <w:rPr>
                <w:sz w:val="20"/>
                <w:szCs w:val="20"/>
                <w:color w:val="auto"/>
              </w:rPr>
            </w:pPr>
            <w:r>
              <w:rPr>
                <w:rFonts w:ascii="Arial" w:cs="Arial" w:eastAsia="Arial" w:hAnsi="Arial"/>
                <w:sz w:val="18"/>
                <w:szCs w:val="18"/>
                <w:color w:val="auto"/>
              </w:rPr>
              <w:t>Long-term financial assets</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9"/>
        </w:trPr>
        <w:tc>
          <w:tcPr>
            <w:tcW w:w="844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non-current assets</w:t>
            </w:r>
          </w:p>
        </w:tc>
        <w:tc>
          <w:tcPr>
            <w:tcW w:w="13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8,288</w:t>
            </w:r>
          </w:p>
        </w:tc>
        <w:tc>
          <w:tcPr>
            <w:tcW w:w="100" w:type="dxa"/>
            <w:vAlign w:val="bottom"/>
            <w:tcBorders>
              <w:bottom w:val="single" w:sz="8" w:color="D5EAEA"/>
            </w:tcBorders>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6,973</w:t>
            </w: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8"/>
                <w:szCs w:val="18"/>
                <w:b w:val="1"/>
                <w:bCs w:val="1"/>
                <w:color w:val="auto"/>
              </w:rPr>
              <w:t>Current assets</w:t>
            </w: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vMerge w:val="continue"/>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D5EAEA"/>
          </w:tcPr>
          <w:p>
            <w:pPr>
              <w:ind w:left="180"/>
              <w:spacing w:after="0" w:line="202" w:lineRule="exact"/>
              <w:rPr>
                <w:sz w:val="20"/>
                <w:szCs w:val="20"/>
                <w:color w:val="auto"/>
              </w:rPr>
            </w:pPr>
            <w:r>
              <w:rPr>
                <w:rFonts w:ascii="Arial" w:cs="Arial" w:eastAsia="Arial" w:hAnsi="Arial"/>
                <w:sz w:val="18"/>
                <w:szCs w:val="18"/>
                <w:color w:val="auto"/>
              </w:rPr>
              <w:t>Prepaid expenses</w:t>
            </w:r>
          </w:p>
        </w:tc>
        <w:tc>
          <w:tcPr>
            <w:tcW w:w="136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2,726</w:t>
            </w: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3,954</w:t>
            </w:r>
          </w:p>
        </w:tc>
        <w:tc>
          <w:tcPr>
            <w:tcW w:w="0" w:type="dxa"/>
            <w:vAlign w:val="bottom"/>
          </w:tcPr>
          <w:p>
            <w:pPr>
              <w:spacing w:after="0"/>
              <w:rPr>
                <w:sz w:val="1"/>
                <w:szCs w:val="1"/>
                <w:color w:val="auto"/>
              </w:rPr>
            </w:pPr>
          </w:p>
        </w:tc>
      </w:tr>
      <w:tr>
        <w:trPr>
          <w:trHeight w:val="203"/>
        </w:trPr>
        <w:tc>
          <w:tcPr>
            <w:tcW w:w="8440" w:type="dxa"/>
            <w:vAlign w:val="bottom"/>
          </w:tcPr>
          <w:p>
            <w:pPr>
              <w:ind w:left="180"/>
              <w:spacing w:after="0" w:line="202" w:lineRule="exact"/>
              <w:rPr>
                <w:sz w:val="20"/>
                <w:szCs w:val="20"/>
                <w:color w:val="auto"/>
              </w:rPr>
            </w:pPr>
            <w:r>
              <w:rPr>
                <w:rFonts w:ascii="Arial" w:cs="Arial" w:eastAsia="Arial" w:hAnsi="Arial"/>
                <w:sz w:val="18"/>
                <w:szCs w:val="18"/>
                <w:color w:val="auto"/>
              </w:rPr>
              <w:t>Short-term accrued income</w:t>
            </w: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659</w:t>
            </w:r>
          </w:p>
        </w:tc>
        <w:tc>
          <w:tcPr>
            <w:tcW w:w="100" w:type="dxa"/>
            <w:vAlign w:val="bottom"/>
          </w:tcPr>
          <w:p>
            <w:pPr>
              <w:spacing w:after="0"/>
              <w:rPr>
                <w:sz w:val="17"/>
                <w:szCs w:val="17"/>
                <w:color w:val="auto"/>
              </w:rPr>
            </w:pP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03"/>
        </w:trPr>
        <w:tc>
          <w:tcPr>
            <w:tcW w:w="8440" w:type="dxa"/>
            <w:vAlign w:val="bottom"/>
            <w:shd w:val="clear" w:color="auto" w:fill="D5EAEA"/>
          </w:tcPr>
          <w:p>
            <w:pPr>
              <w:ind w:left="180"/>
              <w:spacing w:after="0" w:line="202" w:lineRule="exact"/>
              <w:rPr>
                <w:sz w:val="20"/>
                <w:szCs w:val="20"/>
                <w:color w:val="auto"/>
              </w:rPr>
            </w:pPr>
            <w:r>
              <w:rPr>
                <w:rFonts w:ascii="Arial" w:cs="Arial" w:eastAsia="Arial" w:hAnsi="Arial"/>
                <w:sz w:val="18"/>
                <w:szCs w:val="18"/>
                <w:color w:val="auto"/>
              </w:rPr>
              <w:t>Other current receivables</w:t>
            </w:r>
          </w:p>
        </w:tc>
        <w:tc>
          <w:tcPr>
            <w:tcW w:w="136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282</w:t>
            </w: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03"/>
        </w:trPr>
        <w:tc>
          <w:tcPr>
            <w:tcW w:w="8440" w:type="dxa"/>
            <w:vAlign w:val="bottom"/>
          </w:tcPr>
          <w:p>
            <w:pPr>
              <w:ind w:left="180"/>
              <w:spacing w:after="0" w:line="202" w:lineRule="exact"/>
              <w:rPr>
                <w:sz w:val="20"/>
                <w:szCs w:val="20"/>
                <w:color w:val="auto"/>
              </w:rPr>
            </w:pPr>
            <w:r>
              <w:rPr>
                <w:rFonts w:ascii="Arial" w:cs="Arial" w:eastAsia="Arial" w:hAnsi="Arial"/>
                <w:sz w:val="18"/>
                <w:szCs w:val="18"/>
                <w:color w:val="auto"/>
              </w:rPr>
              <w:t>Short-term financial assets</w:t>
            </w: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95,000</w:t>
            </w:r>
          </w:p>
        </w:tc>
        <w:tc>
          <w:tcPr>
            <w:tcW w:w="100" w:type="dxa"/>
            <w:vAlign w:val="bottom"/>
          </w:tcPr>
          <w:p>
            <w:pPr>
              <w:spacing w:after="0"/>
              <w:rPr>
                <w:sz w:val="17"/>
                <w:szCs w:val="17"/>
                <w:color w:val="auto"/>
              </w:rPr>
            </w:pP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65,000</w:t>
            </w:r>
          </w:p>
        </w:tc>
        <w:tc>
          <w:tcPr>
            <w:tcW w:w="0" w:type="dxa"/>
            <w:vAlign w:val="bottom"/>
          </w:tcPr>
          <w:p>
            <w:pPr>
              <w:spacing w:after="0"/>
              <w:rPr>
                <w:sz w:val="1"/>
                <w:szCs w:val="1"/>
                <w:color w:val="auto"/>
              </w:rPr>
            </w:pPr>
          </w:p>
        </w:tc>
      </w:tr>
      <w:tr>
        <w:trPr>
          <w:trHeight w:val="216"/>
        </w:trPr>
        <w:tc>
          <w:tcPr>
            <w:tcW w:w="8440" w:type="dxa"/>
            <w:vAlign w:val="bottom"/>
            <w:shd w:val="clear" w:color="auto" w:fill="D5EAEA"/>
          </w:tcPr>
          <w:p>
            <w:pPr>
              <w:ind w:left="180"/>
              <w:spacing w:after="0"/>
              <w:rPr>
                <w:sz w:val="20"/>
                <w:szCs w:val="20"/>
                <w:color w:val="auto"/>
              </w:rPr>
            </w:pPr>
            <w:r>
              <w:rPr>
                <w:rFonts w:ascii="Arial" w:cs="Arial" w:eastAsia="Arial" w:hAnsi="Arial"/>
                <w:sz w:val="18"/>
                <w:szCs w:val="18"/>
                <w:color w:val="auto"/>
              </w:rPr>
              <w:t>Cash and cash equivalents</w:t>
            </w:r>
          </w:p>
        </w:tc>
        <w:tc>
          <w:tcPr>
            <w:tcW w:w="13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104,135</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160,893</w:t>
            </w:r>
          </w:p>
        </w:tc>
        <w:tc>
          <w:tcPr>
            <w:tcW w:w="0" w:type="dxa"/>
            <w:vAlign w:val="bottom"/>
          </w:tcPr>
          <w:p>
            <w:pPr>
              <w:spacing w:after="0"/>
              <w:rPr>
                <w:sz w:val="1"/>
                <w:szCs w:val="1"/>
                <w:color w:val="auto"/>
              </w:rPr>
            </w:pPr>
          </w:p>
        </w:tc>
      </w:tr>
      <w:tr>
        <w:trPr>
          <w:trHeight w:val="249"/>
        </w:trPr>
        <w:tc>
          <w:tcPr>
            <w:tcW w:w="844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current assets</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202,802</w:t>
            </w:r>
          </w:p>
        </w:tc>
        <w:tc>
          <w:tcPr>
            <w:tcW w:w="100" w:type="dxa"/>
            <w:vAlign w:val="bottom"/>
            <w:tcBorders>
              <w:bottom w:val="single" w:sz="8" w:color="D5EAEA"/>
            </w:tcBorders>
          </w:tcPr>
          <w:p>
            <w:pPr>
              <w:spacing w:after="0"/>
              <w:rPr>
                <w:sz w:val="21"/>
                <w:szCs w:val="21"/>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231,767</w:t>
            </w:r>
          </w:p>
        </w:tc>
        <w:tc>
          <w:tcPr>
            <w:tcW w:w="0" w:type="dxa"/>
            <w:vAlign w:val="bottom"/>
          </w:tcPr>
          <w:p>
            <w:pPr>
              <w:spacing w:after="0"/>
              <w:rPr>
                <w:sz w:val="1"/>
                <w:szCs w:val="1"/>
                <w:color w:val="auto"/>
              </w:rPr>
            </w:pPr>
          </w:p>
        </w:tc>
      </w:tr>
      <w:tr>
        <w:trPr>
          <w:trHeight w:val="183"/>
        </w:trPr>
        <w:tc>
          <w:tcPr>
            <w:tcW w:w="8440" w:type="dxa"/>
            <w:vAlign w:val="bottom"/>
            <w:tcBorders>
              <w:bottom w:val="single" w:sz="8" w:color="D5EAEA"/>
            </w:tcBorders>
            <w:shd w:val="clear" w:color="auto" w:fill="D5EAEA"/>
          </w:tcPr>
          <w:p>
            <w:pPr>
              <w:spacing w:after="0" w:line="183" w:lineRule="exact"/>
              <w:rPr>
                <w:sz w:val="20"/>
                <w:szCs w:val="20"/>
                <w:color w:val="auto"/>
              </w:rPr>
            </w:pPr>
            <w:r>
              <w:rPr>
                <w:rFonts w:ascii="Arial" w:cs="Arial" w:eastAsia="Arial" w:hAnsi="Arial"/>
                <w:sz w:val="18"/>
                <w:szCs w:val="18"/>
                <w:b w:val="1"/>
                <w:bCs w:val="1"/>
                <w:color w:val="auto"/>
              </w:rPr>
              <w:t>Total assets</w:t>
            </w:r>
          </w:p>
        </w:tc>
        <w:tc>
          <w:tcPr>
            <w:tcW w:w="1360" w:type="dxa"/>
            <w:vAlign w:val="bottom"/>
            <w:tcBorders>
              <w:bottom w:val="single" w:sz="8" w:color="auto"/>
            </w:tcBorders>
            <w:shd w:val="clear" w:color="auto" w:fill="D5EAEA"/>
          </w:tcPr>
          <w:p>
            <w:pPr>
              <w:jc w:val="right"/>
              <w:ind w:right="30"/>
              <w:spacing w:after="0" w:line="183" w:lineRule="exact"/>
              <w:rPr>
                <w:sz w:val="20"/>
                <w:szCs w:val="20"/>
                <w:color w:val="auto"/>
              </w:rPr>
            </w:pPr>
            <w:r>
              <w:rPr>
                <w:rFonts w:ascii="Arial" w:cs="Arial" w:eastAsia="Arial" w:hAnsi="Arial"/>
                <w:sz w:val="18"/>
                <w:szCs w:val="18"/>
                <w:color w:val="auto"/>
              </w:rPr>
              <w:t>211,090</w:t>
            </w:r>
          </w:p>
        </w:tc>
        <w:tc>
          <w:tcPr>
            <w:tcW w:w="100" w:type="dxa"/>
            <w:vAlign w:val="bottom"/>
            <w:tcBorders>
              <w:bottom w:val="single" w:sz="8" w:color="D5EAEA"/>
            </w:tcBorders>
            <w:shd w:val="clear" w:color="auto" w:fill="D5EAEA"/>
          </w:tcPr>
          <w:p>
            <w:pPr>
              <w:spacing w:after="0"/>
              <w:rPr>
                <w:sz w:val="15"/>
                <w:szCs w:val="15"/>
                <w:color w:val="auto"/>
              </w:rPr>
            </w:pPr>
          </w:p>
        </w:tc>
        <w:tc>
          <w:tcPr>
            <w:tcW w:w="1340" w:type="dxa"/>
            <w:vAlign w:val="bottom"/>
            <w:tcBorders>
              <w:bottom w:val="single" w:sz="8" w:color="auto"/>
            </w:tcBorders>
            <w:shd w:val="clear" w:color="auto" w:fill="D5EAEA"/>
          </w:tcPr>
          <w:p>
            <w:pPr>
              <w:jc w:val="right"/>
              <w:ind w:right="10"/>
              <w:spacing w:after="0" w:line="183" w:lineRule="exact"/>
              <w:rPr>
                <w:sz w:val="20"/>
                <w:szCs w:val="20"/>
                <w:color w:val="auto"/>
              </w:rPr>
            </w:pPr>
            <w:r>
              <w:rPr>
                <w:rFonts w:ascii="Arial" w:cs="Arial" w:eastAsia="Arial" w:hAnsi="Arial"/>
                <w:sz w:val="18"/>
                <w:szCs w:val="18"/>
                <w:color w:val="auto"/>
              </w:rPr>
              <w:t>238,740</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D5EAEA"/>
          </w:tcPr>
          <w:p>
            <w:pPr>
              <w:spacing w:after="0" w:line="202" w:lineRule="exact"/>
              <w:rPr>
                <w:sz w:val="20"/>
                <w:szCs w:val="20"/>
                <w:color w:val="auto"/>
              </w:rPr>
            </w:pPr>
            <w:r>
              <w:rPr>
                <w:rFonts w:ascii="Arial" w:cs="Arial" w:eastAsia="Arial" w:hAnsi="Arial"/>
                <w:sz w:val="18"/>
                <w:szCs w:val="18"/>
                <w:b w:val="1"/>
                <w:bCs w:val="1"/>
                <w:color w:val="auto"/>
              </w:rPr>
              <w:t>SHAREHOLDERS’ EQUITY AND LIABILITIES</w:t>
            </w:r>
          </w:p>
        </w:tc>
        <w:tc>
          <w:tcPr>
            <w:tcW w:w="136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b w:val="1"/>
                <w:bCs w:val="1"/>
                <w:color w:val="auto"/>
              </w:rPr>
              <w:t>Shareholders’ equity</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D5EAEA"/>
          </w:tcPr>
          <w:p>
            <w:pPr>
              <w:ind w:left="180"/>
              <w:spacing w:after="0" w:line="202" w:lineRule="exact"/>
              <w:rPr>
                <w:sz w:val="20"/>
                <w:szCs w:val="20"/>
                <w:color w:val="auto"/>
              </w:rPr>
            </w:pPr>
            <w:r>
              <w:rPr>
                <w:rFonts w:ascii="Arial" w:cs="Arial" w:eastAsia="Arial" w:hAnsi="Arial"/>
                <w:sz w:val="18"/>
                <w:szCs w:val="18"/>
                <w:color w:val="auto"/>
              </w:rPr>
              <w:t>Share capital</w:t>
            </w:r>
          </w:p>
        </w:tc>
        <w:tc>
          <w:tcPr>
            <w:tcW w:w="136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1,539</w:t>
            </w: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03"/>
        </w:trPr>
        <w:tc>
          <w:tcPr>
            <w:tcW w:w="8440" w:type="dxa"/>
            <w:vAlign w:val="bottom"/>
          </w:tcPr>
          <w:p>
            <w:pPr>
              <w:ind w:left="180"/>
              <w:spacing w:after="0" w:line="202" w:lineRule="exact"/>
              <w:rPr>
                <w:sz w:val="20"/>
                <w:szCs w:val="20"/>
                <w:color w:val="auto"/>
              </w:rPr>
            </w:pPr>
            <w:r>
              <w:rPr>
                <w:rFonts w:ascii="Arial" w:cs="Arial" w:eastAsia="Arial" w:hAnsi="Arial"/>
                <w:sz w:val="18"/>
                <w:szCs w:val="18"/>
                <w:color w:val="auto"/>
              </w:rPr>
              <w:t>Share premium</w:t>
            </w: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354,899</w:t>
            </w:r>
          </w:p>
        </w:tc>
        <w:tc>
          <w:tcPr>
            <w:tcW w:w="100" w:type="dxa"/>
            <w:vAlign w:val="bottom"/>
          </w:tcPr>
          <w:p>
            <w:pPr>
              <w:spacing w:after="0"/>
              <w:rPr>
                <w:sz w:val="17"/>
                <w:szCs w:val="17"/>
                <w:color w:val="auto"/>
              </w:rPr>
            </w:pP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346,890</w:t>
            </w:r>
          </w:p>
        </w:tc>
        <w:tc>
          <w:tcPr>
            <w:tcW w:w="0" w:type="dxa"/>
            <w:vAlign w:val="bottom"/>
          </w:tcPr>
          <w:p>
            <w:pPr>
              <w:spacing w:after="0"/>
              <w:rPr>
                <w:sz w:val="1"/>
                <w:szCs w:val="1"/>
                <w:color w:val="auto"/>
              </w:rPr>
            </w:pPr>
          </w:p>
        </w:tc>
      </w:tr>
      <w:tr>
        <w:trPr>
          <w:trHeight w:val="203"/>
        </w:trPr>
        <w:tc>
          <w:tcPr>
            <w:tcW w:w="8440" w:type="dxa"/>
            <w:vAlign w:val="bottom"/>
            <w:shd w:val="clear" w:color="auto" w:fill="D5EAEA"/>
          </w:tcPr>
          <w:p>
            <w:pPr>
              <w:ind w:left="180"/>
              <w:spacing w:after="0" w:line="202" w:lineRule="exact"/>
              <w:rPr>
                <w:sz w:val="20"/>
                <w:szCs w:val="20"/>
                <w:color w:val="auto"/>
              </w:rPr>
            </w:pPr>
            <w:r>
              <w:rPr>
                <w:rFonts w:ascii="Arial" w:cs="Arial" w:eastAsia="Arial" w:hAnsi="Arial"/>
                <w:sz w:val="18"/>
                <w:szCs w:val="18"/>
                <w:color w:val="auto"/>
              </w:rPr>
              <w:t>Treasury shares</w:t>
            </w:r>
          </w:p>
        </w:tc>
        <w:tc>
          <w:tcPr>
            <w:tcW w:w="136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(85)</w:t>
            </w: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8440" w:type="dxa"/>
            <w:vAlign w:val="bottom"/>
            <w:tcBorders>
              <w:bottom w:val="single" w:sz="8" w:color="D5EAEA"/>
            </w:tcBorders>
          </w:tcPr>
          <w:p>
            <w:pPr>
              <w:ind w:left="180"/>
              <w:spacing w:after="0"/>
              <w:rPr>
                <w:sz w:val="20"/>
                <w:szCs w:val="20"/>
                <w:color w:val="auto"/>
              </w:rPr>
            </w:pPr>
            <w:r>
              <w:rPr>
                <w:rFonts w:ascii="Arial" w:cs="Arial" w:eastAsia="Arial" w:hAnsi="Arial"/>
                <w:sz w:val="18"/>
                <w:szCs w:val="18"/>
                <w:color w:val="auto"/>
              </w:rPr>
              <w:t>Accumulated losses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(167,071)</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(132,850)</w:t>
            </w:r>
          </w:p>
        </w:tc>
        <w:tc>
          <w:tcPr>
            <w:tcW w:w="0" w:type="dxa"/>
            <w:vAlign w:val="bottom"/>
          </w:tcPr>
          <w:p>
            <w:pPr>
              <w:spacing w:after="0"/>
              <w:rPr>
                <w:sz w:val="1"/>
                <w:szCs w:val="1"/>
                <w:color w:val="auto"/>
              </w:rPr>
            </w:pPr>
          </w:p>
        </w:tc>
      </w:tr>
      <w:tr>
        <w:trPr>
          <w:trHeight w:val="210"/>
        </w:trPr>
        <w:tc>
          <w:tcPr>
            <w:tcW w:w="844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shareholders’ equity</w:t>
            </w:r>
          </w:p>
        </w:tc>
        <w:tc>
          <w:tcPr>
            <w:tcW w:w="13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189,282</w:t>
            </w:r>
          </w:p>
        </w:tc>
        <w:tc>
          <w:tcPr>
            <w:tcW w:w="100" w:type="dxa"/>
            <w:vAlign w:val="bottom"/>
            <w:tcBorders>
              <w:bottom w:val="single" w:sz="8" w:color="D5EAEA"/>
            </w:tcBorders>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215,478</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D5EAEA"/>
          </w:tcPr>
          <w:p>
            <w:pPr>
              <w:spacing w:after="0" w:line="202" w:lineRule="exact"/>
              <w:rPr>
                <w:sz w:val="20"/>
                <w:szCs w:val="20"/>
                <w:color w:val="auto"/>
              </w:rPr>
            </w:pPr>
            <w:r>
              <w:rPr>
                <w:rFonts w:ascii="Arial" w:cs="Arial" w:eastAsia="Arial" w:hAnsi="Arial"/>
                <w:sz w:val="18"/>
                <w:szCs w:val="18"/>
                <w:b w:val="1"/>
                <w:bCs w:val="1"/>
                <w:color w:val="auto"/>
              </w:rPr>
              <w:t>Non-current liabilities</w:t>
            </w:r>
          </w:p>
        </w:tc>
        <w:tc>
          <w:tcPr>
            <w:tcW w:w="136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tcPr>
          <w:p>
            <w:pPr>
              <w:ind w:left="180"/>
              <w:spacing w:after="0" w:line="202" w:lineRule="exact"/>
              <w:rPr>
                <w:sz w:val="20"/>
                <w:szCs w:val="20"/>
                <w:color w:val="auto"/>
              </w:rPr>
            </w:pPr>
            <w:r>
              <w:rPr>
                <w:rFonts w:ascii="Arial" w:cs="Arial" w:eastAsia="Arial" w:hAnsi="Arial"/>
                <w:sz w:val="18"/>
                <w:szCs w:val="18"/>
                <w:color w:val="auto"/>
              </w:rPr>
              <w:t>Long-term deferred income</w:t>
            </w: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61</w:t>
            </w:r>
          </w:p>
        </w:tc>
        <w:tc>
          <w:tcPr>
            <w:tcW w:w="100" w:type="dxa"/>
            <w:vAlign w:val="bottom"/>
          </w:tcPr>
          <w:p>
            <w:pPr>
              <w:spacing w:after="0"/>
              <w:rPr>
                <w:sz w:val="17"/>
                <w:szCs w:val="17"/>
                <w:color w:val="auto"/>
              </w:rPr>
            </w:pP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440" w:type="dxa"/>
            <w:vAlign w:val="bottom"/>
            <w:shd w:val="clear" w:color="auto" w:fill="D5EAEA"/>
          </w:tcPr>
          <w:p>
            <w:pPr>
              <w:ind w:left="180"/>
              <w:spacing w:after="0" w:line="202" w:lineRule="exact"/>
              <w:rPr>
                <w:sz w:val="20"/>
                <w:szCs w:val="20"/>
                <w:color w:val="auto"/>
              </w:rPr>
            </w:pPr>
            <w:r>
              <w:rPr>
                <w:rFonts w:ascii="Arial" w:cs="Arial" w:eastAsia="Arial" w:hAnsi="Arial"/>
                <w:sz w:val="18"/>
                <w:szCs w:val="18"/>
                <w:color w:val="auto"/>
              </w:rPr>
              <w:t>Long-term lease liabilities</w:t>
            </w:r>
          </w:p>
        </w:tc>
        <w:tc>
          <w:tcPr>
            <w:tcW w:w="136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2,126</w:t>
            </w: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16"/>
        </w:trPr>
        <w:tc>
          <w:tcPr>
            <w:tcW w:w="8440" w:type="dxa"/>
            <w:vAlign w:val="bottom"/>
            <w:tcBorders>
              <w:bottom w:val="single" w:sz="8" w:color="D5EAEA"/>
            </w:tcBorders>
          </w:tcPr>
          <w:p>
            <w:pPr>
              <w:ind w:left="180"/>
              <w:spacing w:after="0"/>
              <w:rPr>
                <w:sz w:val="20"/>
                <w:szCs w:val="20"/>
                <w:color w:val="auto"/>
              </w:rPr>
            </w:pPr>
            <w:r>
              <w:rPr>
                <w:rFonts w:ascii="Arial" w:cs="Arial" w:eastAsia="Arial" w:hAnsi="Arial"/>
                <w:sz w:val="18"/>
                <w:szCs w:val="18"/>
                <w:color w:val="auto"/>
              </w:rPr>
              <w:t>Net employee defined-benefit liabilities</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7,774</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7,464</w:t>
            </w:r>
          </w:p>
        </w:tc>
        <w:tc>
          <w:tcPr>
            <w:tcW w:w="0" w:type="dxa"/>
            <w:vAlign w:val="bottom"/>
          </w:tcPr>
          <w:p>
            <w:pPr>
              <w:spacing w:after="0"/>
              <w:rPr>
                <w:sz w:val="1"/>
                <w:szCs w:val="1"/>
                <w:color w:val="auto"/>
              </w:rPr>
            </w:pPr>
          </w:p>
        </w:tc>
      </w:tr>
      <w:tr>
        <w:trPr>
          <w:trHeight w:val="209"/>
        </w:trPr>
        <w:tc>
          <w:tcPr>
            <w:tcW w:w="844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non-current liabilities</w:t>
            </w:r>
          </w:p>
        </w:tc>
        <w:tc>
          <w:tcPr>
            <w:tcW w:w="13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9,961</w:t>
            </w:r>
          </w:p>
        </w:tc>
        <w:tc>
          <w:tcPr>
            <w:tcW w:w="100" w:type="dxa"/>
            <w:vAlign w:val="bottom"/>
            <w:tcBorders>
              <w:bottom w:val="single" w:sz="8" w:color="D5EAEA"/>
            </w:tcBorders>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9,244</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8440" w:type="dxa"/>
            <w:vAlign w:val="bottom"/>
            <w:shd w:val="clear" w:color="auto" w:fill="D5EAEA"/>
          </w:tcPr>
          <w:p>
            <w:pPr>
              <w:spacing w:after="0" w:line="202" w:lineRule="exact"/>
              <w:rPr>
                <w:sz w:val="20"/>
                <w:szCs w:val="20"/>
                <w:color w:val="auto"/>
              </w:rPr>
            </w:pPr>
            <w:r>
              <w:rPr>
                <w:rFonts w:ascii="Arial" w:cs="Arial" w:eastAsia="Arial" w:hAnsi="Arial"/>
                <w:sz w:val="18"/>
                <w:szCs w:val="18"/>
                <w:b w:val="1"/>
                <w:bCs w:val="1"/>
                <w:color w:val="auto"/>
              </w:rPr>
              <w:t>Current liabilities</w:t>
            </w:r>
          </w:p>
        </w:tc>
        <w:tc>
          <w:tcPr>
            <w:tcW w:w="136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tcPr>
          <w:p>
            <w:pPr>
              <w:ind w:left="180"/>
              <w:spacing w:after="0" w:line="202" w:lineRule="exact"/>
              <w:rPr>
                <w:sz w:val="20"/>
                <w:szCs w:val="20"/>
                <w:color w:val="auto"/>
              </w:rPr>
            </w:pPr>
            <w:r>
              <w:rPr>
                <w:rFonts w:ascii="Arial" w:cs="Arial" w:eastAsia="Arial" w:hAnsi="Arial"/>
                <w:sz w:val="18"/>
                <w:szCs w:val="18"/>
                <w:color w:val="auto"/>
              </w:rPr>
              <w:t>Trade and other payables</w:t>
            </w: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317</w:t>
            </w:r>
          </w:p>
        </w:tc>
        <w:tc>
          <w:tcPr>
            <w:tcW w:w="100" w:type="dxa"/>
            <w:vAlign w:val="bottom"/>
          </w:tcPr>
          <w:p>
            <w:pPr>
              <w:spacing w:after="0"/>
              <w:rPr>
                <w:sz w:val="17"/>
                <w:szCs w:val="17"/>
                <w:color w:val="auto"/>
              </w:rPr>
            </w:pP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03"/>
        </w:trPr>
        <w:tc>
          <w:tcPr>
            <w:tcW w:w="8440" w:type="dxa"/>
            <w:vAlign w:val="bottom"/>
            <w:shd w:val="clear" w:color="auto" w:fill="D5EAEA"/>
          </w:tcPr>
          <w:p>
            <w:pPr>
              <w:ind w:left="180"/>
              <w:spacing w:after="0" w:line="202" w:lineRule="exact"/>
              <w:rPr>
                <w:sz w:val="20"/>
                <w:szCs w:val="20"/>
                <w:color w:val="auto"/>
              </w:rPr>
            </w:pPr>
            <w:r>
              <w:rPr>
                <w:rFonts w:ascii="Arial" w:cs="Arial" w:eastAsia="Arial" w:hAnsi="Arial"/>
                <w:sz w:val="18"/>
                <w:szCs w:val="18"/>
                <w:color w:val="auto"/>
              </w:rPr>
              <w:t>Accrued expenses</w:t>
            </w:r>
          </w:p>
        </w:tc>
        <w:tc>
          <w:tcPr>
            <w:tcW w:w="136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10,611</w:t>
            </w: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11,085</w:t>
            </w:r>
          </w:p>
        </w:tc>
        <w:tc>
          <w:tcPr>
            <w:tcW w:w="0" w:type="dxa"/>
            <w:vAlign w:val="bottom"/>
          </w:tcPr>
          <w:p>
            <w:pPr>
              <w:spacing w:after="0"/>
              <w:rPr>
                <w:sz w:val="1"/>
                <w:szCs w:val="1"/>
                <w:color w:val="auto"/>
              </w:rPr>
            </w:pPr>
          </w:p>
        </w:tc>
      </w:tr>
      <w:tr>
        <w:trPr>
          <w:trHeight w:val="203"/>
        </w:trPr>
        <w:tc>
          <w:tcPr>
            <w:tcW w:w="8440" w:type="dxa"/>
            <w:vAlign w:val="bottom"/>
          </w:tcPr>
          <w:p>
            <w:pPr>
              <w:ind w:left="180"/>
              <w:spacing w:after="0" w:line="202" w:lineRule="exact"/>
              <w:rPr>
                <w:sz w:val="20"/>
                <w:szCs w:val="20"/>
                <w:color w:val="auto"/>
              </w:rPr>
            </w:pPr>
            <w:r>
              <w:rPr>
                <w:rFonts w:ascii="Arial" w:cs="Arial" w:eastAsia="Arial" w:hAnsi="Arial"/>
                <w:sz w:val="18"/>
                <w:szCs w:val="18"/>
                <w:color w:val="auto"/>
              </w:rPr>
              <w:t>Short-term deferred income</w:t>
            </w: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348</w:t>
            </w:r>
          </w:p>
        </w:tc>
        <w:tc>
          <w:tcPr>
            <w:tcW w:w="100" w:type="dxa"/>
            <w:vAlign w:val="bottom"/>
          </w:tcPr>
          <w:p>
            <w:pPr>
              <w:spacing w:after="0"/>
              <w:rPr>
                <w:sz w:val="17"/>
                <w:szCs w:val="17"/>
                <w:color w:val="auto"/>
              </w:rPr>
            </w:pP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8440" w:type="dxa"/>
            <w:vAlign w:val="bottom"/>
            <w:shd w:val="clear" w:color="auto" w:fill="D5EAEA"/>
          </w:tcPr>
          <w:p>
            <w:pPr>
              <w:ind w:left="180"/>
              <w:spacing w:after="0"/>
              <w:rPr>
                <w:sz w:val="20"/>
                <w:szCs w:val="20"/>
                <w:color w:val="auto"/>
              </w:rPr>
            </w:pPr>
            <w:r>
              <w:rPr>
                <w:rFonts w:ascii="Arial" w:cs="Arial" w:eastAsia="Arial" w:hAnsi="Arial"/>
                <w:sz w:val="18"/>
                <w:szCs w:val="18"/>
                <w:color w:val="auto"/>
              </w:rPr>
              <w:t>Short-term lease liabilities</w:t>
            </w:r>
          </w:p>
        </w:tc>
        <w:tc>
          <w:tcPr>
            <w:tcW w:w="13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49"/>
        </w:trPr>
        <w:tc>
          <w:tcPr>
            <w:tcW w:w="844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11,847</w:t>
            </w:r>
          </w:p>
        </w:tc>
        <w:tc>
          <w:tcPr>
            <w:tcW w:w="100" w:type="dxa"/>
            <w:vAlign w:val="bottom"/>
            <w:tcBorders>
              <w:bottom w:val="single" w:sz="8" w:color="D5EAEA"/>
            </w:tcBorders>
          </w:tcPr>
          <w:p>
            <w:pPr>
              <w:spacing w:after="0"/>
              <w:rPr>
                <w:sz w:val="21"/>
                <w:szCs w:val="21"/>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14,018</w:t>
            </w:r>
          </w:p>
        </w:tc>
        <w:tc>
          <w:tcPr>
            <w:tcW w:w="0" w:type="dxa"/>
            <w:vAlign w:val="bottom"/>
          </w:tcPr>
          <w:p>
            <w:pPr>
              <w:spacing w:after="0"/>
              <w:rPr>
                <w:sz w:val="1"/>
                <w:szCs w:val="1"/>
                <w:color w:val="auto"/>
              </w:rPr>
            </w:pPr>
          </w:p>
        </w:tc>
      </w:tr>
      <w:tr>
        <w:trPr>
          <w:trHeight w:val="183"/>
        </w:trPr>
        <w:tc>
          <w:tcPr>
            <w:tcW w:w="8440" w:type="dxa"/>
            <w:vAlign w:val="bottom"/>
            <w:tcBorders>
              <w:bottom w:val="single" w:sz="8" w:color="D5EAEA"/>
            </w:tcBorders>
            <w:shd w:val="clear" w:color="auto" w:fill="D5EAEA"/>
          </w:tcPr>
          <w:p>
            <w:pPr>
              <w:spacing w:after="0" w:line="183" w:lineRule="exact"/>
              <w:rPr>
                <w:sz w:val="20"/>
                <w:szCs w:val="20"/>
                <w:color w:val="auto"/>
              </w:rPr>
            </w:pPr>
            <w:r>
              <w:rPr>
                <w:rFonts w:ascii="Arial" w:cs="Arial" w:eastAsia="Arial" w:hAnsi="Arial"/>
                <w:sz w:val="18"/>
                <w:szCs w:val="18"/>
                <w:b w:val="1"/>
                <w:bCs w:val="1"/>
                <w:color w:val="auto"/>
              </w:rPr>
              <w:t>Total liabilities</w:t>
            </w:r>
          </w:p>
        </w:tc>
        <w:tc>
          <w:tcPr>
            <w:tcW w:w="1360" w:type="dxa"/>
            <w:vAlign w:val="bottom"/>
            <w:tcBorders>
              <w:bottom w:val="single" w:sz="8" w:color="auto"/>
            </w:tcBorders>
            <w:shd w:val="clear" w:color="auto" w:fill="D5EAEA"/>
          </w:tcPr>
          <w:p>
            <w:pPr>
              <w:jc w:val="right"/>
              <w:ind w:right="30"/>
              <w:spacing w:after="0" w:line="183" w:lineRule="exact"/>
              <w:rPr>
                <w:sz w:val="20"/>
                <w:szCs w:val="20"/>
                <w:color w:val="auto"/>
              </w:rPr>
            </w:pPr>
            <w:r>
              <w:rPr>
                <w:rFonts w:ascii="Arial" w:cs="Arial" w:eastAsia="Arial" w:hAnsi="Arial"/>
                <w:sz w:val="18"/>
                <w:szCs w:val="18"/>
                <w:color w:val="auto"/>
              </w:rPr>
              <w:t>21,808</w:t>
            </w:r>
          </w:p>
        </w:tc>
        <w:tc>
          <w:tcPr>
            <w:tcW w:w="100" w:type="dxa"/>
            <w:vAlign w:val="bottom"/>
            <w:tcBorders>
              <w:bottom w:val="single" w:sz="8" w:color="D5EAEA"/>
            </w:tcBorders>
            <w:shd w:val="clear" w:color="auto" w:fill="D5EAEA"/>
          </w:tcPr>
          <w:p>
            <w:pPr>
              <w:spacing w:after="0"/>
              <w:rPr>
                <w:sz w:val="15"/>
                <w:szCs w:val="15"/>
                <w:color w:val="auto"/>
              </w:rPr>
            </w:pPr>
          </w:p>
        </w:tc>
        <w:tc>
          <w:tcPr>
            <w:tcW w:w="1340" w:type="dxa"/>
            <w:vAlign w:val="bottom"/>
            <w:tcBorders>
              <w:bottom w:val="single" w:sz="8" w:color="auto"/>
            </w:tcBorders>
            <w:shd w:val="clear" w:color="auto" w:fill="D5EAEA"/>
          </w:tcPr>
          <w:p>
            <w:pPr>
              <w:jc w:val="right"/>
              <w:ind w:right="10"/>
              <w:spacing w:after="0" w:line="183" w:lineRule="exact"/>
              <w:rPr>
                <w:sz w:val="20"/>
                <w:szCs w:val="20"/>
                <w:color w:val="auto"/>
              </w:rPr>
            </w:pPr>
            <w:r>
              <w:rPr>
                <w:rFonts w:ascii="Arial" w:cs="Arial" w:eastAsia="Arial" w:hAnsi="Arial"/>
                <w:sz w:val="18"/>
                <w:szCs w:val="18"/>
                <w:color w:val="auto"/>
              </w:rPr>
              <w:t>23,262</w:t>
            </w: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vMerge w:val="continue"/>
          </w:tcPr>
          <w:p>
            <w:pPr>
              <w:spacing w:after="0"/>
              <w:rPr>
                <w:sz w:val="15"/>
                <w:szCs w:val="15"/>
                <w:color w:val="auto"/>
              </w:rPr>
            </w:pPr>
          </w:p>
        </w:tc>
        <w:tc>
          <w:tcPr>
            <w:tcW w:w="1360" w:type="dxa"/>
            <w:vAlign w:val="bottom"/>
            <w:tcBorders>
              <w:bottom w:val="single" w:sz="8" w:color="auto"/>
            </w:tcBorders>
          </w:tcPr>
          <w:p>
            <w:pPr>
              <w:jc w:val="right"/>
              <w:ind w:right="30"/>
              <w:spacing w:after="0" w:line="183" w:lineRule="exact"/>
              <w:rPr>
                <w:sz w:val="20"/>
                <w:szCs w:val="20"/>
                <w:color w:val="auto"/>
              </w:rPr>
            </w:pPr>
            <w:r>
              <w:rPr>
                <w:rFonts w:ascii="Arial" w:cs="Arial" w:eastAsia="Arial" w:hAnsi="Arial"/>
                <w:sz w:val="18"/>
                <w:szCs w:val="18"/>
                <w:color w:val="auto"/>
              </w:rPr>
              <w:t>211,090</w:t>
            </w:r>
          </w:p>
        </w:tc>
        <w:tc>
          <w:tcPr>
            <w:tcW w:w="100" w:type="dxa"/>
            <w:vAlign w:val="bottom"/>
          </w:tcPr>
          <w:p>
            <w:pPr>
              <w:spacing w:after="0"/>
              <w:rPr>
                <w:sz w:val="15"/>
                <w:szCs w:val="15"/>
                <w:color w:val="auto"/>
              </w:rPr>
            </w:pPr>
          </w:p>
        </w:tc>
        <w:tc>
          <w:tcPr>
            <w:tcW w:w="1340" w:type="dxa"/>
            <w:vAlign w:val="bottom"/>
            <w:tcBorders>
              <w:bottom w:val="single" w:sz="8" w:color="auto"/>
            </w:tcBorders>
          </w:tcPr>
          <w:p>
            <w:pPr>
              <w:jc w:val="right"/>
              <w:ind w:right="10"/>
              <w:spacing w:after="0" w:line="183" w:lineRule="exact"/>
              <w:rPr>
                <w:sz w:val="20"/>
                <w:szCs w:val="20"/>
                <w:color w:val="auto"/>
              </w:rPr>
            </w:pPr>
            <w:r>
              <w:rPr>
                <w:rFonts w:ascii="Arial" w:cs="Arial" w:eastAsia="Arial" w:hAnsi="Arial"/>
                <w:sz w:val="18"/>
                <w:szCs w:val="18"/>
                <w:color w:val="auto"/>
              </w:rPr>
              <w:t>238,740</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4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 / 8</w:t>
            </w:r>
          </w:p>
        </w:tc>
        <w:tc>
          <w:tcPr>
            <w:tcW w:w="0" w:type="dxa"/>
            <w:vAlign w:val="bottom"/>
          </w:tcPr>
          <w:p>
            <w:pPr>
              <w:spacing w:after="0"/>
              <w:rPr>
                <w:sz w:val="1"/>
                <w:szCs w:val="1"/>
                <w:color w:val="auto"/>
              </w:rPr>
            </w:pPr>
          </w:p>
        </w:tc>
      </w:tr>
    </w:tbl>
    <w:p>
      <w:pPr>
        <w:sectPr>
          <w:pgSz w:w="11900" w:h="16838" w:orient="portrait"/>
          <w:cols w:equalWidth="0" w:num="1">
            <w:col w:w="11240"/>
          </w:cols>
          <w:pgMar w:left="320" w:top="530"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20"/>
          <w:szCs w:val="20"/>
          <w:b w:val="1"/>
          <w:bCs w:val="1"/>
          <w:color w:val="auto"/>
        </w:rPr>
        <w:t>Statements of Income/(Loss)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 CHF thousands, except for per-share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tcPr>
          <w:p>
            <w:pPr>
              <w:spacing w:after="0"/>
              <w:rPr>
                <w:sz w:val="17"/>
                <w:szCs w:val="17"/>
                <w:color w:val="auto"/>
              </w:rPr>
            </w:pPr>
          </w:p>
        </w:tc>
        <w:tc>
          <w:tcPr>
            <w:tcW w:w="294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9"/>
              </w:rPr>
              <w:t>For the Three Months</w:t>
            </w:r>
          </w:p>
        </w:tc>
        <w:tc>
          <w:tcPr>
            <w:tcW w:w="278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For the Six Months</w:t>
            </w:r>
          </w:p>
        </w:tc>
        <w:tc>
          <w:tcPr>
            <w:tcW w:w="0" w:type="dxa"/>
            <w:vAlign w:val="bottom"/>
          </w:tcPr>
          <w:p>
            <w:pPr>
              <w:spacing w:after="0"/>
              <w:rPr>
                <w:sz w:val="1"/>
                <w:szCs w:val="1"/>
                <w:color w:val="auto"/>
              </w:rPr>
            </w:pPr>
          </w:p>
        </w:tc>
      </w:tr>
      <w:tr>
        <w:trPr>
          <w:trHeight w:val="225"/>
        </w:trPr>
        <w:tc>
          <w:tcPr>
            <w:tcW w:w="5520" w:type="dxa"/>
            <w:vAlign w:val="bottom"/>
          </w:tcPr>
          <w:p>
            <w:pPr>
              <w:spacing w:after="0"/>
              <w:rPr>
                <w:sz w:val="19"/>
                <w:szCs w:val="19"/>
                <w:color w:val="auto"/>
              </w:rPr>
            </w:pPr>
          </w:p>
        </w:tc>
        <w:tc>
          <w:tcPr>
            <w:tcW w:w="29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9"/>
              </w:rPr>
              <w:t>Ended June 30,</w:t>
            </w:r>
          </w:p>
        </w:tc>
        <w:tc>
          <w:tcPr>
            <w:tcW w:w="278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Ended June 30,</w:t>
            </w:r>
          </w:p>
        </w:tc>
        <w:tc>
          <w:tcPr>
            <w:tcW w:w="0" w:type="dxa"/>
            <w:vAlign w:val="bottom"/>
          </w:tcPr>
          <w:p>
            <w:pPr>
              <w:spacing w:after="0"/>
              <w:rPr>
                <w:sz w:val="1"/>
                <w:szCs w:val="1"/>
                <w:color w:val="auto"/>
              </w:rPr>
            </w:pPr>
          </w:p>
        </w:tc>
      </w:tr>
      <w:tr>
        <w:trPr>
          <w:trHeight w:val="210"/>
        </w:trPr>
        <w:tc>
          <w:tcPr>
            <w:tcW w:w="552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13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96"/>
        </w:trPr>
        <w:tc>
          <w:tcPr>
            <w:tcW w:w="552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D5EAEA"/>
          </w:tcPr>
          <w:p>
            <w:pPr>
              <w:ind w:left="180"/>
              <w:spacing w:after="0"/>
              <w:rPr>
                <w:sz w:val="20"/>
                <w:szCs w:val="20"/>
                <w:color w:val="auto"/>
              </w:rPr>
            </w:pPr>
            <w:r>
              <w:rPr>
                <w:rFonts w:ascii="Arial" w:cs="Arial" w:eastAsia="Arial" w:hAnsi="Arial"/>
                <w:sz w:val="18"/>
                <w:szCs w:val="18"/>
                <w:color w:val="auto"/>
              </w:rPr>
              <w:t>Contract revenue</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1,083</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13,365</w:t>
            </w:r>
          </w:p>
        </w:tc>
        <w:tc>
          <w:tcPr>
            <w:tcW w:w="0" w:type="dxa"/>
            <w:vAlign w:val="bottom"/>
          </w:tcPr>
          <w:p>
            <w:pPr>
              <w:spacing w:after="0"/>
              <w:rPr>
                <w:sz w:val="1"/>
                <w:szCs w:val="1"/>
                <w:color w:val="auto"/>
              </w:rPr>
            </w:pPr>
          </w:p>
        </w:tc>
      </w:tr>
      <w:tr>
        <w:trPr>
          <w:trHeight w:val="249"/>
        </w:trPr>
        <w:tc>
          <w:tcPr>
            <w:tcW w:w="552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13,365</w:t>
            </w:r>
          </w:p>
        </w:tc>
        <w:tc>
          <w:tcPr>
            <w:tcW w:w="0" w:type="dxa"/>
            <w:vAlign w:val="bottom"/>
          </w:tcPr>
          <w:p>
            <w:pPr>
              <w:spacing w:after="0"/>
              <w:rPr>
                <w:sz w:val="1"/>
                <w:szCs w:val="1"/>
                <w:color w:val="auto"/>
              </w:rPr>
            </w:pPr>
          </w:p>
        </w:tc>
      </w:tr>
      <w:tr>
        <w:trPr>
          <w:trHeight w:val="183"/>
        </w:trPr>
        <w:tc>
          <w:tcPr>
            <w:tcW w:w="5520" w:type="dxa"/>
            <w:vAlign w:val="bottom"/>
            <w:tcBorders>
              <w:top w:val="single" w:sz="8" w:color="D5EAEA"/>
            </w:tcBorders>
            <w:shd w:val="clear" w:color="auto" w:fill="D5EAEA"/>
          </w:tcPr>
          <w:p>
            <w:pPr>
              <w:spacing w:after="0"/>
              <w:rPr>
                <w:sz w:val="15"/>
                <w:szCs w:val="15"/>
                <w:color w:val="auto"/>
              </w:rPr>
            </w:pPr>
          </w:p>
        </w:tc>
        <w:tc>
          <w:tcPr>
            <w:tcW w:w="1380" w:type="dxa"/>
            <w:vAlign w:val="bottom"/>
            <w:tcBorders>
              <w:top w:val="single" w:sz="8" w:color="auto"/>
            </w:tcBorders>
            <w:shd w:val="clear" w:color="auto" w:fill="D5EAEA"/>
          </w:tcPr>
          <w:p>
            <w:pPr>
              <w:spacing w:after="0"/>
              <w:rPr>
                <w:sz w:val="15"/>
                <w:szCs w:val="15"/>
                <w:color w:val="auto"/>
              </w:rPr>
            </w:pPr>
          </w:p>
        </w:tc>
        <w:tc>
          <w:tcPr>
            <w:tcW w:w="120" w:type="dxa"/>
            <w:vAlign w:val="bottom"/>
            <w:tcBorders>
              <w:top w:val="single" w:sz="8" w:color="D5EAEA"/>
            </w:tcBorders>
            <w:shd w:val="clear" w:color="auto" w:fill="D5EAEA"/>
          </w:tcPr>
          <w:p>
            <w:pPr>
              <w:spacing w:after="0"/>
              <w:rPr>
                <w:sz w:val="15"/>
                <w:szCs w:val="15"/>
                <w:color w:val="auto"/>
              </w:rPr>
            </w:pPr>
          </w:p>
        </w:tc>
        <w:tc>
          <w:tcPr>
            <w:tcW w:w="1340" w:type="dxa"/>
            <w:vAlign w:val="bottom"/>
            <w:tcBorders>
              <w:top w:val="single" w:sz="8" w:color="auto"/>
            </w:tcBorders>
            <w:shd w:val="clear" w:color="auto" w:fill="D5EAEA"/>
          </w:tcPr>
          <w:p>
            <w:pPr>
              <w:spacing w:after="0"/>
              <w:rPr>
                <w:sz w:val="15"/>
                <w:szCs w:val="15"/>
                <w:color w:val="auto"/>
              </w:rPr>
            </w:pPr>
          </w:p>
        </w:tc>
        <w:tc>
          <w:tcPr>
            <w:tcW w:w="100" w:type="dxa"/>
            <w:vAlign w:val="bottom"/>
            <w:tcBorders>
              <w:top w:val="single" w:sz="8" w:color="D5EAEA"/>
            </w:tcBorders>
            <w:shd w:val="clear" w:color="auto" w:fill="D5EAEA"/>
          </w:tcPr>
          <w:p>
            <w:pPr>
              <w:spacing w:after="0"/>
              <w:rPr>
                <w:sz w:val="15"/>
                <w:szCs w:val="15"/>
                <w:color w:val="auto"/>
              </w:rPr>
            </w:pPr>
          </w:p>
        </w:tc>
        <w:tc>
          <w:tcPr>
            <w:tcW w:w="1340" w:type="dxa"/>
            <w:vAlign w:val="bottom"/>
            <w:tcBorders>
              <w:top w:val="single" w:sz="8" w:color="auto"/>
            </w:tcBorders>
            <w:shd w:val="clear" w:color="auto" w:fill="D5EAEA"/>
          </w:tcPr>
          <w:p>
            <w:pPr>
              <w:spacing w:after="0"/>
              <w:rPr>
                <w:sz w:val="15"/>
                <w:szCs w:val="15"/>
                <w:color w:val="auto"/>
              </w:rPr>
            </w:pPr>
          </w:p>
        </w:tc>
        <w:tc>
          <w:tcPr>
            <w:tcW w:w="100" w:type="dxa"/>
            <w:vAlign w:val="bottom"/>
            <w:tcBorders>
              <w:top w:val="single" w:sz="8" w:color="D5EAEA"/>
            </w:tcBorders>
            <w:shd w:val="clear" w:color="auto" w:fill="D5EAEA"/>
          </w:tcPr>
          <w:p>
            <w:pPr>
              <w:spacing w:after="0"/>
              <w:rPr>
                <w:sz w:val="15"/>
                <w:szCs w:val="15"/>
                <w:color w:val="auto"/>
              </w:rPr>
            </w:pPr>
          </w:p>
        </w:tc>
        <w:tc>
          <w:tcPr>
            <w:tcW w:w="1340" w:type="dxa"/>
            <w:vAlign w:val="bottom"/>
            <w:tcBorders>
              <w:top w:val="single" w:sz="8" w:color="auto"/>
            </w:tcBorders>
            <w:shd w:val="clear" w:color="auto" w:fill="D5EAEA"/>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b w:val="1"/>
                <w:bCs w:val="1"/>
                <w:color w:val="auto"/>
              </w:rPr>
              <w:t>Operating expenses</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D5EAEA"/>
          </w:tcPr>
          <w:p>
            <w:pPr>
              <w:ind w:left="180"/>
              <w:spacing w:after="0" w:line="202" w:lineRule="exact"/>
              <w:rPr>
                <w:sz w:val="20"/>
                <w:szCs w:val="20"/>
                <w:color w:val="auto"/>
              </w:rPr>
            </w:pPr>
            <w:r>
              <w:rPr>
                <w:rFonts w:ascii="Arial" w:cs="Arial" w:eastAsia="Arial" w:hAnsi="Arial"/>
                <w:sz w:val="18"/>
                <w:szCs w:val="18"/>
                <w:color w:val="auto"/>
              </w:rPr>
              <w:t>Research &amp; development expenses</w:t>
            </w:r>
          </w:p>
        </w:tc>
        <w:tc>
          <w:tcPr>
            <w:tcW w:w="138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(13,710)</w:t>
            </w:r>
          </w:p>
        </w:tc>
        <w:tc>
          <w:tcPr>
            <w:tcW w:w="120" w:type="dxa"/>
            <w:vAlign w:val="bottom"/>
            <w:shd w:val="clear" w:color="auto" w:fill="D5EAEA"/>
          </w:tcPr>
          <w:p>
            <w:pPr>
              <w:spacing w:after="0"/>
              <w:rPr>
                <w:sz w:val="17"/>
                <w:szCs w:val="17"/>
                <w:color w:val="auto"/>
              </w:rPr>
            </w:pPr>
          </w:p>
        </w:tc>
        <w:tc>
          <w:tcPr>
            <w:tcW w:w="134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(12,809)</w:t>
            </w: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(27,040)</w:t>
            </w: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(28,018)</w:t>
            </w:r>
          </w:p>
        </w:tc>
        <w:tc>
          <w:tcPr>
            <w:tcW w:w="0" w:type="dxa"/>
            <w:vAlign w:val="bottom"/>
          </w:tcPr>
          <w:p>
            <w:pPr>
              <w:spacing w:after="0"/>
              <w:rPr>
                <w:sz w:val="1"/>
                <w:szCs w:val="1"/>
                <w:color w:val="auto"/>
              </w:rPr>
            </w:pPr>
          </w:p>
        </w:tc>
      </w:tr>
      <w:tr>
        <w:trPr>
          <w:trHeight w:val="203"/>
        </w:trPr>
        <w:tc>
          <w:tcPr>
            <w:tcW w:w="5520" w:type="dxa"/>
            <w:vAlign w:val="bottom"/>
          </w:tcPr>
          <w:p>
            <w:pPr>
              <w:ind w:left="180"/>
              <w:spacing w:after="0" w:line="202" w:lineRule="exact"/>
              <w:rPr>
                <w:sz w:val="20"/>
                <w:szCs w:val="20"/>
                <w:color w:val="auto"/>
              </w:rPr>
            </w:pPr>
            <w:r>
              <w:rPr>
                <w:rFonts w:ascii="Arial" w:cs="Arial" w:eastAsia="Arial" w:hAnsi="Arial"/>
                <w:sz w:val="18"/>
                <w:szCs w:val="18"/>
                <w:color w:val="auto"/>
              </w:rPr>
              <w:t>General &amp; administrative expenses</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(5,235)</w:t>
            </w:r>
          </w:p>
        </w:tc>
        <w:tc>
          <w:tcPr>
            <w:tcW w:w="1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(4,156)</w:t>
            </w: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(9,573)</w:t>
            </w: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(8,660)</w:t>
            </w:r>
          </w:p>
        </w:tc>
        <w:tc>
          <w:tcPr>
            <w:tcW w:w="0" w:type="dxa"/>
            <w:vAlign w:val="bottom"/>
          </w:tcPr>
          <w:p>
            <w:pPr>
              <w:spacing w:after="0"/>
              <w:rPr>
                <w:sz w:val="1"/>
                <w:szCs w:val="1"/>
                <w:color w:val="auto"/>
              </w:rPr>
            </w:pPr>
          </w:p>
        </w:tc>
      </w:tr>
      <w:tr>
        <w:trPr>
          <w:trHeight w:val="216"/>
        </w:trPr>
        <w:tc>
          <w:tcPr>
            <w:tcW w:w="5520" w:type="dxa"/>
            <w:vAlign w:val="bottom"/>
            <w:shd w:val="clear" w:color="auto" w:fill="D5EAEA"/>
          </w:tcPr>
          <w:p>
            <w:pPr>
              <w:ind w:left="180"/>
              <w:spacing w:after="0"/>
              <w:rPr>
                <w:sz w:val="20"/>
                <w:szCs w:val="20"/>
                <w:color w:val="auto"/>
              </w:rPr>
            </w:pPr>
            <w:r>
              <w:rPr>
                <w:rFonts w:ascii="Arial" w:cs="Arial" w:eastAsia="Arial" w:hAnsi="Arial"/>
                <w:sz w:val="18"/>
                <w:szCs w:val="18"/>
                <w:color w:val="auto"/>
              </w:rPr>
              <w:t>Other operating income/(expense)</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49"/>
        </w:trPr>
        <w:tc>
          <w:tcPr>
            <w:tcW w:w="552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operating expenses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(18,689)</w:t>
            </w:r>
          </w:p>
        </w:tc>
        <w:tc>
          <w:tcPr>
            <w:tcW w:w="120" w:type="dxa"/>
            <w:vAlign w:val="bottom"/>
            <w:tcBorders>
              <w:bottom w:val="single" w:sz="8" w:color="D5EAEA"/>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(16,770)</w:t>
            </w:r>
          </w:p>
        </w:tc>
        <w:tc>
          <w:tcPr>
            <w:tcW w:w="100" w:type="dxa"/>
            <w:vAlign w:val="bottom"/>
            <w:tcBorders>
              <w:bottom w:val="single" w:sz="8" w:color="D5EAEA"/>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(35,940)</w:t>
            </w:r>
          </w:p>
        </w:tc>
        <w:tc>
          <w:tcPr>
            <w:tcW w:w="100" w:type="dxa"/>
            <w:vAlign w:val="bottom"/>
            <w:tcBorders>
              <w:bottom w:val="single" w:sz="8" w:color="D5EAEA"/>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(36,354)</w:t>
            </w:r>
          </w:p>
        </w:tc>
        <w:tc>
          <w:tcPr>
            <w:tcW w:w="0" w:type="dxa"/>
            <w:vAlign w:val="bottom"/>
          </w:tcPr>
          <w:p>
            <w:pPr>
              <w:spacing w:after="0"/>
              <w:rPr>
                <w:sz w:val="1"/>
                <w:szCs w:val="1"/>
                <w:color w:val="auto"/>
              </w:rPr>
            </w:pPr>
          </w:p>
        </w:tc>
      </w:tr>
      <w:tr>
        <w:trPr>
          <w:trHeight w:val="183"/>
        </w:trPr>
        <w:tc>
          <w:tcPr>
            <w:tcW w:w="5520" w:type="dxa"/>
            <w:vAlign w:val="bottom"/>
            <w:tcBorders>
              <w:bottom w:val="single" w:sz="8" w:color="D5EAEA"/>
            </w:tcBorders>
            <w:shd w:val="clear" w:color="auto" w:fill="D5EAEA"/>
          </w:tcPr>
          <w:p>
            <w:pPr>
              <w:spacing w:after="0" w:line="183" w:lineRule="exact"/>
              <w:rPr>
                <w:sz w:val="20"/>
                <w:szCs w:val="20"/>
                <w:color w:val="auto"/>
              </w:rPr>
            </w:pPr>
            <w:r>
              <w:rPr>
                <w:rFonts w:ascii="Arial" w:cs="Arial" w:eastAsia="Arial" w:hAnsi="Arial"/>
                <w:sz w:val="18"/>
                <w:szCs w:val="18"/>
                <w:b w:val="1"/>
                <w:bCs w:val="1"/>
                <w:color w:val="auto"/>
              </w:rPr>
              <w:t>Operating loss</w:t>
            </w:r>
          </w:p>
        </w:tc>
        <w:tc>
          <w:tcPr>
            <w:tcW w:w="1380" w:type="dxa"/>
            <w:vAlign w:val="bottom"/>
            <w:tcBorders>
              <w:bottom w:val="single" w:sz="8" w:color="auto"/>
            </w:tcBorders>
            <w:shd w:val="clear" w:color="auto" w:fill="D5EAEA"/>
          </w:tcPr>
          <w:p>
            <w:pPr>
              <w:jc w:val="right"/>
              <w:spacing w:after="0" w:line="183" w:lineRule="exact"/>
              <w:rPr>
                <w:sz w:val="20"/>
                <w:szCs w:val="20"/>
                <w:color w:val="auto"/>
              </w:rPr>
            </w:pPr>
            <w:r>
              <w:rPr>
                <w:rFonts w:ascii="Arial" w:cs="Arial" w:eastAsia="Arial" w:hAnsi="Arial"/>
                <w:sz w:val="18"/>
                <w:szCs w:val="18"/>
                <w:color w:val="auto"/>
              </w:rPr>
              <w:t>(18,689)</w:t>
            </w:r>
          </w:p>
        </w:tc>
        <w:tc>
          <w:tcPr>
            <w:tcW w:w="120" w:type="dxa"/>
            <w:vAlign w:val="bottom"/>
            <w:tcBorders>
              <w:bottom w:val="single" w:sz="8" w:color="D5EAEA"/>
            </w:tcBorders>
            <w:shd w:val="clear" w:color="auto" w:fill="D5EAEA"/>
          </w:tcPr>
          <w:p>
            <w:pPr>
              <w:spacing w:after="0"/>
              <w:rPr>
                <w:sz w:val="15"/>
                <w:szCs w:val="15"/>
                <w:color w:val="auto"/>
              </w:rPr>
            </w:pPr>
          </w:p>
        </w:tc>
        <w:tc>
          <w:tcPr>
            <w:tcW w:w="1340" w:type="dxa"/>
            <w:vAlign w:val="bottom"/>
            <w:tcBorders>
              <w:bottom w:val="single" w:sz="8" w:color="auto"/>
            </w:tcBorders>
            <w:shd w:val="clear" w:color="auto" w:fill="D5EAEA"/>
          </w:tcPr>
          <w:p>
            <w:pPr>
              <w:jc w:val="right"/>
              <w:spacing w:after="0" w:line="183" w:lineRule="exact"/>
              <w:rPr>
                <w:sz w:val="20"/>
                <w:szCs w:val="20"/>
                <w:color w:val="auto"/>
              </w:rPr>
            </w:pPr>
            <w:r>
              <w:rPr>
                <w:rFonts w:ascii="Arial" w:cs="Arial" w:eastAsia="Arial" w:hAnsi="Arial"/>
                <w:sz w:val="18"/>
                <w:szCs w:val="18"/>
                <w:color w:val="auto"/>
              </w:rPr>
              <w:t>(15,687)</w:t>
            </w:r>
          </w:p>
        </w:tc>
        <w:tc>
          <w:tcPr>
            <w:tcW w:w="100" w:type="dxa"/>
            <w:vAlign w:val="bottom"/>
            <w:tcBorders>
              <w:bottom w:val="single" w:sz="8" w:color="D5EAEA"/>
            </w:tcBorders>
            <w:shd w:val="clear" w:color="auto" w:fill="D5EAEA"/>
          </w:tcPr>
          <w:p>
            <w:pPr>
              <w:spacing w:after="0"/>
              <w:rPr>
                <w:sz w:val="15"/>
                <w:szCs w:val="15"/>
                <w:color w:val="auto"/>
              </w:rPr>
            </w:pPr>
          </w:p>
        </w:tc>
        <w:tc>
          <w:tcPr>
            <w:tcW w:w="1340" w:type="dxa"/>
            <w:vAlign w:val="bottom"/>
            <w:tcBorders>
              <w:bottom w:val="single" w:sz="8" w:color="auto"/>
            </w:tcBorders>
            <w:shd w:val="clear" w:color="auto" w:fill="D5EAEA"/>
          </w:tcPr>
          <w:p>
            <w:pPr>
              <w:jc w:val="right"/>
              <w:spacing w:after="0" w:line="183" w:lineRule="exact"/>
              <w:rPr>
                <w:sz w:val="20"/>
                <w:szCs w:val="20"/>
                <w:color w:val="auto"/>
              </w:rPr>
            </w:pPr>
            <w:r>
              <w:rPr>
                <w:rFonts w:ascii="Arial" w:cs="Arial" w:eastAsia="Arial" w:hAnsi="Arial"/>
                <w:sz w:val="18"/>
                <w:szCs w:val="18"/>
                <w:color w:val="auto"/>
              </w:rPr>
              <w:t>(35,940)</w:t>
            </w:r>
          </w:p>
        </w:tc>
        <w:tc>
          <w:tcPr>
            <w:tcW w:w="100" w:type="dxa"/>
            <w:vAlign w:val="bottom"/>
            <w:tcBorders>
              <w:bottom w:val="single" w:sz="8" w:color="D5EAEA"/>
            </w:tcBorders>
            <w:shd w:val="clear" w:color="auto" w:fill="D5EAEA"/>
          </w:tcPr>
          <w:p>
            <w:pPr>
              <w:spacing w:after="0"/>
              <w:rPr>
                <w:sz w:val="15"/>
                <w:szCs w:val="15"/>
                <w:color w:val="auto"/>
              </w:rPr>
            </w:pPr>
          </w:p>
        </w:tc>
        <w:tc>
          <w:tcPr>
            <w:tcW w:w="1340" w:type="dxa"/>
            <w:vAlign w:val="bottom"/>
            <w:tcBorders>
              <w:bottom w:val="single" w:sz="8" w:color="auto"/>
            </w:tcBorders>
            <w:shd w:val="clear" w:color="auto" w:fill="D5EAEA"/>
          </w:tcPr>
          <w:p>
            <w:pPr>
              <w:jc w:val="right"/>
              <w:spacing w:after="0" w:line="183" w:lineRule="exact"/>
              <w:rPr>
                <w:sz w:val="20"/>
                <w:szCs w:val="20"/>
                <w:color w:val="auto"/>
              </w:rPr>
            </w:pPr>
            <w:r>
              <w:rPr>
                <w:rFonts w:ascii="Arial" w:cs="Arial" w:eastAsia="Arial" w:hAnsi="Arial"/>
                <w:sz w:val="18"/>
                <w:szCs w:val="18"/>
                <w:color w:val="auto"/>
              </w:rPr>
              <w:t>(22,989)</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D5EAEA"/>
          </w:tcPr>
          <w:p>
            <w:pPr>
              <w:ind w:left="180"/>
              <w:spacing w:after="0" w:line="202" w:lineRule="exact"/>
              <w:rPr>
                <w:sz w:val="20"/>
                <w:szCs w:val="20"/>
                <w:color w:val="auto"/>
              </w:rPr>
            </w:pPr>
            <w:r>
              <w:rPr>
                <w:rFonts w:ascii="Arial" w:cs="Arial" w:eastAsia="Arial" w:hAnsi="Arial"/>
                <w:sz w:val="18"/>
                <w:szCs w:val="18"/>
                <w:color w:val="auto"/>
              </w:rPr>
              <w:t>Financial income</w:t>
            </w:r>
          </w:p>
        </w:tc>
        <w:tc>
          <w:tcPr>
            <w:tcW w:w="1500" w:type="dxa"/>
            <w:vAlign w:val="bottom"/>
            <w:gridSpan w:val="2"/>
            <w:shd w:val="clear" w:color="auto" w:fill="D5EAEA"/>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17</w:t>
            </w:r>
          </w:p>
        </w:tc>
        <w:tc>
          <w:tcPr>
            <w:tcW w:w="100" w:type="dxa"/>
            <w:vAlign w:val="bottom"/>
            <w:shd w:val="clear" w:color="auto" w:fill="D5EAEA"/>
          </w:tcPr>
          <w:p>
            <w:pPr>
              <w:spacing w:after="0"/>
              <w:rPr>
                <w:sz w:val="17"/>
                <w:szCs w:val="17"/>
                <w:color w:val="auto"/>
              </w:rPr>
            </w:pPr>
          </w:p>
        </w:tc>
        <w:tc>
          <w:tcPr>
            <w:tcW w:w="1440" w:type="dxa"/>
            <w:vAlign w:val="bottom"/>
            <w:gridSpan w:val="2"/>
            <w:shd w:val="clear" w:color="auto" w:fill="D5EAEA"/>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3"/>
        </w:trPr>
        <w:tc>
          <w:tcPr>
            <w:tcW w:w="5520" w:type="dxa"/>
            <w:vAlign w:val="bottom"/>
          </w:tcPr>
          <w:p>
            <w:pPr>
              <w:ind w:left="180"/>
              <w:spacing w:after="0" w:line="202" w:lineRule="exact"/>
              <w:rPr>
                <w:sz w:val="20"/>
                <w:szCs w:val="20"/>
                <w:color w:val="auto"/>
              </w:rPr>
            </w:pPr>
            <w:r>
              <w:rPr>
                <w:rFonts w:ascii="Arial" w:cs="Arial" w:eastAsia="Arial" w:hAnsi="Arial"/>
                <w:sz w:val="18"/>
                <w:szCs w:val="18"/>
                <w:color w:val="auto"/>
              </w:rPr>
              <w:t>Financial expense</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(202)</w:t>
            </w:r>
          </w:p>
        </w:tc>
        <w:tc>
          <w:tcPr>
            <w:tcW w:w="1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(56)</w:t>
            </w: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(228)</w:t>
            </w: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5520" w:type="dxa"/>
            <w:vAlign w:val="bottom"/>
            <w:shd w:val="clear" w:color="auto" w:fill="D5EAEA"/>
          </w:tcPr>
          <w:p>
            <w:pPr>
              <w:ind w:left="180"/>
              <w:spacing w:after="0"/>
              <w:rPr>
                <w:sz w:val="20"/>
                <w:szCs w:val="20"/>
                <w:color w:val="auto"/>
              </w:rPr>
            </w:pPr>
            <w:r>
              <w:rPr>
                <w:rFonts w:ascii="Arial" w:cs="Arial" w:eastAsia="Arial" w:hAnsi="Arial"/>
                <w:sz w:val="18"/>
                <w:szCs w:val="18"/>
                <w:color w:val="auto"/>
              </w:rPr>
              <w:t>Exchange differences</w:t>
            </w:r>
          </w:p>
        </w:tc>
        <w:tc>
          <w:tcPr>
            <w:tcW w:w="13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49"/>
        </w:trPr>
        <w:tc>
          <w:tcPr>
            <w:tcW w:w="552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Finance result, net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D5EAEA"/>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D5EAEA"/>
            </w:tcBorders>
          </w:tcPr>
          <w:p>
            <w:pPr>
              <w:spacing w:after="0"/>
              <w:rPr>
                <w:sz w:val="21"/>
                <w:szCs w:val="21"/>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D5EAEA"/>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183"/>
        </w:trPr>
        <w:tc>
          <w:tcPr>
            <w:tcW w:w="5520" w:type="dxa"/>
            <w:vAlign w:val="bottom"/>
            <w:shd w:val="clear" w:color="auto" w:fill="D5EAEA"/>
          </w:tcPr>
          <w:p>
            <w:pPr>
              <w:spacing w:after="0" w:line="183" w:lineRule="exact"/>
              <w:rPr>
                <w:sz w:val="20"/>
                <w:szCs w:val="20"/>
                <w:color w:val="auto"/>
              </w:rPr>
            </w:pPr>
            <w:r>
              <w:rPr>
                <w:rFonts w:ascii="Arial" w:cs="Arial" w:eastAsia="Arial" w:hAnsi="Arial"/>
                <w:sz w:val="18"/>
                <w:szCs w:val="18"/>
                <w:b w:val="1"/>
                <w:bCs w:val="1"/>
                <w:color w:val="auto"/>
              </w:rPr>
              <w:t>Loss before tax</w:t>
            </w:r>
          </w:p>
        </w:tc>
        <w:tc>
          <w:tcPr>
            <w:tcW w:w="1380" w:type="dxa"/>
            <w:vAlign w:val="bottom"/>
            <w:shd w:val="clear" w:color="auto" w:fill="D5EAEA"/>
          </w:tcPr>
          <w:p>
            <w:pPr>
              <w:jc w:val="right"/>
              <w:spacing w:after="0" w:line="183" w:lineRule="exact"/>
              <w:rPr>
                <w:sz w:val="20"/>
                <w:szCs w:val="20"/>
                <w:color w:val="auto"/>
              </w:rPr>
            </w:pPr>
            <w:r>
              <w:rPr>
                <w:rFonts w:ascii="Arial" w:cs="Arial" w:eastAsia="Arial" w:hAnsi="Arial"/>
                <w:sz w:val="18"/>
                <w:szCs w:val="18"/>
                <w:color w:val="auto"/>
              </w:rPr>
              <w:t>(19,069)</w:t>
            </w:r>
          </w:p>
        </w:tc>
        <w:tc>
          <w:tcPr>
            <w:tcW w:w="120" w:type="dxa"/>
            <w:vAlign w:val="bottom"/>
            <w:shd w:val="clear" w:color="auto" w:fill="D5EAEA"/>
          </w:tcPr>
          <w:p>
            <w:pPr>
              <w:spacing w:after="0"/>
              <w:rPr>
                <w:sz w:val="15"/>
                <w:szCs w:val="15"/>
                <w:color w:val="auto"/>
              </w:rPr>
            </w:pPr>
          </w:p>
        </w:tc>
        <w:tc>
          <w:tcPr>
            <w:tcW w:w="1340" w:type="dxa"/>
            <w:vAlign w:val="bottom"/>
            <w:shd w:val="clear" w:color="auto" w:fill="D5EAEA"/>
          </w:tcPr>
          <w:p>
            <w:pPr>
              <w:jc w:val="right"/>
              <w:spacing w:after="0" w:line="183" w:lineRule="exact"/>
              <w:rPr>
                <w:sz w:val="20"/>
                <w:szCs w:val="20"/>
                <w:color w:val="auto"/>
              </w:rPr>
            </w:pPr>
            <w:r>
              <w:rPr>
                <w:rFonts w:ascii="Arial" w:cs="Arial" w:eastAsia="Arial" w:hAnsi="Arial"/>
                <w:sz w:val="18"/>
                <w:szCs w:val="18"/>
                <w:color w:val="auto"/>
              </w:rPr>
              <w:t>(15,738)</w:t>
            </w:r>
          </w:p>
        </w:tc>
        <w:tc>
          <w:tcPr>
            <w:tcW w:w="100" w:type="dxa"/>
            <w:vAlign w:val="bottom"/>
            <w:shd w:val="clear" w:color="auto" w:fill="D5EAEA"/>
          </w:tcPr>
          <w:p>
            <w:pPr>
              <w:spacing w:after="0"/>
              <w:rPr>
                <w:sz w:val="15"/>
                <w:szCs w:val="15"/>
                <w:color w:val="auto"/>
              </w:rPr>
            </w:pPr>
          </w:p>
        </w:tc>
        <w:tc>
          <w:tcPr>
            <w:tcW w:w="1340" w:type="dxa"/>
            <w:vAlign w:val="bottom"/>
            <w:shd w:val="clear" w:color="auto" w:fill="D5EAEA"/>
          </w:tcPr>
          <w:p>
            <w:pPr>
              <w:jc w:val="right"/>
              <w:spacing w:after="0" w:line="183" w:lineRule="exact"/>
              <w:rPr>
                <w:sz w:val="20"/>
                <w:szCs w:val="20"/>
                <w:color w:val="auto"/>
              </w:rPr>
            </w:pPr>
            <w:r>
              <w:rPr>
                <w:rFonts w:ascii="Arial" w:cs="Arial" w:eastAsia="Arial" w:hAnsi="Arial"/>
                <w:sz w:val="18"/>
                <w:szCs w:val="18"/>
                <w:color w:val="auto"/>
              </w:rPr>
              <w:t>(35,803)</w:t>
            </w:r>
          </w:p>
        </w:tc>
        <w:tc>
          <w:tcPr>
            <w:tcW w:w="100" w:type="dxa"/>
            <w:vAlign w:val="bottom"/>
            <w:shd w:val="clear" w:color="auto" w:fill="D5EAEA"/>
          </w:tcPr>
          <w:p>
            <w:pPr>
              <w:spacing w:after="0"/>
              <w:rPr>
                <w:sz w:val="15"/>
                <w:szCs w:val="15"/>
                <w:color w:val="auto"/>
              </w:rPr>
            </w:pPr>
          </w:p>
        </w:tc>
        <w:tc>
          <w:tcPr>
            <w:tcW w:w="1340" w:type="dxa"/>
            <w:vAlign w:val="bottom"/>
            <w:shd w:val="clear" w:color="auto" w:fill="D5EAEA"/>
          </w:tcPr>
          <w:p>
            <w:pPr>
              <w:jc w:val="right"/>
              <w:spacing w:after="0" w:line="183" w:lineRule="exact"/>
              <w:rPr>
                <w:sz w:val="20"/>
                <w:szCs w:val="20"/>
                <w:color w:val="auto"/>
              </w:rPr>
            </w:pPr>
            <w:r>
              <w:rPr>
                <w:rFonts w:ascii="Arial" w:cs="Arial" w:eastAsia="Arial" w:hAnsi="Arial"/>
                <w:sz w:val="18"/>
                <w:szCs w:val="18"/>
                <w:color w:val="auto"/>
              </w:rPr>
              <w:t>(23,425)</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Income tax expense</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52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Loss for the period</w:t>
            </w:r>
          </w:p>
        </w:tc>
        <w:tc>
          <w:tcPr>
            <w:tcW w:w="13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(19,069)</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(15,738)</w:t>
            </w: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(35,803)</w:t>
            </w: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(23,425)</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color w:val="auto"/>
              </w:rPr>
              <w:t>Loss per share:</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20" w:type="dxa"/>
            <w:vAlign w:val="bottom"/>
            <w:vMerge w:val="continue"/>
          </w:tcPr>
          <w:p>
            <w:pPr>
              <w:spacing w:after="0"/>
              <w:rPr>
                <w:sz w:val="15"/>
                <w:szCs w:val="15"/>
                <w:color w:val="auto"/>
              </w:rPr>
            </w:pPr>
          </w:p>
        </w:tc>
        <w:tc>
          <w:tcPr>
            <w:tcW w:w="1380" w:type="dxa"/>
            <w:vAlign w:val="bottom"/>
          </w:tcPr>
          <w:p>
            <w:pPr>
              <w:jc w:val="right"/>
              <w:spacing w:after="0" w:line="183" w:lineRule="exact"/>
              <w:rPr>
                <w:sz w:val="20"/>
                <w:szCs w:val="20"/>
                <w:color w:val="auto"/>
              </w:rPr>
            </w:pPr>
            <w:r>
              <w:rPr>
                <w:rFonts w:ascii="Arial" w:cs="Arial" w:eastAsia="Arial" w:hAnsi="Arial"/>
                <w:sz w:val="18"/>
                <w:szCs w:val="18"/>
                <w:color w:val="auto"/>
              </w:rPr>
              <w:t>(0.26)</w:t>
            </w:r>
          </w:p>
        </w:tc>
        <w:tc>
          <w:tcPr>
            <w:tcW w:w="120" w:type="dxa"/>
            <w:vAlign w:val="bottom"/>
          </w:tcPr>
          <w:p>
            <w:pPr>
              <w:spacing w:after="0"/>
              <w:rPr>
                <w:sz w:val="15"/>
                <w:szCs w:val="15"/>
                <w:color w:val="auto"/>
              </w:rPr>
            </w:pPr>
          </w:p>
        </w:tc>
        <w:tc>
          <w:tcPr>
            <w:tcW w:w="1340" w:type="dxa"/>
            <w:vAlign w:val="bottom"/>
          </w:tcPr>
          <w:p>
            <w:pPr>
              <w:jc w:val="right"/>
              <w:spacing w:after="0" w:line="183" w:lineRule="exact"/>
              <w:rPr>
                <w:sz w:val="20"/>
                <w:szCs w:val="20"/>
                <w:color w:val="auto"/>
              </w:rPr>
            </w:pPr>
            <w:r>
              <w:rPr>
                <w:rFonts w:ascii="Arial" w:cs="Arial" w:eastAsia="Arial" w:hAnsi="Arial"/>
                <w:sz w:val="18"/>
                <w:szCs w:val="18"/>
                <w:color w:val="auto"/>
              </w:rPr>
              <w:t>(0.22)</w:t>
            </w:r>
          </w:p>
        </w:tc>
        <w:tc>
          <w:tcPr>
            <w:tcW w:w="100" w:type="dxa"/>
            <w:vAlign w:val="bottom"/>
          </w:tcPr>
          <w:p>
            <w:pPr>
              <w:spacing w:after="0"/>
              <w:rPr>
                <w:sz w:val="15"/>
                <w:szCs w:val="15"/>
                <w:color w:val="auto"/>
              </w:rPr>
            </w:pPr>
          </w:p>
        </w:tc>
        <w:tc>
          <w:tcPr>
            <w:tcW w:w="1340" w:type="dxa"/>
            <w:vAlign w:val="bottom"/>
          </w:tcPr>
          <w:p>
            <w:pPr>
              <w:jc w:val="right"/>
              <w:spacing w:after="0" w:line="183" w:lineRule="exact"/>
              <w:rPr>
                <w:sz w:val="20"/>
                <w:szCs w:val="20"/>
                <w:color w:val="auto"/>
              </w:rPr>
            </w:pPr>
            <w:r>
              <w:rPr>
                <w:rFonts w:ascii="Arial" w:cs="Arial" w:eastAsia="Arial" w:hAnsi="Arial"/>
                <w:sz w:val="18"/>
                <w:szCs w:val="18"/>
                <w:color w:val="auto"/>
              </w:rPr>
              <w:t>(0.50)</w:t>
            </w:r>
          </w:p>
        </w:tc>
        <w:tc>
          <w:tcPr>
            <w:tcW w:w="100" w:type="dxa"/>
            <w:vAlign w:val="bottom"/>
          </w:tcPr>
          <w:p>
            <w:pPr>
              <w:spacing w:after="0"/>
              <w:rPr>
                <w:sz w:val="15"/>
                <w:szCs w:val="15"/>
                <w:color w:val="auto"/>
              </w:rPr>
            </w:pPr>
          </w:p>
        </w:tc>
        <w:tc>
          <w:tcPr>
            <w:tcW w:w="1340" w:type="dxa"/>
            <w:vAlign w:val="bottom"/>
          </w:tcPr>
          <w:p>
            <w:pPr>
              <w:jc w:val="right"/>
              <w:spacing w:after="0" w:line="183" w:lineRule="exact"/>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2"/>
        </w:trPr>
        <w:tc>
          <w:tcPr>
            <w:tcW w:w="5520" w:type="dxa"/>
            <w:vAlign w:val="bottom"/>
            <w:shd w:val="clear" w:color="auto" w:fill="D5EAEA"/>
          </w:tcPr>
          <w:p>
            <w:pPr>
              <w:ind w:left="340"/>
              <w:spacing w:after="0" w:line="201" w:lineRule="exact"/>
              <w:rPr>
                <w:sz w:val="20"/>
                <w:szCs w:val="20"/>
                <w:color w:val="auto"/>
              </w:rPr>
            </w:pPr>
            <w:r>
              <w:rPr>
                <w:rFonts w:ascii="Arial" w:cs="Arial" w:eastAsia="Arial" w:hAnsi="Arial"/>
                <w:sz w:val="18"/>
                <w:szCs w:val="18"/>
                <w:color w:val="auto"/>
              </w:rPr>
              <w:t>Basic and diluted loss for the period attributable to equity</w:t>
            </w:r>
          </w:p>
        </w:tc>
        <w:tc>
          <w:tcPr>
            <w:tcW w:w="138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D5EAEA"/>
          </w:tcPr>
          <w:p>
            <w:pPr>
              <w:ind w:left="500"/>
              <w:spacing w:after="0" w:line="203" w:lineRule="exact"/>
              <w:rPr>
                <w:sz w:val="20"/>
                <w:szCs w:val="20"/>
                <w:color w:val="auto"/>
              </w:rPr>
            </w:pPr>
            <w:r>
              <w:rPr>
                <w:rFonts w:ascii="Arial" w:cs="Arial" w:eastAsia="Arial" w:hAnsi="Arial"/>
                <w:sz w:val="18"/>
                <w:szCs w:val="18"/>
                <w:color w:val="auto"/>
              </w:rPr>
              <w:t>holders</w:t>
            </w:r>
          </w:p>
        </w:tc>
        <w:tc>
          <w:tcPr>
            <w:tcW w:w="1380" w:type="dxa"/>
            <w:vAlign w:val="bottom"/>
            <w:shd w:val="clear" w:color="auto" w:fill="D5EAEA"/>
          </w:tcPr>
          <w:p>
            <w:pPr>
              <w:jc w:val="right"/>
              <w:ind w:right="30"/>
              <w:spacing w:after="0" w:line="203" w:lineRule="exact"/>
              <w:rPr>
                <w:sz w:val="20"/>
                <w:szCs w:val="20"/>
                <w:color w:val="auto"/>
              </w:rPr>
            </w:pPr>
            <w:r>
              <w:rPr>
                <w:rFonts w:ascii="Arial" w:cs="Arial" w:eastAsia="Arial" w:hAnsi="Arial"/>
                <w:sz w:val="18"/>
                <w:szCs w:val="18"/>
                <w:color w:val="auto"/>
              </w:rPr>
              <w:t>72,715,783</w:t>
            </w:r>
          </w:p>
        </w:tc>
        <w:tc>
          <w:tcPr>
            <w:tcW w:w="120" w:type="dxa"/>
            <w:vAlign w:val="bottom"/>
            <w:shd w:val="clear" w:color="auto" w:fill="D5EAEA"/>
          </w:tcPr>
          <w:p>
            <w:pPr>
              <w:spacing w:after="0"/>
              <w:rPr>
                <w:sz w:val="17"/>
                <w:szCs w:val="17"/>
                <w:color w:val="auto"/>
              </w:rPr>
            </w:pPr>
          </w:p>
        </w:tc>
        <w:tc>
          <w:tcPr>
            <w:tcW w:w="1340" w:type="dxa"/>
            <w:vAlign w:val="bottom"/>
            <w:shd w:val="clear" w:color="auto" w:fill="D5EAEA"/>
          </w:tcPr>
          <w:p>
            <w:pPr>
              <w:jc w:val="right"/>
              <w:ind w:right="30"/>
              <w:spacing w:after="0" w:line="203" w:lineRule="exact"/>
              <w:rPr>
                <w:sz w:val="20"/>
                <w:szCs w:val="20"/>
                <w:color w:val="auto"/>
              </w:rPr>
            </w:pPr>
            <w:r>
              <w:rPr>
                <w:rFonts w:ascii="Arial" w:cs="Arial" w:eastAsia="Arial" w:hAnsi="Arial"/>
                <w:sz w:val="18"/>
                <w:szCs w:val="18"/>
                <w:color w:val="auto"/>
              </w:rPr>
              <w:t>71,875,102</w:t>
            </w: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jc w:val="right"/>
              <w:ind w:right="30"/>
              <w:spacing w:after="0" w:line="203" w:lineRule="exact"/>
              <w:rPr>
                <w:sz w:val="20"/>
                <w:szCs w:val="20"/>
                <w:color w:val="auto"/>
              </w:rPr>
            </w:pPr>
            <w:r>
              <w:rPr>
                <w:rFonts w:ascii="Arial" w:cs="Arial" w:eastAsia="Arial" w:hAnsi="Arial"/>
                <w:sz w:val="18"/>
                <w:szCs w:val="18"/>
                <w:color w:val="auto"/>
              </w:rPr>
              <w:t>72,113,581</w:t>
            </w: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jc w:val="right"/>
              <w:ind w:right="10"/>
              <w:spacing w:after="0" w:line="203" w:lineRule="exact"/>
              <w:rPr>
                <w:sz w:val="20"/>
                <w:szCs w:val="20"/>
                <w:color w:val="auto"/>
              </w:rPr>
            </w:pPr>
            <w:r>
              <w:rPr>
                <w:rFonts w:ascii="Arial" w:cs="Arial" w:eastAsia="Arial" w:hAnsi="Arial"/>
                <w:sz w:val="18"/>
                <w:szCs w:val="18"/>
                <w:color w:val="auto"/>
              </w:rPr>
              <w:t>71,869,658</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Comprehensive Income/(Loss)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w:t>
      </w:r>
    </w:p>
    <w:p>
      <w:pPr>
        <w:sectPr>
          <w:pgSz w:w="11900" w:h="16838" w:orient="portrait"/>
          <w:cols w:equalWidth="0" w:num="1">
            <w:col w:w="11240"/>
          </w:cols>
          <w:pgMar w:left="320" w:top="5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Loss for the period</w:t>
      </w:r>
    </w:p>
    <w:p>
      <w:pPr>
        <w:ind w:left="180" w:hanging="161"/>
        <w:spacing w:after="0" w:line="234" w:lineRule="auto"/>
        <w:rPr>
          <w:sz w:val="20"/>
          <w:szCs w:val="20"/>
          <w:color w:val="auto"/>
        </w:rPr>
      </w:pPr>
      <w:r>
        <w:rPr>
          <w:rFonts w:ascii="Arial" w:cs="Arial" w:eastAsia="Arial" w:hAnsi="Arial"/>
          <w:sz w:val="18"/>
          <w:szCs w:val="18"/>
          <w:color w:val="auto"/>
        </w:rPr>
        <w:t>Other comprehensive loss not to be reclassified to income or loss in subsequent periods (net of tax):</w:t>
      </w:r>
    </w:p>
    <w:p>
      <w:pPr>
        <w:spacing w:after="0" w:line="1" w:lineRule="exact"/>
        <w:rPr>
          <w:sz w:val="20"/>
          <w:szCs w:val="20"/>
          <w:color w:val="auto"/>
        </w:rPr>
      </w:pPr>
    </w:p>
    <w:p>
      <w:pPr>
        <w:ind w:right="400" w:firstLine="162"/>
        <w:spacing w:after="0" w:line="261" w:lineRule="auto"/>
        <w:rPr>
          <w:sz w:val="20"/>
          <w:szCs w:val="20"/>
          <w:color w:val="auto"/>
        </w:rPr>
      </w:pPr>
      <w:r>
        <w:rPr>
          <w:rFonts w:ascii="Arial" w:cs="Arial" w:eastAsia="Arial" w:hAnsi="Arial"/>
          <w:sz w:val="18"/>
          <w:szCs w:val="18"/>
          <w:color w:val="auto"/>
        </w:rPr>
        <w:t xml:space="preserve">Re-measurement losses on defined-benefit plans (net of tax) </w:t>
      </w:r>
      <w:r>
        <w:rPr>
          <w:rFonts w:ascii="Arial" w:cs="Arial" w:eastAsia="Arial" w:hAnsi="Arial"/>
          <w:sz w:val="18"/>
          <w:szCs w:val="18"/>
          <w:b w:val="1"/>
          <w:bCs w:val="1"/>
          <w:color w:val="auto"/>
        </w:rPr>
        <w:t>Total comprehensive loss, net of tax</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94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9"/>
              </w:rPr>
              <w:t>For the Three Months</w:t>
            </w:r>
          </w:p>
        </w:tc>
        <w:tc>
          <w:tcPr>
            <w:tcW w:w="278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For the Six Months</w:t>
            </w:r>
          </w:p>
        </w:tc>
      </w:tr>
      <w:tr>
        <w:trPr>
          <w:trHeight w:val="225"/>
        </w:trPr>
        <w:tc>
          <w:tcPr>
            <w:tcW w:w="29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9"/>
              </w:rPr>
              <w:t>Ended June 30,</w:t>
            </w:r>
          </w:p>
        </w:tc>
        <w:tc>
          <w:tcPr>
            <w:tcW w:w="278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Ended June 30,</w:t>
            </w:r>
          </w:p>
        </w:tc>
      </w:tr>
      <w:tr>
        <w:trPr>
          <w:trHeight w:val="210"/>
        </w:trPr>
        <w:tc>
          <w:tcPr>
            <w:tcW w:w="13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10"/>
        </w:trPr>
        <w:tc>
          <w:tcPr>
            <w:tcW w:w="1380" w:type="dxa"/>
            <w:vAlign w:val="bottom"/>
          </w:tcPr>
          <w:p>
            <w:pPr>
              <w:jc w:val="right"/>
              <w:spacing w:after="0"/>
              <w:rPr>
                <w:sz w:val="20"/>
                <w:szCs w:val="20"/>
                <w:color w:val="auto"/>
              </w:rPr>
            </w:pPr>
            <w:r>
              <w:rPr>
                <w:rFonts w:ascii="Arial" w:cs="Arial" w:eastAsia="Arial" w:hAnsi="Arial"/>
                <w:sz w:val="18"/>
                <w:szCs w:val="18"/>
                <w:color w:val="auto"/>
              </w:rPr>
              <w:t>(19,069)</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(15,738)</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(35,803)</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(23,425)</w:t>
            </w:r>
          </w:p>
        </w:tc>
      </w:tr>
      <w:tr>
        <w:trPr>
          <w:trHeight w:val="607"/>
        </w:trPr>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(19,069)</w:t>
            </w:r>
          </w:p>
        </w:tc>
        <w:tc>
          <w:tcPr>
            <w:tcW w:w="12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(15,738)</w:t>
            </w:r>
          </w:p>
        </w:tc>
        <w:tc>
          <w:tcPr>
            <w:tcW w:w="10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(35,803)</w:t>
            </w:r>
          </w:p>
        </w:tc>
        <w:tc>
          <w:tcPr>
            <w:tcW w:w="10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(23,425)</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305"/>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 / 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-908050</wp:posOffset>
            </wp:positionV>
            <wp:extent cx="71323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-513715</wp:posOffset>
            </wp:positionV>
            <wp:extent cx="71323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-8255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5400" w:space="120"/>
            <w:col w:w="5720"/>
          </w:cols>
          <w:pgMar w:left="320" w:top="530" w:right="339" w:bottom="1440" w:gutter="0" w:footer="0" w:header="0"/>
          <w:type w:val="continuous"/>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Reconciliation of loss to adjusted loss and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loss per share to adjusted loss per share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9"/>
              </w:rPr>
              <w:t>For the Three Months</w:t>
            </w:r>
          </w:p>
        </w:tc>
        <w:tc>
          <w:tcPr>
            <w:tcW w:w="278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For the Six Months</w:t>
            </w:r>
          </w:p>
        </w:tc>
        <w:tc>
          <w:tcPr>
            <w:tcW w:w="0" w:type="dxa"/>
            <w:vAlign w:val="bottom"/>
          </w:tcPr>
          <w:p>
            <w:pPr>
              <w:spacing w:after="0"/>
              <w:rPr>
                <w:sz w:val="1"/>
                <w:szCs w:val="1"/>
                <w:color w:val="auto"/>
              </w:rPr>
            </w:pPr>
          </w:p>
        </w:tc>
      </w:tr>
      <w:tr>
        <w:trPr>
          <w:trHeight w:val="225"/>
        </w:trPr>
        <w:tc>
          <w:tcPr>
            <w:tcW w:w="5520" w:type="dxa"/>
            <w:vAlign w:val="bottom"/>
            <w:gridSpan w:val="2"/>
            <w:vMerge w:val="restart"/>
          </w:tcPr>
          <w:p>
            <w:pPr>
              <w:ind w:left="360"/>
              <w:spacing w:after="0"/>
              <w:rPr>
                <w:sz w:val="20"/>
                <w:szCs w:val="20"/>
                <w:color w:val="auto"/>
              </w:rPr>
            </w:pPr>
            <w:r>
              <w:rPr>
                <w:rFonts w:ascii="Arial" w:cs="Arial" w:eastAsia="Arial" w:hAnsi="Arial"/>
                <w:sz w:val="18"/>
                <w:szCs w:val="18"/>
                <w:b w:val="1"/>
                <w:bCs w:val="1"/>
                <w:color w:val="auto"/>
              </w:rPr>
              <w:t>In CHF thousands, except for share and per share data</w:t>
            </w:r>
          </w:p>
        </w:tc>
        <w:tc>
          <w:tcPr>
            <w:tcW w:w="29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9"/>
              </w:rPr>
              <w:t>Ended June 30,</w:t>
            </w:r>
          </w:p>
        </w:tc>
        <w:tc>
          <w:tcPr>
            <w:tcW w:w="278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Ended June 30,</w:t>
            </w:r>
          </w:p>
        </w:tc>
        <w:tc>
          <w:tcPr>
            <w:tcW w:w="0" w:type="dxa"/>
            <w:vAlign w:val="bottom"/>
          </w:tcPr>
          <w:p>
            <w:pPr>
              <w:spacing w:after="0"/>
              <w:rPr>
                <w:sz w:val="1"/>
                <w:szCs w:val="1"/>
                <w:color w:val="auto"/>
              </w:rPr>
            </w:pPr>
          </w:p>
        </w:tc>
      </w:tr>
      <w:tr>
        <w:trPr>
          <w:trHeight w:val="209"/>
        </w:trPr>
        <w:tc>
          <w:tcPr>
            <w:tcW w:w="5520" w:type="dxa"/>
            <w:vAlign w:val="bottom"/>
            <w:gridSpan w:val="2"/>
            <w:vMerge w:val="continue"/>
          </w:tcPr>
          <w:p>
            <w:pPr>
              <w:spacing w:after="0"/>
              <w:rPr>
                <w:sz w:val="18"/>
                <w:szCs w:val="18"/>
                <w:color w:val="auto"/>
              </w:rPr>
            </w:pPr>
          </w:p>
        </w:tc>
        <w:tc>
          <w:tcPr>
            <w:tcW w:w="13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3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540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b w:val="1"/>
                <w:bCs w:val="1"/>
                <w:color w:val="auto"/>
              </w:rPr>
              <w:t>Loss</w:t>
            </w:r>
          </w:p>
        </w:tc>
        <w:tc>
          <w:tcPr>
            <w:tcW w:w="12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(19,069)</w:t>
            </w: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(15,738)</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(35,803)</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(23,425)</w:t>
            </w:r>
          </w:p>
        </w:tc>
        <w:tc>
          <w:tcPr>
            <w:tcW w:w="0" w:type="dxa"/>
            <w:vAlign w:val="bottom"/>
          </w:tcPr>
          <w:p>
            <w:pPr>
              <w:spacing w:after="0"/>
              <w:rPr>
                <w:sz w:val="1"/>
                <w:szCs w:val="1"/>
                <w:color w:val="auto"/>
              </w:rPr>
            </w:pPr>
          </w:p>
        </w:tc>
      </w:tr>
      <w:tr>
        <w:trPr>
          <w:trHeight w:val="196"/>
        </w:trPr>
        <w:tc>
          <w:tcPr>
            <w:tcW w:w="55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Adjustments</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520" w:type="dxa"/>
            <w:vAlign w:val="bottom"/>
            <w:gridSpan w:val="2"/>
            <w:shd w:val="clear" w:color="auto" w:fill="D5EAEA"/>
          </w:tcPr>
          <w:p>
            <w:pPr>
              <w:ind w:left="340"/>
              <w:spacing w:after="0" w:line="243" w:lineRule="exact"/>
              <w:rPr>
                <w:sz w:val="20"/>
                <w:szCs w:val="20"/>
                <w:color w:val="auto"/>
              </w:rPr>
            </w:pPr>
            <w:r>
              <w:rPr>
                <w:rFonts w:ascii="Arial" w:cs="Arial" w:eastAsia="Arial" w:hAnsi="Arial"/>
                <w:sz w:val="17"/>
                <w:szCs w:val="17"/>
                <w:color w:val="auto"/>
              </w:rPr>
              <w:t>Non-cash share-based payments</w:t>
            </w:r>
            <w:r>
              <w:rPr>
                <w:rFonts w:ascii="Arial" w:cs="Arial" w:eastAsia="Arial" w:hAnsi="Arial"/>
                <w:sz w:val="28"/>
                <w:szCs w:val="28"/>
                <w:color w:val="auto"/>
                <w:vertAlign w:val="superscript"/>
              </w:rPr>
              <w:t>1</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836</w:t>
            </w:r>
          </w:p>
        </w:tc>
        <w:tc>
          <w:tcPr>
            <w:tcW w:w="120" w:type="dxa"/>
            <w:vAlign w:val="bottom"/>
            <w:shd w:val="clear" w:color="auto" w:fill="D5EAEA"/>
          </w:tcPr>
          <w:p>
            <w:pPr>
              <w:spacing w:after="0"/>
              <w:rPr>
                <w:sz w:val="21"/>
                <w:szCs w:val="21"/>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D5EAEA"/>
          </w:tcPr>
          <w:p>
            <w:pPr>
              <w:spacing w:after="0"/>
              <w:rPr>
                <w:sz w:val="21"/>
                <w:szCs w:val="21"/>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1,694</w:t>
            </w:r>
          </w:p>
        </w:tc>
        <w:tc>
          <w:tcPr>
            <w:tcW w:w="100" w:type="dxa"/>
            <w:vAlign w:val="bottom"/>
            <w:shd w:val="clear" w:color="auto" w:fill="D5EAEA"/>
          </w:tcPr>
          <w:p>
            <w:pPr>
              <w:spacing w:after="0"/>
              <w:rPr>
                <w:sz w:val="21"/>
                <w:szCs w:val="21"/>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43"/>
        </w:trPr>
        <w:tc>
          <w:tcPr>
            <w:tcW w:w="5520" w:type="dxa"/>
            <w:vAlign w:val="bottom"/>
            <w:gridSpan w:val="2"/>
          </w:tcPr>
          <w:p>
            <w:pPr>
              <w:ind w:left="340"/>
              <w:spacing w:after="0" w:line="243" w:lineRule="exact"/>
              <w:rPr>
                <w:sz w:val="20"/>
                <w:szCs w:val="20"/>
                <w:color w:val="auto"/>
              </w:rPr>
            </w:pPr>
            <w:r>
              <w:rPr>
                <w:rFonts w:ascii="Arial" w:cs="Arial" w:eastAsia="Arial" w:hAnsi="Arial"/>
                <w:sz w:val="17"/>
                <w:szCs w:val="17"/>
                <w:color w:val="auto"/>
              </w:rPr>
              <w:t>Foreign currency (gains)/losses</w:t>
            </w:r>
            <w:r>
              <w:rPr>
                <w:rFonts w:ascii="Arial" w:cs="Arial" w:eastAsia="Arial" w:hAnsi="Arial"/>
                <w:sz w:val="28"/>
                <w:szCs w:val="28"/>
                <w:color w:val="auto"/>
                <w:vertAlign w:val="superscript"/>
              </w:rPr>
              <w:t>2</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57"/>
        </w:trPr>
        <w:tc>
          <w:tcPr>
            <w:tcW w:w="5520" w:type="dxa"/>
            <w:vAlign w:val="bottom"/>
            <w:gridSpan w:val="2"/>
            <w:shd w:val="clear" w:color="auto" w:fill="D5EAEA"/>
          </w:tcPr>
          <w:p>
            <w:pPr>
              <w:ind w:left="340"/>
              <w:spacing w:after="0" w:line="256" w:lineRule="exact"/>
              <w:rPr>
                <w:sz w:val="20"/>
                <w:szCs w:val="20"/>
                <w:color w:val="auto"/>
              </w:rPr>
            </w:pPr>
            <w:r>
              <w:rPr>
                <w:rFonts w:ascii="Arial" w:cs="Arial" w:eastAsia="Arial" w:hAnsi="Arial"/>
                <w:sz w:val="18"/>
                <w:szCs w:val="18"/>
                <w:color w:val="auto"/>
              </w:rPr>
              <w:t>Transaction costs</w:t>
            </w:r>
            <w:r>
              <w:rPr>
                <w:rFonts w:ascii="Arial" w:cs="Arial" w:eastAsia="Arial" w:hAnsi="Arial"/>
                <w:sz w:val="29"/>
                <w:szCs w:val="29"/>
                <w:color w:val="auto"/>
                <w:vertAlign w:val="superscript"/>
              </w:rPr>
              <w:t>3</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D5EAEA"/>
          </w:tcPr>
          <w:p>
            <w:pPr>
              <w:spacing w:after="0"/>
              <w:rPr>
                <w:sz w:val="22"/>
                <w:szCs w:val="22"/>
                <w:color w:val="auto"/>
              </w:rPr>
            </w:pPr>
          </w:p>
        </w:tc>
        <w:tc>
          <w:tcPr>
            <w:tcW w:w="14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D5EAEA"/>
          </w:tcPr>
          <w:p>
            <w:pPr>
              <w:spacing w:after="0"/>
              <w:rPr>
                <w:sz w:val="22"/>
                <w:szCs w:val="22"/>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D5EAEA"/>
            </w:tcBorders>
            <w:gridSpan w:val="2"/>
          </w:tcPr>
          <w:p>
            <w:pPr>
              <w:spacing w:after="0" w:line="196" w:lineRule="exact"/>
              <w:rPr>
                <w:sz w:val="20"/>
                <w:szCs w:val="20"/>
                <w:color w:val="auto"/>
              </w:rPr>
            </w:pPr>
            <w:r>
              <w:rPr>
                <w:rFonts w:ascii="Arial" w:cs="Arial" w:eastAsia="Arial" w:hAnsi="Arial"/>
                <w:sz w:val="18"/>
                <w:szCs w:val="18"/>
                <w:b w:val="1"/>
                <w:bCs w:val="1"/>
                <w:color w:val="auto"/>
              </w:rPr>
              <w:t>Adjusted Loss</w:t>
            </w: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(17,565)</w:t>
            </w:r>
          </w:p>
        </w:tc>
        <w:tc>
          <w:tcPr>
            <w:tcW w:w="120" w:type="dxa"/>
            <w:vAlign w:val="bottom"/>
            <w:tcBorders>
              <w:bottom w:val="single" w:sz="8" w:color="D5EAEA"/>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(14,700)</w:t>
            </w:r>
          </w:p>
        </w:tc>
        <w:tc>
          <w:tcPr>
            <w:tcW w:w="100" w:type="dxa"/>
            <w:vAlign w:val="bottom"/>
            <w:tcBorders>
              <w:bottom w:val="single" w:sz="8" w:color="D5EAEA"/>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(34,062)</w:t>
            </w:r>
          </w:p>
        </w:tc>
        <w:tc>
          <w:tcPr>
            <w:tcW w:w="100" w:type="dxa"/>
            <w:vAlign w:val="bottom"/>
            <w:tcBorders>
              <w:bottom w:val="single" w:sz="8" w:color="D5EAEA"/>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(21,080)</w:t>
            </w:r>
          </w:p>
        </w:tc>
        <w:tc>
          <w:tcPr>
            <w:tcW w:w="0" w:type="dxa"/>
            <w:vAlign w:val="bottom"/>
          </w:tcPr>
          <w:p>
            <w:pPr>
              <w:spacing w:after="0"/>
              <w:rPr>
                <w:sz w:val="1"/>
                <w:szCs w:val="1"/>
                <w:color w:val="auto"/>
              </w:rPr>
            </w:pPr>
          </w:p>
        </w:tc>
      </w:tr>
      <w:tr>
        <w:trPr>
          <w:trHeight w:val="183"/>
        </w:trPr>
        <w:tc>
          <w:tcPr>
            <w:tcW w:w="5400" w:type="dxa"/>
            <w:vAlign w:val="bottom"/>
            <w:shd w:val="clear" w:color="auto" w:fill="D5EAEA"/>
          </w:tcPr>
          <w:p>
            <w:pPr>
              <w:spacing w:after="0"/>
              <w:rPr>
                <w:sz w:val="15"/>
                <w:szCs w:val="15"/>
                <w:color w:val="auto"/>
              </w:rPr>
            </w:pPr>
          </w:p>
        </w:tc>
        <w:tc>
          <w:tcPr>
            <w:tcW w:w="120" w:type="dxa"/>
            <w:vAlign w:val="bottom"/>
            <w:shd w:val="clear" w:color="auto" w:fill="D5EAEA"/>
          </w:tcPr>
          <w:p>
            <w:pPr>
              <w:spacing w:after="0"/>
              <w:rPr>
                <w:sz w:val="15"/>
                <w:szCs w:val="15"/>
                <w:color w:val="auto"/>
              </w:rPr>
            </w:pPr>
          </w:p>
        </w:tc>
        <w:tc>
          <w:tcPr>
            <w:tcW w:w="1380" w:type="dxa"/>
            <w:vAlign w:val="bottom"/>
            <w:shd w:val="clear" w:color="auto" w:fill="D5EAEA"/>
          </w:tcPr>
          <w:p>
            <w:pPr>
              <w:spacing w:after="0"/>
              <w:rPr>
                <w:sz w:val="15"/>
                <w:szCs w:val="15"/>
                <w:color w:val="auto"/>
              </w:rPr>
            </w:pPr>
          </w:p>
        </w:tc>
        <w:tc>
          <w:tcPr>
            <w:tcW w:w="120" w:type="dxa"/>
            <w:vAlign w:val="bottom"/>
            <w:shd w:val="clear" w:color="auto" w:fill="D5EAEA"/>
          </w:tcPr>
          <w:p>
            <w:pPr>
              <w:spacing w:after="0"/>
              <w:rPr>
                <w:sz w:val="15"/>
                <w:szCs w:val="15"/>
                <w:color w:val="auto"/>
              </w:rPr>
            </w:pPr>
          </w:p>
        </w:tc>
        <w:tc>
          <w:tcPr>
            <w:tcW w:w="1340" w:type="dxa"/>
            <w:vAlign w:val="bottom"/>
            <w:shd w:val="clear" w:color="auto" w:fill="D5EAEA"/>
          </w:tcPr>
          <w:p>
            <w:pPr>
              <w:spacing w:after="0"/>
              <w:rPr>
                <w:sz w:val="15"/>
                <w:szCs w:val="15"/>
                <w:color w:val="auto"/>
              </w:rPr>
            </w:pPr>
          </w:p>
        </w:tc>
        <w:tc>
          <w:tcPr>
            <w:tcW w:w="100" w:type="dxa"/>
            <w:vAlign w:val="bottom"/>
            <w:shd w:val="clear" w:color="auto" w:fill="D5EAEA"/>
          </w:tcPr>
          <w:p>
            <w:pPr>
              <w:spacing w:after="0"/>
              <w:rPr>
                <w:sz w:val="15"/>
                <w:szCs w:val="15"/>
                <w:color w:val="auto"/>
              </w:rPr>
            </w:pPr>
          </w:p>
        </w:tc>
        <w:tc>
          <w:tcPr>
            <w:tcW w:w="1340" w:type="dxa"/>
            <w:vAlign w:val="bottom"/>
            <w:shd w:val="clear" w:color="auto" w:fill="D5EAEA"/>
          </w:tcPr>
          <w:p>
            <w:pPr>
              <w:spacing w:after="0"/>
              <w:rPr>
                <w:sz w:val="15"/>
                <w:szCs w:val="15"/>
                <w:color w:val="auto"/>
              </w:rPr>
            </w:pPr>
          </w:p>
        </w:tc>
        <w:tc>
          <w:tcPr>
            <w:tcW w:w="100" w:type="dxa"/>
            <w:vAlign w:val="bottom"/>
            <w:shd w:val="clear" w:color="auto" w:fill="D5EAEA"/>
          </w:tcPr>
          <w:p>
            <w:pPr>
              <w:spacing w:after="0"/>
              <w:rPr>
                <w:sz w:val="15"/>
                <w:szCs w:val="15"/>
                <w:color w:val="auto"/>
              </w:rPr>
            </w:pPr>
          </w:p>
        </w:tc>
        <w:tc>
          <w:tcPr>
            <w:tcW w:w="1340" w:type="dxa"/>
            <w:vAlign w:val="bottom"/>
            <w:shd w:val="clear" w:color="auto" w:fill="D5EAEA"/>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52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b w:val="1"/>
                <w:bCs w:val="1"/>
                <w:color w:val="auto"/>
              </w:rPr>
              <w:t>Loss per share – basic and diluted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196"/>
        </w:trPr>
        <w:tc>
          <w:tcPr>
            <w:tcW w:w="5520" w:type="dxa"/>
            <w:vAlign w:val="bottom"/>
            <w:gridSpan w:val="2"/>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Adjustment to loss per share – basic and diluted</w:t>
            </w:r>
          </w:p>
        </w:tc>
        <w:tc>
          <w:tcPr>
            <w:tcW w:w="1380" w:type="dxa"/>
            <w:vAlign w:val="bottom"/>
            <w:tcBorders>
              <w:bottom w:val="single" w:sz="8" w:color="auto"/>
            </w:tcBorders>
            <w:shd w:val="clear" w:color="auto" w:fill="D5EAEA"/>
          </w:tcPr>
          <w:p>
            <w:pPr>
              <w:jc w:val="right"/>
              <w:ind w:right="30"/>
              <w:spacing w:after="0" w:line="196" w:lineRule="exact"/>
              <w:rPr>
                <w:sz w:val="20"/>
                <w:szCs w:val="20"/>
                <w:color w:val="auto"/>
              </w:rPr>
            </w:pPr>
            <w:r>
              <w:rPr>
                <w:rFonts w:ascii="Arial" w:cs="Arial" w:eastAsia="Arial" w:hAnsi="Arial"/>
                <w:sz w:val="18"/>
                <w:szCs w:val="18"/>
                <w:color w:val="auto"/>
              </w:rPr>
              <w:t>0.02</w:t>
            </w:r>
          </w:p>
        </w:tc>
        <w:tc>
          <w:tcPr>
            <w:tcW w:w="120" w:type="dxa"/>
            <w:vAlign w:val="bottom"/>
            <w:shd w:val="clear" w:color="auto" w:fill="D5EAEA"/>
          </w:tcPr>
          <w:p>
            <w:pPr>
              <w:spacing w:after="0"/>
              <w:rPr>
                <w:sz w:val="17"/>
                <w:szCs w:val="17"/>
                <w:color w:val="auto"/>
              </w:rPr>
            </w:pPr>
          </w:p>
        </w:tc>
        <w:tc>
          <w:tcPr>
            <w:tcW w:w="1340" w:type="dxa"/>
            <w:vAlign w:val="bottom"/>
            <w:tcBorders>
              <w:bottom w:val="single" w:sz="8" w:color="auto"/>
            </w:tcBorders>
            <w:shd w:val="clear" w:color="auto" w:fill="D5EAEA"/>
          </w:tcPr>
          <w:p>
            <w:pPr>
              <w:jc w:val="right"/>
              <w:ind w:right="30"/>
              <w:spacing w:after="0" w:line="196" w:lineRule="exact"/>
              <w:rPr>
                <w:sz w:val="20"/>
                <w:szCs w:val="20"/>
                <w:color w:val="auto"/>
              </w:rPr>
            </w:pPr>
            <w:r>
              <w:rPr>
                <w:rFonts w:ascii="Arial" w:cs="Arial" w:eastAsia="Arial" w:hAnsi="Arial"/>
                <w:sz w:val="18"/>
                <w:szCs w:val="18"/>
                <w:color w:val="auto"/>
              </w:rPr>
              <w:t>0.02</w:t>
            </w:r>
          </w:p>
        </w:tc>
        <w:tc>
          <w:tcPr>
            <w:tcW w:w="100" w:type="dxa"/>
            <w:vAlign w:val="bottom"/>
            <w:shd w:val="clear" w:color="auto" w:fill="D5EAEA"/>
          </w:tcPr>
          <w:p>
            <w:pPr>
              <w:spacing w:after="0"/>
              <w:rPr>
                <w:sz w:val="17"/>
                <w:szCs w:val="17"/>
                <w:color w:val="auto"/>
              </w:rPr>
            </w:pPr>
          </w:p>
        </w:tc>
        <w:tc>
          <w:tcPr>
            <w:tcW w:w="1340" w:type="dxa"/>
            <w:vAlign w:val="bottom"/>
            <w:tcBorders>
              <w:bottom w:val="single" w:sz="8" w:color="auto"/>
            </w:tcBorders>
            <w:shd w:val="clear" w:color="auto" w:fill="D5EAEA"/>
          </w:tcPr>
          <w:p>
            <w:pPr>
              <w:jc w:val="right"/>
              <w:ind w:right="30"/>
              <w:spacing w:after="0" w:line="196" w:lineRule="exact"/>
              <w:rPr>
                <w:sz w:val="20"/>
                <w:szCs w:val="20"/>
                <w:color w:val="auto"/>
              </w:rPr>
            </w:pPr>
            <w:r>
              <w:rPr>
                <w:rFonts w:ascii="Arial" w:cs="Arial" w:eastAsia="Arial" w:hAnsi="Arial"/>
                <w:sz w:val="18"/>
                <w:szCs w:val="18"/>
                <w:color w:val="auto"/>
              </w:rPr>
              <w:t>0.03</w:t>
            </w:r>
          </w:p>
        </w:tc>
        <w:tc>
          <w:tcPr>
            <w:tcW w:w="100" w:type="dxa"/>
            <w:vAlign w:val="bottom"/>
            <w:shd w:val="clear" w:color="auto" w:fill="D5EAEA"/>
          </w:tcPr>
          <w:p>
            <w:pPr>
              <w:spacing w:after="0"/>
              <w:rPr>
                <w:sz w:val="17"/>
                <w:szCs w:val="17"/>
                <w:color w:val="auto"/>
              </w:rPr>
            </w:pPr>
          </w:p>
        </w:tc>
        <w:tc>
          <w:tcPr>
            <w:tcW w:w="1340" w:type="dxa"/>
            <w:vAlign w:val="bottom"/>
            <w:tcBorders>
              <w:bottom w:val="single" w:sz="8" w:color="auto"/>
            </w:tcBorders>
            <w:shd w:val="clear" w:color="auto" w:fill="D5EAEA"/>
          </w:tcPr>
          <w:p>
            <w:pPr>
              <w:jc w:val="right"/>
              <w:ind w:right="10"/>
              <w:spacing w:after="0" w:line="196" w:lineRule="exact"/>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D5EAEA"/>
            </w:tcBorders>
            <w:gridSpan w:val="2"/>
          </w:tcPr>
          <w:p>
            <w:pPr>
              <w:spacing w:after="0" w:line="196" w:lineRule="exact"/>
              <w:rPr>
                <w:sz w:val="20"/>
                <w:szCs w:val="20"/>
                <w:color w:val="auto"/>
              </w:rPr>
            </w:pPr>
            <w:r>
              <w:rPr>
                <w:rFonts w:ascii="Arial" w:cs="Arial" w:eastAsia="Arial" w:hAnsi="Arial"/>
                <w:sz w:val="18"/>
                <w:szCs w:val="18"/>
                <w:b w:val="1"/>
                <w:bCs w:val="1"/>
                <w:color w:val="auto"/>
              </w:rPr>
              <w:t>Adjusted loss per share – basic and diluted</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(0.24)</w:t>
            </w:r>
          </w:p>
        </w:tc>
        <w:tc>
          <w:tcPr>
            <w:tcW w:w="120" w:type="dxa"/>
            <w:vAlign w:val="bottom"/>
            <w:tcBorders>
              <w:bottom w:val="single" w:sz="8" w:color="D5EAEA"/>
            </w:tcBorders>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(0.20)</w:t>
            </w:r>
          </w:p>
        </w:tc>
        <w:tc>
          <w:tcPr>
            <w:tcW w:w="100" w:type="dxa"/>
            <w:vAlign w:val="bottom"/>
            <w:tcBorders>
              <w:bottom w:val="single" w:sz="8" w:color="D5EAEA"/>
            </w:tcBorders>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(0.47)</w:t>
            </w:r>
          </w:p>
        </w:tc>
        <w:tc>
          <w:tcPr>
            <w:tcW w:w="100" w:type="dxa"/>
            <w:vAlign w:val="bottom"/>
            <w:tcBorders>
              <w:bottom w:val="single" w:sz="8" w:color="D5EAEA"/>
            </w:tcBorders>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182"/>
        </w:trPr>
        <w:tc>
          <w:tcPr>
            <w:tcW w:w="5520" w:type="dxa"/>
            <w:vAlign w:val="bottom"/>
            <w:gridSpan w:val="2"/>
            <w:shd w:val="clear" w:color="auto" w:fill="D5EAEA"/>
          </w:tcPr>
          <w:p>
            <w:pPr>
              <w:spacing w:after="0" w:line="182" w:lineRule="exact"/>
              <w:rPr>
                <w:sz w:val="20"/>
                <w:szCs w:val="20"/>
                <w:color w:val="auto"/>
              </w:rPr>
            </w:pPr>
            <w:r>
              <w:rPr>
                <w:rFonts w:ascii="Arial" w:cs="Arial" w:eastAsia="Arial" w:hAnsi="Arial"/>
                <w:sz w:val="18"/>
                <w:szCs w:val="18"/>
                <w:color w:val="auto"/>
              </w:rPr>
              <w:t>Weighted-average number of shares outstanding Adjusted loss –</w:t>
            </w:r>
          </w:p>
        </w:tc>
        <w:tc>
          <w:tcPr>
            <w:tcW w:w="1380" w:type="dxa"/>
            <w:vAlign w:val="bottom"/>
            <w:shd w:val="clear" w:color="auto" w:fill="D5EAEA"/>
          </w:tcPr>
          <w:p>
            <w:pPr>
              <w:spacing w:after="0"/>
              <w:rPr>
                <w:sz w:val="15"/>
                <w:szCs w:val="15"/>
                <w:color w:val="auto"/>
              </w:rPr>
            </w:pPr>
          </w:p>
        </w:tc>
        <w:tc>
          <w:tcPr>
            <w:tcW w:w="120" w:type="dxa"/>
            <w:vAlign w:val="bottom"/>
            <w:shd w:val="clear" w:color="auto" w:fill="D5EAEA"/>
          </w:tcPr>
          <w:p>
            <w:pPr>
              <w:spacing w:after="0"/>
              <w:rPr>
                <w:sz w:val="15"/>
                <w:szCs w:val="15"/>
                <w:color w:val="auto"/>
              </w:rPr>
            </w:pPr>
          </w:p>
        </w:tc>
        <w:tc>
          <w:tcPr>
            <w:tcW w:w="1340" w:type="dxa"/>
            <w:vAlign w:val="bottom"/>
            <w:shd w:val="clear" w:color="auto" w:fill="D5EAEA"/>
          </w:tcPr>
          <w:p>
            <w:pPr>
              <w:spacing w:after="0"/>
              <w:rPr>
                <w:sz w:val="15"/>
                <w:szCs w:val="15"/>
                <w:color w:val="auto"/>
              </w:rPr>
            </w:pPr>
          </w:p>
        </w:tc>
        <w:tc>
          <w:tcPr>
            <w:tcW w:w="100" w:type="dxa"/>
            <w:vAlign w:val="bottom"/>
            <w:shd w:val="clear" w:color="auto" w:fill="D5EAEA"/>
          </w:tcPr>
          <w:p>
            <w:pPr>
              <w:spacing w:after="0"/>
              <w:rPr>
                <w:sz w:val="15"/>
                <w:szCs w:val="15"/>
                <w:color w:val="auto"/>
              </w:rPr>
            </w:pPr>
          </w:p>
        </w:tc>
        <w:tc>
          <w:tcPr>
            <w:tcW w:w="1340" w:type="dxa"/>
            <w:vAlign w:val="bottom"/>
            <w:shd w:val="clear" w:color="auto" w:fill="D5EAEA"/>
          </w:tcPr>
          <w:p>
            <w:pPr>
              <w:spacing w:after="0"/>
              <w:rPr>
                <w:sz w:val="15"/>
                <w:szCs w:val="15"/>
                <w:color w:val="auto"/>
              </w:rPr>
            </w:pPr>
          </w:p>
        </w:tc>
        <w:tc>
          <w:tcPr>
            <w:tcW w:w="100" w:type="dxa"/>
            <w:vAlign w:val="bottom"/>
            <w:shd w:val="clear" w:color="auto" w:fill="D5EAEA"/>
          </w:tcPr>
          <w:p>
            <w:pPr>
              <w:spacing w:after="0"/>
              <w:rPr>
                <w:sz w:val="15"/>
                <w:szCs w:val="15"/>
                <w:color w:val="auto"/>
              </w:rPr>
            </w:pPr>
          </w:p>
        </w:tc>
        <w:tc>
          <w:tcPr>
            <w:tcW w:w="1340" w:type="dxa"/>
            <w:vAlign w:val="bottom"/>
            <w:shd w:val="clear" w:color="auto" w:fill="D5EAEA"/>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520" w:type="dxa"/>
            <w:vAlign w:val="bottom"/>
            <w:gridSpan w:val="2"/>
            <w:shd w:val="clear" w:color="auto" w:fill="D5EAEA"/>
          </w:tcPr>
          <w:p>
            <w:pPr>
              <w:ind w:left="180"/>
              <w:spacing w:after="0"/>
              <w:rPr>
                <w:sz w:val="20"/>
                <w:szCs w:val="20"/>
                <w:color w:val="auto"/>
              </w:rPr>
            </w:pPr>
            <w:r>
              <w:rPr>
                <w:rFonts w:ascii="Arial" w:cs="Arial" w:eastAsia="Arial" w:hAnsi="Arial"/>
                <w:sz w:val="18"/>
                <w:szCs w:val="18"/>
                <w:color w:val="auto"/>
              </w:rPr>
              <w:t>basic and diluted</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72,715,783</w:t>
            </w:r>
          </w:p>
        </w:tc>
        <w:tc>
          <w:tcPr>
            <w:tcW w:w="12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71,875,102</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72,113,581</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71,869,658</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240" w:hanging="232"/>
        <w:spacing w:after="0" w:line="234" w:lineRule="auto"/>
        <w:tabs>
          <w:tab w:leader="none" w:pos="240" w:val="left"/>
        </w:tabs>
        <w:numPr>
          <w:ilvl w:val="0"/>
          <w:numId w:val="189"/>
        </w:numPr>
        <w:rPr>
          <w:rFonts w:ascii="Arial" w:cs="Arial" w:eastAsia="Arial" w:hAnsi="Arial"/>
          <w:sz w:val="15"/>
          <w:szCs w:val="15"/>
          <w:color w:val="auto"/>
        </w:rPr>
      </w:pPr>
      <w:r>
        <w:rPr>
          <w:rFonts w:ascii="Arial" w:cs="Arial" w:eastAsia="Arial" w:hAnsi="Arial"/>
          <w:sz w:val="18"/>
          <w:szCs w:val="18"/>
          <w:color w:val="auto"/>
        </w:rPr>
        <w:t>Reflects non-cash expenses associated with share-based compensation for equity awards issued to Directors, Management and employees of the Company. This expense reflects the awards’ fair value recognized for the portion of the equity award which is vesting over the period.</w:t>
      </w:r>
    </w:p>
    <w:p>
      <w:pPr>
        <w:spacing w:after="0" w:line="2" w:lineRule="exact"/>
        <w:rPr>
          <w:sz w:val="20"/>
          <w:szCs w:val="20"/>
          <w:color w:val="auto"/>
        </w:rPr>
      </w:pPr>
    </w:p>
    <w:p>
      <w:pPr>
        <w:ind w:left="240" w:hanging="232"/>
        <w:spacing w:after="0" w:line="234" w:lineRule="auto"/>
        <w:tabs>
          <w:tab w:leader="none" w:pos="240" w:val="left"/>
        </w:tabs>
        <w:numPr>
          <w:ilvl w:val="0"/>
          <w:numId w:val="190"/>
        </w:numPr>
        <w:rPr>
          <w:rFonts w:ascii="Arial" w:cs="Arial" w:eastAsia="Arial" w:hAnsi="Arial"/>
          <w:sz w:val="15"/>
          <w:szCs w:val="15"/>
          <w:color w:val="auto"/>
        </w:rPr>
      </w:pPr>
      <w:r>
        <w:rPr>
          <w:rFonts w:ascii="Arial" w:cs="Arial" w:eastAsia="Arial" w:hAnsi="Arial"/>
          <w:sz w:val="18"/>
          <w:szCs w:val="18"/>
          <w:color w:val="auto"/>
        </w:rPr>
        <w:t>Reflects foreign currency re-measurement gains and losses for the period, predominantly impacted by the change in the exchange rate between the US Dollar and Euro with the Swiss Franc.</w:t>
      </w:r>
    </w:p>
    <w:p>
      <w:pPr>
        <w:ind w:left="240" w:hanging="232"/>
        <w:spacing w:after="0" w:line="236" w:lineRule="auto"/>
        <w:tabs>
          <w:tab w:leader="none" w:pos="240" w:val="left"/>
        </w:tabs>
        <w:numPr>
          <w:ilvl w:val="0"/>
          <w:numId w:val="191"/>
        </w:numPr>
        <w:rPr>
          <w:rFonts w:ascii="Arial" w:cs="Arial" w:eastAsia="Arial" w:hAnsi="Arial"/>
          <w:sz w:val="15"/>
          <w:szCs w:val="15"/>
          <w:color w:val="auto"/>
        </w:rPr>
      </w:pPr>
      <w:r>
        <w:rPr>
          <w:rFonts w:ascii="Arial" w:cs="Arial" w:eastAsia="Arial" w:hAnsi="Arial"/>
          <w:sz w:val="18"/>
          <w:szCs w:val="18"/>
          <w:color w:val="auto"/>
        </w:rPr>
        <w:t>Reflects transaction costs for the asset acquisition for a portfolio of therapeutics targeting alpha-synuclein and cash.</w:t>
      </w:r>
    </w:p>
    <w:p>
      <w:pPr>
        <w:jc w:val="both"/>
        <w:spacing w:after="0" w:line="237" w:lineRule="auto"/>
        <w:rPr>
          <w:sz w:val="20"/>
          <w:szCs w:val="20"/>
          <w:color w:val="auto"/>
        </w:rPr>
      </w:pPr>
      <w:r>
        <w:rPr>
          <w:rFonts w:ascii="Arial" w:cs="Arial" w:eastAsia="Arial" w:hAnsi="Arial"/>
          <w:sz w:val="18"/>
          <w:szCs w:val="18"/>
          <w:color w:val="auto"/>
        </w:rPr>
        <w:t>Adjustments for the three and six months ended June 30, 2021, decreased net loss by CHF 1.5 million and CHF 1.7 million, respectively compared with a decrease to net loss of CHF 1.0 million and CHF 2.3 million for the comparable periods in 2020, respectively. The Company recorded CHF 0.8 million and CHF 1.7 million for share-based compensation expenses, respectively, in each of these periods. There were foreign currency re-measurement losses of CHF 0.3 million and gains of CHF 0.4 million, respectively, primarily related to movement in the USD-CHF exchange rate during the respective periods. Finally, the Company incurred CHF 0.4 million in transaction costs associated with its acquisition of a portfolio of therapeutics targeting alpha-synuclein in the three months ended June 30, 2021.</w:t>
      </w:r>
    </w:p>
    <w:p>
      <w:pPr>
        <w:spacing w:after="0" w:line="299" w:lineRule="exact"/>
        <w:rPr>
          <w:sz w:val="20"/>
          <w:szCs w:val="20"/>
          <w:color w:val="auto"/>
        </w:rPr>
      </w:pPr>
    </w:p>
    <w:p>
      <w:pPr>
        <w:ind w:left="10840"/>
        <w:spacing w:after="0"/>
        <w:rPr>
          <w:sz w:val="20"/>
          <w:szCs w:val="20"/>
          <w:color w:val="auto"/>
        </w:rPr>
      </w:pPr>
      <w:r>
        <w:rPr>
          <w:rFonts w:ascii="Arial" w:cs="Arial" w:eastAsia="Arial" w:hAnsi="Arial"/>
          <w:sz w:val="18"/>
          <w:szCs w:val="18"/>
          <w:color w:val="auto"/>
        </w:rPr>
        <w:t>8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85" w:name="page86"/>
    <w:bookmarkEnd w:id="8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55A5F5"/>
    <w:multiLevelType w:val="hybridMultilevel"/>
    <w:lvl w:ilvl="0">
      <w:lvlJc w:val="left"/>
      <w:lvlText w:val="*"/>
      <w:numFmt w:val="bullet"/>
      <w:start w:val="1"/>
    </w:lvl>
  </w:abstractNum>
  <w:abstractNum w:abstractNumId="1">
    <w:nsid w:val="5FB8370B"/>
    <w:multiLevelType w:val="hybridMultilevel"/>
    <w:lvl w:ilvl="0">
      <w:lvlJc w:val="left"/>
      <w:lvlText w:val="%1)"/>
      <w:numFmt w:val="upperLetter"/>
      <w:start w:val="1"/>
    </w:lvl>
  </w:abstractNum>
  <w:abstractNum w:abstractNumId="2">
    <w:nsid w:val="50801EE1"/>
    <w:multiLevelType w:val="hybridMultilevel"/>
    <w:lvl w:ilvl="0">
      <w:lvlJc w:val="left"/>
      <w:lvlText w:val="1"/>
      <w:numFmt w:val="bullet"/>
      <w:start w:val="1"/>
    </w:lvl>
  </w:abstractNum>
  <w:abstractNum w:abstractNumId="3">
    <w:nsid w:val="488AC1A"/>
    <w:multiLevelType w:val="hybridMultilevel"/>
    <w:lvl w:ilvl="0">
      <w:lvlJc w:val="left"/>
      <w:lvlText w:val="(%1)"/>
      <w:numFmt w:val="lowerRoman"/>
      <w:start w:val="7"/>
    </w:lvl>
  </w:abstractNum>
  <w:abstractNum w:abstractNumId="4">
    <w:nsid w:val="5FB8011C"/>
    <w:multiLevelType w:val="hybridMultilevel"/>
    <w:lvl w:ilvl="0">
      <w:lvlJc w:val="left"/>
      <w:lvlText w:val="%1)"/>
      <w:numFmt w:val="lowerLetter"/>
      <w:start w:val="1"/>
    </w:lvl>
  </w:abstractNum>
  <w:abstractNum w:abstractNumId="5">
    <w:nsid w:val="6AA78F7F"/>
    <w:multiLevelType w:val="hybridMultilevel"/>
    <w:lvl w:ilvl="0">
      <w:lvlJc w:val="left"/>
      <w:lvlText w:val="%1)"/>
      <w:numFmt w:val="lowerLetter"/>
      <w:start w:val="1"/>
    </w:lvl>
  </w:abstractNum>
  <w:abstractNum w:abstractNumId="6">
    <w:nsid w:val="7672BD23"/>
    <w:multiLevelType w:val="hybridMultilevel"/>
    <w:lvl w:ilvl="0">
      <w:lvlJc w:val="left"/>
      <w:lvlText w:val="2"/>
      <w:numFmt w:val="bullet"/>
      <w:start w:val="1"/>
    </w:lvl>
    <w:lvl w:ilvl="1">
      <w:lvlJc w:val="left"/>
      <w:lvlText w:val="%2)"/>
      <w:numFmt w:val="lowerLetter"/>
      <w:start w:val="1"/>
    </w:lvl>
  </w:abstractNum>
  <w:abstractNum w:abstractNumId="7">
    <w:nsid w:val="6FC75AF8"/>
    <w:multiLevelType w:val="hybridMultilevel"/>
    <w:lvl w:ilvl="0">
      <w:lvlJc w:val="left"/>
      <w:lvlText w:val="3"/>
      <w:numFmt w:val="bullet"/>
      <w:start w:val="1"/>
    </w:lvl>
  </w:abstractNum>
  <w:abstractNum w:abstractNumId="8">
    <w:nsid w:val="6A5F7029"/>
    <w:multiLevelType w:val="hybridMultilevel"/>
    <w:lvl w:ilvl="0">
      <w:lvlJc w:val="left"/>
      <w:lvlText w:val="3"/>
      <w:numFmt w:val="bullet"/>
      <w:start w:val="1"/>
    </w:lvl>
  </w:abstractNum>
  <w:abstractNum w:abstractNumId="9">
    <w:nsid w:val="7D5E18F8"/>
    <w:multiLevelType w:val="hybridMultilevel"/>
    <w:lvl w:ilvl="0">
      <w:lvlJc w:val="left"/>
      <w:lvlText w:val="4"/>
      <w:numFmt w:val="bullet"/>
      <w:start w:val="1"/>
    </w:lvl>
  </w:abstractNum>
  <w:abstractNum w:abstractNumId="10">
    <w:nsid w:val="5F3534A4"/>
    <w:multiLevelType w:val="hybridMultilevel"/>
    <w:lvl w:ilvl="0">
      <w:lvlJc w:val="left"/>
      <w:lvlText w:val="5"/>
      <w:numFmt w:val="bullet"/>
      <w:start w:val="1"/>
    </w:lvl>
  </w:abstractNum>
  <w:abstractNum w:abstractNumId="11">
    <w:nsid w:val="73A1821B"/>
    <w:multiLevelType w:val="hybridMultilevel"/>
    <w:lvl w:ilvl="0">
      <w:lvlJc w:val="left"/>
      <w:lvlText w:val="6"/>
      <w:numFmt w:val="bullet"/>
      <w:start w:val="1"/>
    </w:lvl>
  </w:abstractNum>
  <w:abstractNum w:abstractNumId="12">
    <w:nsid w:val="7DE67713"/>
    <w:multiLevelType w:val="hybridMultilevel"/>
    <w:lvl w:ilvl="0">
      <w:lvlJc w:val="left"/>
      <w:lvlText w:val="7"/>
      <w:numFmt w:val="bullet"/>
      <w:start w:val="1"/>
    </w:lvl>
  </w:abstractNum>
  <w:abstractNum w:abstractNumId="13">
    <w:nsid w:val="555C55B5"/>
    <w:multiLevelType w:val="hybridMultilevel"/>
    <w:lvl w:ilvl="0">
      <w:lvlJc w:val="left"/>
      <w:lvlText w:val="8"/>
      <w:numFmt w:val="bullet"/>
      <w:start w:val="1"/>
    </w:lvl>
  </w:abstractNum>
  <w:abstractNum w:abstractNumId="14">
    <w:nsid w:val="3FA62ACA"/>
    <w:multiLevelType w:val="hybridMultilevel"/>
    <w:lvl w:ilvl="0">
      <w:lvlJc w:val="left"/>
      <w:lvlText w:val="9"/>
      <w:numFmt w:val="bullet"/>
      <w:start w:val="1"/>
    </w:lvl>
  </w:abstractNum>
  <w:abstractNum w:abstractNumId="15">
    <w:nsid w:val="14FCE74E"/>
    <w:multiLevelType w:val="hybridMultilevel"/>
    <w:lvl w:ilvl="0">
      <w:lvlJc w:val="left"/>
      <w:lvlText w:val="4"/>
      <w:numFmt w:val="bullet"/>
      <w:start w:val="1"/>
    </w:lvl>
  </w:abstractNum>
  <w:abstractNum w:abstractNumId="16">
    <w:nsid w:val="6A3DD3E8"/>
    <w:multiLevelType w:val="hybridMultilevel"/>
    <w:lvl w:ilvl="0">
      <w:lvlJc w:val="left"/>
      <w:lvlText w:val="%1"/>
      <w:numFmt w:val="decimal"/>
      <w:start w:val="10"/>
    </w:lvl>
  </w:abstractNum>
  <w:abstractNum w:abstractNumId="17">
    <w:nsid w:val="71C91298"/>
    <w:multiLevelType w:val="hybridMultilevel"/>
    <w:lvl w:ilvl="0">
      <w:lvlJc w:val="left"/>
      <w:lvlText w:val="5"/>
      <w:numFmt w:val="bullet"/>
      <w:start w:val="1"/>
    </w:lvl>
  </w:abstractNum>
  <w:abstractNum w:abstractNumId="18">
    <w:nsid w:val="9DAF632"/>
    <w:multiLevelType w:val="hybridMultilevel"/>
    <w:lvl w:ilvl="0">
      <w:lvlJc w:val="left"/>
      <w:lvlText w:val="%1"/>
      <w:numFmt w:val="decimal"/>
      <w:start w:val="12"/>
    </w:lvl>
  </w:abstractNum>
  <w:abstractNum w:abstractNumId="19">
    <w:nsid w:val="53299938"/>
    <w:multiLevelType w:val="hybridMultilevel"/>
    <w:lvl w:ilvl="0">
      <w:lvlJc w:val="left"/>
      <w:lvlText w:val="6"/>
      <w:numFmt w:val="bullet"/>
      <w:start w:val="1"/>
    </w:lvl>
  </w:abstractNum>
  <w:abstractNum w:abstractNumId="20">
    <w:nsid w:val="1FBFE8E0"/>
    <w:multiLevelType w:val="hybridMultilevel"/>
    <w:lvl w:ilvl="0">
      <w:lvlJc w:val="left"/>
      <w:lvlText w:val="%1"/>
      <w:numFmt w:val="decimal"/>
      <w:start w:val="14"/>
    </w:lvl>
  </w:abstractNum>
  <w:abstractNum w:abstractNumId="21">
    <w:nsid w:val="5092CA79"/>
    <w:multiLevelType w:val="hybridMultilevel"/>
    <w:lvl w:ilvl="0">
      <w:lvlJc w:val="left"/>
      <w:lvlText w:val="%1"/>
      <w:numFmt w:val="decimal"/>
      <w:start w:val="18"/>
    </w:lvl>
  </w:abstractNum>
  <w:abstractNum w:abstractNumId="22">
    <w:nsid w:val="1D545C4D"/>
    <w:multiLevelType w:val="hybridMultilevel"/>
    <w:lvl w:ilvl="0">
      <w:lvlJc w:val="left"/>
      <w:lvlText w:val="%1"/>
      <w:numFmt w:val="decimal"/>
      <w:start w:val="19"/>
    </w:lvl>
  </w:abstractNum>
  <w:abstractNum w:abstractNumId="23">
    <w:nsid w:val="59ADEA3D"/>
    <w:multiLevelType w:val="hybridMultilevel"/>
    <w:lvl w:ilvl="0">
      <w:lvlJc w:val="left"/>
      <w:lvlText w:val="7"/>
      <w:numFmt w:val="bullet"/>
      <w:start w:val="1"/>
    </w:lvl>
  </w:abstractNum>
  <w:abstractNum w:abstractNumId="24">
    <w:nsid w:val="288F1A34"/>
    <w:multiLevelType w:val="hybridMultilevel"/>
    <w:lvl w:ilvl="0">
      <w:lvlJc w:val="left"/>
      <w:lvlText w:val="%1"/>
      <w:numFmt w:val="decimal"/>
      <w:start w:val="20"/>
    </w:lvl>
    <w:lvl w:ilvl="1">
      <w:lvlJc w:val="left"/>
      <w:lvlText w:val="%2)"/>
      <w:numFmt w:val="lowerLetter"/>
      <w:start w:val="1"/>
    </w:lvl>
  </w:abstractNum>
  <w:abstractNum w:abstractNumId="25">
    <w:nsid w:val="2A155DBC"/>
    <w:multiLevelType w:val="hybridMultilevel"/>
    <w:lvl w:ilvl="0">
      <w:lvlJc w:val="left"/>
      <w:lvlText w:val="%1"/>
      <w:numFmt w:val="decimal"/>
      <w:start w:val="22"/>
    </w:lvl>
  </w:abstractNum>
  <w:abstractNum w:abstractNumId="26">
    <w:nsid w:val="1D9F6E5F"/>
    <w:multiLevelType w:val="hybridMultilevel"/>
    <w:lvl w:ilvl="0">
      <w:lvlJc w:val="left"/>
      <w:lvlText w:val="%1"/>
      <w:numFmt w:val="decimal"/>
      <w:start w:val="24"/>
    </w:lvl>
  </w:abstractNum>
  <w:abstractNum w:abstractNumId="27">
    <w:nsid w:val="97E1B4E"/>
    <w:multiLevelType w:val="hybridMultilevel"/>
    <w:lvl w:ilvl="0">
      <w:lvlJc w:val="left"/>
      <w:lvlText w:val="8"/>
      <w:numFmt w:val="bullet"/>
      <w:start w:val="1"/>
    </w:lvl>
  </w:abstractNum>
  <w:abstractNum w:abstractNumId="28">
    <w:nsid w:val="51088277"/>
    <w:multiLevelType w:val="hybridMultilevel"/>
    <w:lvl w:ilvl="0">
      <w:lvlJc w:val="left"/>
      <w:lvlText w:val="%1"/>
      <w:numFmt w:val="decimal"/>
      <w:start w:val="25"/>
    </w:lvl>
  </w:abstractNum>
  <w:abstractNum w:abstractNumId="29">
    <w:nsid w:val="1CA0C5FA"/>
    <w:multiLevelType w:val="hybridMultilevel"/>
    <w:lvl w:ilvl="0">
      <w:lvlJc w:val="left"/>
      <w:lvlText w:val="%1"/>
      <w:numFmt w:val="decimal"/>
      <w:start w:val="28"/>
    </w:lvl>
    <w:lvl w:ilvl="1">
      <w:lvlJc w:val="left"/>
      <w:lvlText w:val="%2)"/>
      <w:numFmt w:val="lowerLetter"/>
      <w:start w:val="1"/>
    </w:lvl>
  </w:abstractNum>
  <w:abstractNum w:abstractNumId="30">
    <w:nsid w:val="53584BCB"/>
    <w:multiLevelType w:val="hybridMultilevel"/>
    <w:lvl w:ilvl="0">
      <w:lvlJc w:val="left"/>
      <w:lvlText w:val="%1"/>
      <w:numFmt w:val="decimal"/>
      <w:start w:val="29"/>
    </w:lvl>
    <w:lvl w:ilvl="1">
      <w:lvlJc w:val="left"/>
      <w:lvlText w:val="%2)"/>
      <w:numFmt w:val="lowerLetter"/>
      <w:start w:val="1"/>
    </w:lvl>
  </w:abstractNum>
  <w:abstractNum w:abstractNumId="31">
    <w:nsid w:val="415E286C"/>
    <w:multiLevelType w:val="hybridMultilevel"/>
    <w:lvl w:ilvl="0">
      <w:lvlJc w:val="left"/>
      <w:lvlText w:val="%1)"/>
      <w:numFmt w:val="lowerLetter"/>
      <w:start w:val="2"/>
    </w:lvl>
  </w:abstractNum>
  <w:abstractNum w:abstractNumId="32">
    <w:nsid w:val="7C58FD05"/>
    <w:multiLevelType w:val="hybridMultilevel"/>
    <w:lvl w:ilvl="0">
      <w:lvlJc w:val="left"/>
      <w:lvlText w:val="%1)"/>
      <w:numFmt w:val="lowerLetter"/>
      <w:start w:val="3"/>
    </w:lvl>
  </w:abstractNum>
  <w:abstractNum w:abstractNumId="33">
    <w:nsid w:val="23D86AAC"/>
    <w:multiLevelType w:val="hybridMultilevel"/>
    <w:lvl w:ilvl="0">
      <w:lvlJc w:val="left"/>
      <w:lvlText w:val="%1"/>
      <w:numFmt w:val="decimal"/>
      <w:start w:val="30"/>
    </w:lvl>
  </w:abstractNum>
  <w:abstractNum w:abstractNumId="34">
    <w:nsid w:val="45E6D486"/>
    <w:multiLevelType w:val="hybridMultilevel"/>
    <w:lvl w:ilvl="0">
      <w:lvlJc w:val="left"/>
      <w:lvlText w:val="%1"/>
      <w:numFmt w:val="decimal"/>
      <w:start w:val="32"/>
    </w:lvl>
  </w:abstractNum>
  <w:abstractNum w:abstractNumId="35">
    <w:nsid w:val="5C10FE21"/>
    <w:multiLevelType w:val="hybridMultilevel"/>
    <w:lvl w:ilvl="0">
      <w:lvlJc w:val="left"/>
      <w:lvlText w:val="%1"/>
      <w:numFmt w:val="decimal"/>
      <w:start w:val="34"/>
    </w:lvl>
  </w:abstractNum>
  <w:abstractNum w:abstractNumId="36">
    <w:nsid w:val="E7FFA2B"/>
    <w:multiLevelType w:val="hybridMultilevel"/>
    <w:lvl w:ilvl="0">
      <w:lvlJc w:val="left"/>
      <w:lvlText w:val="%1"/>
      <w:numFmt w:val="decimal"/>
      <w:start w:val="36"/>
    </w:lvl>
  </w:abstractNum>
  <w:abstractNum w:abstractNumId="37">
    <w:nsid w:val="3C5991AA"/>
    <w:multiLevelType w:val="hybridMultilevel"/>
    <w:lvl w:ilvl="0">
      <w:lvlJc w:val="left"/>
      <w:lvlText w:val="%1"/>
      <w:numFmt w:val="decimal"/>
      <w:start w:val="37"/>
    </w:lvl>
  </w:abstractNum>
  <w:abstractNum w:abstractNumId="38">
    <w:nsid w:val="4BD8591A"/>
    <w:multiLevelType w:val="hybridMultilevel"/>
    <w:lvl w:ilvl="0">
      <w:lvlJc w:val="left"/>
      <w:lvlText w:val="%1"/>
      <w:numFmt w:val="decimal"/>
      <w:start w:val="39"/>
    </w:lvl>
    <w:lvl w:ilvl="1">
      <w:lvlJc w:val="left"/>
      <w:lvlText w:val="%2)"/>
      <w:numFmt w:val="lowerLetter"/>
      <w:start w:val="1"/>
    </w:lvl>
  </w:abstractNum>
  <w:abstractNum w:abstractNumId="39">
    <w:nsid w:val="78DF6A55"/>
    <w:multiLevelType w:val="hybridMultilevel"/>
    <w:lvl w:ilvl="0">
      <w:lvlJc w:val="left"/>
      <w:lvlText w:val="%1)"/>
      <w:numFmt w:val="lowerLetter"/>
      <w:start w:val="3"/>
    </w:lvl>
  </w:abstractNum>
  <w:abstractNum w:abstractNumId="40">
    <w:nsid w:val="39B7AAA2"/>
    <w:multiLevelType w:val="hybridMultilevel"/>
    <w:lvl w:ilvl="0">
      <w:lvlJc w:val="left"/>
      <w:lvlText w:val="%1"/>
      <w:numFmt w:val="decimal"/>
      <w:start w:val="42"/>
    </w:lvl>
  </w:abstractNum>
  <w:abstractNum w:abstractNumId="41">
    <w:nsid w:val="2B0D8DBE"/>
    <w:multiLevelType w:val="hybridMultilevel"/>
    <w:lvl w:ilvl="0">
      <w:lvlJc w:val="left"/>
      <w:lvlText w:val="9"/>
      <w:numFmt w:val="bullet"/>
      <w:start w:val="1"/>
    </w:lvl>
  </w:abstractNum>
  <w:abstractNum w:abstractNumId="42">
    <w:nsid w:val="6C80EC70"/>
    <w:multiLevelType w:val="hybridMultilevel"/>
    <w:lvl w:ilvl="0">
      <w:lvlJc w:val="left"/>
      <w:lvlText w:val="%1"/>
      <w:numFmt w:val="decimal"/>
      <w:start w:val="43"/>
    </w:lvl>
  </w:abstractNum>
  <w:abstractNum w:abstractNumId="43">
    <w:nsid w:val="379E21B5"/>
    <w:multiLevelType w:val="hybridMultilevel"/>
    <w:lvl w:ilvl="0">
      <w:lvlJc w:val="left"/>
      <w:lvlText w:val="%1"/>
      <w:numFmt w:val="decimal"/>
      <w:start w:val="46"/>
    </w:lvl>
  </w:abstractNum>
  <w:abstractNum w:abstractNumId="44">
    <w:nsid w:val="69E373"/>
    <w:multiLevelType w:val="hybridMultilevel"/>
    <w:lvl w:ilvl="0">
      <w:lvlJc w:val="left"/>
      <w:lvlText w:val="%1"/>
      <w:numFmt w:val="decimal"/>
      <w:start w:val="47"/>
    </w:lvl>
  </w:abstractNum>
  <w:abstractNum w:abstractNumId="45">
    <w:nsid w:val="2C27173B"/>
    <w:multiLevelType w:val="hybridMultilevel"/>
    <w:lvl w:ilvl="0">
      <w:lvlJc w:val="left"/>
      <w:lvlText w:val="%1"/>
      <w:numFmt w:val="decimal"/>
      <w:start w:val="48"/>
    </w:lvl>
  </w:abstractNum>
  <w:abstractNum w:abstractNumId="46">
    <w:nsid w:val="4C9B0904"/>
    <w:multiLevelType w:val="hybridMultilevel"/>
    <w:lvl w:ilvl="0">
      <w:lvlJc w:val="left"/>
      <w:lvlText w:val="%1"/>
      <w:numFmt w:val="decimal"/>
      <w:start w:val="50"/>
    </w:lvl>
  </w:abstractNum>
  <w:abstractNum w:abstractNumId="47">
    <w:nsid w:val="6AA7B75C"/>
    <w:multiLevelType w:val="hybridMultilevel"/>
    <w:lvl w:ilvl="0">
      <w:lvlJc w:val="left"/>
      <w:lvlText w:val="%1"/>
      <w:numFmt w:val="decimal"/>
      <w:start w:val="52"/>
    </w:lvl>
  </w:abstractNum>
  <w:abstractNum w:abstractNumId="48">
    <w:nsid w:val="1DF029D3"/>
    <w:multiLevelType w:val="hybridMultilevel"/>
    <w:lvl w:ilvl="0">
      <w:lvlJc w:val="left"/>
      <w:lvlText w:val="%1"/>
      <w:numFmt w:val="decimal"/>
      <w:start w:val="54"/>
    </w:lvl>
  </w:abstractNum>
  <w:abstractNum w:abstractNumId="49">
    <w:nsid w:val="5675FF36"/>
    <w:multiLevelType w:val="hybridMultilevel"/>
    <w:lvl w:ilvl="0">
      <w:lvlJc w:val="left"/>
      <w:lvlText w:val="%1"/>
      <w:numFmt w:val="decimal"/>
      <w:start w:val="55"/>
    </w:lvl>
  </w:abstractNum>
  <w:abstractNum w:abstractNumId="50">
    <w:nsid w:val="3DD15094"/>
    <w:multiLevelType w:val="hybridMultilevel"/>
    <w:lvl w:ilvl="0">
      <w:lvlJc w:val="left"/>
      <w:lvlText w:val="%1"/>
      <w:numFmt w:val="decimal"/>
      <w:start w:val="59"/>
    </w:lvl>
  </w:abstractNum>
  <w:abstractNum w:abstractNumId="51">
    <w:nsid w:val="3DB012B3"/>
    <w:multiLevelType w:val="hybridMultilevel"/>
    <w:lvl w:ilvl="0">
      <w:lvlJc w:val="left"/>
      <w:lvlText w:val="%1"/>
      <w:numFmt w:val="decimal"/>
      <w:start w:val="61"/>
    </w:lvl>
  </w:abstractNum>
  <w:abstractNum w:abstractNumId="52">
    <w:nsid w:val="2708C9AF"/>
    <w:multiLevelType w:val="hybridMultilevel"/>
    <w:lvl w:ilvl="0">
      <w:lvlJc w:val="left"/>
      <w:lvlText w:val="%1"/>
      <w:numFmt w:val="decimal"/>
      <w:start w:val="62"/>
    </w:lvl>
  </w:abstractNum>
  <w:abstractNum w:abstractNumId="53">
    <w:nsid w:val="5B25ACE2"/>
    <w:multiLevelType w:val="hybridMultilevel"/>
    <w:lvl w:ilvl="0">
      <w:lvlJc w:val="left"/>
      <w:lvlText w:val="%1"/>
      <w:numFmt w:val="decimal"/>
      <w:start w:val="63"/>
    </w:lvl>
  </w:abstractNum>
  <w:abstractNum w:abstractNumId="54">
    <w:nsid w:val="175DFCF0"/>
    <w:multiLevelType w:val="hybridMultilevel"/>
    <w:lvl w:ilvl="0">
      <w:lvlJc w:val="left"/>
      <w:lvlText w:val="%1"/>
      <w:numFmt w:val="decimal"/>
      <w:start w:val="68"/>
    </w:lvl>
  </w:abstractNum>
  <w:abstractNum w:abstractNumId="55">
    <w:nsid w:val="4F97E3E4"/>
    <w:multiLevelType w:val="hybridMultilevel"/>
    <w:lvl w:ilvl="0">
      <w:lvlJc w:val="left"/>
      <w:lvlText w:val="%1"/>
      <w:numFmt w:val="decimal"/>
      <w:start w:val="69"/>
    </w:lvl>
  </w:abstractNum>
  <w:abstractNum w:abstractNumId="56">
    <w:nsid w:val="53B0A9E"/>
    <w:multiLevelType w:val="hybridMultilevel"/>
    <w:lvl w:ilvl="0">
      <w:lvlJc w:val="left"/>
      <w:lvlText w:val="%1"/>
      <w:numFmt w:val="decimal"/>
      <w:start w:val="70"/>
    </w:lvl>
  </w:abstractNum>
  <w:abstractNum w:abstractNumId="57">
    <w:nsid w:val="34FD6B4F"/>
    <w:multiLevelType w:val="hybridMultilevel"/>
    <w:lvl w:ilvl="0">
      <w:lvlJc w:val="left"/>
      <w:lvlText w:val="%1"/>
      <w:numFmt w:val="decimal"/>
      <w:start w:val="72"/>
    </w:lvl>
  </w:abstractNum>
  <w:abstractNum w:abstractNumId="58">
    <w:nsid w:val="5915FF32"/>
    <w:multiLevelType w:val="hybridMultilevel"/>
    <w:lvl w:ilvl="0">
      <w:lvlJc w:val="left"/>
      <w:lvlText w:val="%1"/>
      <w:numFmt w:val="decimal"/>
      <w:start w:val="75"/>
    </w:lvl>
    <w:lvl w:ilvl="1">
      <w:lvlJc w:val="left"/>
      <w:lvlText w:val="%2)"/>
      <w:numFmt w:val="lowerLetter"/>
      <w:start w:val="1"/>
    </w:lvl>
  </w:abstractNum>
  <w:abstractNum w:abstractNumId="59">
    <w:nsid w:val="56438D15"/>
    <w:multiLevelType w:val="hybridMultilevel"/>
    <w:lvl w:ilvl="0">
      <w:lvlJc w:val="left"/>
      <w:lvlText w:val="%1"/>
      <w:numFmt w:val="decimal"/>
      <w:start w:val="77"/>
    </w:lvl>
  </w:abstractNum>
  <w:abstractNum w:abstractNumId="60">
    <w:nsid w:val="519E3149"/>
    <w:multiLevelType w:val="hybridMultilevel"/>
    <w:lvl w:ilvl="0">
      <w:lvlJc w:val="left"/>
      <w:lvlText w:val="%1"/>
      <w:numFmt w:val="decimal"/>
      <w:start w:val="78"/>
    </w:lvl>
    <w:lvl w:ilvl="1">
      <w:lvlJc w:val="left"/>
      <w:lvlText w:val="%2)"/>
      <w:numFmt w:val="lowerRoman"/>
      <w:start w:val="1"/>
    </w:lvl>
  </w:abstractNum>
  <w:abstractNum w:abstractNumId="61">
    <w:nsid w:val="2C6E4AFD"/>
    <w:multiLevelType w:val="hybridMultilevel"/>
    <w:lvl w:ilvl="0">
      <w:lvlJc w:val="left"/>
      <w:lvlText w:val="%1"/>
      <w:numFmt w:val="decimal"/>
      <w:start w:val="81"/>
    </w:lvl>
  </w:abstractNum>
  <w:abstractNum w:abstractNumId="62">
    <w:nsid w:val="17A1B582"/>
    <w:multiLevelType w:val="hybridMultilevel"/>
    <w:lvl w:ilvl="0">
      <w:lvlJc w:val="left"/>
      <w:lvlText w:val="%1"/>
      <w:numFmt w:val="decimal"/>
      <w:start w:val="83"/>
    </w:lvl>
  </w:abstractNum>
  <w:abstractNum w:abstractNumId="63">
    <w:nsid w:val="4DF72E4E"/>
    <w:multiLevelType w:val="hybridMultilevel"/>
    <w:lvl w:ilvl="0">
      <w:lvlJc w:val="left"/>
      <w:lvlText w:val="%1)"/>
      <w:numFmt w:val="lowerLetter"/>
      <w:start w:val="1"/>
    </w:lvl>
  </w:abstractNum>
  <w:abstractNum w:abstractNumId="64">
    <w:nsid w:val="5046B5A9"/>
    <w:multiLevelType w:val="hybridMultilevel"/>
    <w:lvl w:ilvl="0">
      <w:lvlJc w:val="left"/>
      <w:lvlText w:val="%1"/>
      <w:numFmt w:val="decimal"/>
      <w:start w:val="84"/>
    </w:lvl>
  </w:abstractNum>
  <w:abstractNum w:abstractNumId="65">
    <w:nsid w:val="5D888A08"/>
    <w:multiLevelType w:val="hybridMultilevel"/>
    <w:lvl w:ilvl="0">
      <w:lvlJc w:val="left"/>
      <w:lvlText w:val="%1"/>
      <w:numFmt w:val="decimal"/>
      <w:start w:val="85"/>
    </w:lvl>
  </w:abstractNum>
  <w:abstractNum w:abstractNumId="66">
    <w:nsid w:val="2A082C70"/>
    <w:multiLevelType w:val="hybridMultilevel"/>
    <w:lvl w:ilvl="0">
      <w:lvlJc w:val="left"/>
      <w:lvlText w:val="%1"/>
      <w:numFmt w:val="decimal"/>
      <w:start w:val="87"/>
    </w:lvl>
  </w:abstractNum>
  <w:abstractNum w:abstractNumId="67">
    <w:nsid w:val="5EC6AFD4"/>
    <w:multiLevelType w:val="hybridMultilevel"/>
    <w:lvl w:ilvl="0">
      <w:lvlJc w:val="left"/>
      <w:lvlText w:val="%1"/>
      <w:numFmt w:val="decimal"/>
      <w:start w:val="88"/>
    </w:lvl>
  </w:abstractNum>
  <w:abstractNum w:abstractNumId="68">
    <w:nsid w:val="19E21BB2"/>
    <w:multiLevelType w:val="hybridMultilevel"/>
    <w:lvl w:ilvl="0">
      <w:lvlJc w:val="left"/>
      <w:lvlText w:val="%1"/>
      <w:numFmt w:val="decimal"/>
      <w:start w:val="92"/>
    </w:lvl>
  </w:abstractNum>
  <w:abstractNum w:abstractNumId="69">
    <w:nsid w:val="75E0858A"/>
    <w:multiLevelType w:val="hybridMultilevel"/>
    <w:lvl w:ilvl="0">
      <w:lvlJc w:val="left"/>
      <w:lvlText w:val="%1"/>
      <w:numFmt w:val="decimal"/>
      <w:start w:val="96"/>
    </w:lvl>
  </w:abstractNum>
  <w:abstractNum w:abstractNumId="70">
    <w:nsid w:val="57A61A29"/>
    <w:multiLevelType w:val="hybridMultilevel"/>
    <w:lvl w:ilvl="0">
      <w:lvlJc w:val="left"/>
      <w:lvlText w:val="%1"/>
      <w:numFmt w:val="decimal"/>
      <w:start w:val="97"/>
    </w:lvl>
  </w:abstractNum>
  <w:abstractNum w:abstractNumId="71">
    <w:nsid w:val="5399C654"/>
    <w:multiLevelType w:val="hybridMultilevel"/>
    <w:lvl w:ilvl="0">
      <w:lvlJc w:val="left"/>
      <w:lvlText w:val="%1"/>
      <w:numFmt w:val="decimal"/>
      <w:start w:val="98"/>
    </w:lvl>
  </w:abstractNum>
  <w:abstractNum w:abstractNumId="72">
    <w:nsid w:val="20EE1348"/>
    <w:multiLevelType w:val="hybridMultilevel"/>
    <w:lvl w:ilvl="0">
      <w:lvlJc w:val="left"/>
      <w:lvlText w:val="%1"/>
      <w:numFmt w:val="decimal"/>
      <w:start w:val="100"/>
    </w:lvl>
  </w:abstractNum>
  <w:abstractNum w:abstractNumId="73">
    <w:nsid w:val="4427069A"/>
    <w:multiLevelType w:val="hybridMultilevel"/>
    <w:lvl w:ilvl="0">
      <w:lvlJc w:val="left"/>
      <w:lvlText w:val="%1"/>
      <w:numFmt w:val="decimal"/>
      <w:start w:val="101"/>
    </w:lvl>
  </w:abstractNum>
  <w:abstractNum w:abstractNumId="74">
    <w:nsid w:val="B37E80A"/>
    <w:multiLevelType w:val="hybridMultilevel"/>
    <w:lvl w:ilvl="0">
      <w:lvlJc w:val="left"/>
      <w:lvlText w:val="%1"/>
      <w:numFmt w:val="decimal"/>
      <w:start w:val="103"/>
    </w:lvl>
    <w:lvl w:ilvl="1">
      <w:lvlJc w:val="left"/>
      <w:lvlText w:val="%2)"/>
      <w:numFmt w:val="lowerRoman"/>
      <w:start w:val="1"/>
    </w:lvl>
  </w:abstractNum>
  <w:abstractNum w:abstractNumId="75">
    <w:nsid w:val="2157F6BC"/>
    <w:multiLevelType w:val="hybridMultilevel"/>
    <w:lvl w:ilvl="0">
      <w:lvlJc w:val="left"/>
      <w:lvlText w:val="%1"/>
      <w:numFmt w:val="decimal"/>
      <w:start w:val="104"/>
    </w:lvl>
  </w:abstractNum>
  <w:abstractNum w:abstractNumId="76">
    <w:nsid w:val="704E1DD5"/>
    <w:multiLevelType w:val="hybridMultilevel"/>
    <w:lvl w:ilvl="0">
      <w:lvlJc w:val="left"/>
      <w:lvlText w:val="%1"/>
      <w:numFmt w:val="decimal"/>
      <w:start w:val="16"/>
    </w:lvl>
  </w:abstractNum>
  <w:abstractNum w:abstractNumId="77">
    <w:nsid w:val="57D2F10E"/>
    <w:multiLevelType w:val="hybridMultilevel"/>
    <w:lvl w:ilvl="0">
      <w:lvlJc w:val="left"/>
      <w:lvlText w:val="%1"/>
      <w:numFmt w:val="decimal"/>
      <w:start w:val="106"/>
    </w:lvl>
  </w:abstractNum>
  <w:abstractNum w:abstractNumId="78">
    <w:nsid w:val="BFFAE18"/>
    <w:multiLevelType w:val="hybridMultilevel"/>
    <w:lvl w:ilvl="0">
      <w:lvlJc w:val="left"/>
      <w:lvlText w:val="%1"/>
      <w:numFmt w:val="decimal"/>
      <w:start w:val="107"/>
    </w:lvl>
  </w:abstractNum>
  <w:abstractNum w:abstractNumId="79">
    <w:nsid w:val="E3E47A8"/>
    <w:multiLevelType w:val="hybridMultilevel"/>
    <w:lvl w:ilvl="0">
      <w:lvlJc w:val="left"/>
      <w:lvlText w:val="%1"/>
      <w:numFmt w:val="decimal"/>
      <w:start w:val="109"/>
    </w:lvl>
  </w:abstractNum>
  <w:abstractNum w:abstractNumId="80">
    <w:nsid w:val="2E48F044"/>
    <w:multiLevelType w:val="hybridMultilevel"/>
    <w:lvl w:ilvl="0">
      <w:lvlJc w:val="left"/>
      <w:lvlText w:val="%1"/>
      <w:numFmt w:val="decimal"/>
      <w:start w:val="113"/>
    </w:lvl>
  </w:abstractNum>
  <w:abstractNum w:abstractNumId="81">
    <w:nsid w:val="49D0FEAC"/>
    <w:multiLevelType w:val="hybridMultilevel"/>
    <w:lvl w:ilvl="0">
      <w:lvlJc w:val="left"/>
      <w:lvlText w:val="%1"/>
      <w:numFmt w:val="decimal"/>
      <w:start w:val="114"/>
    </w:lvl>
  </w:abstractNum>
  <w:abstractNum w:abstractNumId="82">
    <w:nsid w:val="4BEE5A5B"/>
    <w:multiLevelType w:val="hybridMultilevel"/>
    <w:lvl w:ilvl="0">
      <w:lvlJc w:val="left"/>
      <w:lvlText w:val="%1"/>
      <w:numFmt w:val="decimal"/>
      <w:start w:val="115"/>
    </w:lvl>
  </w:abstractNum>
  <w:abstractNum w:abstractNumId="83">
    <w:nsid w:val="5551B9F3"/>
    <w:multiLevelType w:val="hybridMultilevel"/>
    <w:lvl w:ilvl="0">
      <w:lvlJc w:val="left"/>
      <w:lvlText w:val="%1"/>
      <w:numFmt w:val="decimal"/>
      <w:start w:val="117"/>
    </w:lvl>
  </w:abstractNum>
  <w:abstractNum w:abstractNumId="84">
    <w:nsid w:val="24F6AB8E"/>
    <w:multiLevelType w:val="hybridMultilevel"/>
    <w:lvl w:ilvl="0">
      <w:lvlJc w:val="left"/>
      <w:lvlText w:val="%1"/>
      <w:numFmt w:val="decimal"/>
      <w:start w:val="118"/>
    </w:lvl>
  </w:abstractNum>
  <w:abstractNum w:abstractNumId="85">
    <w:nsid w:val="634C574C"/>
    <w:multiLevelType w:val="hybridMultilevel"/>
    <w:lvl w:ilvl="0">
      <w:lvlJc w:val="left"/>
      <w:lvlText w:val="%1"/>
      <w:numFmt w:val="decimal"/>
      <w:start w:val="91"/>
    </w:lvl>
  </w:abstractNum>
  <w:abstractNum w:abstractNumId="86">
    <w:nsid w:val="24E99DD7"/>
    <w:multiLevelType w:val="hybridMultilevel"/>
    <w:lvl w:ilvl="0">
      <w:lvlJc w:val="left"/>
      <w:lvlText w:val="%1"/>
      <w:numFmt w:val="decimal"/>
      <w:start w:val="17"/>
    </w:lvl>
  </w:abstractNum>
  <w:abstractNum w:abstractNumId="87">
    <w:nsid w:val="2A31B62D"/>
    <w:multiLevelType w:val="hybridMultilevel"/>
    <w:lvl w:ilvl="0">
      <w:lvlJc w:val="left"/>
      <w:lvlText w:val="%1"/>
      <w:numFmt w:val="decimal"/>
      <w:start w:val="92"/>
    </w:lvl>
  </w:abstractNum>
  <w:abstractNum w:abstractNumId="88">
    <w:nsid w:val="1849C29B"/>
    <w:multiLevelType w:val="hybridMultilevel"/>
    <w:lvl w:ilvl="0">
      <w:lvlJc w:val="left"/>
      <w:lvlText w:val="%1)"/>
      <w:numFmt w:val="upperLetter"/>
      <w:start w:val="1"/>
    </w:lvl>
  </w:abstractNum>
  <w:abstractNum w:abstractNumId="89">
    <w:nsid w:val="7DFF9D09"/>
    <w:multiLevelType w:val="hybridMultilevel"/>
    <w:lvl w:ilvl="0">
      <w:lvlJc w:val="left"/>
      <w:lvlText w:val="1"/>
      <w:numFmt w:val="bullet"/>
      <w:start w:val="1"/>
    </w:lvl>
  </w:abstractNum>
  <w:abstractNum w:abstractNumId="90">
    <w:nsid w:val="754342"/>
    <w:multiLevelType w:val="hybridMultilevel"/>
    <w:lvl w:ilvl="0">
      <w:lvlJc w:val="left"/>
      <w:lvlText w:val="2"/>
      <w:numFmt w:val="bullet"/>
      <w:start w:val="1"/>
    </w:lvl>
  </w:abstractNum>
  <w:abstractNum w:abstractNumId="91">
    <w:nsid w:val="69E7F3E5"/>
    <w:multiLevelType w:val="hybridMultilevel"/>
    <w:lvl w:ilvl="0">
      <w:lvlJc w:val="left"/>
      <w:lvlText w:val="3"/>
      <w:numFmt w:val="bullet"/>
      <w:start w:val="1"/>
    </w:lvl>
  </w:abstractNum>
  <w:abstractNum w:abstractNumId="92">
    <w:nsid w:val="2A6DE806"/>
    <w:multiLevelType w:val="hybridMultilevel"/>
    <w:lvl w:ilvl="0">
      <w:lvlJc w:val="left"/>
      <w:lvlText w:val="4"/>
      <w:numFmt w:val="bullet"/>
      <w:start w:val="1"/>
    </w:lvl>
  </w:abstractNum>
  <w:abstractNum w:abstractNumId="93">
    <w:nsid w:val="1816F8C4"/>
    <w:multiLevelType w:val="hybridMultilevel"/>
    <w:lvl w:ilvl="0">
      <w:lvlJc w:val="left"/>
      <w:lvlText w:val="4"/>
      <w:numFmt w:val="bullet"/>
      <w:start w:val="1"/>
    </w:lvl>
  </w:abstractNum>
  <w:abstractNum w:abstractNumId="94">
    <w:nsid w:val="37DF2233"/>
    <w:multiLevelType w:val="hybridMultilevel"/>
    <w:lvl w:ilvl="0">
      <w:lvlJc w:val="left"/>
      <w:lvlText w:val="5"/>
      <w:numFmt w:val="bullet"/>
      <w:start w:val="1"/>
    </w:lvl>
  </w:abstractNum>
  <w:abstractNum w:abstractNumId="95">
    <w:nsid w:val="7AB49DAF"/>
    <w:multiLevelType w:val="hybridMultilevel"/>
    <w:lvl w:ilvl="0">
      <w:lvlJc w:val="left"/>
      <w:lvlText w:val="6"/>
      <w:numFmt w:val="bullet"/>
      <w:start w:val="1"/>
    </w:lvl>
  </w:abstractNum>
  <w:abstractNum w:abstractNumId="96">
    <w:nsid w:val="759F82CD"/>
    <w:multiLevelType w:val="hybridMultilevel"/>
    <w:lvl w:ilvl="0">
      <w:lvlJc w:val="left"/>
      <w:lvlText w:val="7"/>
      <w:numFmt w:val="bullet"/>
      <w:start w:val="1"/>
    </w:lvl>
  </w:abstractNum>
  <w:abstractNum w:abstractNumId="97">
    <w:nsid w:val="61E74EA3"/>
    <w:multiLevelType w:val="hybridMultilevel"/>
    <w:lvl w:ilvl="0">
      <w:lvlJc w:val="left"/>
      <w:lvlText w:val="8"/>
      <w:numFmt w:val="bullet"/>
      <w:start w:val="1"/>
    </w:lvl>
  </w:abstractNum>
  <w:abstractNum w:abstractNumId="98">
    <w:nsid w:val="597B4D84"/>
    <w:multiLevelType w:val="hybridMultilevel"/>
    <w:lvl w:ilvl="0">
      <w:lvlJc w:val="left"/>
      <w:lvlText w:val="9"/>
      <w:numFmt w:val="bullet"/>
      <w:start w:val="1"/>
    </w:lvl>
  </w:abstractNum>
  <w:abstractNum w:abstractNumId="99">
    <w:nsid w:val="F819E7F"/>
    <w:multiLevelType w:val="hybridMultilevel"/>
    <w:lvl w:ilvl="0">
      <w:lvlJc w:val="left"/>
      <w:lvlText w:val="6"/>
      <w:numFmt w:val="bullet"/>
      <w:start w:val="1"/>
    </w:lvl>
  </w:abstractNum>
  <w:abstractNum w:abstractNumId="100">
    <w:nsid w:val="57C7D42D"/>
    <w:multiLevelType w:val="hybridMultilevel"/>
    <w:lvl w:ilvl="0">
      <w:lvlJc w:val="left"/>
      <w:lvlText w:val="7"/>
      <w:numFmt w:val="bullet"/>
      <w:start w:val="1"/>
    </w:lvl>
  </w:abstractNum>
  <w:abstractNum w:abstractNumId="101">
    <w:nsid w:val="312167AD"/>
    <w:multiLevelType w:val="hybridMultilevel"/>
    <w:lvl w:ilvl="0">
      <w:lvlJc w:val="left"/>
      <w:lvlText w:val="%1"/>
      <w:numFmt w:val="decimal"/>
      <w:start w:val="11"/>
    </w:lvl>
  </w:abstractNum>
  <w:abstractNum w:abstractNumId="102">
    <w:nsid w:val="631B64D4"/>
    <w:multiLevelType w:val="hybridMultilevel"/>
    <w:lvl w:ilvl="0">
      <w:lvlJc w:val="left"/>
      <w:lvlText w:val="8"/>
      <w:numFmt w:val="bullet"/>
      <w:start w:val="1"/>
    </w:lvl>
  </w:abstractNum>
  <w:abstractNum w:abstractNumId="103">
    <w:nsid w:val="78B5E776"/>
    <w:multiLevelType w:val="hybridMultilevel"/>
    <w:lvl w:ilvl="0">
      <w:lvlJc w:val="left"/>
      <w:lvlText w:val="%1"/>
      <w:numFmt w:val="decimal"/>
      <w:start w:val="12"/>
    </w:lvl>
  </w:abstractNum>
  <w:abstractNum w:abstractNumId="104">
    <w:nsid w:val="75486E47"/>
    <w:multiLevelType w:val="hybridMultilevel"/>
    <w:lvl w:ilvl="0">
      <w:lvlJc w:val="left"/>
      <w:lvlText w:val="9"/>
      <w:numFmt w:val="bullet"/>
      <w:start w:val="1"/>
    </w:lvl>
  </w:abstractNum>
  <w:abstractNum w:abstractNumId="105">
    <w:nsid w:val="6E534CDE"/>
    <w:multiLevelType w:val="hybridMultilevel"/>
    <w:lvl w:ilvl="0">
      <w:lvlJc w:val="left"/>
      <w:lvlText w:val="%1"/>
      <w:numFmt w:val="decimal"/>
      <w:start w:val="14"/>
    </w:lvl>
    <w:lvl w:ilvl="1">
      <w:lvlJc w:val="left"/>
      <w:lvlText w:val="%2)"/>
      <w:numFmt w:val="lowerLetter"/>
      <w:start w:val="1"/>
    </w:lvl>
  </w:abstractNum>
  <w:abstractNum w:abstractNumId="106">
    <w:nsid w:val="1A0DDE32"/>
    <w:multiLevelType w:val="hybridMultilevel"/>
    <w:lvl w:ilvl="0">
      <w:lvlJc w:val="left"/>
      <w:lvlText w:val="%1"/>
      <w:numFmt w:val="decimal"/>
      <w:start w:val="15"/>
    </w:lvl>
  </w:abstractNum>
  <w:abstractNum w:abstractNumId="107">
    <w:nsid w:val="65968C1C"/>
    <w:multiLevelType w:val="hybridMultilevel"/>
    <w:lvl w:ilvl="0">
      <w:lvlJc w:val="left"/>
      <w:lvlText w:val="%1"/>
      <w:numFmt w:val="decimal"/>
      <w:start w:val="16"/>
    </w:lvl>
    <w:lvl w:ilvl="1">
      <w:lvlJc w:val="left"/>
      <w:lvlText w:val="%2)"/>
      <w:numFmt w:val="lowerLetter"/>
      <w:start w:val="1"/>
    </w:lvl>
  </w:abstractNum>
  <w:abstractNum w:abstractNumId="108">
    <w:nsid w:val="46263DEC"/>
    <w:multiLevelType w:val="hybridMultilevel"/>
    <w:lvl w:ilvl="0">
      <w:lvlJc w:val="left"/>
      <w:lvlText w:val="%1"/>
      <w:numFmt w:val="decimal"/>
      <w:start w:val="17"/>
    </w:lvl>
  </w:abstractNum>
  <w:abstractNum w:abstractNumId="109">
    <w:nsid w:val="260D8C4A"/>
    <w:multiLevelType w:val="hybridMultilevel"/>
    <w:lvl w:ilvl="0">
      <w:lvlJc w:val="left"/>
      <w:lvlText w:val="%1"/>
      <w:numFmt w:val="decimal"/>
      <w:start w:val="19"/>
    </w:lvl>
  </w:abstractNum>
  <w:abstractNum w:abstractNumId="110">
    <w:nsid w:val="73D4D3C4"/>
    <w:multiLevelType w:val="hybridMultilevel"/>
    <w:lvl w:ilvl="0">
      <w:lvlJc w:val="left"/>
      <w:lvlText w:val="%1"/>
      <w:numFmt w:val="decimal"/>
      <w:start w:val="21"/>
    </w:lvl>
  </w:abstractNum>
  <w:abstractNum w:abstractNumId="111">
    <w:nsid w:val="746F2E30"/>
    <w:multiLevelType w:val="hybridMultilevel"/>
    <w:lvl w:ilvl="0">
      <w:lvlJc w:val="left"/>
      <w:lvlText w:val="%1"/>
      <w:numFmt w:val="decimal"/>
      <w:start w:val="22"/>
    </w:lvl>
  </w:abstractNum>
  <w:abstractNum w:abstractNumId="112">
    <w:nsid w:val="6FDE8AF6"/>
    <w:multiLevelType w:val="hybridMultilevel"/>
    <w:lvl w:ilvl="0">
      <w:lvlJc w:val="left"/>
      <w:lvlText w:val="-"/>
      <w:numFmt w:val="bullet"/>
      <w:start w:val="1"/>
    </w:lvl>
  </w:abstractNum>
  <w:abstractNum w:abstractNumId="113">
    <w:nsid w:val="3FC32E20"/>
    <w:multiLevelType w:val="hybridMultilevel"/>
    <w:lvl w:ilvl="0">
      <w:lvlJc w:val="left"/>
      <w:lvlText w:val="%1)"/>
      <w:numFmt w:val="upperLetter"/>
      <w:start w:val="1"/>
    </w:lvl>
  </w:abstractNum>
  <w:abstractNum w:abstractNumId="114">
    <w:nsid w:val="49C0E823"/>
    <w:multiLevelType w:val="hybridMultilevel"/>
    <w:lvl w:ilvl="0">
      <w:lvlJc w:val="left"/>
      <w:lvlText w:val="1"/>
      <w:numFmt w:val="bullet"/>
      <w:start w:val="1"/>
    </w:lvl>
  </w:abstractNum>
  <w:abstractNum w:abstractNumId="115">
    <w:nsid w:val="14D53685"/>
    <w:multiLevelType w:val="hybridMultilevel"/>
    <w:lvl w:ilvl="0">
      <w:lvlJc w:val="left"/>
      <w:lvlText w:val="2"/>
      <w:numFmt w:val="bullet"/>
      <w:start w:val="1"/>
    </w:lvl>
  </w:abstractNum>
  <w:abstractNum w:abstractNumId="116">
    <w:nsid w:val="230F856C"/>
    <w:multiLevelType w:val="hybridMultilevel"/>
    <w:lvl w:ilvl="0">
      <w:lvlJc w:val="left"/>
      <w:lvlText w:val="3"/>
      <w:numFmt w:val="bullet"/>
      <w:start w:val="1"/>
    </w:lvl>
  </w:abstractNum>
  <w:abstractNum w:abstractNumId="117">
    <w:nsid w:val="6EAA85FB"/>
    <w:multiLevelType w:val="hybridMultilevel"/>
    <w:lvl w:ilvl="0">
      <w:lvlJc w:val="left"/>
      <w:lvlText w:val="4"/>
      <w:numFmt w:val="bullet"/>
      <w:start w:val="1"/>
    </w:lvl>
  </w:abstractNum>
  <w:abstractNum w:abstractNumId="118">
    <w:nsid w:val="3F06ECB2"/>
    <w:multiLevelType w:val="hybridMultilevel"/>
    <w:lvl w:ilvl="0">
      <w:lvlJc w:val="left"/>
      <w:lvlText w:val="4"/>
      <w:numFmt w:val="bullet"/>
      <w:start w:val="1"/>
    </w:lvl>
  </w:abstractNum>
  <w:abstractNum w:abstractNumId="119">
    <w:nsid w:val="3B594807"/>
    <w:multiLevelType w:val="hybridMultilevel"/>
    <w:lvl w:ilvl="0">
      <w:lvlJc w:val="left"/>
      <w:lvlText w:val="5"/>
      <w:numFmt w:val="bullet"/>
      <w:start w:val="1"/>
    </w:lvl>
  </w:abstractNum>
  <w:abstractNum w:abstractNumId="120">
    <w:nsid w:val="6CAA2304"/>
    <w:multiLevelType w:val="hybridMultilevel"/>
    <w:lvl w:ilvl="0">
      <w:lvlJc w:val="left"/>
      <w:lvlText w:val="6"/>
      <w:numFmt w:val="bullet"/>
      <w:start w:val="1"/>
    </w:lvl>
  </w:abstractNum>
  <w:abstractNum w:abstractNumId="121">
    <w:nsid w:val="3F7C2FF4"/>
    <w:multiLevelType w:val="hybridMultilevel"/>
    <w:lvl w:ilvl="0">
      <w:lvlJc w:val="left"/>
      <w:lvlText w:val="7"/>
      <w:numFmt w:val="bullet"/>
      <w:start w:val="1"/>
    </w:lvl>
  </w:abstractNum>
  <w:abstractNum w:abstractNumId="122">
    <w:nsid w:val="25413BEC"/>
    <w:multiLevelType w:val="hybridMultilevel"/>
    <w:lvl w:ilvl="0">
      <w:lvlJc w:val="left"/>
      <w:lvlText w:val="8"/>
      <w:numFmt w:val="bullet"/>
      <w:start w:val="1"/>
    </w:lvl>
  </w:abstractNum>
  <w:abstractNum w:abstractNumId="123">
    <w:nsid w:val="17180B0B"/>
    <w:multiLevelType w:val="hybridMultilevel"/>
    <w:lvl w:ilvl="0">
      <w:lvlJc w:val="left"/>
      <w:lvlText w:val="9"/>
      <w:numFmt w:val="bullet"/>
      <w:start w:val="1"/>
    </w:lvl>
  </w:abstractNum>
  <w:abstractNum w:abstractNumId="124">
    <w:nsid w:val="579328B9"/>
    <w:multiLevelType w:val="hybridMultilevel"/>
    <w:lvl w:ilvl="0">
      <w:lvlJc w:val="left"/>
      <w:lvlText w:val="6"/>
      <w:numFmt w:val="bullet"/>
      <w:start w:val="1"/>
    </w:lvl>
  </w:abstractNum>
  <w:abstractNum w:abstractNumId="125">
    <w:nsid w:val="5D205E20"/>
    <w:multiLevelType w:val="hybridMultilevel"/>
    <w:lvl w:ilvl="0">
      <w:lvlJc w:val="left"/>
      <w:lvlText w:val="7"/>
      <w:numFmt w:val="bullet"/>
      <w:start w:val="1"/>
    </w:lvl>
  </w:abstractNum>
  <w:abstractNum w:abstractNumId="126">
    <w:nsid w:val="11CCA8BA"/>
    <w:multiLevelType w:val="hybridMultilevel"/>
    <w:lvl w:ilvl="0">
      <w:lvlJc w:val="left"/>
      <w:lvlText w:val="%1"/>
      <w:numFmt w:val="decimal"/>
      <w:start w:val="11"/>
    </w:lvl>
  </w:abstractNum>
  <w:abstractNum w:abstractNumId="127">
    <w:nsid w:val="4D32AB86"/>
    <w:multiLevelType w:val="hybridMultilevel"/>
    <w:lvl w:ilvl="0">
      <w:lvlJc w:val="left"/>
      <w:lvlText w:val="8"/>
      <w:numFmt w:val="bullet"/>
      <w:start w:val="1"/>
    </w:lvl>
  </w:abstractNum>
  <w:abstractNum w:abstractNumId="128">
    <w:nsid w:val="3F07ACC3"/>
    <w:multiLevelType w:val="hybridMultilevel"/>
    <w:lvl w:ilvl="0">
      <w:lvlJc w:val="left"/>
      <w:lvlText w:val="%1"/>
      <w:numFmt w:val="decimal"/>
      <w:start w:val="12"/>
    </w:lvl>
  </w:abstractNum>
  <w:abstractNum w:abstractNumId="129">
    <w:nsid w:val="6B47F63E"/>
    <w:multiLevelType w:val="hybridMultilevel"/>
    <w:lvl w:ilvl="0">
      <w:lvlJc w:val="left"/>
      <w:lvlText w:val="9"/>
      <w:numFmt w:val="bullet"/>
      <w:start w:val="1"/>
    </w:lvl>
  </w:abstractNum>
  <w:abstractNum w:abstractNumId="130">
    <w:nsid w:val="5CB44A05"/>
    <w:multiLevelType w:val="hybridMultilevel"/>
    <w:lvl w:ilvl="0">
      <w:lvlJc w:val="left"/>
      <w:lvlText w:val="%1"/>
      <w:numFmt w:val="decimal"/>
      <w:start w:val="14"/>
    </w:lvl>
    <w:lvl w:ilvl="1">
      <w:lvlJc w:val="left"/>
      <w:lvlText w:val="%2)"/>
      <w:numFmt w:val="lowerLetter"/>
      <w:start w:val="1"/>
    </w:lvl>
  </w:abstractNum>
  <w:abstractNum w:abstractNumId="131">
    <w:nsid w:val="16CF80F1"/>
    <w:multiLevelType w:val="hybridMultilevel"/>
    <w:lvl w:ilvl="0">
      <w:lvlJc w:val="left"/>
      <w:lvlText w:val="%1"/>
      <w:numFmt w:val="decimal"/>
      <w:start w:val="15"/>
    </w:lvl>
  </w:abstractNum>
  <w:abstractNum w:abstractNumId="132">
    <w:nsid w:val="1C695DEC"/>
    <w:multiLevelType w:val="hybridMultilevel"/>
    <w:lvl w:ilvl="0">
      <w:lvlJc w:val="left"/>
      <w:lvlText w:val="%1"/>
      <w:numFmt w:val="decimal"/>
      <w:start w:val="16"/>
    </w:lvl>
    <w:lvl w:ilvl="1">
      <w:lvlJc w:val="left"/>
      <w:lvlText w:val="%2)"/>
      <w:numFmt w:val="lowerLetter"/>
      <w:start w:val="1"/>
    </w:lvl>
  </w:abstractNum>
  <w:abstractNum w:abstractNumId="133">
    <w:nsid w:val="3FCFAED9"/>
    <w:multiLevelType w:val="hybridMultilevel"/>
    <w:lvl w:ilvl="0">
      <w:lvlJc w:val="left"/>
      <w:lvlText w:val="%1"/>
      <w:numFmt w:val="decimal"/>
      <w:start w:val="17"/>
    </w:lvl>
  </w:abstractNum>
  <w:abstractNum w:abstractNumId="134">
    <w:nsid w:val="F856867"/>
    <w:multiLevelType w:val="hybridMultilevel"/>
    <w:lvl w:ilvl="0">
      <w:lvlJc w:val="left"/>
      <w:lvlText w:val="%1"/>
      <w:numFmt w:val="decimal"/>
      <w:start w:val="19"/>
    </w:lvl>
  </w:abstractNum>
  <w:abstractNum w:abstractNumId="135">
    <w:nsid w:val="11B1CC33"/>
    <w:multiLevelType w:val="hybridMultilevel"/>
    <w:lvl w:ilvl="0">
      <w:lvlJc w:val="left"/>
      <w:lvlText w:val="%1"/>
      <w:numFmt w:val="decimal"/>
      <w:start w:val="21"/>
    </w:lvl>
  </w:abstractNum>
  <w:abstractNum w:abstractNumId="136">
    <w:nsid w:val="2E22FBB7"/>
    <w:multiLevelType w:val="hybridMultilevel"/>
    <w:lvl w:ilvl="0">
      <w:lvlJc w:val="left"/>
      <w:lvlText w:val="%1"/>
      <w:numFmt w:val="decimal"/>
      <w:start w:val="22"/>
    </w:lvl>
  </w:abstractNum>
  <w:abstractNum w:abstractNumId="137">
    <w:nsid w:val="29934699"/>
    <w:multiLevelType w:val="hybridMultilevel"/>
    <w:lvl w:ilvl="0">
      <w:lvlJc w:val="left"/>
      <w:lvlText w:val="-"/>
      <w:numFmt w:val="bullet"/>
      <w:start w:val="1"/>
    </w:lvl>
  </w:abstractNum>
  <w:abstractNum w:abstractNumId="138">
    <w:nsid w:val="77485850"/>
    <w:multiLevelType w:val="hybridMultilevel"/>
    <w:lvl w:ilvl="0">
      <w:lvlJc w:val="left"/>
      <w:lvlText w:val="%1."/>
      <w:numFmt w:val="decimal"/>
      <w:start w:val="1"/>
    </w:lvl>
  </w:abstractNum>
  <w:abstractNum w:abstractNumId="139">
    <w:nsid w:val="744939A3"/>
    <w:multiLevelType w:val="hybridMultilevel"/>
    <w:lvl w:ilvl="0">
      <w:lvlJc w:val="left"/>
      <w:lvlText w:val="%1."/>
      <w:numFmt w:val="decimal"/>
      <w:start w:val="2"/>
    </w:lvl>
  </w:abstractNum>
  <w:abstractNum w:abstractNumId="140">
    <w:nsid w:val="4FA0D2E3"/>
    <w:multiLevelType w:val="hybridMultilevel"/>
    <w:lvl w:ilvl="0">
      <w:lvlJc w:val="left"/>
      <w:lvlText w:val="%1."/>
      <w:numFmt w:val="decimal"/>
      <w:start w:val="3"/>
    </w:lvl>
  </w:abstractNum>
  <w:abstractNum w:abstractNumId="141">
    <w:nsid w:val="6B1D2C14"/>
    <w:multiLevelType w:val="hybridMultilevel"/>
    <w:lvl w:ilvl="0">
      <w:lvlJc w:val="left"/>
      <w:lvlText w:val="%1."/>
      <w:numFmt w:val="decimal"/>
      <w:start w:val="5"/>
    </w:lvl>
  </w:abstractNum>
  <w:abstractNum w:abstractNumId="142">
    <w:nsid w:val="68B867D3"/>
    <w:multiLevelType w:val="hybridMultilevel"/>
    <w:lvl w:ilvl="0">
      <w:lvlJc w:val="left"/>
      <w:lvlText w:val="%1."/>
      <w:numFmt w:val="decimal"/>
      <w:start w:val="6"/>
    </w:lvl>
  </w:abstractNum>
  <w:abstractNum w:abstractNumId="143">
    <w:nsid w:val="3F7F5DD9"/>
    <w:multiLevelType w:val="hybridMultilevel"/>
    <w:lvl w:ilvl="0">
      <w:lvlJc w:val="left"/>
      <w:lvlText w:val="%1."/>
      <w:numFmt w:val="decimal"/>
      <w:start w:val="8"/>
    </w:lvl>
  </w:abstractNum>
  <w:abstractNum w:abstractNumId="144">
    <w:nsid w:val="2AE05A34"/>
    <w:multiLevelType w:val="hybridMultilevel"/>
    <w:lvl w:ilvl="0">
      <w:lvlJc w:val="left"/>
      <w:lvlText w:val="%1."/>
      <w:numFmt w:val="decimal"/>
      <w:start w:val="9"/>
    </w:lvl>
  </w:abstractNum>
  <w:abstractNum w:abstractNumId="145">
    <w:nsid w:val="32794FF7"/>
    <w:multiLevelType w:val="hybridMultilevel"/>
    <w:lvl w:ilvl="0">
      <w:lvlJc w:val="left"/>
      <w:lvlText w:val="%1."/>
      <w:numFmt w:val="decimal"/>
      <w:start w:val="11"/>
    </w:lvl>
  </w:abstractNum>
  <w:abstractNum w:abstractNumId="146">
    <w:nsid w:val="5454945E"/>
    <w:multiLevelType w:val="hybridMultilevel"/>
    <w:lvl w:ilvl="0">
      <w:lvlJc w:val="left"/>
      <w:lvlText w:val="·"/>
      <w:numFmt w:val="bullet"/>
      <w:start w:val="1"/>
    </w:lvl>
  </w:abstractNum>
  <w:abstractNum w:abstractNumId="147">
    <w:nsid w:val="4DEFDFA0"/>
    <w:multiLevelType w:val="hybridMultilevel"/>
    <w:lvl w:ilvl="0">
      <w:lvlJc w:val="left"/>
      <w:lvlText w:val="·"/>
      <w:numFmt w:val="bullet"/>
      <w:start w:val="1"/>
    </w:lvl>
  </w:abstractNum>
  <w:abstractNum w:abstractNumId="148">
    <w:nsid w:val="2123D5F2"/>
    <w:multiLevelType w:val="hybridMultilevel"/>
    <w:lvl w:ilvl="0">
      <w:lvlJc w:val="left"/>
      <w:lvlText w:val="·"/>
      <w:numFmt w:val="bullet"/>
      <w:start w:val="1"/>
    </w:lvl>
  </w:abstractNum>
  <w:abstractNum w:abstractNumId="149">
    <w:nsid w:val="135B8110"/>
    <w:multiLevelType w:val="hybridMultilevel"/>
    <w:lvl w:ilvl="0">
      <w:lvlJc w:val="left"/>
      <w:lvlText w:val="·"/>
      <w:numFmt w:val="bullet"/>
      <w:start w:val="1"/>
    </w:lvl>
  </w:abstractNum>
  <w:abstractNum w:abstractNumId="150">
    <w:nsid w:val="94927A8"/>
    <w:multiLevelType w:val="hybridMultilevel"/>
    <w:lvl w:ilvl="0">
      <w:lvlJc w:val="left"/>
      <w:lvlText w:val="·"/>
      <w:numFmt w:val="bullet"/>
      <w:start w:val="1"/>
    </w:lvl>
  </w:abstractNum>
  <w:abstractNum w:abstractNumId="151">
    <w:nsid w:val="DCDF8F6"/>
    <w:multiLevelType w:val="hybridMultilevel"/>
    <w:lvl w:ilvl="0">
      <w:lvlJc w:val="left"/>
      <w:lvlText w:val="·"/>
      <w:numFmt w:val="bullet"/>
      <w:start w:val="1"/>
    </w:lvl>
  </w:abstractNum>
  <w:abstractNum w:abstractNumId="152">
    <w:nsid w:val="52D7B105"/>
    <w:multiLevelType w:val="hybridMultilevel"/>
    <w:lvl w:ilvl="0">
      <w:lvlJc w:val="left"/>
      <w:lvlText w:val="1"/>
      <w:numFmt w:val="bullet"/>
      <w:start w:val="1"/>
    </w:lvl>
  </w:abstractNum>
  <w:abstractNum w:abstractNumId="153">
    <w:nsid w:val="2E8A6394"/>
    <w:multiLevelType w:val="hybridMultilevel"/>
    <w:lvl w:ilvl="0">
      <w:lvlJc w:val="left"/>
      <w:lvlText w:val="2"/>
      <w:numFmt w:val="bullet"/>
      <w:start w:val="1"/>
    </w:lvl>
  </w:abstractNum>
  <w:abstractNum w:abstractNumId="154">
    <w:nsid w:val="24E60401"/>
    <w:multiLevelType w:val="hybridMultilevel"/>
    <w:lvl w:ilvl="0">
      <w:lvlJc w:val="left"/>
      <w:lvlText w:val="·"/>
      <w:numFmt w:val="bullet"/>
      <w:start w:val="1"/>
    </w:lvl>
  </w:abstractNum>
  <w:abstractNum w:abstractNumId="155">
    <w:nsid w:val="2A6AD9BE"/>
    <w:multiLevelType w:val="hybridMultilevel"/>
    <w:lvl w:ilvl="0">
      <w:lvlJc w:val="left"/>
      <w:lvlText w:val="·"/>
      <w:numFmt w:val="bullet"/>
      <w:start w:val="1"/>
    </w:lvl>
  </w:abstractNum>
  <w:abstractNum w:abstractNumId="156">
    <w:nsid w:val="BAAC1B4"/>
    <w:multiLevelType w:val="hybridMultilevel"/>
    <w:lvl w:ilvl="0">
      <w:lvlJc w:val="left"/>
      <w:lvlText w:val="·"/>
      <w:numFmt w:val="bullet"/>
      <w:start w:val="1"/>
    </w:lvl>
  </w:abstractNum>
  <w:abstractNum w:abstractNumId="157">
    <w:nsid w:val="36B2ACBC"/>
    <w:multiLevelType w:val="hybridMultilevel"/>
    <w:lvl w:ilvl="0">
      <w:lvlJc w:val="left"/>
      <w:lvlText w:val="·"/>
      <w:numFmt w:val="bullet"/>
      <w:start w:val="1"/>
    </w:lvl>
  </w:abstractNum>
  <w:abstractNum w:abstractNumId="158">
    <w:nsid w:val="779D8544"/>
    <w:multiLevelType w:val="hybridMultilevel"/>
    <w:lvl w:ilvl="0">
      <w:lvlJc w:val="left"/>
      <w:lvlText w:val="·"/>
      <w:numFmt w:val="bullet"/>
      <w:start w:val="1"/>
    </w:lvl>
  </w:abstractNum>
  <w:abstractNum w:abstractNumId="159">
    <w:nsid w:val="4AB26E78"/>
    <w:multiLevelType w:val="hybridMultilevel"/>
    <w:lvl w:ilvl="0">
      <w:lvlJc w:val="left"/>
      <w:lvlText w:val="1"/>
      <w:numFmt w:val="bullet"/>
      <w:start w:val="1"/>
    </w:lvl>
  </w:abstractNum>
  <w:abstractNum w:abstractNumId="160">
    <w:nsid w:val="21FAA2FA"/>
    <w:multiLevelType w:val="hybridMultilevel"/>
    <w:lvl w:ilvl="0">
      <w:lvlJc w:val="left"/>
      <w:lvlText w:val="2"/>
      <w:numFmt w:val="bullet"/>
      <w:start w:val="1"/>
    </w:lvl>
    <w:lvl w:ilvl="1">
      <w:lvlJc w:val="left"/>
      <w:lvlText w:val="·"/>
      <w:numFmt w:val="bullet"/>
      <w:start w:val="1"/>
    </w:lvl>
  </w:abstractNum>
  <w:abstractNum w:abstractNumId="161">
    <w:nsid w:val="5451CF49"/>
    <w:multiLevelType w:val="hybridMultilevel"/>
    <w:lvl w:ilvl="0">
      <w:lvlJc w:val="left"/>
      <w:lvlText w:val="·"/>
      <w:numFmt w:val="bullet"/>
      <w:start w:val="1"/>
    </w:lvl>
  </w:abstractNum>
  <w:abstractNum w:abstractNumId="162">
    <w:nsid w:val="6181EF69"/>
    <w:multiLevelType w:val="hybridMultilevel"/>
    <w:lvl w:ilvl="0">
      <w:lvlJc w:val="left"/>
      <w:lvlText w:val="·"/>
      <w:numFmt w:val="bullet"/>
      <w:start w:val="1"/>
    </w:lvl>
  </w:abstractNum>
  <w:abstractNum w:abstractNumId="163">
    <w:nsid w:val="3E6400E6"/>
    <w:multiLevelType w:val="hybridMultilevel"/>
    <w:lvl w:ilvl="0">
      <w:lvlJc w:val="left"/>
      <w:lvlText w:val="·"/>
      <w:numFmt w:val="bullet"/>
      <w:start w:val="1"/>
    </w:lvl>
  </w:abstractNum>
  <w:abstractNum w:abstractNumId="164">
    <w:nsid w:val="14217E23"/>
    <w:multiLevelType w:val="hybridMultilevel"/>
    <w:lvl w:ilvl="0">
      <w:lvlJc w:val="left"/>
      <w:lvlText w:val="·"/>
      <w:numFmt w:val="bullet"/>
      <w:start w:val="1"/>
    </w:lvl>
  </w:abstractNum>
  <w:abstractNum w:abstractNumId="165">
    <w:nsid w:val="710757D0"/>
    <w:multiLevelType w:val="hybridMultilevel"/>
    <w:lvl w:ilvl="0">
      <w:lvlJc w:val="left"/>
      <w:lvlText w:val="1"/>
      <w:numFmt w:val="bullet"/>
      <w:start w:val="1"/>
    </w:lvl>
  </w:abstractNum>
  <w:abstractNum w:abstractNumId="166">
    <w:nsid w:val="5015CD1A"/>
    <w:multiLevelType w:val="hybridMultilevel"/>
    <w:lvl w:ilvl="0">
      <w:lvlJc w:val="left"/>
      <w:lvlText w:val="2"/>
      <w:numFmt w:val="bullet"/>
      <w:start w:val="1"/>
    </w:lvl>
  </w:abstractNum>
  <w:abstractNum w:abstractNumId="167">
    <w:nsid w:val="424479DA"/>
    <w:multiLevelType w:val="hybridMultilevel"/>
    <w:lvl w:ilvl="0">
      <w:lvlJc w:val="left"/>
      <w:lvlText w:val="·"/>
      <w:numFmt w:val="bullet"/>
      <w:start w:val="1"/>
    </w:lvl>
  </w:abstractNum>
  <w:abstractNum w:abstractNumId="168">
    <w:nsid w:val="1A9A9E69"/>
    <w:multiLevelType w:val="hybridMultilevel"/>
    <w:lvl w:ilvl="0">
      <w:lvlJc w:val="left"/>
      <w:lvlText w:val="·"/>
      <w:numFmt w:val="bullet"/>
      <w:start w:val="1"/>
    </w:lvl>
  </w:abstractNum>
  <w:abstractNum w:abstractNumId="169">
    <w:nsid w:val="475E256A"/>
    <w:multiLevelType w:val="hybridMultilevel"/>
    <w:lvl w:ilvl="0">
      <w:lvlJc w:val="left"/>
      <w:lvlText w:val="1"/>
      <w:numFmt w:val="bullet"/>
      <w:start w:val="1"/>
    </w:lvl>
  </w:abstractNum>
  <w:abstractNum w:abstractNumId="170">
    <w:nsid w:val="368DB37E"/>
    <w:multiLevelType w:val="hybridMultilevel"/>
    <w:lvl w:ilvl="0">
      <w:lvlJc w:val="left"/>
      <w:lvlText w:val="2"/>
      <w:numFmt w:val="bullet"/>
      <w:start w:val="1"/>
    </w:lvl>
  </w:abstractNum>
  <w:abstractNum w:abstractNumId="171">
    <w:nsid w:val="6A3B714C"/>
    <w:multiLevelType w:val="hybridMultilevel"/>
    <w:lvl w:ilvl="0">
      <w:lvlJc w:val="left"/>
      <w:lvlText w:val="·"/>
      <w:numFmt w:val="bullet"/>
      <w:start w:val="1"/>
    </w:lvl>
  </w:abstractNum>
  <w:abstractNum w:abstractNumId="172">
    <w:nsid w:val="327B517E"/>
    <w:multiLevelType w:val="hybridMultilevel"/>
    <w:lvl w:ilvl="0">
      <w:lvlJc w:val="left"/>
      <w:lvlText w:val="·"/>
      <w:numFmt w:val="bullet"/>
      <w:start w:val="1"/>
    </w:lvl>
  </w:abstractNum>
  <w:abstractNum w:abstractNumId="173">
    <w:nsid w:val="1F461B51"/>
    <w:multiLevelType w:val="hybridMultilevel"/>
    <w:lvl w:ilvl="0">
      <w:lvlJc w:val="left"/>
      <w:lvlText w:val="·"/>
      <w:numFmt w:val="bullet"/>
      <w:start w:val="1"/>
    </w:lvl>
  </w:abstractNum>
  <w:abstractNum w:abstractNumId="174">
    <w:nsid w:val="29BACF25"/>
    <w:multiLevelType w:val="hybridMultilevel"/>
    <w:lvl w:ilvl="0">
      <w:lvlJc w:val="left"/>
      <w:lvlText w:val="·"/>
      <w:numFmt w:val="bullet"/>
      <w:start w:val="1"/>
    </w:lvl>
  </w:abstractNum>
  <w:abstractNum w:abstractNumId="175">
    <w:nsid w:val="5D5BABB3"/>
    <w:multiLevelType w:val="hybridMultilevel"/>
    <w:lvl w:ilvl="0">
      <w:lvlJc w:val="left"/>
      <w:lvlText w:val="·"/>
      <w:numFmt w:val="bullet"/>
      <w:start w:val="1"/>
    </w:lvl>
  </w:abstractNum>
  <w:abstractNum w:abstractNumId="176">
    <w:nsid w:val="51BF6B48"/>
    <w:multiLevelType w:val="hybridMultilevel"/>
    <w:lvl w:ilvl="0">
      <w:lvlJc w:val="left"/>
      <w:lvlText w:val="·"/>
      <w:numFmt w:val="bullet"/>
      <w:start w:val="1"/>
    </w:lvl>
  </w:abstractNum>
  <w:abstractNum w:abstractNumId="177">
    <w:nsid w:val="7E0F6384"/>
    <w:multiLevelType w:val="hybridMultilevel"/>
    <w:lvl w:ilvl="0">
      <w:lvlJc w:val="left"/>
      <w:lvlText w:val="1"/>
      <w:numFmt w:val="bullet"/>
      <w:start w:val="1"/>
    </w:lvl>
  </w:abstractNum>
  <w:abstractNum w:abstractNumId="178">
    <w:nsid w:val="2B4B8B53"/>
    <w:multiLevelType w:val="hybridMultilevel"/>
    <w:lvl w:ilvl="0">
      <w:lvlJc w:val="left"/>
      <w:lvlText w:val="2"/>
      <w:numFmt w:val="bullet"/>
      <w:start w:val="1"/>
    </w:lvl>
  </w:abstractNum>
  <w:abstractNum w:abstractNumId="179">
    <w:nsid w:val="72E3413A"/>
    <w:multiLevelType w:val="hybridMultilevel"/>
    <w:lvl w:ilvl="0">
      <w:lvlJc w:val="left"/>
      <w:lvlText w:val="3"/>
      <w:numFmt w:val="bullet"/>
      <w:start w:val="1"/>
    </w:lvl>
  </w:abstractNum>
  <w:abstractNum w:abstractNumId="180">
    <w:nsid w:val="116AE494"/>
    <w:multiLevelType w:val="hybridMultilevel"/>
    <w:lvl w:ilvl="0">
      <w:lvlJc w:val="left"/>
      <w:lvlText w:val="▪"/>
      <w:numFmt w:val="bullet"/>
      <w:start w:val="1"/>
    </w:lvl>
  </w:abstractNum>
  <w:abstractNum w:abstractNumId="181">
    <w:nsid w:val="3494B2FB"/>
    <w:multiLevelType w:val="hybridMultilevel"/>
    <w:lvl w:ilvl="0">
      <w:lvlJc w:val="left"/>
      <w:lvlText w:val="▪"/>
      <w:numFmt w:val="bullet"/>
      <w:start w:val="1"/>
    </w:lvl>
  </w:abstractNum>
  <w:abstractNum w:abstractNumId="182">
    <w:nsid w:val="B13A31"/>
    <w:multiLevelType w:val="hybridMultilevel"/>
    <w:lvl w:ilvl="0">
      <w:lvlJc w:val="left"/>
      <w:lvlText w:val="▪"/>
      <w:numFmt w:val="bullet"/>
      <w:start w:val="1"/>
    </w:lvl>
  </w:abstractNum>
  <w:abstractNum w:abstractNumId="183">
    <w:nsid w:val="64429599"/>
    <w:multiLevelType w:val="hybridMultilevel"/>
    <w:lvl w:ilvl="0">
      <w:lvlJc w:val="left"/>
      <w:lvlText w:val="▪"/>
      <w:numFmt w:val="bullet"/>
      <w:start w:val="1"/>
    </w:lvl>
  </w:abstractNum>
  <w:abstractNum w:abstractNumId="184">
    <w:nsid w:val="631F1690"/>
    <w:multiLevelType w:val="hybridMultilevel"/>
    <w:lvl w:ilvl="0">
      <w:lvlJc w:val="left"/>
      <w:lvlText w:val="▪"/>
      <w:numFmt w:val="bullet"/>
      <w:start w:val="1"/>
    </w:lvl>
  </w:abstractNum>
  <w:abstractNum w:abstractNumId="185">
    <w:nsid w:val="25973E32"/>
    <w:multiLevelType w:val="hybridMultilevel"/>
    <w:lvl w:ilvl="0">
      <w:lvlJc w:val="left"/>
      <w:lvlText w:val="▪"/>
      <w:numFmt w:val="bullet"/>
      <w:start w:val="1"/>
    </w:lvl>
  </w:abstractNum>
  <w:abstractNum w:abstractNumId="186">
    <w:nsid w:val="EAD6F57"/>
    <w:multiLevelType w:val="hybridMultilevel"/>
    <w:lvl w:ilvl="0">
      <w:lvlJc w:val="left"/>
      <w:lvlText w:val="▪"/>
      <w:numFmt w:val="bullet"/>
      <w:start w:val="1"/>
    </w:lvl>
    <w:lvl w:ilvl="1">
      <w:lvlJc w:val="left"/>
      <w:lvlText w:val="o"/>
      <w:numFmt w:val="bullet"/>
      <w:start w:val="1"/>
    </w:lvl>
  </w:abstractNum>
  <w:abstractNum w:abstractNumId="187">
    <w:nsid w:val="6EC9D844"/>
    <w:multiLevelType w:val="hybridMultilevel"/>
    <w:lvl w:ilvl="0">
      <w:lvlJc w:val="left"/>
      <w:lvlText w:val="▪"/>
      <w:numFmt w:val="bullet"/>
      <w:start w:val="1"/>
    </w:lvl>
  </w:abstractNum>
  <w:abstractNum w:abstractNumId="188">
    <w:nsid w:val="5C49EAEE"/>
    <w:multiLevelType w:val="hybridMultilevel"/>
    <w:lvl w:ilvl="0">
      <w:lvlJc w:val="left"/>
      <w:lvlText w:val="1"/>
      <w:numFmt w:val="bullet"/>
      <w:start w:val="1"/>
    </w:lvl>
  </w:abstractNum>
  <w:abstractNum w:abstractNumId="189">
    <w:nsid w:val="64AF49B"/>
    <w:multiLevelType w:val="hybridMultilevel"/>
    <w:lvl w:ilvl="0">
      <w:lvlJc w:val="left"/>
      <w:lvlText w:val="2"/>
      <w:numFmt w:val="bullet"/>
      <w:start w:val="1"/>
    </w:lvl>
  </w:abstractNum>
  <w:abstractNum w:abstractNumId="190">
    <w:nsid w:val="397C46BC"/>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2021-08-04T08:10:40Z</dcterms:created>
  <dcterms:modified xsi:type="dcterms:W3CDTF">2021-08-04T08:10:40Z</dcterms:modified>
</cp:coreProperties>
</file>