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20,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540" w:val="left"/>
        </w:tabs>
        <w:rPr>
          <w:sz w:val="20"/>
          <w:szCs w:val="20"/>
          <w:color w:val="auto"/>
        </w:rPr>
      </w:pPr>
      <w:r>
        <w:rPr>
          <w:rFonts w:ascii="Arial" w:cs="Arial" w:eastAsia="Arial" w:hAnsi="Arial"/>
          <w:sz w:val="18"/>
          <w:szCs w:val="18"/>
          <w:color w:val="auto"/>
        </w:rPr>
        <w:t>Attn:</w:t>
        <w:tab/>
        <w:t>Suzanne Hayes</w:t>
      </w:r>
    </w:p>
    <w:p>
      <w:pPr>
        <w:spacing w:after="0" w:line="24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AC Immune SA</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333-211714</w:t>
      </w:r>
    </w:p>
    <w:p>
      <w:pPr>
        <w:spacing w:after="0" w:line="20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920"/>
        <w:spacing w:after="0"/>
        <w:tabs>
          <w:tab w:leader="none" w:pos="2340" w:val="left"/>
        </w:tabs>
        <w:rPr>
          <w:sz w:val="20"/>
          <w:szCs w:val="20"/>
          <w:color w:val="auto"/>
        </w:rPr>
      </w:pPr>
      <w:r>
        <w:rPr>
          <w:rFonts w:ascii="Arial" w:cs="Arial" w:eastAsia="Arial" w:hAnsi="Arial"/>
          <w:sz w:val="18"/>
          <w:szCs w:val="18"/>
          <w:b w:val="1"/>
          <w:bCs w:val="1"/>
          <w:color w:val="auto"/>
        </w:rPr>
        <w:t>Requested Date:</w:t>
      </w:r>
      <w:r>
        <w:rPr>
          <w:sz w:val="20"/>
          <w:szCs w:val="20"/>
          <w:color w:val="auto"/>
        </w:rPr>
        <w:tab/>
      </w:r>
      <w:r>
        <w:rPr>
          <w:rFonts w:ascii="Arial" w:cs="Arial" w:eastAsia="Arial" w:hAnsi="Arial"/>
          <w:sz w:val="16"/>
          <w:szCs w:val="16"/>
          <w:b w:val="1"/>
          <w:bCs w:val="1"/>
          <w:color w:val="auto"/>
        </w:rPr>
        <w:t>Thursday, September 22, 2016</w:t>
      </w:r>
    </w:p>
    <w:p>
      <w:pPr>
        <w:spacing w:after="0" w:line="9" w:lineRule="exact"/>
        <w:rPr>
          <w:sz w:val="24"/>
          <w:szCs w:val="24"/>
          <w:color w:val="auto"/>
        </w:rPr>
      </w:pPr>
    </w:p>
    <w:p>
      <w:pPr>
        <w:ind w:left="920"/>
        <w:spacing w:after="0"/>
        <w:tabs>
          <w:tab w:leader="none" w:pos="2380" w:val="left"/>
        </w:tabs>
        <w:rPr>
          <w:sz w:val="20"/>
          <w:szCs w:val="20"/>
          <w:color w:val="auto"/>
        </w:rPr>
      </w:pPr>
      <w:r>
        <w:rPr>
          <w:rFonts w:ascii="Arial" w:cs="Arial" w:eastAsia="Arial" w:hAnsi="Arial"/>
          <w:sz w:val="18"/>
          <w:szCs w:val="18"/>
          <w:b w:val="1"/>
          <w:bCs w:val="1"/>
          <w:color w:val="auto"/>
        </w:rPr>
        <w:t>Requested Time:</w:t>
      </w:r>
      <w:r>
        <w:rPr>
          <w:sz w:val="20"/>
          <w:szCs w:val="20"/>
          <w:color w:val="auto"/>
        </w:rPr>
        <w:tab/>
      </w:r>
      <w:r>
        <w:rPr>
          <w:rFonts w:ascii="Arial" w:cs="Arial" w:eastAsia="Arial" w:hAnsi="Arial"/>
          <w:sz w:val="16"/>
          <w:szCs w:val="16"/>
          <w:b w:val="1"/>
          <w:bCs w:val="1"/>
          <w:color w:val="auto"/>
        </w:rPr>
        <w:t>4:30 p.m., Eastern Daylight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920"/>
        <w:spacing w:after="0"/>
        <w:rPr>
          <w:sz w:val="20"/>
          <w:szCs w:val="20"/>
          <w:color w:val="auto"/>
        </w:rPr>
      </w:pPr>
      <w:r>
        <w:rPr>
          <w:rFonts w:ascii="Arial" w:cs="Arial" w:eastAsia="Arial" w:hAnsi="Arial"/>
          <w:sz w:val="17"/>
          <w:szCs w:val="17"/>
          <w:color w:val="auto"/>
        </w:rPr>
        <w:t>In accordance with Rule 461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Credit Suisse (USA) LLC, Jefferies LLC and Leerink</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Partners LLC, as representatives of the several underwriters, hereby join AC Immune SA in requesting that the Securities and Exchange Commission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take appropriate action to cause the Registration Statement on Form F-1 (File No. 333-211714) to become effective on September 22, 2016,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at 4:30 p.m., Eastern Daylight Time, or as soon as practicable thereafter.</w:t>
      </w:r>
    </w:p>
    <w:p>
      <w:pPr>
        <w:spacing w:after="0" w:line="211" w:lineRule="exact"/>
        <w:rPr>
          <w:sz w:val="24"/>
          <w:szCs w:val="24"/>
          <w:color w:val="auto"/>
        </w:rPr>
      </w:pPr>
    </w:p>
    <w:p>
      <w:pPr>
        <w:jc w:val="both"/>
        <w:ind w:firstLine="913"/>
        <w:spacing w:after="0" w:line="264" w:lineRule="auto"/>
        <w:rPr>
          <w:sz w:val="20"/>
          <w:szCs w:val="20"/>
          <w:color w:val="auto"/>
        </w:rPr>
      </w:pPr>
      <w:r>
        <w:rPr>
          <w:rFonts w:ascii="Arial" w:cs="Arial" w:eastAsia="Arial" w:hAnsi="Arial"/>
          <w:sz w:val="18"/>
          <w:szCs w:val="18"/>
          <w:color w:val="auto"/>
        </w:rPr>
        <w:t>Additionally, pursuant to Rule 460 of the Act, we hereby advise you that approximately 1,971 copies of Preliminary Prospectus, dated September 16, 2016, were distributed by us, as representatives of the several underwriters, from September 16, 2016 through the date hereof to underwriters, institutions, dealers and others.</w:t>
      </w:r>
    </w:p>
    <w:p>
      <w:pPr>
        <w:spacing w:after="0" w:line="181" w:lineRule="exact"/>
        <w:rPr>
          <w:sz w:val="24"/>
          <w:szCs w:val="24"/>
          <w:color w:val="auto"/>
        </w:rPr>
      </w:pPr>
    </w:p>
    <w:p>
      <w:pPr>
        <w:ind w:right="40" w:firstLine="913"/>
        <w:spacing w:after="0" w:line="277" w:lineRule="auto"/>
        <w:rPr>
          <w:sz w:val="20"/>
          <w:szCs w:val="20"/>
          <w:color w:val="auto"/>
        </w:rPr>
      </w:pPr>
      <w:r>
        <w:rPr>
          <w:rFonts w:ascii="Arial" w:cs="Arial" w:eastAsia="Arial" w:hAnsi="Arial"/>
          <w:sz w:val="18"/>
          <w:szCs w:val="18"/>
          <w:color w:val="auto"/>
        </w:rPr>
        <w:t>We will comply, and have been informed by the participating underwriters that they will comply, with the requirements of Rule 15c2-8 under the Securities Exchange Act of 1934, as amended, to the extent applicable.</w:t>
      </w:r>
    </w:p>
    <w:p>
      <w:pPr>
        <w:sectPr>
          <w:pgSz w:w="11900" w:h="16838" w:orient="portrait"/>
          <w:cols w:equalWidth="0" w:num="1">
            <w:col w:w="11400"/>
          </w:cols>
          <w:pgMar w:left="240" w:top="233" w:right="259" w:bottom="1440" w:gutter="0" w:footer="0" w:header="0"/>
        </w:sectPr>
      </w:pPr>
    </w:p>
    <w:bookmarkStart w:id="1" w:name="page2"/>
    <w:bookmarkEnd w:id="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3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CREDIT SUISSE (USA) LLC</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Kolz</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John Kolz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JEFFERIES LLC</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Ashley Delp Walker</w:t>
      </w:r>
    </w:p>
    <w:p>
      <w:pPr>
        <w:spacing w:after="0" w:line="23"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Name: Ashley Delp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LEERINK PARTNERS LLC</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I. Fitzgerald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John I.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251" w:lineRule="exact"/>
        <w:rPr>
          <w:sz w:val="20"/>
          <w:szCs w:val="20"/>
          <w:color w:val="auto"/>
        </w:rPr>
      </w:pPr>
    </w:p>
    <w:p>
      <w:pPr>
        <w:ind w:left="460" w:right="6179" w:hanging="452"/>
        <w:spacing w:after="0" w:line="256" w:lineRule="auto"/>
        <w:tabs>
          <w:tab w:leader="none" w:pos="449" w:val="left"/>
        </w:tabs>
        <w:numPr>
          <w:ilvl w:val="0"/>
          <w:numId w:val="1"/>
        </w:numPr>
        <w:rPr>
          <w:rFonts w:ascii="Arial" w:cs="Arial" w:eastAsia="Arial" w:hAnsi="Arial"/>
          <w:sz w:val="18"/>
          <w:szCs w:val="18"/>
          <w:color w:val="auto"/>
        </w:rPr>
      </w:pPr>
      <w:r>
        <w:rPr>
          <w:rFonts w:ascii="Arial" w:cs="Arial" w:eastAsia="Arial" w:hAnsi="Arial"/>
          <w:sz w:val="18"/>
          <w:szCs w:val="18"/>
          <w:color w:val="auto"/>
        </w:rPr>
        <w:t>Mitchell S. Bloom, Esq., Goodwin Procter LLP Arthur R. McGivern, Esq., Goodwin Procter LLP George Pavey, AC Immune AG</w:t>
      </w:r>
    </w:p>
    <w:p>
      <w:pPr>
        <w:ind w:left="460" w:right="5659"/>
        <w:spacing w:after="0" w:line="323" w:lineRule="auto"/>
        <w:rPr>
          <w:rFonts w:ascii="Arial" w:cs="Arial" w:eastAsia="Arial" w:hAnsi="Arial"/>
          <w:sz w:val="18"/>
          <w:szCs w:val="18"/>
          <w:color w:val="auto"/>
        </w:rPr>
      </w:pPr>
      <w:r>
        <w:rPr>
          <w:rFonts w:ascii="Arial" w:cs="Arial" w:eastAsia="Arial" w:hAnsi="Arial"/>
          <w:sz w:val="16"/>
          <w:szCs w:val="16"/>
          <w:color w:val="auto"/>
        </w:rPr>
        <w:t>Richard D. Truesdell, Esq., Davis Polk &amp; Wardwell LLP Derek J. Dostal, Esq., Davis Polk &amp; Wardwell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2019-12-09T04:19:07Z</dcterms:created>
  <dcterms:modified xsi:type="dcterms:W3CDTF">2019-12-09T04:19:07Z</dcterms:modified>
</cp:coreProperties>
</file>