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5, 2019</w:t>
      </w:r>
    </w:p>
    <w:p>
      <w:pPr>
        <w:spacing w:after="0" w:line="27" w:lineRule="exact"/>
        <w:rPr>
          <w:sz w:val="24"/>
          <w:szCs w:val="24"/>
          <w:color w:val="auto"/>
        </w:rPr>
      </w:pPr>
    </w:p>
    <w:p>
      <w:pPr>
        <w:ind w:left="9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8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302"/>
        </w:trPr>
        <w:tc>
          <w:tcPr>
            <w:tcW w:w="8240" w:type="dxa"/>
            <w:vAlign w:val="bottom"/>
          </w:tcPr>
          <w:p>
            <w:pPr>
              <w:jc w:val="center"/>
              <w:ind w:left="1808"/>
              <w:spacing w:after="0"/>
              <w:rPr>
                <w:sz w:val="20"/>
                <w:szCs w:val="20"/>
                <w:color w:val="auto"/>
              </w:rPr>
            </w:pPr>
            <w:r>
              <w:rPr>
                <w:rFonts w:ascii="Arial" w:cs="Arial" w:eastAsia="Arial" w:hAnsi="Arial"/>
                <w:sz w:val="25"/>
                <w:szCs w:val="25"/>
                <w:b w:val="1"/>
                <w:bCs w:val="1"/>
                <w:color w:val="auto"/>
                <w:w w:val="98"/>
              </w:rPr>
              <w:t>FORM S-8</w:t>
            </w:r>
          </w:p>
        </w:tc>
        <w:tc>
          <w:tcPr>
            <w:tcW w:w="1500" w:type="dxa"/>
            <w:vAlign w:val="bottom"/>
          </w:tcPr>
          <w:p>
            <w:pPr>
              <w:spacing w:after="0"/>
              <w:rPr>
                <w:sz w:val="24"/>
                <w:szCs w:val="24"/>
                <w:color w:val="auto"/>
              </w:rPr>
            </w:pPr>
          </w:p>
        </w:tc>
      </w:tr>
      <w:tr>
        <w:trPr>
          <w:trHeight w:val="216"/>
        </w:trPr>
        <w:tc>
          <w:tcPr>
            <w:tcW w:w="8240" w:type="dxa"/>
            <w:vAlign w:val="bottom"/>
          </w:tcPr>
          <w:p>
            <w:pPr>
              <w:jc w:val="center"/>
              <w:ind w:left="1808"/>
              <w:spacing w:after="0"/>
              <w:rPr>
                <w:sz w:val="20"/>
                <w:szCs w:val="20"/>
                <w:color w:val="auto"/>
              </w:rPr>
            </w:pPr>
            <w:r>
              <w:rPr>
                <w:rFonts w:ascii="Arial" w:cs="Arial" w:eastAsia="Arial" w:hAnsi="Arial"/>
                <w:sz w:val="18"/>
                <w:szCs w:val="18"/>
                <w:b w:val="1"/>
                <w:bCs w:val="1"/>
                <w:color w:val="auto"/>
              </w:rPr>
              <w:t>REGISTRATION STATEMENT</w:t>
            </w:r>
          </w:p>
        </w:tc>
        <w:tc>
          <w:tcPr>
            <w:tcW w:w="1500" w:type="dxa"/>
            <w:vAlign w:val="bottom"/>
          </w:tcPr>
          <w:p>
            <w:pPr>
              <w:spacing w:after="0"/>
              <w:rPr>
                <w:sz w:val="18"/>
                <w:szCs w:val="18"/>
                <w:color w:val="auto"/>
              </w:rPr>
            </w:pPr>
          </w:p>
        </w:tc>
      </w:tr>
      <w:tr>
        <w:trPr>
          <w:trHeight w:val="220"/>
        </w:trPr>
        <w:tc>
          <w:tcPr>
            <w:tcW w:w="8240" w:type="dxa"/>
            <w:vAlign w:val="bottom"/>
          </w:tcPr>
          <w:p>
            <w:pPr>
              <w:jc w:val="center"/>
              <w:ind w:left="1828"/>
              <w:spacing w:after="0"/>
              <w:rPr>
                <w:sz w:val="20"/>
                <w:szCs w:val="20"/>
                <w:color w:val="auto"/>
              </w:rPr>
            </w:pPr>
            <w:r>
              <w:rPr>
                <w:rFonts w:ascii="Arial" w:cs="Arial" w:eastAsia="Arial" w:hAnsi="Arial"/>
                <w:sz w:val="18"/>
                <w:szCs w:val="18"/>
                <w:b w:val="1"/>
                <w:bCs w:val="1"/>
                <w:color w:val="auto"/>
                <w:w w:val="99"/>
              </w:rPr>
              <w:t>UNDER THE SECURITIES ACT OF 1933</w:t>
            </w:r>
          </w:p>
        </w:tc>
        <w:tc>
          <w:tcPr>
            <w:tcW w:w="1500" w:type="dxa"/>
            <w:vAlign w:val="bottom"/>
          </w:tcPr>
          <w:p>
            <w:pPr>
              <w:spacing w:after="0"/>
              <w:rPr>
                <w:sz w:val="19"/>
                <w:szCs w:val="19"/>
                <w:color w:val="auto"/>
              </w:rPr>
            </w:pPr>
          </w:p>
        </w:tc>
      </w:tr>
      <w:tr>
        <w:trPr>
          <w:trHeight w:val="230"/>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89"/>
              </w:rPr>
              <w:t>____________________</w:t>
            </w:r>
          </w:p>
        </w:tc>
        <w:tc>
          <w:tcPr>
            <w:tcW w:w="1500" w:type="dxa"/>
            <w:vAlign w:val="bottom"/>
          </w:tcPr>
          <w:p>
            <w:pPr>
              <w:spacing w:after="0"/>
              <w:rPr>
                <w:sz w:val="20"/>
                <w:szCs w:val="20"/>
                <w:color w:val="auto"/>
              </w:rPr>
            </w:pPr>
          </w:p>
        </w:tc>
      </w:tr>
      <w:tr>
        <w:trPr>
          <w:trHeight w:val="495"/>
        </w:trPr>
        <w:tc>
          <w:tcPr>
            <w:tcW w:w="8240" w:type="dxa"/>
            <w:vAlign w:val="bottom"/>
          </w:tcPr>
          <w:p>
            <w:pPr>
              <w:jc w:val="center"/>
              <w:ind w:left="1828"/>
              <w:spacing w:after="0"/>
              <w:rPr>
                <w:sz w:val="20"/>
                <w:szCs w:val="20"/>
                <w:color w:val="auto"/>
              </w:rPr>
            </w:pPr>
            <w:r>
              <w:rPr>
                <w:rFonts w:ascii="Arial" w:cs="Arial" w:eastAsia="Arial" w:hAnsi="Arial"/>
                <w:sz w:val="25"/>
                <w:szCs w:val="25"/>
                <w:b w:val="1"/>
                <w:bCs w:val="1"/>
                <w:color w:val="auto"/>
              </w:rPr>
              <w:t>AC IMMUNE SA</w:t>
            </w:r>
          </w:p>
        </w:tc>
        <w:tc>
          <w:tcPr>
            <w:tcW w:w="1500" w:type="dxa"/>
            <w:vAlign w:val="bottom"/>
          </w:tcPr>
          <w:p>
            <w:pPr>
              <w:spacing w:after="0"/>
              <w:rPr>
                <w:sz w:val="24"/>
                <w:szCs w:val="24"/>
                <w:color w:val="auto"/>
              </w:rPr>
            </w:pPr>
          </w:p>
        </w:tc>
      </w:tr>
      <w:tr>
        <w:trPr>
          <w:trHeight w:val="234"/>
        </w:trPr>
        <w:tc>
          <w:tcPr>
            <w:tcW w:w="8240" w:type="dxa"/>
            <w:vAlign w:val="bottom"/>
          </w:tcPr>
          <w:p>
            <w:pPr>
              <w:jc w:val="center"/>
              <w:ind w:left="180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500" w:type="dxa"/>
            <w:vAlign w:val="bottom"/>
          </w:tcPr>
          <w:p>
            <w:pPr>
              <w:spacing w:after="0"/>
              <w:rPr>
                <w:sz w:val="20"/>
                <w:szCs w:val="20"/>
                <w:color w:val="auto"/>
              </w:rPr>
            </w:pPr>
          </w:p>
        </w:tc>
      </w:tr>
      <w:tr>
        <w:trPr>
          <w:trHeight w:val="418"/>
        </w:trPr>
        <w:tc>
          <w:tcPr>
            <w:tcW w:w="8240" w:type="dxa"/>
            <w:vAlign w:val="bottom"/>
          </w:tcPr>
          <w:p>
            <w:pPr>
              <w:jc w:val="center"/>
              <w:ind w:right="5988"/>
              <w:spacing w:after="0"/>
              <w:rPr>
                <w:sz w:val="20"/>
                <w:szCs w:val="20"/>
                <w:color w:val="auto"/>
              </w:rPr>
            </w:pPr>
            <w:r>
              <w:rPr>
                <w:rFonts w:ascii="Arial" w:cs="Arial" w:eastAsia="Arial" w:hAnsi="Arial"/>
                <w:sz w:val="18"/>
                <w:szCs w:val="18"/>
                <w:b w:val="1"/>
                <w:bCs w:val="1"/>
                <w:color w:val="auto"/>
                <w:w w:val="91"/>
              </w:rPr>
              <w:t>Switzerland</w:t>
            </w:r>
          </w:p>
        </w:tc>
        <w:tc>
          <w:tcPr>
            <w:tcW w:w="1500" w:type="dxa"/>
            <w:vAlign w:val="bottom"/>
          </w:tcPr>
          <w:p>
            <w:pPr>
              <w:jc w:val="center"/>
              <w:ind w:left="70"/>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8240" w:type="dxa"/>
            <w:vAlign w:val="bottom"/>
          </w:tcPr>
          <w:p>
            <w:pPr>
              <w:jc w:val="center"/>
              <w:ind w:right="6028"/>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12"/>
        </w:trPr>
        <w:tc>
          <w:tcPr>
            <w:tcW w:w="8240" w:type="dxa"/>
            <w:vAlign w:val="bottom"/>
          </w:tcPr>
          <w:p>
            <w:pPr>
              <w:jc w:val="center"/>
              <w:ind w:right="5988"/>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8240" w:type="dxa"/>
            <w:vAlign w:val="bottom"/>
          </w:tcPr>
          <w:p>
            <w:pPr>
              <w:jc w:val="center"/>
              <w:ind w:left="1828"/>
              <w:spacing w:after="0"/>
              <w:rPr>
                <w:sz w:val="20"/>
                <w:szCs w:val="20"/>
                <w:color w:val="auto"/>
              </w:rPr>
            </w:pPr>
            <w:r>
              <w:rPr>
                <w:rFonts w:ascii="Arial" w:cs="Arial" w:eastAsia="Arial" w:hAnsi="Arial"/>
                <w:sz w:val="18"/>
                <w:szCs w:val="18"/>
                <w:b w:val="1"/>
                <w:bCs w:val="1"/>
                <w:color w:val="auto"/>
                <w:w w:val="94"/>
              </w:rPr>
              <w:t>EPFL Innovation Park</w:t>
            </w:r>
          </w:p>
        </w:tc>
        <w:tc>
          <w:tcPr>
            <w:tcW w:w="1500" w:type="dxa"/>
            <w:vAlign w:val="bottom"/>
          </w:tcPr>
          <w:p>
            <w:pPr>
              <w:spacing w:after="0"/>
              <w:rPr>
                <w:sz w:val="18"/>
                <w:szCs w:val="18"/>
                <w:color w:val="auto"/>
              </w:rPr>
            </w:pPr>
          </w:p>
        </w:tc>
      </w:tr>
      <w:tr>
        <w:trPr>
          <w:trHeight w:val="216"/>
        </w:trPr>
        <w:tc>
          <w:tcPr>
            <w:tcW w:w="8240" w:type="dxa"/>
            <w:vAlign w:val="bottom"/>
          </w:tcPr>
          <w:p>
            <w:pPr>
              <w:jc w:val="center"/>
              <w:ind w:left="1828"/>
              <w:spacing w:after="0"/>
              <w:rPr>
                <w:sz w:val="20"/>
                <w:szCs w:val="20"/>
                <w:color w:val="auto"/>
              </w:rPr>
            </w:pPr>
            <w:r>
              <w:rPr>
                <w:rFonts w:ascii="Arial" w:cs="Arial" w:eastAsia="Arial" w:hAnsi="Arial"/>
                <w:sz w:val="18"/>
                <w:szCs w:val="18"/>
                <w:b w:val="1"/>
                <w:bCs w:val="1"/>
                <w:color w:val="auto"/>
                <w:w w:val="93"/>
              </w:rPr>
              <w:t>Building B</w:t>
            </w:r>
          </w:p>
        </w:tc>
        <w:tc>
          <w:tcPr>
            <w:tcW w:w="1500" w:type="dxa"/>
            <w:vAlign w:val="bottom"/>
          </w:tcPr>
          <w:p>
            <w:pPr>
              <w:spacing w:after="0"/>
              <w:rPr>
                <w:sz w:val="18"/>
                <w:szCs w:val="18"/>
                <w:color w:val="auto"/>
              </w:rPr>
            </w:pPr>
          </w:p>
        </w:tc>
      </w:tr>
      <w:tr>
        <w:trPr>
          <w:trHeight w:val="220"/>
        </w:trPr>
        <w:tc>
          <w:tcPr>
            <w:tcW w:w="8240" w:type="dxa"/>
            <w:vAlign w:val="bottom"/>
          </w:tcPr>
          <w:p>
            <w:pPr>
              <w:jc w:val="center"/>
              <w:ind w:left="1828"/>
              <w:spacing w:after="0"/>
              <w:rPr>
                <w:sz w:val="20"/>
                <w:szCs w:val="20"/>
                <w:color w:val="auto"/>
              </w:rPr>
            </w:pPr>
            <w:r>
              <w:rPr>
                <w:rFonts w:ascii="Arial" w:cs="Arial" w:eastAsia="Arial" w:hAnsi="Arial"/>
                <w:sz w:val="18"/>
                <w:szCs w:val="18"/>
                <w:b w:val="1"/>
                <w:bCs w:val="1"/>
                <w:color w:val="auto"/>
                <w:w w:val="90"/>
              </w:rPr>
              <w:t>1015 Lausanne, Switzerland</w:t>
            </w:r>
          </w:p>
        </w:tc>
        <w:tc>
          <w:tcPr>
            <w:tcW w:w="1500" w:type="dxa"/>
            <w:vAlign w:val="bottom"/>
          </w:tcPr>
          <w:p>
            <w:pPr>
              <w:spacing w:after="0"/>
              <w:rPr>
                <w:sz w:val="19"/>
                <w:szCs w:val="19"/>
                <w:color w:val="auto"/>
              </w:rPr>
            </w:pPr>
          </w:p>
        </w:tc>
      </w:tr>
      <w:tr>
        <w:trPr>
          <w:trHeight w:val="216"/>
        </w:trPr>
        <w:tc>
          <w:tcPr>
            <w:tcW w:w="8240" w:type="dxa"/>
            <w:vAlign w:val="bottom"/>
          </w:tcPr>
          <w:p>
            <w:pPr>
              <w:jc w:val="center"/>
              <w:ind w:left="1808"/>
              <w:spacing w:after="0"/>
              <w:rPr>
                <w:sz w:val="20"/>
                <w:szCs w:val="20"/>
                <w:color w:val="auto"/>
              </w:rPr>
            </w:pPr>
            <w:r>
              <w:rPr>
                <w:rFonts w:ascii="Arial" w:cs="Arial" w:eastAsia="Arial" w:hAnsi="Arial"/>
                <w:sz w:val="18"/>
                <w:szCs w:val="18"/>
                <w:color w:val="auto"/>
                <w:w w:val="92"/>
              </w:rPr>
              <w:t>(Address including zip code of Principal Executive Offices)</w:t>
            </w:r>
          </w:p>
        </w:tc>
        <w:tc>
          <w:tcPr>
            <w:tcW w:w="1500" w:type="dxa"/>
            <w:vAlign w:val="bottom"/>
          </w:tcPr>
          <w:p>
            <w:pPr>
              <w:spacing w:after="0"/>
              <w:rPr>
                <w:sz w:val="18"/>
                <w:szCs w:val="18"/>
                <w:color w:val="auto"/>
              </w:rPr>
            </w:pPr>
          </w:p>
        </w:tc>
      </w:tr>
      <w:tr>
        <w:trPr>
          <w:trHeight w:val="230"/>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89"/>
              </w:rPr>
              <w:t>____________________</w:t>
            </w:r>
          </w:p>
        </w:tc>
        <w:tc>
          <w:tcPr>
            <w:tcW w:w="1500" w:type="dxa"/>
            <w:vAlign w:val="bottom"/>
          </w:tcPr>
          <w:p>
            <w:pPr>
              <w:spacing w:after="0"/>
              <w:rPr>
                <w:sz w:val="20"/>
                <w:szCs w:val="20"/>
                <w:color w:val="auto"/>
              </w:rPr>
            </w:pPr>
          </w:p>
        </w:tc>
      </w:tr>
      <w:tr>
        <w:trPr>
          <w:trHeight w:val="418"/>
        </w:trPr>
        <w:tc>
          <w:tcPr>
            <w:tcW w:w="8240" w:type="dxa"/>
            <w:vAlign w:val="bottom"/>
          </w:tcPr>
          <w:p>
            <w:pPr>
              <w:jc w:val="center"/>
              <w:ind w:left="1808"/>
              <w:spacing w:after="0"/>
              <w:rPr>
                <w:sz w:val="20"/>
                <w:szCs w:val="20"/>
                <w:color w:val="auto"/>
              </w:rPr>
            </w:pPr>
            <w:r>
              <w:rPr>
                <w:rFonts w:ascii="Arial" w:cs="Arial" w:eastAsia="Arial" w:hAnsi="Arial"/>
                <w:sz w:val="18"/>
                <w:szCs w:val="18"/>
                <w:b w:val="1"/>
                <w:bCs w:val="1"/>
                <w:color w:val="auto"/>
                <w:w w:val="91"/>
              </w:rPr>
              <w:t>Amended and Restated AC Immune SA 2016 Stock Option and Incentive Plan</w:t>
            </w:r>
          </w:p>
        </w:tc>
        <w:tc>
          <w:tcPr>
            <w:tcW w:w="1500" w:type="dxa"/>
            <w:vAlign w:val="bottom"/>
          </w:tcPr>
          <w:p>
            <w:pPr>
              <w:spacing w:after="0"/>
              <w:rPr>
                <w:sz w:val="24"/>
                <w:szCs w:val="24"/>
                <w:color w:val="auto"/>
              </w:rPr>
            </w:pPr>
          </w:p>
        </w:tc>
      </w:tr>
      <w:tr>
        <w:trPr>
          <w:trHeight w:val="216"/>
        </w:trPr>
        <w:tc>
          <w:tcPr>
            <w:tcW w:w="8240" w:type="dxa"/>
            <w:vAlign w:val="bottom"/>
          </w:tcPr>
          <w:p>
            <w:pPr>
              <w:ind w:left="4600"/>
              <w:spacing w:after="0"/>
              <w:rPr>
                <w:sz w:val="20"/>
                <w:szCs w:val="20"/>
                <w:color w:val="auto"/>
              </w:rPr>
            </w:pPr>
            <w:r>
              <w:rPr>
                <w:rFonts w:ascii="Arial" w:cs="Arial" w:eastAsia="Arial" w:hAnsi="Arial"/>
                <w:sz w:val="18"/>
                <w:szCs w:val="18"/>
                <w:color w:val="auto"/>
              </w:rPr>
              <w:t>(Full title of the plans)</w:t>
            </w:r>
          </w:p>
        </w:tc>
        <w:tc>
          <w:tcPr>
            <w:tcW w:w="1500" w:type="dxa"/>
            <w:vAlign w:val="bottom"/>
          </w:tcPr>
          <w:p>
            <w:pPr>
              <w:spacing w:after="0"/>
              <w:rPr>
                <w:sz w:val="18"/>
                <w:szCs w:val="18"/>
                <w:color w:val="auto"/>
              </w:rPr>
            </w:pPr>
          </w:p>
        </w:tc>
      </w:tr>
      <w:tr>
        <w:trPr>
          <w:trHeight w:val="230"/>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89"/>
              </w:rPr>
              <w:t>____________________</w:t>
            </w:r>
          </w:p>
        </w:tc>
        <w:tc>
          <w:tcPr>
            <w:tcW w:w="1500" w:type="dxa"/>
            <w:vAlign w:val="bottom"/>
          </w:tcPr>
          <w:p>
            <w:pPr>
              <w:spacing w:after="0"/>
              <w:rPr>
                <w:sz w:val="20"/>
                <w:szCs w:val="20"/>
                <w:color w:val="auto"/>
              </w:rPr>
            </w:pPr>
          </w:p>
        </w:tc>
      </w:tr>
      <w:tr>
        <w:trPr>
          <w:trHeight w:val="634"/>
        </w:trPr>
        <w:tc>
          <w:tcPr>
            <w:tcW w:w="8240" w:type="dxa"/>
            <w:vAlign w:val="bottom"/>
          </w:tcPr>
          <w:p>
            <w:pPr>
              <w:jc w:val="center"/>
              <w:ind w:left="1768"/>
              <w:spacing w:after="0"/>
              <w:rPr>
                <w:sz w:val="20"/>
                <w:szCs w:val="20"/>
                <w:color w:val="auto"/>
              </w:rPr>
            </w:pPr>
            <w:r>
              <w:rPr>
                <w:rFonts w:ascii="Arial" w:cs="Arial" w:eastAsia="Arial" w:hAnsi="Arial"/>
                <w:sz w:val="18"/>
                <w:szCs w:val="18"/>
                <w:b w:val="1"/>
                <w:bCs w:val="1"/>
                <w:color w:val="auto"/>
                <w:w w:val="91"/>
              </w:rPr>
              <w:t>Cogency Global Inc.</w:t>
            </w:r>
          </w:p>
        </w:tc>
        <w:tc>
          <w:tcPr>
            <w:tcW w:w="1500" w:type="dxa"/>
            <w:vAlign w:val="bottom"/>
          </w:tcPr>
          <w:p>
            <w:pPr>
              <w:spacing w:after="0"/>
              <w:rPr>
                <w:sz w:val="24"/>
                <w:szCs w:val="24"/>
                <w:color w:val="auto"/>
              </w:rPr>
            </w:pPr>
          </w:p>
        </w:tc>
      </w:tr>
      <w:tr>
        <w:trPr>
          <w:trHeight w:val="253"/>
        </w:trPr>
        <w:tc>
          <w:tcPr>
            <w:tcW w:w="8240" w:type="dxa"/>
            <w:vAlign w:val="bottom"/>
          </w:tcPr>
          <w:p>
            <w:pPr>
              <w:jc w:val="center"/>
              <w:ind w:left="1808"/>
              <w:spacing w:after="0" w:line="253" w:lineRule="exact"/>
              <w:rPr>
                <w:sz w:val="20"/>
                <w:szCs w:val="20"/>
                <w:color w:val="auto"/>
              </w:rPr>
            </w:pPr>
            <w:r>
              <w:rPr>
                <w:rFonts w:ascii="Arial" w:cs="Arial" w:eastAsia="Arial" w:hAnsi="Arial"/>
                <w:sz w:val="18"/>
                <w:szCs w:val="18"/>
                <w:b w:val="1"/>
                <w:bCs w:val="1"/>
                <w:color w:val="auto"/>
                <w:w w:val="88"/>
              </w:rPr>
              <w:t>10 East 40</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Street, 10</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1500" w:type="dxa"/>
            <w:vAlign w:val="bottom"/>
          </w:tcPr>
          <w:p>
            <w:pPr>
              <w:spacing w:after="0"/>
              <w:rPr>
                <w:sz w:val="21"/>
                <w:szCs w:val="21"/>
                <w:color w:val="auto"/>
              </w:rPr>
            </w:pPr>
          </w:p>
        </w:tc>
      </w:tr>
      <w:tr>
        <w:trPr>
          <w:trHeight w:val="220"/>
        </w:trPr>
        <w:tc>
          <w:tcPr>
            <w:tcW w:w="8240" w:type="dxa"/>
            <w:vAlign w:val="bottom"/>
          </w:tcPr>
          <w:p>
            <w:pPr>
              <w:jc w:val="center"/>
              <w:ind w:left="1828"/>
              <w:spacing w:after="0"/>
              <w:rPr>
                <w:sz w:val="20"/>
                <w:szCs w:val="20"/>
                <w:color w:val="auto"/>
              </w:rPr>
            </w:pPr>
            <w:r>
              <w:rPr>
                <w:rFonts w:ascii="Arial" w:cs="Arial" w:eastAsia="Arial" w:hAnsi="Arial"/>
                <w:sz w:val="18"/>
                <w:szCs w:val="18"/>
                <w:b w:val="1"/>
                <w:bCs w:val="1"/>
                <w:color w:val="auto"/>
                <w:w w:val="92"/>
              </w:rPr>
              <w:t>New York, New York 10016, USA</w:t>
            </w:r>
          </w:p>
        </w:tc>
        <w:tc>
          <w:tcPr>
            <w:tcW w:w="1500" w:type="dxa"/>
            <w:vAlign w:val="bottom"/>
          </w:tcPr>
          <w:p>
            <w:pPr>
              <w:spacing w:after="0"/>
              <w:rPr>
                <w:sz w:val="19"/>
                <w:szCs w:val="19"/>
                <w:color w:val="auto"/>
              </w:rPr>
            </w:pPr>
          </w:p>
        </w:tc>
      </w:tr>
      <w:tr>
        <w:trPr>
          <w:trHeight w:val="230"/>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89"/>
              </w:rPr>
              <w:t>(Name and address of agent for service)</w:t>
            </w:r>
          </w:p>
        </w:tc>
        <w:tc>
          <w:tcPr>
            <w:tcW w:w="1500" w:type="dxa"/>
            <w:vAlign w:val="bottom"/>
          </w:tcPr>
          <w:p>
            <w:pPr>
              <w:spacing w:after="0"/>
              <w:rPr>
                <w:sz w:val="20"/>
                <w:szCs w:val="20"/>
                <w:color w:val="auto"/>
              </w:rPr>
            </w:pPr>
          </w:p>
        </w:tc>
      </w:tr>
      <w:tr>
        <w:trPr>
          <w:trHeight w:val="418"/>
        </w:trPr>
        <w:tc>
          <w:tcPr>
            <w:tcW w:w="8240" w:type="dxa"/>
            <w:vAlign w:val="bottom"/>
          </w:tcPr>
          <w:p>
            <w:pPr>
              <w:jc w:val="center"/>
              <w:ind w:left="1828"/>
              <w:spacing w:after="0"/>
              <w:rPr>
                <w:sz w:val="20"/>
                <w:szCs w:val="20"/>
                <w:color w:val="auto"/>
              </w:rPr>
            </w:pPr>
            <w:r>
              <w:rPr>
                <w:rFonts w:ascii="Arial" w:cs="Arial" w:eastAsia="Arial" w:hAnsi="Arial"/>
                <w:sz w:val="18"/>
                <w:szCs w:val="18"/>
                <w:b w:val="1"/>
                <w:bCs w:val="1"/>
                <w:color w:val="auto"/>
                <w:w w:val="90"/>
              </w:rPr>
              <w:t>(800) 221-0102</w:t>
            </w:r>
          </w:p>
        </w:tc>
        <w:tc>
          <w:tcPr>
            <w:tcW w:w="1500" w:type="dxa"/>
            <w:vAlign w:val="bottom"/>
          </w:tcPr>
          <w:p>
            <w:pPr>
              <w:spacing w:after="0"/>
              <w:rPr>
                <w:sz w:val="24"/>
                <w:szCs w:val="24"/>
                <w:color w:val="auto"/>
              </w:rPr>
            </w:pPr>
          </w:p>
        </w:tc>
      </w:tr>
      <w:tr>
        <w:trPr>
          <w:trHeight w:val="216"/>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1500" w:type="dxa"/>
            <w:vAlign w:val="bottom"/>
          </w:tcPr>
          <w:p>
            <w:pPr>
              <w:spacing w:after="0"/>
              <w:rPr>
                <w:sz w:val="18"/>
                <w:szCs w:val="18"/>
                <w:color w:val="auto"/>
              </w:rPr>
            </w:pPr>
          </w:p>
        </w:tc>
      </w:tr>
      <w:tr>
        <w:trPr>
          <w:trHeight w:val="230"/>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89"/>
              </w:rPr>
              <w:t>____________________</w:t>
            </w:r>
          </w:p>
        </w:tc>
        <w:tc>
          <w:tcPr>
            <w:tcW w:w="1500" w:type="dxa"/>
            <w:vAlign w:val="bottom"/>
          </w:tcPr>
          <w:p>
            <w:pPr>
              <w:spacing w:after="0"/>
              <w:rPr>
                <w:sz w:val="20"/>
                <w:szCs w:val="20"/>
                <w:color w:val="auto"/>
              </w:rPr>
            </w:pPr>
          </w:p>
        </w:tc>
      </w:tr>
      <w:tr>
        <w:trPr>
          <w:trHeight w:val="418"/>
        </w:trPr>
        <w:tc>
          <w:tcPr>
            <w:tcW w:w="8240" w:type="dxa"/>
            <w:vAlign w:val="bottom"/>
          </w:tcPr>
          <w:p>
            <w:pPr>
              <w:jc w:val="center"/>
              <w:ind w:left="1828"/>
              <w:spacing w:after="0"/>
              <w:rPr>
                <w:sz w:val="20"/>
                <w:szCs w:val="20"/>
                <w:color w:val="auto"/>
              </w:rPr>
            </w:pPr>
            <w:r>
              <w:rPr>
                <w:rFonts w:ascii="Arial" w:cs="Arial" w:eastAsia="Arial" w:hAnsi="Arial"/>
                <w:sz w:val="18"/>
                <w:szCs w:val="18"/>
                <w:b w:val="1"/>
                <w:bCs w:val="1"/>
                <w:color w:val="auto"/>
                <w:w w:val="87"/>
              </w:rPr>
              <w:t>Copies to</w:t>
            </w:r>
            <w:r>
              <w:rPr>
                <w:rFonts w:ascii="Arial" w:cs="Arial" w:eastAsia="Arial" w:hAnsi="Arial"/>
                <w:sz w:val="18"/>
                <w:szCs w:val="18"/>
                <w:color w:val="auto"/>
                <w:w w:val="87"/>
              </w:rPr>
              <w:t>:</w:t>
            </w:r>
          </w:p>
        </w:tc>
        <w:tc>
          <w:tcPr>
            <w:tcW w:w="1500" w:type="dxa"/>
            <w:vAlign w:val="bottom"/>
          </w:tcPr>
          <w:p>
            <w:pPr>
              <w:spacing w:after="0"/>
              <w:rPr>
                <w:sz w:val="24"/>
                <w:szCs w:val="24"/>
                <w:color w:val="auto"/>
              </w:rPr>
            </w:pPr>
          </w:p>
        </w:tc>
      </w:tr>
      <w:tr>
        <w:trPr>
          <w:trHeight w:val="216"/>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90"/>
              </w:rPr>
              <w:t>Derek J. Dostal</w:t>
            </w:r>
          </w:p>
        </w:tc>
        <w:tc>
          <w:tcPr>
            <w:tcW w:w="1500" w:type="dxa"/>
            <w:vAlign w:val="bottom"/>
          </w:tcPr>
          <w:p>
            <w:pPr>
              <w:spacing w:after="0"/>
              <w:rPr>
                <w:sz w:val="18"/>
                <w:szCs w:val="18"/>
                <w:color w:val="auto"/>
              </w:rPr>
            </w:pPr>
          </w:p>
        </w:tc>
      </w:tr>
      <w:tr>
        <w:trPr>
          <w:trHeight w:val="216"/>
        </w:trPr>
        <w:tc>
          <w:tcPr>
            <w:tcW w:w="8240" w:type="dxa"/>
            <w:vAlign w:val="bottom"/>
          </w:tcPr>
          <w:p>
            <w:pPr>
              <w:jc w:val="center"/>
              <w:ind w:left="1868"/>
              <w:spacing w:after="0"/>
              <w:rPr>
                <w:sz w:val="20"/>
                <w:szCs w:val="20"/>
                <w:color w:val="auto"/>
              </w:rPr>
            </w:pPr>
            <w:r>
              <w:rPr>
                <w:rFonts w:ascii="Arial" w:cs="Arial" w:eastAsia="Arial" w:hAnsi="Arial"/>
                <w:sz w:val="18"/>
                <w:szCs w:val="18"/>
                <w:color w:val="auto"/>
                <w:w w:val="90"/>
              </w:rPr>
              <w:t>Richard D. Truesdell, Jr.</w:t>
            </w:r>
          </w:p>
        </w:tc>
        <w:tc>
          <w:tcPr>
            <w:tcW w:w="1500" w:type="dxa"/>
            <w:vAlign w:val="bottom"/>
          </w:tcPr>
          <w:p>
            <w:pPr>
              <w:spacing w:after="0"/>
              <w:rPr>
                <w:sz w:val="18"/>
                <w:szCs w:val="18"/>
                <w:color w:val="auto"/>
              </w:rPr>
            </w:pPr>
          </w:p>
        </w:tc>
      </w:tr>
      <w:tr>
        <w:trPr>
          <w:trHeight w:val="216"/>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95"/>
              </w:rPr>
              <w:t>Davis Polk &amp; Wardwell LLP</w:t>
            </w:r>
          </w:p>
        </w:tc>
        <w:tc>
          <w:tcPr>
            <w:tcW w:w="1500" w:type="dxa"/>
            <w:vAlign w:val="bottom"/>
          </w:tcPr>
          <w:p>
            <w:pPr>
              <w:spacing w:after="0"/>
              <w:rPr>
                <w:sz w:val="18"/>
                <w:szCs w:val="18"/>
                <w:color w:val="auto"/>
              </w:rPr>
            </w:pPr>
          </w:p>
        </w:tc>
      </w:tr>
      <w:tr>
        <w:trPr>
          <w:trHeight w:val="216"/>
        </w:trPr>
        <w:tc>
          <w:tcPr>
            <w:tcW w:w="8240" w:type="dxa"/>
            <w:vAlign w:val="bottom"/>
          </w:tcPr>
          <w:p>
            <w:pPr>
              <w:jc w:val="center"/>
              <w:ind w:left="1868"/>
              <w:spacing w:after="0"/>
              <w:rPr>
                <w:sz w:val="20"/>
                <w:szCs w:val="20"/>
                <w:color w:val="auto"/>
              </w:rPr>
            </w:pPr>
            <w:r>
              <w:rPr>
                <w:rFonts w:ascii="Arial" w:cs="Arial" w:eastAsia="Arial" w:hAnsi="Arial"/>
                <w:sz w:val="18"/>
                <w:szCs w:val="18"/>
                <w:color w:val="auto"/>
                <w:w w:val="91"/>
              </w:rPr>
              <w:t>450 Lexington Avenue</w:t>
            </w:r>
          </w:p>
        </w:tc>
        <w:tc>
          <w:tcPr>
            <w:tcW w:w="1500" w:type="dxa"/>
            <w:vAlign w:val="bottom"/>
          </w:tcPr>
          <w:p>
            <w:pPr>
              <w:spacing w:after="0"/>
              <w:rPr>
                <w:sz w:val="18"/>
                <w:szCs w:val="18"/>
                <w:color w:val="auto"/>
              </w:rPr>
            </w:pPr>
          </w:p>
        </w:tc>
      </w:tr>
      <w:tr>
        <w:trPr>
          <w:trHeight w:val="230"/>
        </w:trPr>
        <w:tc>
          <w:tcPr>
            <w:tcW w:w="8240" w:type="dxa"/>
            <w:vAlign w:val="bottom"/>
          </w:tcPr>
          <w:p>
            <w:pPr>
              <w:jc w:val="center"/>
              <w:ind w:left="1828"/>
              <w:spacing w:after="0"/>
              <w:rPr>
                <w:sz w:val="20"/>
                <w:szCs w:val="20"/>
                <w:color w:val="auto"/>
              </w:rPr>
            </w:pPr>
            <w:r>
              <w:rPr>
                <w:rFonts w:ascii="Arial" w:cs="Arial" w:eastAsia="Arial" w:hAnsi="Arial"/>
                <w:sz w:val="18"/>
                <w:szCs w:val="18"/>
                <w:color w:val="auto"/>
                <w:w w:val="95"/>
              </w:rPr>
              <w:t>New York, NY 10017</w:t>
            </w:r>
          </w:p>
        </w:tc>
        <w:tc>
          <w:tcPr>
            <w:tcW w:w="15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Pr>
          <w:p>
            <w:pPr>
              <w:spacing w:after="0" w:line="242"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21"/>
                <w:szCs w:val="21"/>
                <w:color w:val="auto"/>
              </w:rPr>
              <w:t>☐</w:t>
            </w:r>
          </w:p>
        </w:tc>
        <w:tc>
          <w:tcPr>
            <w:tcW w:w="3240" w:type="dxa"/>
            <w:vAlign w:val="bottom"/>
          </w:tcPr>
          <w:p>
            <w:pPr>
              <w:ind w:left="880"/>
              <w:spacing w:after="0" w:line="242" w:lineRule="exact"/>
              <w:rPr>
                <w:sz w:val="20"/>
                <w:szCs w:val="20"/>
                <w:color w:val="auto"/>
              </w:rPr>
            </w:pPr>
            <w:r>
              <w:rPr>
                <w:rFonts w:ascii="Arial" w:cs="Arial" w:eastAsia="Arial" w:hAnsi="Arial"/>
                <w:sz w:val="18"/>
                <w:szCs w:val="18"/>
                <w:b w:val="1"/>
                <w:bCs w:val="1"/>
                <w:color w:val="auto"/>
              </w:rPr>
              <w:t xml:space="preserve">Accelerated filer </w:t>
            </w:r>
            <w:r>
              <w:rPr>
                <w:rFonts w:ascii="MS PGothic" w:cs="MS PGothic" w:eastAsia="MS PGothic" w:hAnsi="MS PGothic"/>
                <w:sz w:val="21"/>
                <w:szCs w:val="21"/>
                <w:color w:val="auto"/>
              </w:rPr>
              <w:t>☒</w:t>
            </w:r>
          </w:p>
        </w:tc>
      </w:tr>
      <w:tr>
        <w:trPr>
          <w:trHeight w:val="257"/>
        </w:trPr>
        <w:tc>
          <w:tcPr>
            <w:tcW w:w="6320" w:type="dxa"/>
            <w:vAlign w:val="bottom"/>
          </w:tcPr>
          <w:p>
            <w:pPr>
              <w:spacing w:after="0" w:line="242" w:lineRule="exact"/>
              <w:rPr>
                <w:sz w:val="20"/>
                <w:szCs w:val="20"/>
                <w:color w:val="auto"/>
              </w:rPr>
            </w:pPr>
            <w:r>
              <w:rPr>
                <w:rFonts w:ascii="Arial" w:cs="Arial" w:eastAsia="Arial" w:hAnsi="Arial"/>
                <w:sz w:val="18"/>
                <w:szCs w:val="18"/>
                <w:b w:val="1"/>
                <w:bCs w:val="1"/>
                <w:color w:val="auto"/>
              </w:rPr>
              <w:t xml:space="preserve">Non-accelerated filer </w:t>
            </w:r>
            <w:r>
              <w:rPr>
                <w:rFonts w:ascii="MS PGothic" w:cs="MS PGothic" w:eastAsia="MS PGothic" w:hAnsi="MS PGothic"/>
                <w:sz w:val="21"/>
                <w:szCs w:val="21"/>
                <w:color w:val="auto"/>
              </w:rPr>
              <w:t>☐</w:t>
            </w:r>
            <w:r>
              <w:rPr>
                <w:rFonts w:ascii="Arial" w:cs="Arial" w:eastAsia="Arial" w:hAnsi="Arial"/>
                <w:sz w:val="18"/>
                <w:szCs w:val="18"/>
                <w:b w:val="1"/>
                <w:bCs w:val="1"/>
                <w:color w:val="auto"/>
              </w:rPr>
              <w:t xml:space="preserve"> (Do not check if a smaller reporting company)</w:t>
            </w:r>
          </w:p>
        </w:tc>
        <w:tc>
          <w:tcPr>
            <w:tcW w:w="3240" w:type="dxa"/>
            <w:vAlign w:val="bottom"/>
          </w:tcPr>
          <w:p>
            <w:pPr>
              <w:ind w:left="880"/>
              <w:spacing w:after="0" w:line="242" w:lineRule="exact"/>
              <w:rPr>
                <w:sz w:val="20"/>
                <w:szCs w:val="20"/>
                <w:color w:val="auto"/>
              </w:rPr>
            </w:pPr>
            <w:r>
              <w:rPr>
                <w:rFonts w:ascii="Arial" w:cs="Arial" w:eastAsia="Arial" w:hAnsi="Arial"/>
                <w:sz w:val="18"/>
                <w:szCs w:val="18"/>
                <w:b w:val="1"/>
                <w:bCs w:val="1"/>
                <w:color w:val="auto"/>
                <w:w w:val="90"/>
              </w:rPr>
              <w:t xml:space="preserve">Smaller reporting company </w:t>
            </w:r>
            <w:r>
              <w:rPr>
                <w:rFonts w:ascii="MS PGothic" w:cs="MS PGothic" w:eastAsia="MS PGothic" w:hAnsi="MS PGothic"/>
                <w:sz w:val="21"/>
                <w:szCs w:val="21"/>
                <w:color w:val="auto"/>
                <w:w w:val="90"/>
              </w:rPr>
              <w:t>☐</w:t>
            </w:r>
          </w:p>
        </w:tc>
      </w:tr>
      <w:tr>
        <w:trPr>
          <w:trHeight w:val="339"/>
        </w:trPr>
        <w:tc>
          <w:tcPr>
            <w:tcW w:w="6320" w:type="dxa"/>
            <w:vAlign w:val="bottom"/>
          </w:tcPr>
          <w:p>
            <w:pPr>
              <w:spacing w:after="0"/>
              <w:rPr>
                <w:sz w:val="24"/>
                <w:szCs w:val="24"/>
                <w:color w:val="auto"/>
              </w:rPr>
            </w:pPr>
          </w:p>
        </w:tc>
        <w:tc>
          <w:tcPr>
            <w:tcW w:w="3240" w:type="dxa"/>
            <w:vAlign w:val="bottom"/>
          </w:tcPr>
          <w:p>
            <w:pPr>
              <w:ind w:left="880"/>
              <w:spacing w:after="0" w:line="242" w:lineRule="exact"/>
              <w:rPr>
                <w:sz w:val="20"/>
                <w:szCs w:val="20"/>
                <w:color w:val="auto"/>
              </w:rPr>
            </w:pPr>
            <w:r>
              <w:rPr>
                <w:rFonts w:ascii="Arial" w:cs="Arial" w:eastAsia="Arial" w:hAnsi="Arial"/>
                <w:sz w:val="18"/>
                <w:szCs w:val="18"/>
                <w:b w:val="1"/>
                <w:bCs w:val="1"/>
                <w:color w:val="auto"/>
                <w:w w:val="90"/>
              </w:rPr>
              <w:t xml:space="preserve">Emerging growth company </w:t>
            </w:r>
            <w:r>
              <w:rPr>
                <w:rFonts w:ascii="MS PGothic" w:cs="MS PGothic" w:eastAsia="MS PGothic" w:hAnsi="MS PGothic"/>
                <w:sz w:val="21"/>
                <w:szCs w:val="21"/>
                <w:color w:val="auto"/>
                <w:w w:val="90"/>
              </w:rPr>
              <w:t>☒</w:t>
            </w:r>
          </w:p>
        </w:tc>
      </w:tr>
    </w:tbl>
    <w:p>
      <w:pPr>
        <w:spacing w:after="0" w:line="164" w:lineRule="exact"/>
        <w:rPr>
          <w:sz w:val="24"/>
          <w:szCs w:val="24"/>
          <w:color w:val="auto"/>
        </w:rPr>
      </w:pPr>
    </w:p>
    <w:p>
      <w:pPr>
        <w:ind w:right="300"/>
        <w:spacing w:after="0" w:line="263" w:lineRule="exact"/>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0"/>
          <w:szCs w:val="20"/>
          <w:color w:val="auto"/>
        </w:rPr>
        <w:t>☐</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58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2"/>
              </w:rPr>
              <w:t>Offering Price</w:t>
            </w:r>
          </w:p>
        </w:tc>
        <w:tc>
          <w:tcPr>
            <w:tcW w:w="20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3"/>
              </w:rPr>
              <w:t>Maximum Aggregate</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Title of Securities to be Registered</w:t>
            </w:r>
          </w:p>
        </w:tc>
        <w:tc>
          <w:tcPr>
            <w:tcW w:w="162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30"/>
                <w:szCs w:val="30"/>
                <w:b w:val="1"/>
                <w:bCs w:val="1"/>
                <w:color w:val="auto"/>
                <w:w w:val="85"/>
                <w:vertAlign w:val="superscript"/>
              </w:rPr>
              <w:t>(1)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4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Registration Fee</w:t>
            </w:r>
            <w:r>
              <w:rPr>
                <w:rFonts w:ascii="Arial" w:cs="Arial" w:eastAsia="Arial" w:hAnsi="Arial"/>
                <w:sz w:val="30"/>
                <w:szCs w:val="30"/>
                <w:b w:val="1"/>
                <w:bCs w:val="1"/>
                <w:color w:val="auto"/>
                <w:w w:val="86"/>
                <w:vertAlign w:val="superscript"/>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Shares, par value CHF 0.02 each, reserved for</w:t>
            </w:r>
          </w:p>
        </w:tc>
        <w:tc>
          <w:tcPr>
            <w:tcW w:w="16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 xml:space="preserve">$5.55 </w:t>
            </w:r>
            <w:r>
              <w:rPr>
                <w:rFonts w:ascii="Arial" w:cs="Arial" w:eastAsia="Arial" w:hAnsi="Arial"/>
                <w:sz w:val="30"/>
                <w:szCs w:val="30"/>
                <w:color w:val="auto"/>
                <w:w w:val="83"/>
                <w:vertAlign w:val="superscript"/>
              </w:rPr>
              <w:t>(2)</w:t>
            </w:r>
          </w:p>
        </w:tc>
        <w:tc>
          <w:tcPr>
            <w:tcW w:w="20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issuance pursuant to the Amended and Restated AC Immune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1,353,495</w:t>
            </w:r>
          </w:p>
        </w:tc>
        <w:tc>
          <w:tcPr>
            <w:tcW w:w="170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$7,511,897.25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$910.44</w:t>
            </w: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SA 2016 Stock Option and Incentive Plan</w:t>
            </w:r>
          </w:p>
        </w:tc>
        <w:tc>
          <w:tcPr>
            <w:tcW w:w="16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340" w:right="80" w:hanging="332"/>
        <w:spacing w:after="0" w:line="26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on Form S-8 (this “Registration Statement”) covers common shares of CHF 0.02 each par value (“Common Shares”), of AC Immune SA (the “Registrant”) issuable pursuant to the Amended and Restated AC Immune SA 2016 Stock Option and Incentive Plan (the “Plan”). Pursuant to Rule 416(a) under the Securities Act of 1933, as amended (the “Securities Act”), this Registration Statement shall also cover any additional Common Shares that become issuable under the Plan by reason of any share dividend, share split or other similar transaction.</w:t>
      </w:r>
    </w:p>
    <w:p>
      <w:pPr>
        <w:spacing w:after="0" w:line="2" w:lineRule="exact"/>
        <w:rPr>
          <w:rFonts w:ascii="Arial" w:cs="Arial" w:eastAsia="Arial" w:hAnsi="Arial"/>
          <w:sz w:val="17"/>
          <w:szCs w:val="17"/>
          <w:color w:val="auto"/>
        </w:rPr>
      </w:pPr>
    </w:p>
    <w:p>
      <w:pPr>
        <w:ind w:left="340" w:right="1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(h) under the Securities Act on the basis of the high and low prices reported for a Common Share on the NASDAQ Global Market on July 29, 2019.</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000"/>
        <w:spacing w:after="0"/>
        <w:rPr>
          <w:sz w:val="20"/>
          <w:szCs w:val="20"/>
          <w:color w:val="auto"/>
        </w:rPr>
      </w:pPr>
      <w:r>
        <w:rPr>
          <w:rFonts w:ascii="Arial" w:cs="Arial" w:eastAsia="Arial" w:hAnsi="Arial"/>
          <w:sz w:val="18"/>
          <w:szCs w:val="18"/>
          <w:b w:val="1"/>
          <w:bCs w:val="1"/>
          <w:color w:val="auto"/>
        </w:rPr>
        <w:t>REGISTRATION OF ADDITIONAL SECURITIES PURSUANT TO GENERAL INSTRUCTION E</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 xml:space="preserve">Pursuant to General Instruction E to Form S-8, the Registrant is filing this Registration Statement on Form S-8 with the U.S. Securities and Exchange Commission (the “Commission”) to register additional Common Shares issuable under the Plan. This Registration Statement hereby incorporates by reference the contents of the Registrant’s registration statement on Form S-8 filed with the Commission on March 8, 2017 (Registration No. </w:t>
      </w:r>
      <w:r>
        <w:rPr>
          <w:rFonts w:ascii="Arial" w:cs="Arial" w:eastAsia="Arial" w:hAnsi="Arial"/>
          <w:sz w:val="16"/>
          <w:szCs w:val="16"/>
          <w:b w:val="1"/>
          <w:bCs w:val="1"/>
          <w:color w:val="auto"/>
        </w:rPr>
        <w:t>333-216539).</w:t>
      </w:r>
    </w:p>
    <w:p>
      <w:pPr>
        <w:spacing w:after="0" w:line="14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160" w:right="360" w:hanging="739"/>
        <w:spacing w:after="0" w:line="277" w:lineRule="auto"/>
        <w:tabs>
          <w:tab w:leader="none" w:pos="1140" w:val="left"/>
        </w:tabs>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14">
        <w:r>
          <w:rPr>
            <w:rFonts w:ascii="Arial" w:cs="Arial" w:eastAsia="Arial" w:hAnsi="Arial"/>
            <w:sz w:val="18"/>
            <w:szCs w:val="18"/>
            <w:u w:val="single" w:color="auto"/>
            <w:color w:val="0000EE"/>
          </w:rPr>
          <w:t>AC Immune SA Articles of Association (incorporated herein by reference to the Exhibit 3.1 to the Registrant’s Report on Form 6-K, filed</w:t>
        </w:r>
      </w:hyperlink>
      <w:r>
        <w:rPr>
          <w:rFonts w:ascii="Arial" w:cs="Arial" w:eastAsia="Arial" w:hAnsi="Arial"/>
          <w:sz w:val="18"/>
          <w:szCs w:val="18"/>
          <w:u w:val="single" w:color="auto"/>
          <w:color w:val="0000EE"/>
        </w:rPr>
        <w:t xml:space="preserve"> </w:t>
      </w:r>
      <w:hyperlink r:id="rId14">
        <w:r>
          <w:rPr>
            <w:rFonts w:ascii="Arial" w:cs="Arial" w:eastAsia="Arial" w:hAnsi="Arial"/>
            <w:sz w:val="18"/>
            <w:szCs w:val="18"/>
            <w:u w:val="single" w:color="auto"/>
            <w:color w:val="0000EE"/>
          </w:rPr>
          <w:t>with the Commission on August 8, 2018)</w:t>
        </w:r>
      </w:hyperlink>
    </w:p>
    <w:p>
      <w:pPr>
        <w:spacing w:after="0" w:line="170" w:lineRule="exact"/>
        <w:rPr>
          <w:rFonts w:ascii="Arial" w:cs="Arial" w:eastAsia="Arial" w:hAnsi="Arial"/>
          <w:sz w:val="18"/>
          <w:szCs w:val="18"/>
          <w:u w:val="single" w:color="auto"/>
          <w:color w:val="0000EE"/>
        </w:rPr>
      </w:pPr>
    </w:p>
    <w:p>
      <w:pPr>
        <w:ind w:left="420"/>
        <w:spacing w:after="0"/>
        <w:tabs>
          <w:tab w:leader="none" w:pos="1140" w:val="left"/>
        </w:tabs>
        <w:rPr>
          <w:rFonts w:ascii="Arial" w:cs="Arial" w:eastAsia="Arial" w:hAnsi="Arial"/>
          <w:sz w:val="16"/>
          <w:szCs w:val="16"/>
          <w:u w:val="single" w:color="auto"/>
          <w:color w:val="0000EE"/>
        </w:rPr>
      </w:pPr>
      <w:hyperlink r:id="rId15">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15">
        <w:r>
          <w:rPr>
            <w:rFonts w:ascii="Arial" w:cs="Arial" w:eastAsia="Arial" w:hAnsi="Arial"/>
            <w:sz w:val="16"/>
            <w:szCs w:val="16"/>
            <w:u w:val="single" w:color="auto"/>
            <w:color w:val="0000EE"/>
          </w:rPr>
          <w:t>Registration Rights Agreement (incorporated by reference to Exhibit 4.1 to the Registrant’s Registration Statement on Form F-1 (File No.</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333-211714), filed with the Commission on May 31, 2016)</w:t>
        </w:r>
      </w:hyperlink>
    </w:p>
    <w:p>
      <w:pPr>
        <w:spacing w:after="0" w:line="211" w:lineRule="exact"/>
        <w:rPr>
          <w:sz w:val="20"/>
          <w:szCs w:val="20"/>
          <w:color w:val="auto"/>
        </w:rPr>
      </w:pPr>
    </w:p>
    <w:p>
      <w:pPr>
        <w:ind w:left="1160" w:hanging="677"/>
        <w:spacing w:after="0"/>
        <w:tabs>
          <w:tab w:leader="none" w:pos="1160"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Opinion of Vischer AG, Swiss counsel of AC Immune SA, as to the validity of the common shares (filed herewith)</w:t>
      </w:r>
    </w:p>
    <w:p>
      <w:pPr>
        <w:spacing w:after="0" w:line="225" w:lineRule="exact"/>
        <w:rPr>
          <w:rFonts w:ascii="Arial" w:cs="Arial" w:eastAsia="Arial" w:hAnsi="Arial"/>
          <w:sz w:val="18"/>
          <w:szCs w:val="18"/>
          <w:u w:val="single" w:color="auto"/>
          <w:color w:val="0000EE"/>
        </w:rPr>
      </w:pPr>
    </w:p>
    <w:p>
      <w:pPr>
        <w:ind w:left="38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t>23.1</w:t>
      </w:r>
      <w:r>
        <w:rPr>
          <w:rFonts w:ascii="Arial" w:cs="Arial" w:eastAsia="Arial" w:hAnsi="Arial"/>
          <w:sz w:val="16"/>
          <w:szCs w:val="16"/>
          <w:u w:val="single" w:color="auto"/>
          <w:color w:val="0000EE"/>
        </w:rPr>
        <w:t>Consent of Vischer AG, counsel of AC Immune SA (included in Exhibit 5)</w:t>
      </w:r>
    </w:p>
    <w:p>
      <w:pPr>
        <w:spacing w:after="0" w:line="225" w:lineRule="exact"/>
        <w:rPr>
          <w:rFonts w:ascii="Arial" w:cs="Arial" w:eastAsia="Arial" w:hAnsi="Arial"/>
          <w:sz w:val="18"/>
          <w:szCs w:val="18"/>
          <w:u w:val="single" w:color="auto"/>
          <w:color w:val="0000EE"/>
        </w:rPr>
      </w:pPr>
    </w:p>
    <w:p>
      <w:pPr>
        <w:ind w:left="38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t>23.2</w:t>
      </w:r>
      <w:r>
        <w:rPr>
          <w:rFonts w:ascii="Arial" w:cs="Arial" w:eastAsia="Arial" w:hAnsi="Arial"/>
          <w:sz w:val="16"/>
          <w:szCs w:val="16"/>
          <w:u w:val="single" w:color="auto"/>
          <w:color w:val="0000EE"/>
        </w:rPr>
        <w:t>Consent of PricewaterhouseCoopers SA, independent registered public accounting firm (filed herewith)</w:t>
      </w:r>
    </w:p>
    <w:p>
      <w:pPr>
        <w:spacing w:after="0" w:line="225" w:lineRule="exact"/>
        <w:rPr>
          <w:rFonts w:ascii="Arial" w:cs="Arial" w:eastAsia="Arial" w:hAnsi="Arial"/>
          <w:sz w:val="18"/>
          <w:szCs w:val="18"/>
          <w:u w:val="single" w:color="auto"/>
          <w:color w:val="0000EE"/>
        </w:rPr>
      </w:pPr>
    </w:p>
    <w:p>
      <w:pPr>
        <w:ind w:left="38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t>23.3</w:t>
      </w:r>
      <w:r>
        <w:rPr>
          <w:rFonts w:ascii="Arial" w:cs="Arial" w:eastAsia="Arial" w:hAnsi="Arial"/>
          <w:sz w:val="16"/>
          <w:szCs w:val="16"/>
          <w:u w:val="single" w:color="auto"/>
          <w:color w:val="0000EE"/>
        </w:rPr>
        <w:t>Consent of Ernst &amp; Young AG, independent registered public accounting firm (filed herewith)</w:t>
      </w:r>
    </w:p>
    <w:p>
      <w:pPr>
        <w:spacing w:after="0" w:line="225" w:lineRule="exact"/>
        <w:rPr>
          <w:rFonts w:ascii="Arial" w:cs="Arial" w:eastAsia="Arial" w:hAnsi="Arial"/>
          <w:sz w:val="18"/>
          <w:szCs w:val="18"/>
          <w:u w:val="single" w:color="auto"/>
          <w:color w:val="0000EE"/>
        </w:rPr>
      </w:pPr>
    </w:p>
    <w:p>
      <w:pPr>
        <w:ind w:left="440"/>
        <w:spacing w:after="0"/>
        <w:rPr>
          <w:rFonts w:ascii="Arial" w:cs="Arial" w:eastAsia="Arial" w:hAnsi="Arial"/>
          <w:sz w:val="16"/>
          <w:szCs w:val="16"/>
          <w:u w:val="single" w:color="auto"/>
          <w:color w:val="0000EE"/>
        </w:rPr>
      </w:pPr>
      <w:r>
        <w:rPr>
          <w:rFonts w:ascii="Arial" w:cs="Arial" w:eastAsia="Arial" w:hAnsi="Arial"/>
          <w:sz w:val="18"/>
          <w:szCs w:val="18"/>
          <w:u w:val="single" w:color="auto"/>
          <w:color w:val="0000EE"/>
        </w:rPr>
        <w:t>24</w:t>
      </w:r>
      <w:hyperlink w:anchor="page5">
        <w:r>
          <w:rPr>
            <w:rFonts w:ascii="Arial" w:cs="Arial" w:eastAsia="Arial" w:hAnsi="Arial"/>
            <w:sz w:val="16"/>
            <w:szCs w:val="16"/>
            <w:u w:val="single" w:color="auto"/>
            <w:color w:val="0000EE"/>
          </w:rPr>
          <w:t>Powers of Attorney (included in the signature pages hereto)</w:t>
        </w:r>
      </w:hyperlink>
    </w:p>
    <w:p>
      <w:pPr>
        <w:spacing w:after="0" w:line="225" w:lineRule="exact"/>
        <w:rPr>
          <w:rFonts w:ascii="Arial" w:cs="Arial" w:eastAsia="Arial" w:hAnsi="Arial"/>
          <w:sz w:val="16"/>
          <w:szCs w:val="16"/>
          <w:u w:val="single" w:color="auto"/>
          <w:color w:val="0000EE"/>
        </w:rPr>
      </w:pPr>
    </w:p>
    <w:p>
      <w:pPr>
        <w:ind w:left="440"/>
        <w:spacing w:after="0"/>
        <w:rPr>
          <w:rFonts w:ascii="Arial" w:cs="Arial" w:eastAsia="Arial" w:hAnsi="Arial"/>
          <w:sz w:val="16"/>
          <w:szCs w:val="16"/>
          <w:u w:val="single" w:color="auto"/>
          <w:color w:val="0000EE"/>
        </w:rPr>
      </w:pPr>
      <w:r>
        <w:rPr>
          <w:rFonts w:ascii="Arial" w:cs="Arial" w:eastAsia="Arial" w:hAnsi="Arial"/>
          <w:sz w:val="18"/>
          <w:szCs w:val="18"/>
          <w:u w:val="single" w:color="auto"/>
          <w:color w:val="0000EE"/>
        </w:rPr>
        <w:t>99</w:t>
      </w:r>
      <w:r>
        <w:rPr>
          <w:rFonts w:ascii="Arial" w:cs="Arial" w:eastAsia="Arial" w:hAnsi="Arial"/>
          <w:sz w:val="16"/>
          <w:szCs w:val="16"/>
          <w:u w:val="single" w:color="auto"/>
          <w:color w:val="0000EE"/>
        </w:rPr>
        <w:t>Amended and Restated AC Immune SA 2016 Stock Option and Incentive Plan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this Registration Statement and has duly caused this Registration Statement to be signed on its behalf by the undersigned, thereunto duly authorized, in the City of Lausanne, Switzerland on this 5th day of August, 2019.</w:t>
      </w:r>
    </w:p>
    <w:p>
      <w:pPr>
        <w:spacing w:after="0" w:line="1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AC Immune SA</w:t>
      </w:r>
    </w:p>
    <w:p>
      <w:pPr>
        <w:spacing w:after="0" w:line="200" w:lineRule="exact"/>
        <w:rPr>
          <w:sz w:val="20"/>
          <w:szCs w:val="20"/>
          <w:color w:val="auto"/>
        </w:rPr>
      </w:pPr>
    </w:p>
    <w:p>
      <w:pPr>
        <w:spacing w:after="0" w:line="241"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40" w:type="dxa"/>
            <w:vAlign w:val="bottom"/>
          </w:tcPr>
          <w:p>
            <w:pPr>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40" w:type="dxa"/>
            <w:vAlign w:val="bottom"/>
          </w:tcPr>
          <w:p>
            <w:pPr>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Cogency Global Inc.</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(Authorized Representative in the United States)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ind w:left="628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Colleen A. DeVries</w:t>
            </w:r>
          </w:p>
        </w:tc>
      </w:tr>
      <w:tr>
        <w:trPr>
          <w:trHeight w:val="195"/>
        </w:trPr>
        <w:tc>
          <w:tcPr>
            <w:tcW w:w="6960" w:type="dxa"/>
            <w:vAlign w:val="bottom"/>
          </w:tcPr>
          <w:p>
            <w:pPr>
              <w:ind w:left="6280"/>
              <w:spacing w:after="0" w:line="195" w:lineRule="exact"/>
              <w:rPr>
                <w:sz w:val="20"/>
                <w:szCs w:val="20"/>
                <w:color w:val="auto"/>
              </w:rPr>
            </w:pPr>
            <w:r>
              <w:rPr>
                <w:rFonts w:ascii="Arial" w:cs="Arial" w:eastAsia="Arial" w:hAnsi="Arial"/>
                <w:sz w:val="18"/>
                <w:szCs w:val="18"/>
                <w:color w:val="auto"/>
              </w:rPr>
              <w:t>Name:</w:t>
            </w: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Colleen A. DeVries</w:t>
            </w:r>
          </w:p>
        </w:tc>
        <w:tc>
          <w:tcPr>
            <w:tcW w:w="1120" w:type="dxa"/>
            <w:vAlign w:val="bottom"/>
          </w:tcPr>
          <w:p>
            <w:pPr>
              <w:spacing w:after="0"/>
              <w:rPr>
                <w:sz w:val="16"/>
                <w:szCs w:val="16"/>
                <w:color w:val="auto"/>
              </w:rPr>
            </w:pPr>
          </w:p>
        </w:tc>
      </w:tr>
      <w:tr>
        <w:trPr>
          <w:trHeight w:val="230"/>
        </w:trPr>
        <w:tc>
          <w:tcPr>
            <w:tcW w:w="6960" w:type="dxa"/>
            <w:vAlign w:val="bottom"/>
          </w:tcPr>
          <w:p>
            <w:pPr>
              <w:ind w:left="6280"/>
              <w:spacing w:after="0"/>
              <w:rPr>
                <w:sz w:val="20"/>
                <w:szCs w:val="20"/>
                <w:color w:val="auto"/>
              </w:rPr>
            </w:pPr>
            <w:r>
              <w:rPr>
                <w:rFonts w:ascii="Arial" w:cs="Arial" w:eastAsia="Arial" w:hAnsi="Arial"/>
                <w:sz w:val="18"/>
                <w:szCs w:val="18"/>
                <w:color w:val="auto"/>
              </w:rPr>
              <w:t>Title:</w:t>
            </w:r>
          </w:p>
        </w:tc>
        <w:tc>
          <w:tcPr>
            <w:tcW w:w="4460" w:type="dxa"/>
            <w:vAlign w:val="bottom"/>
            <w:gridSpan w:val="2"/>
          </w:tcPr>
          <w:p>
            <w:pPr>
              <w:spacing w:after="0"/>
              <w:rPr>
                <w:sz w:val="20"/>
                <w:szCs w:val="20"/>
                <w:color w:val="auto"/>
              </w:rPr>
            </w:pPr>
            <w:r>
              <w:rPr>
                <w:rFonts w:ascii="Arial" w:cs="Arial" w:eastAsia="Arial" w:hAnsi="Arial"/>
                <w:sz w:val="18"/>
                <w:szCs w:val="18"/>
                <w:color w:val="auto"/>
              </w:rPr>
              <w:t>SVP on behalf of Cogency Global Inc.</w:t>
            </w:r>
          </w:p>
        </w:tc>
      </w:tr>
      <w:tr>
        <w:trPr>
          <w:trHeight w:val="810"/>
        </w:trPr>
        <w:tc>
          <w:tcPr>
            <w:tcW w:w="6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772"/>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Andrea Pfeifer and Joerg Hornstein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and to file the same, with all exhibits thereto, and all other documents in connection therewith, with the Commission, granting unto said attorneys-in-fact and agent full power and authority to do and perform each and every act in person, hereby ratifying and confirming all that said attorney-in-fact and agent or his substitutes may lawfully do or cause to be done by virtue hereof.</w:t>
      </w:r>
    </w:p>
    <w:p>
      <w:pPr>
        <w:spacing w:after="0" w:line="165" w:lineRule="exact"/>
        <w:rPr>
          <w:sz w:val="20"/>
          <w:szCs w:val="20"/>
          <w:color w:val="auto"/>
        </w:rPr>
      </w:pPr>
    </w:p>
    <w:p>
      <w:pPr>
        <w:ind w:firstLine="772"/>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380" w:type="dxa"/>
            <w:vAlign w:val="bottom"/>
          </w:tcPr>
          <w:p>
            <w:pPr>
              <w:spacing w:after="0"/>
              <w:rPr>
                <w:sz w:val="17"/>
                <w:szCs w:val="17"/>
                <w:color w:val="auto"/>
              </w:rPr>
            </w:pPr>
          </w:p>
        </w:tc>
        <w:tc>
          <w:tcPr>
            <w:tcW w:w="514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7"/>
              </w:rPr>
              <w:t>Title</w:t>
            </w:r>
          </w:p>
        </w:tc>
        <w:tc>
          <w:tcPr>
            <w:tcW w:w="1240" w:type="dxa"/>
            <w:vAlign w:val="bottom"/>
          </w:tcPr>
          <w:p>
            <w:pPr>
              <w:spacing w:after="0"/>
              <w:rPr>
                <w:sz w:val="17"/>
                <w:szCs w:val="17"/>
                <w:color w:val="auto"/>
              </w:rPr>
            </w:pPr>
          </w:p>
        </w:tc>
        <w:tc>
          <w:tcPr>
            <w:tcW w:w="15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Date</w:t>
            </w:r>
          </w:p>
        </w:tc>
      </w:tr>
      <w:tr>
        <w:trPr>
          <w:trHeight w:val="20"/>
        </w:trPr>
        <w:tc>
          <w:tcPr>
            <w:tcW w:w="1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Andrea Pfeifer</w:t>
            </w:r>
          </w:p>
        </w:tc>
        <w:tc>
          <w:tcPr>
            <w:tcW w:w="514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Chief Executive Officer, 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Andrea Pfeifer</w:t>
            </w:r>
          </w:p>
        </w:tc>
        <w:tc>
          <w:tcPr>
            <w:tcW w:w="514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34"/>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Joerg Hornstein</w:t>
            </w:r>
          </w:p>
        </w:tc>
        <w:tc>
          <w:tcPr>
            <w:tcW w:w="514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Chief Financial Officer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9"/>
              </w:rPr>
              <w:t>Joerg Hornstein</w:t>
            </w:r>
          </w:p>
        </w:tc>
        <w:tc>
          <w:tcPr>
            <w:tcW w:w="5140" w:type="dxa"/>
            <w:vAlign w:val="bottom"/>
            <w:gridSpan w:val="3"/>
          </w:tcPr>
          <w:p>
            <w:pPr>
              <w:ind w:left="1040"/>
              <w:spacing w:after="0"/>
              <w:rPr>
                <w:sz w:val="20"/>
                <w:szCs w:val="20"/>
                <w:color w:val="auto"/>
              </w:rPr>
            </w:pPr>
            <w:r>
              <w:rPr>
                <w:rFonts w:ascii="Arial" w:cs="Arial" w:eastAsia="Arial" w:hAnsi="Arial"/>
                <w:sz w:val="18"/>
                <w:szCs w:val="18"/>
                <w:color w:val="auto"/>
              </w:rPr>
              <w:t>(Principal Financial and Accounting Officer)</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34"/>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Douglas Williams</w:t>
            </w:r>
          </w:p>
        </w:tc>
        <w:tc>
          <w:tcPr>
            <w:tcW w:w="514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Chairman and 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4"/>
              </w:rPr>
              <w:t>Douglas Williams</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88"/>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Martin Velasco</w:t>
            </w:r>
          </w:p>
        </w:tc>
        <w:tc>
          <w:tcPr>
            <w:tcW w:w="514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Vice Chairman and 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Martin Velasco</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34"/>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Friedrich von Bohlem und Halbach</w:t>
            </w:r>
          </w:p>
        </w:tc>
        <w:tc>
          <w:tcPr>
            <w:tcW w:w="514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Friedrich von Bohlen und Halbach</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88"/>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Peter Bollman</w:t>
            </w:r>
          </w:p>
        </w:tc>
        <w:tc>
          <w:tcPr>
            <w:tcW w:w="514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Peter Bollman</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88"/>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Thomas Graney</w:t>
            </w:r>
          </w:p>
        </w:tc>
        <w:tc>
          <w:tcPr>
            <w:tcW w:w="514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9"/>
              </w:rPr>
              <w:t>Thomas Graney</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88"/>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Werner Lanthaler</w:t>
            </w:r>
          </w:p>
        </w:tc>
        <w:tc>
          <w:tcPr>
            <w:tcW w:w="514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Werner Lanthaler</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88"/>
        </w:trPr>
        <w:tc>
          <w:tcPr>
            <w:tcW w:w="3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Roy Twyman</w:t>
            </w:r>
          </w:p>
        </w:tc>
        <w:tc>
          <w:tcPr>
            <w:tcW w:w="514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2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August 5, 2019</w:t>
            </w:r>
          </w:p>
        </w:tc>
      </w:tr>
      <w:tr>
        <w:trPr>
          <w:trHeight w:val="224"/>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Roy Twyman</w:t>
            </w: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80"/>
        </w:trPr>
        <w:tc>
          <w:tcPr>
            <w:tcW w:w="1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VISCHER Ltd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Aeschenvorstadt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CH-4010 Basel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33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33 10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Zurich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Schützengasse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CH-8021 Zurich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34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34 10</w:t>
      </w:r>
    </w:p>
    <w:p>
      <w:pPr>
        <w:spacing w:after="0" w:line="163"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Exhibits 5 and 23.1</w:t>
      </w:r>
    </w:p>
    <w:p>
      <w:pPr>
        <w:spacing w:after="0" w:line="248" w:lineRule="exact"/>
        <w:rPr>
          <w:sz w:val="20"/>
          <w:szCs w:val="20"/>
          <w:color w:val="auto"/>
        </w:rPr>
      </w:pPr>
    </w:p>
    <w:p>
      <w:pPr>
        <w:ind w:left="10"/>
        <w:spacing w:after="0"/>
        <w:rPr>
          <w:sz w:val="20"/>
          <w:szCs w:val="20"/>
          <w:color w:val="auto"/>
        </w:rPr>
      </w:pPr>
      <w:r>
        <w:rPr>
          <w:rFonts w:ascii="Arial" w:cs="Arial" w:eastAsia="Arial" w:hAnsi="Arial"/>
          <w:sz w:val="14"/>
          <w:szCs w:val="14"/>
          <w:color w:val="auto"/>
        </w:rPr>
        <w:t>Registered</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AC Immune SA</w:t>
      </w:r>
    </w:p>
    <w:p>
      <w:pPr>
        <w:ind w:left="10"/>
        <w:spacing w:after="0" w:line="234" w:lineRule="auto"/>
        <w:rPr>
          <w:sz w:val="20"/>
          <w:szCs w:val="20"/>
          <w:color w:val="auto"/>
        </w:rPr>
      </w:pPr>
      <w:r>
        <w:rPr>
          <w:rFonts w:ascii="Arial" w:cs="Arial" w:eastAsia="Arial" w:hAnsi="Arial"/>
          <w:sz w:val="18"/>
          <w:szCs w:val="18"/>
          <w:color w:val="auto"/>
        </w:rPr>
        <w:t>EPFL Innovation Park</w:t>
      </w:r>
    </w:p>
    <w:p>
      <w:pPr>
        <w:ind w:left="10"/>
        <w:spacing w:after="0" w:line="235" w:lineRule="auto"/>
        <w:rPr>
          <w:sz w:val="20"/>
          <w:szCs w:val="20"/>
          <w:color w:val="auto"/>
        </w:rPr>
      </w:pPr>
      <w:r>
        <w:rPr>
          <w:rFonts w:ascii="Arial" w:cs="Arial" w:eastAsia="Arial" w:hAnsi="Arial"/>
          <w:sz w:val="18"/>
          <w:szCs w:val="18"/>
          <w:color w:val="auto"/>
        </w:rPr>
        <w:t>Building B</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8"/>
          <w:szCs w:val="18"/>
          <w:color w:val="auto"/>
        </w:rPr>
        <w:t>1015 Lausanne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Basel, 5 August 2019</w:t>
      </w:r>
    </w:p>
    <w:p>
      <w:pPr>
        <w:spacing w:after="0" w:line="37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AC Immune SA – Registration Statement on Form S-8</w:t>
      </w:r>
    </w:p>
    <w:p>
      <w:pPr>
        <w:spacing w:after="0" w:line="220" w:lineRule="exact"/>
        <w:rPr>
          <w:sz w:val="20"/>
          <w:szCs w:val="20"/>
          <w:color w:val="auto"/>
        </w:rPr>
      </w:pPr>
    </w:p>
    <w:p>
      <w:pPr>
        <w:ind w:left="10"/>
        <w:spacing w:after="0"/>
        <w:rPr>
          <w:sz w:val="20"/>
          <w:szCs w:val="20"/>
          <w:color w:val="auto"/>
        </w:rPr>
      </w:pPr>
      <w:r>
        <w:rPr>
          <w:rFonts w:ascii="Arial" w:cs="Arial" w:eastAsia="Arial" w:hAnsi="Arial"/>
          <w:sz w:val="18"/>
          <w:szCs w:val="18"/>
          <w:color w:val="auto"/>
        </w:rPr>
        <w:t>Dear Sir or Madam,</w:t>
      </w:r>
    </w:p>
    <w:p>
      <w:pPr>
        <w:spacing w:after="0" w:line="176" w:lineRule="exact"/>
        <w:rPr>
          <w:sz w:val="20"/>
          <w:szCs w:val="20"/>
          <w:color w:val="auto"/>
        </w:rPr>
      </w:pPr>
    </w:p>
    <w:p>
      <w:pPr>
        <w:jc w:val="both"/>
        <w:ind w:left="10"/>
        <w:spacing w:after="0" w:line="241" w:lineRule="auto"/>
        <w:rPr>
          <w:sz w:val="20"/>
          <w:szCs w:val="20"/>
          <w:color w:val="auto"/>
        </w:rPr>
      </w:pPr>
      <w:r>
        <w:rPr>
          <w:rFonts w:ascii="Arial" w:cs="Arial" w:eastAsia="Arial" w:hAnsi="Arial"/>
          <w:sz w:val="18"/>
          <w:szCs w:val="18"/>
          <w:color w:val="auto"/>
        </w:rPr>
        <w:t>This opinion is being rendered at the request of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S-8 filed with the U.S. Securities and Exchange Commission on 5 August 2019 (the "</w:t>
      </w:r>
      <w:r>
        <w:rPr>
          <w:rFonts w:ascii="Arial" w:cs="Arial" w:eastAsia="Arial" w:hAnsi="Arial"/>
          <w:sz w:val="18"/>
          <w:szCs w:val="18"/>
          <w:b w:val="1"/>
          <w:bCs w:val="1"/>
          <w:color w:val="auto"/>
        </w:rPr>
        <w:t>Form S-8</w:t>
      </w:r>
      <w:r>
        <w:rPr>
          <w:rFonts w:ascii="Arial" w:cs="Arial" w:eastAsia="Arial" w:hAnsi="Arial"/>
          <w:sz w:val="18"/>
          <w:szCs w:val="18"/>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common shares in the Company, each share currently having a par value of CHF 0.02 (the "</w:t>
      </w:r>
      <w:r>
        <w:rPr>
          <w:rFonts w:ascii="Arial" w:cs="Arial" w:eastAsia="Arial" w:hAnsi="Arial"/>
          <w:sz w:val="18"/>
          <w:szCs w:val="18"/>
          <w:b w:val="1"/>
          <w:bCs w:val="1"/>
          <w:color w:val="auto"/>
        </w:rPr>
        <w:t>Shares</w:t>
      </w:r>
      <w:r>
        <w:rPr>
          <w:rFonts w:ascii="Arial" w:cs="Arial" w:eastAsia="Arial" w:hAnsi="Arial"/>
          <w:sz w:val="18"/>
          <w:szCs w:val="18"/>
          <w:color w:val="auto"/>
        </w:rPr>
        <w:t>"), which may be issued from time to time under the Plan (as defined below). As such counsel, we have been requested to render an opinion as to certain matters of Swiss law.</w:t>
      </w:r>
    </w:p>
    <w:p>
      <w:pPr>
        <w:spacing w:after="0" w:line="188" w:lineRule="exact"/>
        <w:rPr>
          <w:sz w:val="20"/>
          <w:szCs w:val="20"/>
          <w:color w:val="auto"/>
        </w:rPr>
      </w:pPr>
    </w:p>
    <w:p>
      <w:pPr>
        <w:jc w:val="both"/>
        <w:ind w:left="10"/>
        <w:spacing w:after="0" w:line="246" w:lineRule="auto"/>
        <w:rPr>
          <w:sz w:val="20"/>
          <w:szCs w:val="20"/>
          <w:color w:val="auto"/>
        </w:rPr>
      </w:pPr>
      <w:r>
        <w:rPr>
          <w:rFonts w:ascii="Arial" w:cs="Arial" w:eastAsia="Arial" w:hAnsi="Arial"/>
          <w:sz w:val="18"/>
          <w:szCs w:val="18"/>
          <w:color w:val="auto"/>
        </w:rPr>
        <w:t>We understand that the Company is party to the AC Immune SA 2016 Stock Option and Incentive Plan, as amended and restated effective 28 June 2019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61" w:lineRule="exact"/>
        <w:rPr>
          <w:sz w:val="20"/>
          <w:szCs w:val="20"/>
          <w:color w:val="auto"/>
        </w:rPr>
      </w:pPr>
    </w:p>
    <w:p>
      <w:pPr>
        <w:ind w:left="750" w:hanging="750"/>
        <w:spacing w:after="0"/>
        <w:tabs>
          <w:tab w:leader="none" w:pos="75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220"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9" w:lineRule="exact"/>
        <w:rPr>
          <w:sz w:val="20"/>
          <w:szCs w:val="20"/>
          <w:color w:val="auto"/>
        </w:rPr>
      </w:pPr>
    </w:p>
    <w:p>
      <w:pPr>
        <w:jc w:val="both"/>
        <w:ind w:left="10"/>
        <w:spacing w:after="0" w:line="246"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339725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580" w:space="710"/>
            <w:col w:w="913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VISCHER</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the purpose of giving this opinion, we have only examined the following documents:</w:t>
      </w:r>
    </w:p>
    <w:p>
      <w:pPr>
        <w:spacing w:after="0" w:line="198" w:lineRule="exact"/>
        <w:rPr>
          <w:sz w:val="20"/>
          <w:szCs w:val="20"/>
          <w:color w:val="auto"/>
        </w:rPr>
      </w:pPr>
    </w:p>
    <w:p>
      <w:pPr>
        <w:ind w:left="3040" w:right="20" w:hanging="750"/>
        <w:spacing w:after="0" w:line="246" w:lineRule="auto"/>
        <w:tabs>
          <w:tab w:leader="none" w:pos="3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original excerpt from the register of commerce of the Canton of Vaud with regard to the Company certified by such register of commerce as of 30 July 2019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3040" w:right="20" w:hanging="750"/>
        <w:spacing w:after="0" w:line="267" w:lineRule="auto"/>
        <w:tabs>
          <w:tab w:leader="none" w:pos="3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original copy of the notarized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Company dated 5 August 2019 (the "</w:t>
      </w:r>
      <w:r>
        <w:rPr>
          <w:rFonts w:ascii="Arial" w:cs="Arial" w:eastAsia="Arial" w:hAnsi="Arial"/>
          <w:sz w:val="18"/>
          <w:szCs w:val="18"/>
          <w:b w:val="1"/>
          <w:bCs w:val="1"/>
          <w:color w:val="auto"/>
        </w:rPr>
        <w:t>Articles</w:t>
      </w:r>
      <w:r>
        <w:rPr>
          <w:rFonts w:ascii="Arial" w:cs="Arial" w:eastAsia="Arial" w:hAnsi="Arial"/>
          <w:sz w:val="18"/>
          <w:szCs w:val="18"/>
          <w:color w:val="auto"/>
        </w:rPr>
        <w:t>"), to be filed with the Commercial Register of the Canton of Vaud;</w:t>
      </w:r>
    </w:p>
    <w:p>
      <w:pPr>
        <w:spacing w:after="0" w:line="165" w:lineRule="exact"/>
        <w:rPr>
          <w:rFonts w:ascii="Arial" w:cs="Arial" w:eastAsia="Arial" w:hAnsi="Arial"/>
          <w:sz w:val="18"/>
          <w:szCs w:val="18"/>
          <w:color w:val="auto"/>
        </w:rPr>
      </w:pPr>
    </w:p>
    <w:p>
      <w:pPr>
        <w:ind w:left="3040" w:hanging="750"/>
        <w:spacing w:after="0"/>
        <w:tabs>
          <w:tab w:leader="none" w:pos="3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pdf copy of the Plan;</w:t>
      </w:r>
    </w:p>
    <w:p>
      <w:pPr>
        <w:spacing w:after="0" w:line="176" w:lineRule="exact"/>
        <w:rPr>
          <w:rFonts w:ascii="Arial" w:cs="Arial" w:eastAsia="Arial" w:hAnsi="Arial"/>
          <w:sz w:val="18"/>
          <w:szCs w:val="18"/>
          <w:color w:val="auto"/>
        </w:rPr>
      </w:pPr>
    </w:p>
    <w:p>
      <w:pPr>
        <w:ind w:left="3040" w:hanging="750"/>
        <w:spacing w:after="0" w:line="271" w:lineRule="auto"/>
        <w:tabs>
          <w:tab w:leader="none" w:pos="3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pdf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taken on 28 June 2019 with respect to the Plan.</w:t>
      </w:r>
    </w:p>
    <w:p>
      <w:pPr>
        <w:spacing w:after="0" w:line="14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documents referred to above in paragraphs a) to d)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0" w:lineRule="exact"/>
        <w:rPr>
          <w:sz w:val="20"/>
          <w:szCs w:val="20"/>
          <w:color w:val="auto"/>
        </w:rPr>
      </w:pPr>
    </w:p>
    <w:p>
      <w:pPr>
        <w:ind w:left="2300"/>
        <w:spacing w:after="0" w:line="246" w:lineRule="auto"/>
        <w:rPr>
          <w:sz w:val="20"/>
          <w:szCs w:val="20"/>
          <w:color w:val="auto"/>
        </w:rPr>
      </w:pPr>
      <w:r>
        <w:rPr>
          <w:rFonts w:ascii="Arial" w:cs="Arial" w:eastAsia="Arial" w:hAnsi="Arial"/>
          <w:sz w:val="18"/>
          <w:szCs w:val="18"/>
          <w:color w:val="auto"/>
        </w:rPr>
        <w:t>We have further examined such other records, documents and other instruments as we have deemed necessary or advisable for the purposes of rendering this opinion.</w:t>
      </w:r>
    </w:p>
    <w:p>
      <w:pPr>
        <w:spacing w:after="0" w:line="161" w:lineRule="exact"/>
        <w:rPr>
          <w:sz w:val="20"/>
          <w:szCs w:val="20"/>
          <w:color w:val="auto"/>
        </w:rPr>
      </w:pPr>
    </w:p>
    <w:p>
      <w:pPr>
        <w:ind w:left="3040" w:hanging="750"/>
        <w:spacing w:after="0"/>
        <w:tabs>
          <w:tab w:leader="none" w:pos="3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In rendering the opinion below, we have assumed:</w:t>
      </w:r>
    </w:p>
    <w:p>
      <w:pPr>
        <w:spacing w:after="0" w:line="198" w:lineRule="exact"/>
        <w:rPr>
          <w:sz w:val="20"/>
          <w:szCs w:val="20"/>
          <w:color w:val="auto"/>
        </w:rPr>
      </w:pPr>
    </w:p>
    <w:p>
      <w:pPr>
        <w:ind w:left="3040" w:hanging="750"/>
        <w:spacing w:after="0" w:line="246" w:lineRule="auto"/>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183" w:lineRule="exact"/>
        <w:rPr>
          <w:rFonts w:ascii="Arial" w:cs="Arial" w:eastAsia="Arial" w:hAnsi="Arial"/>
          <w:sz w:val="18"/>
          <w:szCs w:val="18"/>
          <w:color w:val="auto"/>
        </w:rPr>
      </w:pPr>
    </w:p>
    <w:p>
      <w:pPr>
        <w:ind w:left="3040" w:hanging="750"/>
        <w:spacing w:after="0" w:line="246" w:lineRule="auto"/>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w:t>
      </w:r>
    </w:p>
    <w:p>
      <w:pPr>
        <w:spacing w:after="0" w:line="183" w:lineRule="exact"/>
        <w:rPr>
          <w:rFonts w:ascii="Arial" w:cs="Arial" w:eastAsia="Arial" w:hAnsi="Arial"/>
          <w:sz w:val="18"/>
          <w:szCs w:val="18"/>
          <w:color w:val="auto"/>
        </w:rPr>
      </w:pPr>
    </w:p>
    <w:p>
      <w:pPr>
        <w:jc w:val="both"/>
        <w:ind w:left="3040" w:hanging="750"/>
        <w:spacing w:after="0" w:line="237" w:lineRule="auto"/>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legal capacity, power and authority of each of the parties (other than the Company) to enter into and perform its obligations under the Plan as well as the due authorization, execution and delivery of the Plan or any document thereunder by each of the parties thereto (including the Company) and that all consents or approvals from and filings, registrations and notifications with or to all governmental authorities (other than in Switzerland) required in connection with the execution, delivery and performance of the Plan have been obtained or made and are in full force and effect;</w:t>
      </w:r>
    </w:p>
    <w:p>
      <w:pPr>
        <w:spacing w:after="0" w:line="191" w:lineRule="exact"/>
        <w:rPr>
          <w:rFonts w:ascii="Arial" w:cs="Arial" w:eastAsia="Arial" w:hAnsi="Arial"/>
          <w:sz w:val="18"/>
          <w:szCs w:val="18"/>
          <w:color w:val="auto"/>
        </w:rPr>
      </w:pPr>
    </w:p>
    <w:p>
      <w:pPr>
        <w:jc w:val="both"/>
        <w:ind w:left="3040" w:hanging="750"/>
        <w:spacing w:after="0" w:line="239" w:lineRule="auto"/>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is in full force and effect, has not been rescinded, either in whole or in part, by the Board and that there is no matter affecting the authority of the Board to approve the adoption or assumption of the Plan and filing of the registration statement which would have any adverse implication in relation to the opinions expressed herein;</w:t>
      </w:r>
    </w:p>
    <w:p>
      <w:pPr>
        <w:spacing w:after="0" w:line="188" w:lineRule="exact"/>
        <w:rPr>
          <w:rFonts w:ascii="Arial" w:cs="Arial" w:eastAsia="Arial" w:hAnsi="Arial"/>
          <w:sz w:val="18"/>
          <w:szCs w:val="18"/>
          <w:color w:val="auto"/>
        </w:rPr>
      </w:pPr>
    </w:p>
    <w:p>
      <w:pPr>
        <w:ind w:left="3040" w:hanging="750"/>
        <w:spacing w:after="0" w:line="246" w:lineRule="auto"/>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constitutes legal, valid, binding and enforceable obligations of the Company under the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VISCHER</w:t>
      </w:r>
    </w:p>
    <w:p>
      <w:pPr>
        <w:spacing w:after="0" w:line="353" w:lineRule="exact"/>
        <w:rPr>
          <w:sz w:val="20"/>
          <w:szCs w:val="20"/>
          <w:color w:val="auto"/>
        </w:rPr>
      </w:pPr>
    </w:p>
    <w:p>
      <w:pPr>
        <w:jc w:val="both"/>
        <w:ind w:left="3040" w:hanging="750"/>
        <w:spacing w:after="0"/>
        <w:tabs>
          <w:tab w:leader="none" w:pos="3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authorizations, approvals, consents, licenses, exemptions and other requirements, other than those required under the laws of Switzerland, for the legality, validity and enforceability of the Plan have been duly obtained and are and will remain in full force and effect;</w:t>
      </w:r>
    </w:p>
    <w:p>
      <w:pPr>
        <w:spacing w:after="0" w:line="189" w:lineRule="exact"/>
        <w:rPr>
          <w:rFonts w:ascii="Arial" w:cs="Arial" w:eastAsia="Arial" w:hAnsi="Arial"/>
          <w:sz w:val="18"/>
          <w:szCs w:val="18"/>
          <w:color w:val="auto"/>
        </w:rPr>
      </w:pPr>
    </w:p>
    <w:p>
      <w:pPr>
        <w:ind w:left="3040" w:right="20" w:hanging="750"/>
        <w:spacing w:after="0" w:line="246" w:lineRule="auto"/>
        <w:tabs>
          <w:tab w:leader="none" w:pos="3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exercise of the options under the Plan will be conducted in writing in the manner described in the Plan;</w:t>
      </w:r>
    </w:p>
    <w:p>
      <w:pPr>
        <w:spacing w:after="0" w:line="183" w:lineRule="exact"/>
        <w:rPr>
          <w:rFonts w:ascii="Arial" w:cs="Arial" w:eastAsia="Arial" w:hAnsi="Arial"/>
          <w:sz w:val="18"/>
          <w:szCs w:val="18"/>
          <w:color w:val="auto"/>
        </w:rPr>
      </w:pPr>
    </w:p>
    <w:p>
      <w:pPr>
        <w:ind w:left="3040" w:hanging="750"/>
        <w:spacing w:after="0" w:line="246" w:lineRule="auto"/>
        <w:tabs>
          <w:tab w:leader="none" w:pos="3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exercise price of any option granted is at least the current par value of CHF 0.02 per Share and is paid by the option holder to the Company;</w:t>
      </w:r>
    </w:p>
    <w:p>
      <w:pPr>
        <w:spacing w:after="0" w:line="183" w:lineRule="exact"/>
        <w:rPr>
          <w:rFonts w:ascii="Arial" w:cs="Arial" w:eastAsia="Arial" w:hAnsi="Arial"/>
          <w:sz w:val="18"/>
          <w:szCs w:val="18"/>
          <w:color w:val="auto"/>
        </w:rPr>
      </w:pPr>
    </w:p>
    <w:p>
      <w:pPr>
        <w:jc w:val="both"/>
        <w:ind w:left="3040" w:hanging="750"/>
        <w:spacing w:after="0"/>
        <w:tabs>
          <w:tab w:leader="none" w:pos="3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any issuance of Shares under the Plan, the Company will have according to article 3c of the Articles of Association sufficient conditional share capital to issue the required number of new Shares to be delivered to option holders exercising options granted under the Plan; and</w:t>
      </w:r>
    </w:p>
    <w:p>
      <w:pPr>
        <w:spacing w:after="0" w:line="189" w:lineRule="exact"/>
        <w:rPr>
          <w:rFonts w:ascii="Arial" w:cs="Arial" w:eastAsia="Arial" w:hAnsi="Arial"/>
          <w:sz w:val="18"/>
          <w:szCs w:val="18"/>
          <w:color w:val="auto"/>
        </w:rPr>
      </w:pPr>
    </w:p>
    <w:p>
      <w:pPr>
        <w:jc w:val="both"/>
        <w:ind w:left="3040" w:hanging="750"/>
        <w:spacing w:after="0" w:line="239" w:lineRule="auto"/>
        <w:tabs>
          <w:tab w:leader="none" w:pos="3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 the requisite reports of the Company's auditors according to article 653f of the Swiss Code of Obligations (the "</w:t>
      </w:r>
      <w:r>
        <w:rPr>
          <w:rFonts w:ascii="Arial" w:cs="Arial" w:eastAsia="Arial" w:hAnsi="Arial"/>
          <w:sz w:val="18"/>
          <w:szCs w:val="18"/>
          <w:b w:val="1"/>
          <w:bCs w:val="1"/>
          <w:color w:val="auto"/>
        </w:rPr>
        <w:t>SCO</w:t>
      </w:r>
      <w:r>
        <w:rPr>
          <w:rFonts w:ascii="Arial" w:cs="Arial" w:eastAsia="Arial" w:hAnsi="Arial"/>
          <w:sz w:val="18"/>
          <w:szCs w:val="18"/>
          <w:color w:val="auto"/>
        </w:rPr>
        <w:t>"), (ii) the amendments of the Articles of Association according to article 653g SCO, and (iii) the entry of the corresponding share capital increase into the Commercial Register of the Canton of Vaud will be given or made.</w:t>
      </w:r>
    </w:p>
    <w:p>
      <w:pPr>
        <w:spacing w:after="0" w:line="166" w:lineRule="exact"/>
        <w:rPr>
          <w:sz w:val="20"/>
          <w:szCs w:val="20"/>
          <w:color w:val="auto"/>
        </w:rPr>
      </w:pPr>
    </w:p>
    <w:p>
      <w:pPr>
        <w:ind w:left="3040" w:hanging="750"/>
        <w:spacing w:after="0"/>
        <w:tabs>
          <w:tab w:leader="none" w:pos="3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Based upon the foregoing and subject to the qualifications set out below, we are of the opinion that:</w:t>
      </w:r>
    </w:p>
    <w:p>
      <w:pPr>
        <w:spacing w:after="0" w:line="180" w:lineRule="exact"/>
        <w:rPr>
          <w:sz w:val="20"/>
          <w:szCs w:val="20"/>
          <w:color w:val="auto"/>
        </w:rPr>
      </w:pPr>
    </w:p>
    <w:p>
      <w:pPr>
        <w:jc w:val="both"/>
        <w:ind w:left="3040" w:hanging="750"/>
        <w:spacing w:after="0" w:line="251" w:lineRule="auto"/>
        <w:tabs>
          <w:tab w:leader="none" w:pos="3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under the laws of Switzerland, having unlimited corporate existence and the capacity to carry out its business, to own its property and to sue and to be sued in its own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VISCHER</w:t>
      </w:r>
    </w:p>
    <w:p>
      <w:pPr>
        <w:spacing w:after="0" w:line="353" w:lineRule="exact"/>
        <w:rPr>
          <w:sz w:val="20"/>
          <w:szCs w:val="20"/>
          <w:color w:val="auto"/>
        </w:rPr>
      </w:pPr>
    </w:p>
    <w:p>
      <w:pPr>
        <w:jc w:val="both"/>
        <w:ind w:left="3040" w:hanging="750"/>
        <w:spacing w:after="0" w:line="239" w:lineRule="auto"/>
        <w:tabs>
          <w:tab w:leader="none" w:pos="3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when issued and paid for in accordance with the Articles of Association and, provided the issue price for such Shares has been fully paid-in, will be validly issued, fully paid-in and non-assessable (which term means when used herein that no further contributions have to be made by the holders of the Shares).</w:t>
      </w:r>
    </w:p>
    <w:p>
      <w:pPr>
        <w:spacing w:after="0" w:line="166" w:lineRule="exact"/>
        <w:rPr>
          <w:sz w:val="20"/>
          <w:szCs w:val="20"/>
          <w:color w:val="auto"/>
        </w:rPr>
      </w:pPr>
    </w:p>
    <w:p>
      <w:pPr>
        <w:ind w:left="2300"/>
        <w:spacing w:after="0"/>
        <w:tabs>
          <w:tab w:leader="none" w:pos="30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QUALIFICATIONS</w:t>
      </w:r>
    </w:p>
    <w:p>
      <w:pPr>
        <w:spacing w:after="0" w:line="22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98" w:lineRule="exact"/>
        <w:rPr>
          <w:sz w:val="20"/>
          <w:szCs w:val="20"/>
          <w:color w:val="auto"/>
        </w:rPr>
      </w:pPr>
    </w:p>
    <w:p>
      <w:pPr>
        <w:jc w:val="both"/>
        <w:ind w:left="3040" w:hanging="750"/>
        <w:spacing w:after="0"/>
        <w:tabs>
          <w:tab w:leader="none" w:pos="3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any representations and warranties made by the parties to the Plan or any matters of fact.</w:t>
      </w:r>
    </w:p>
    <w:p>
      <w:pPr>
        <w:spacing w:after="0" w:line="189" w:lineRule="exact"/>
        <w:rPr>
          <w:rFonts w:ascii="Arial" w:cs="Arial" w:eastAsia="Arial" w:hAnsi="Arial"/>
          <w:sz w:val="18"/>
          <w:szCs w:val="18"/>
          <w:color w:val="auto"/>
        </w:rPr>
      </w:pPr>
    </w:p>
    <w:p>
      <w:pPr>
        <w:jc w:val="both"/>
        <w:ind w:left="3040" w:hanging="750"/>
        <w:spacing w:after="0" w:line="261" w:lineRule="auto"/>
        <w:tabs>
          <w:tab w:leader="none" w:pos="3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172" w:lineRule="exact"/>
        <w:rPr>
          <w:rFonts w:ascii="Arial" w:cs="Arial" w:eastAsia="Arial" w:hAnsi="Arial"/>
          <w:sz w:val="17"/>
          <w:szCs w:val="17"/>
          <w:color w:val="auto"/>
        </w:rPr>
      </w:pPr>
    </w:p>
    <w:p>
      <w:pPr>
        <w:ind w:left="3040" w:hanging="750"/>
        <w:spacing w:after="0"/>
        <w:tabs>
          <w:tab w:leader="none" w:pos="3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Form S-8.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7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1" w:lineRule="exact"/>
        <w:rPr>
          <w:sz w:val="20"/>
          <w:szCs w:val="20"/>
          <w:color w:val="auto"/>
        </w:rPr>
      </w:pPr>
    </w:p>
    <w:p>
      <w:pPr>
        <w:jc w:val="both"/>
        <w:ind w:left="2300"/>
        <w:spacing w:after="0" w:line="246"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83" w:lineRule="exact"/>
        <w:rPr>
          <w:sz w:val="20"/>
          <w:szCs w:val="20"/>
          <w:color w:val="auto"/>
        </w:rPr>
      </w:pPr>
    </w:p>
    <w:p>
      <w:pPr>
        <w:jc w:val="both"/>
        <w:ind w:left="2300"/>
        <w:spacing w:after="0" w:line="237"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VISCHER</w:t>
      </w:r>
    </w:p>
    <w:p>
      <w:pPr>
        <w:spacing w:after="0" w:line="313" w:lineRule="exact"/>
        <w:rPr>
          <w:sz w:val="20"/>
          <w:szCs w:val="20"/>
          <w:color w:val="auto"/>
        </w:rPr>
      </w:pPr>
    </w:p>
    <w:p>
      <w:pPr>
        <w:jc w:val="both"/>
        <w:ind w:left="2300"/>
        <w:spacing w:after="0"/>
        <w:rPr>
          <w:sz w:val="20"/>
          <w:szCs w:val="20"/>
          <w:color w:val="auto"/>
        </w:rPr>
      </w:pPr>
      <w:r>
        <w:rPr>
          <w:rFonts w:ascii="Arial" w:cs="Arial" w:eastAsia="Arial" w:hAnsi="Arial"/>
          <w:sz w:val="18"/>
          <w:szCs w:val="18"/>
          <w:color w:val="auto"/>
        </w:rPr>
        <w:t>We hereby consent to the filing of this opinion as an exhibit to the Form S-8. In giving such consent, we do not thereby admit that we are in the category of persons whose consent is required under Section 7 of the Securities Act.</w:t>
      </w:r>
    </w:p>
    <w:p>
      <w:pPr>
        <w:spacing w:after="0" w:line="18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VISCHER AG</w:t>
      </w:r>
    </w:p>
    <w:p>
      <w:pPr>
        <w:spacing w:after="0" w:line="194" w:lineRule="exact"/>
        <w:rPr>
          <w:sz w:val="20"/>
          <w:szCs w:val="20"/>
          <w:color w:val="auto"/>
        </w:rPr>
      </w:pPr>
    </w:p>
    <w:p>
      <w:pPr>
        <w:ind w:left="2300"/>
        <w:spacing w:after="0"/>
        <w:rPr>
          <w:sz w:val="20"/>
          <w:szCs w:val="20"/>
          <w:color w:val="auto"/>
        </w:rPr>
      </w:pPr>
      <w:r>
        <w:rPr>
          <w:rFonts w:ascii="Arial" w:cs="Arial" w:eastAsia="Arial" w:hAnsi="Arial"/>
          <w:sz w:val="18"/>
          <w:szCs w:val="18"/>
          <w:u w:val="single" w:color="auto"/>
          <w:color w:val="auto"/>
        </w:rPr>
        <w:t>/s/ Matthias Staehelin</w:t>
      </w:r>
    </w:p>
    <w:p>
      <w:pPr>
        <w:ind w:left="2300"/>
        <w:spacing w:after="0"/>
        <w:rPr>
          <w:sz w:val="20"/>
          <w:szCs w:val="20"/>
          <w:color w:val="auto"/>
        </w:rPr>
      </w:pPr>
      <w:r>
        <w:rPr>
          <w:rFonts w:ascii="Arial" w:cs="Arial" w:eastAsia="Arial" w:hAnsi="Arial"/>
          <w:sz w:val="18"/>
          <w:szCs w:val="18"/>
          <w:color w:val="auto"/>
        </w:rPr>
        <w:t>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AC Immune SA of our report dated March 21, 2019 relating to the financial statements, which appears in AC Immune SA’s Annual Report on Form 20-F for the year ended December 31, 2018.</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INDEPENDENT REGISTERED PUBLIC ACCOUNTING FIRM</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Amended and Restated AC Immune SA 2016 Stock Option and Incentive Plan of our report dated March 20, 2018 with respect to the financial statements of AC Immune SA included in its Annual Report (Form 20-F No. 001-37891) for each of the two years in the period ended December 31, 2017 and our report dated April 21, 2016 with respect to the financial statements of AC Immune SA included in its Registration Statement (Form F-1 No. 333-211714) for the year ended December 31, 2015, as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Petit-Lancy,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165735</wp:posOffset>
            </wp:positionV>
            <wp:extent cx="144907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4490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AC IMMUNE SA</w:t>
      </w:r>
    </w:p>
    <w:p>
      <w:pPr>
        <w:spacing w:after="0" w:line="19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2016 STOCK OPTION AND INCENTIVE PLAN, AS AMENDED AND RESTATED AS OF JUNE 28, 2019</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GENERAL PURPOSE OF THE PLAN; DEFINITIONS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name of the plan is the AC Immune SA 2016 Stock Option and Incentive Plan, as amended and restated as of June 28, 2019 (the “Plan”). The purpose of the Plan is to encourage and enable the officers, employees, Non-Employee Directors and Consultants of AC Immune SA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compensation committee of the Board or a similar committee performing the functions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which is comprised of two or more Non-Employee Directors who are independent or, in the absence of such a committee, the Board.</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Options, Stock Appreciation Rights, Restricted Stock Units, Restricted Stock Awards, Unrestricted Stock Awards, Performance Share Awards and Dividend Equivalent Rights.</w:t>
      </w:r>
    </w:p>
    <w:p>
      <w:pPr>
        <w:spacing w:after="0" w:line="16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 applicable to an Award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Each Award Certificate is subject to the terms and conditions of the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and such services are not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 or sale of securities in a capital-raising transaction and do not directly or indirectly promote or maintain a market for the Company’s securities.</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means an employee who is a “Covered Employee” within the meaning of Section 162(m) of the US Tax Code or is</w:t>
      </w:r>
      <w:r>
        <w:rPr>
          <w:rFonts w:ascii="Arial" w:cs="Arial" w:eastAsia="Arial" w:hAnsi="Arial"/>
          <w:sz w:val="18"/>
          <w:szCs w:val="18"/>
          <w:i w:val="1"/>
          <w:iCs w:val="1"/>
          <w:color w:val="auto"/>
        </w:rPr>
        <w:t xml:space="preserve"> </w:t>
      </w:r>
      <w:r>
        <w:rPr>
          <w:rFonts w:ascii="Arial" w:cs="Arial" w:eastAsia="Arial" w:hAnsi="Arial"/>
          <w:sz w:val="18"/>
          <w:szCs w:val="18"/>
          <w:color w:val="auto"/>
        </w:rPr>
        <w:t>a member of the Board of Directors or executive management (or advisory council as the case may be) and thus subject to approval requirement pursuant to art. 18 of the Swiss Ordinance against excessive compensation in listed stock corporations (</w:t>
      </w:r>
      <w:r>
        <w:rPr>
          <w:rFonts w:ascii="Arial" w:cs="Arial" w:eastAsia="Arial" w:hAnsi="Arial"/>
          <w:sz w:val="18"/>
          <w:szCs w:val="18"/>
          <w:i w:val="1"/>
          <w:iCs w:val="1"/>
          <w:color w:val="auto"/>
        </w:rPr>
        <w:t>Ordonnance contre les</w:t>
      </w:r>
      <w:r>
        <w:rPr>
          <w:rFonts w:ascii="Arial" w:cs="Arial" w:eastAsia="Arial" w:hAnsi="Arial"/>
          <w:sz w:val="18"/>
          <w:szCs w:val="18"/>
          <w:color w:val="auto"/>
        </w:rPr>
        <w:t xml:space="preserve"> </w:t>
      </w:r>
      <w:r>
        <w:rPr>
          <w:rFonts w:ascii="Arial" w:cs="Arial" w:eastAsia="Arial" w:hAnsi="Arial"/>
          <w:sz w:val="18"/>
          <w:szCs w:val="18"/>
          <w:i w:val="1"/>
          <w:iCs w:val="1"/>
          <w:color w:val="auto"/>
        </w:rPr>
        <w:t>rémunérations abusives dans les sociétés anonymes cotées en bourse</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means an Award entitling the grantee to receive credits based on cash dividends that would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on the shares of Stock specified in the Dividend Equivalent Right (or other award to which it relates) if such shares had been issued to and held by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20.</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provided, however, that if the Stock is admitted to quotation on the National Association of Securities Dealers Automated Quotation System (“NASDAQ”), NASDAQ Global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 as defined in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US Tax Code.</w:t>
      </w:r>
    </w:p>
    <w:p>
      <w:pPr>
        <w:spacing w:after="0" w:line="1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means the first underwritten, firm commitment public offering pursuant to an effective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US Securities Act covering the offer and sale by the Company of its equity securities, or the listing of the shares of the Company at a recognized stock exchange, or such other event as a result of or following which the Stock shall be publicly held.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mean any eligible individuals who participate in the Plan.</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“Performance-Based Award” </w:t>
      </w:r>
      <w:r>
        <w:rPr>
          <w:rFonts w:ascii="Arial" w:cs="Arial" w:eastAsia="Arial" w:hAnsi="Arial"/>
          <w:sz w:val="18"/>
          <w:szCs w:val="18"/>
          <w:color w:val="auto"/>
        </w:rPr>
        <w:t>means any Restricted Stock Award, Restricted Stock Units, or Performance Share Award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Employee that is intended to qualify as “performance-based compensation” under Section 162(m) of the US Tax Code and the regulations promulgated thereunder.</w:t>
      </w:r>
    </w:p>
    <w:p>
      <w:pPr>
        <w:spacing w:after="0" w:line="16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“Performance Criteria” </w:t>
      </w:r>
      <w:r>
        <w:rPr>
          <w:rFonts w:ascii="Arial" w:cs="Arial" w:eastAsia="Arial" w:hAnsi="Arial"/>
          <w:sz w:val="18"/>
          <w:szCs w:val="18"/>
          <w:color w:val="auto"/>
        </w:rPr>
        <w:t>means the criteria that the Administrator selects for purposes of establishing the Performance Goal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developmental, clinical or regulatory milestones, acquisitions or strategic transactions, including licenses, collaborations, joint ventures or promotion arrangements, operating income (loss), cash flow (including, but not limited to, operating cash flow and free cash flow), return on capital, assets, equity, or investment, return on sales, gross or net profit levels,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Committee may appropriately adjust any evaluation performance under a Performance Criterion to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and (v) any item of an unusual nature or of a type that indicates infrequency of occurrence, or both, including those described in the Financial Accounting Standards Board’s authoritative guidance and/or in management’s discussion and analysis of financial condition of operations appearing the Company’s annual report to stockholders for the applicable year.</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i w:val="1"/>
          <w:iCs w:val="1"/>
          <w:color w:val="auto"/>
        </w:rPr>
        <w:t xml:space="preserve">“Performance Cycle” </w:t>
      </w:r>
      <w:r>
        <w:rPr>
          <w:rFonts w:ascii="Arial" w:cs="Arial" w:eastAsia="Arial" w:hAnsi="Arial"/>
          <w:sz w:val="18"/>
          <w:szCs w:val="18"/>
          <w:color w:val="auto"/>
        </w:rPr>
        <w:t>means one or more periods of time, which may be of varying and overlapping durations,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over which the attainment of one or more Performance Criteria will be measured for the purpose of determining a grantee’s right to and the payment of a Restricted Stock Award, Restricted Stock Units, or Performance Share Award, the vesting and/or payment of which is subject to the attainment of one or more Performance Goals. Each such period shall not be less than 12 months.</w:t>
      </w:r>
    </w:p>
    <w:p>
      <w:pPr>
        <w:spacing w:after="0" w:line="16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means, for a Performance Cycle, the specific goals established in writing by the Administrator for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Cycle based upon the Performance Criteria.</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“Performance Share Award” </w:t>
      </w:r>
      <w:r>
        <w:rPr>
          <w:rFonts w:ascii="Arial" w:cs="Arial" w:eastAsia="Arial" w:hAnsi="Arial"/>
          <w:sz w:val="18"/>
          <w:szCs w:val="18"/>
          <w:color w:val="auto"/>
        </w:rPr>
        <w:t>means an Award entitling the recipient to acquire shares of Stock upon the attainment of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Information</w:t>
      </w:r>
      <w:r>
        <w:rPr>
          <w:rFonts w:ascii="Arial" w:cs="Arial" w:eastAsia="Arial" w:hAnsi="Arial"/>
          <w:sz w:val="18"/>
          <w:szCs w:val="18"/>
          <w:color w:val="auto"/>
        </w:rPr>
        <w:t>” shall have the meaning set forth in Section 19(g).</w:t>
      </w:r>
    </w:p>
    <w:p>
      <w:pPr>
        <w:spacing w:after="0" w:line="19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right of repurchase.</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at the time of grant.</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 Administrator may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w:t>
      </w:r>
    </w:p>
    <w:p>
      <w:pPr>
        <w:spacing w:after="0" w:line="14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“Sale Event” </w:t>
      </w:r>
      <w:r>
        <w:rPr>
          <w:rFonts w:ascii="Arial" w:cs="Arial" w:eastAsia="Arial" w:hAnsi="Arial"/>
          <w:sz w:val="18"/>
          <w:szCs w:val="18"/>
          <w:color w:val="auto"/>
        </w:rPr>
        <w:t>shall mean (i) the sale of all or substantially all of the assets of the Company on a consolidated basis to an unrelated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US Tax Code, and any United States Treasury regulations and/or other official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“Section 457A” </w:t>
      </w:r>
      <w:r>
        <w:rPr>
          <w:rFonts w:ascii="Arial" w:cs="Arial" w:eastAsia="Arial" w:hAnsi="Arial"/>
          <w:sz w:val="18"/>
          <w:szCs w:val="18"/>
          <w:color w:val="auto"/>
        </w:rPr>
        <w:t>means Section 457A of the US Tax Code, and any United States Treasury regulations and/or other official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CHF 0.02 per share, of the Company, subject to adjustments pursuant to Section 3.</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having a value equal to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the Stock on the date of exercise over the exercise price of the Stock Appreciation Right multiplied by the number of shares of Stock with respect to which the Stock Appreciation Right shall have been exercised.</w:t>
      </w:r>
    </w:p>
    <w:p>
      <w:pPr>
        <w:spacing w:after="0" w:line="16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US</w:t>
      </w:r>
      <w:r>
        <w:rPr>
          <w:rFonts w:ascii="Arial" w:cs="Arial" w:eastAsia="Arial" w:hAnsi="Arial"/>
          <w:sz w:val="17"/>
          <w:szCs w:val="17"/>
          <w:i w:val="1"/>
          <w:iCs w:val="1"/>
          <w:color w:val="auto"/>
        </w:rPr>
        <w:t xml:space="preserve"> </w:t>
      </w:r>
      <w:r>
        <w:rPr>
          <w:rFonts w:ascii="Arial" w:cs="Arial" w:eastAsia="Arial" w:hAnsi="Arial"/>
          <w:sz w:val="17"/>
          <w:szCs w:val="17"/>
          <w:color w:val="auto"/>
        </w:rPr>
        <w:t>Tax Code) more than 10 percent of the combined voting power of all classes of stock of the Company or any parent or subsidiary corporation.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Exchange Act</w:t>
      </w:r>
      <w:r>
        <w:rPr>
          <w:rFonts w:ascii="Arial" w:cs="Arial" w:eastAsia="Arial" w:hAnsi="Arial"/>
          <w:sz w:val="18"/>
          <w:szCs w:val="18"/>
          <w:color w:val="auto"/>
        </w:rPr>
        <w:t>” means the U.S. Securities Exchange Act of 1934, as amended, and the rules and regulations thereunder.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Securities Act</w:t>
      </w:r>
      <w:r>
        <w:rPr>
          <w:rFonts w:ascii="Arial" w:cs="Arial" w:eastAsia="Arial" w:hAnsi="Arial"/>
          <w:sz w:val="18"/>
          <w:szCs w:val="18"/>
          <w:color w:val="auto"/>
        </w:rPr>
        <w:t>” means the U.S. Securities Act of 1933, as amended, and the rules and regulations thereunder.</w:t>
      </w:r>
    </w:p>
    <w:p>
      <w:pPr>
        <w:spacing w:after="0" w:line="19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Code</w:t>
      </w:r>
      <w:r>
        <w:rPr>
          <w:rFonts w:ascii="Arial" w:cs="Arial" w:eastAsia="Arial" w:hAnsi="Arial"/>
          <w:sz w:val="18"/>
          <w:szCs w:val="18"/>
          <w:color w:val="auto"/>
        </w:rPr>
        <w:t>” means the U.S. Internal Revenue Code of 1986, as amended, and any successor Code, and related rules, regulations and interpretations.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ADMINISTRATION OF PLAN; ADMINISTRATOR AUTHORITY TO SELECT GRANTEES AND DETERMINE AWARDS</w:t>
      </w:r>
    </w:p>
    <w:p>
      <w:pPr>
        <w:spacing w:after="0" w:line="198" w:lineRule="exact"/>
        <w:rPr>
          <w:sz w:val="20"/>
          <w:szCs w:val="20"/>
          <w:color w:val="auto"/>
        </w:rPr>
      </w:pPr>
    </w:p>
    <w:p>
      <w:pPr>
        <w:ind w:left="1220" w:hanging="564"/>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98" w:lineRule="exact"/>
        <w:rPr>
          <w:rFonts w:ascii="Arial" w:cs="Arial" w:eastAsia="Arial" w:hAnsi="Arial"/>
          <w:sz w:val="18"/>
          <w:szCs w:val="18"/>
          <w:color w:val="auto"/>
        </w:rPr>
      </w:pPr>
    </w:p>
    <w:p>
      <w:pPr>
        <w:ind w:right="20" w:firstLine="656"/>
        <w:spacing w:after="0" w:line="246" w:lineRule="auto"/>
        <w:tabs>
          <w:tab w:leader="none" w:pos="124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without limitation, the requirements of Section 15 of the Plan), including the power and authority:</w:t>
      </w:r>
    </w:p>
    <w:p>
      <w:pPr>
        <w:spacing w:after="0" w:line="183" w:lineRule="exact"/>
        <w:rPr>
          <w:rFonts w:ascii="Arial" w:cs="Arial" w:eastAsia="Arial" w:hAnsi="Arial"/>
          <w:sz w:val="18"/>
          <w:szCs w:val="18"/>
          <w:color w:val="auto"/>
        </w:rPr>
      </w:pPr>
    </w:p>
    <w:p>
      <w:pPr>
        <w:ind w:left="1820" w:hanging="515"/>
        <w:spacing w:after="0"/>
        <w:tabs>
          <w:tab w:leader="none" w:pos="1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98" w:lineRule="exact"/>
        <w:rPr>
          <w:rFonts w:ascii="Arial" w:cs="Arial" w:eastAsia="Arial" w:hAnsi="Arial"/>
          <w:sz w:val="18"/>
          <w:szCs w:val="18"/>
          <w:color w:val="auto"/>
        </w:rPr>
      </w:pPr>
    </w:p>
    <w:p>
      <w:pPr>
        <w:ind w:firstLine="1305"/>
        <w:spacing w:after="0" w:line="246" w:lineRule="auto"/>
        <w:tabs>
          <w:tab w:leader="none" w:pos="18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Stock Awards, Restricted Stock Units, or Unrestricted Stock Awards, Performance Share Awards and Dividend Equivalent Rights, or any combination of the foregoing, granted to any one or more grantees;</w:t>
      </w:r>
    </w:p>
    <w:p>
      <w:pPr>
        <w:spacing w:after="0" w:line="183" w:lineRule="exact"/>
        <w:rPr>
          <w:sz w:val="20"/>
          <w:szCs w:val="20"/>
          <w:color w:val="auto"/>
        </w:rPr>
      </w:pPr>
    </w:p>
    <w:p>
      <w:pPr>
        <w:ind w:left="1800" w:hanging="495"/>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98" w:lineRule="exact"/>
        <w:rPr>
          <w:rFonts w:ascii="Arial" w:cs="Arial" w:eastAsia="Arial" w:hAnsi="Arial"/>
          <w:sz w:val="18"/>
          <w:szCs w:val="18"/>
          <w:color w:val="auto"/>
        </w:rPr>
      </w:pPr>
    </w:p>
    <w:p>
      <w:pPr>
        <w:jc w:val="both"/>
        <w:ind w:firstLine="1305"/>
        <w:spacing w:after="0"/>
        <w:tabs>
          <w:tab w:leader="none" w:pos="18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9" w:lineRule="exact"/>
        <w:rPr>
          <w:rFonts w:ascii="Arial" w:cs="Arial" w:eastAsia="Arial" w:hAnsi="Arial"/>
          <w:sz w:val="18"/>
          <w:szCs w:val="18"/>
          <w:color w:val="auto"/>
        </w:rPr>
      </w:pPr>
    </w:p>
    <w:p>
      <w:pPr>
        <w:ind w:firstLine="1305"/>
        <w:spacing w:after="0" w:line="246" w:lineRule="auto"/>
        <w:tabs>
          <w:tab w:leader="none" w:pos="18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 in circumstances involving the grantee’s death, disability, retirement or termination of employment, or a change in control (including a Sale Event);</w:t>
      </w:r>
    </w:p>
    <w:p>
      <w:pPr>
        <w:spacing w:after="0" w:line="183" w:lineRule="exact"/>
        <w:rPr>
          <w:rFonts w:ascii="Arial" w:cs="Arial" w:eastAsia="Arial" w:hAnsi="Arial"/>
          <w:sz w:val="18"/>
          <w:szCs w:val="18"/>
          <w:color w:val="auto"/>
        </w:rPr>
      </w:pPr>
    </w:p>
    <w:p>
      <w:pPr>
        <w:ind w:left="1800" w:hanging="495"/>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w:t>
      </w:r>
    </w:p>
    <w:p>
      <w:pPr>
        <w:spacing w:after="0" w:line="198" w:lineRule="exact"/>
        <w:rPr>
          <w:rFonts w:ascii="Arial" w:cs="Arial" w:eastAsia="Arial" w:hAnsi="Arial"/>
          <w:sz w:val="18"/>
          <w:szCs w:val="18"/>
          <w:color w:val="auto"/>
        </w:rPr>
      </w:pPr>
    </w:p>
    <w:p>
      <w:pPr>
        <w:ind w:firstLine="1305"/>
        <w:spacing w:after="0" w:line="246" w:lineRule="auto"/>
        <w:tabs>
          <w:tab w:leader="none" w:pos="18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cancel any Award provided that a fair compensation is given to the holder whereby the fairness of the compensation shall be determined by the Administrator in its reasonable judgment; and</w:t>
      </w:r>
    </w:p>
    <w:p>
      <w:pPr>
        <w:spacing w:after="0" w:line="183" w:lineRule="exact"/>
        <w:rPr>
          <w:rFonts w:ascii="Arial" w:cs="Arial" w:eastAsia="Arial" w:hAnsi="Arial"/>
          <w:sz w:val="18"/>
          <w:szCs w:val="18"/>
          <w:color w:val="auto"/>
        </w:rPr>
      </w:pPr>
    </w:p>
    <w:p>
      <w:pPr>
        <w:jc w:val="both"/>
        <w:ind w:firstLine="1305"/>
        <w:spacing w:after="0" w:line="239" w:lineRule="auto"/>
        <w:tabs>
          <w:tab w:leader="none" w:pos="18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98" w:lineRule="exact"/>
        <w:rPr>
          <w:sz w:val="20"/>
          <w:szCs w:val="20"/>
          <w:color w:val="auto"/>
        </w:rPr>
      </w:pPr>
    </w:p>
    <w:p>
      <w:pPr>
        <w:jc w:val="both"/>
        <w:ind w:firstLine="656"/>
        <w:spacing w:after="0" w:line="237" w:lineRule="auto"/>
        <w:tabs>
          <w:tab w:leader="none" w:pos="122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Grant Awards</w:t>
      </w:r>
      <w:r>
        <w:rPr>
          <w:rFonts w:ascii="Arial" w:cs="Arial" w:eastAsia="Arial" w:hAnsi="Arial"/>
          <w:sz w:val="18"/>
          <w:szCs w:val="18"/>
          <w:color w:val="auto"/>
        </w:rPr>
        <w:t>. Subject to applicable law, the Administrator, in its discretion, may delegate to the Chief Executive Officer of the Company all or part of the Administrator’s authority and duties with respect to the granting of Awards to individuals who are (i) not subject to the reporting and other provisions of Section 16 of the US Exchange Act and (ii) not Covered Employees.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9" w:lineRule="exact"/>
        <w:rPr>
          <w:rFonts w:ascii="Arial" w:cs="Arial" w:eastAsia="Arial" w:hAnsi="Arial"/>
          <w:sz w:val="18"/>
          <w:szCs w:val="18"/>
          <w:color w:val="auto"/>
        </w:rPr>
      </w:pPr>
    </w:p>
    <w:p>
      <w:pPr>
        <w:jc w:val="both"/>
        <w:ind w:firstLine="656"/>
        <w:spacing w:after="0"/>
        <w:tabs>
          <w:tab w:leader="none" w:pos="135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9" w:lineRule="exact"/>
        <w:rPr>
          <w:rFonts w:ascii="Arial" w:cs="Arial" w:eastAsia="Arial" w:hAnsi="Arial"/>
          <w:sz w:val="18"/>
          <w:szCs w:val="18"/>
          <w:color w:val="auto"/>
        </w:rPr>
      </w:pPr>
    </w:p>
    <w:p>
      <w:pPr>
        <w:ind w:firstLine="656"/>
        <w:spacing w:after="0" w:line="246" w:lineRule="auto"/>
        <w:tabs>
          <w:tab w:leader="none" w:pos="128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8" w:lineRule="exact"/>
        <w:rPr>
          <w:sz w:val="20"/>
          <w:szCs w:val="20"/>
          <w:color w:val="auto"/>
        </w:rPr>
      </w:pPr>
    </w:p>
    <w:p>
      <w:pPr>
        <w:jc w:val="both"/>
        <w:ind w:firstLine="656"/>
        <w:spacing w:after="0" w:line="236"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Compliance with Laws or Practices.</w:t>
      </w:r>
      <w:r>
        <w:rPr>
          <w:rFonts w:ascii="Arial" w:cs="Arial" w:eastAsia="Arial" w:hAnsi="Arial"/>
          <w:sz w:val="18"/>
          <w:szCs w:val="18"/>
          <w:color w:val="auto"/>
        </w:rPr>
        <w:t xml:space="preserve"> Notwithstanding any provision of the Plan to the contrary, in order to comply with the laws or practices in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are eligible to participate in the Plan; (iii) modify the terms and conditions of any Award granted to individuals;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Swiss Ordinance against excessive compensation in listed stock corporations (</w:t>
      </w:r>
      <w:r>
        <w:rPr>
          <w:rFonts w:ascii="Arial" w:cs="Arial" w:eastAsia="Arial" w:hAnsi="Arial"/>
          <w:sz w:val="18"/>
          <w:szCs w:val="18"/>
          <w:i w:val="1"/>
          <w:iCs w:val="1"/>
          <w:color w:val="auto"/>
        </w:rPr>
        <w:t>Ordonnance contre les</w:t>
      </w:r>
      <w:r>
        <w:rPr>
          <w:rFonts w:ascii="Arial" w:cs="Arial" w:eastAsia="Arial" w:hAnsi="Arial"/>
          <w:sz w:val="18"/>
          <w:szCs w:val="18"/>
          <w:color w:val="auto"/>
        </w:rPr>
        <w:t xml:space="preserve"> </w:t>
      </w:r>
      <w:r>
        <w:rPr>
          <w:rFonts w:ascii="Arial" w:cs="Arial" w:eastAsia="Arial" w:hAnsi="Arial"/>
          <w:sz w:val="18"/>
          <w:szCs w:val="18"/>
          <w:i w:val="1"/>
          <w:iCs w:val="1"/>
          <w:color w:val="auto"/>
        </w:rPr>
        <w:t>rémunérations abusives dans les sociétés anonymes cotées en bourse</w:t>
      </w:r>
      <w:r>
        <w:rPr>
          <w:rFonts w:ascii="Arial" w:cs="Arial" w:eastAsia="Arial" w:hAnsi="Arial"/>
          <w:sz w:val="18"/>
          <w:szCs w:val="18"/>
          <w:color w:val="auto"/>
        </w:rPr>
        <w:t>), the US Exchange Act or any other applicable United States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law, the US Tax Code, or any other applicable United States governing statute or law.</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STOCK ISSUABLE UNDER THE PLAN; MERGERS; SUBSTITUTION</w:t>
      </w:r>
    </w:p>
    <w:p>
      <w:pPr>
        <w:spacing w:after="0" w:line="198" w:lineRule="exact"/>
        <w:rPr>
          <w:sz w:val="20"/>
          <w:szCs w:val="20"/>
          <w:color w:val="auto"/>
        </w:rPr>
      </w:pPr>
    </w:p>
    <w:p>
      <w:pPr>
        <w:jc w:val="both"/>
        <w:ind w:firstLine="656"/>
        <w:spacing w:after="0" w:line="236" w:lineRule="auto"/>
        <w:tabs>
          <w:tab w:leader="none" w:pos="121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Stock Issuable.</w:t>
      </w:r>
      <w:r>
        <w:rPr>
          <w:rFonts w:ascii="Arial" w:cs="Arial" w:eastAsia="Arial" w:hAnsi="Arial"/>
          <w:sz w:val="18"/>
          <w:szCs w:val="18"/>
          <w:color w:val="auto"/>
        </w:rPr>
        <w:t xml:space="preserve"> The maximum number of shares of Stock reserved and available for issuance under the Plan shall be 3,523,000 shares, subject to adjustment as provided in Section 3. For purposes of this limitation, the shares of Stock underlying any Awards under the Plan or any shares of Stock underlying any awards under the Company’s 2013 Stock Option and Grant Plan or previous plans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2,000,000 shares of Stock may be granted to any one individual grantee during any one calendar year period, and no more than 3,523,000 shares of the Stock may be issued in the form of Incentive Stock Options. The shares available for issuance under the Plan may be authorized but unissued shares of Stock (including shares to be issued from the conditional capital of the Company) or shares of Stock reacquired by the Company.</w:t>
      </w:r>
    </w:p>
    <w:p>
      <w:pPr>
        <w:spacing w:after="0" w:line="191" w:lineRule="exact"/>
        <w:rPr>
          <w:rFonts w:ascii="Arial" w:cs="Arial" w:eastAsia="Arial" w:hAnsi="Arial"/>
          <w:sz w:val="18"/>
          <w:szCs w:val="18"/>
          <w:color w:val="auto"/>
        </w:rPr>
      </w:pPr>
    </w:p>
    <w:p>
      <w:pPr>
        <w:jc w:val="both"/>
        <w:ind w:firstLine="656"/>
        <w:spacing w:after="0"/>
        <w:tabs>
          <w:tab w:leader="none" w:pos="132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shall not exceed (i) $300,000 in total value or (ii) in the event such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is first appointed or elected to the Board during such calendar year, $400,000 in total value.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189" w:lineRule="exact"/>
        <w:rPr>
          <w:sz w:val="20"/>
          <w:szCs w:val="20"/>
          <w:color w:val="auto"/>
        </w:rPr>
      </w:pPr>
    </w:p>
    <w:p>
      <w:pPr>
        <w:ind w:left="1220" w:hanging="564"/>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firstLine="656"/>
        <w:spacing w:after="0" w:line="235" w:lineRule="auto"/>
        <w:tabs>
          <w:tab w:leader="none" w:pos="131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in Stock</w:t>
      </w:r>
      <w:r>
        <w:rPr>
          <w:rFonts w:ascii="Arial" w:cs="Arial" w:eastAsia="Arial" w:hAnsi="Arial"/>
          <w:sz w:val="18"/>
          <w:szCs w:val="18"/>
          <w:color w:val="auto"/>
        </w:rPr>
        <w:t>. Subject to Section 3(e)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rFonts w:ascii="Arial" w:cs="Arial" w:eastAsia="Arial" w:hAnsi="Arial"/>
          <w:sz w:val="18"/>
          <w:szCs w:val="18"/>
          <w:color w:val="auto"/>
        </w:rPr>
      </w:pPr>
    </w:p>
    <w:p>
      <w:pPr>
        <w:jc w:val="both"/>
        <w:ind w:firstLine="656"/>
        <w:spacing w:after="0" w:line="236"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Mergers and Other Transactions</w:t>
      </w:r>
      <w:r>
        <w:rPr>
          <w:rFonts w:ascii="Arial" w:cs="Arial" w:eastAsia="Arial" w:hAnsi="Arial"/>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STOCK OPTIONS</w:t>
      </w:r>
    </w:p>
    <w:p>
      <w:pPr>
        <w:spacing w:after="0" w:line="198" w:lineRule="exact"/>
        <w:rPr>
          <w:sz w:val="20"/>
          <w:szCs w:val="20"/>
          <w:color w:val="auto"/>
        </w:rPr>
      </w:pPr>
    </w:p>
    <w:p>
      <w:pPr>
        <w:ind w:firstLine="656"/>
        <w:spacing w:after="0" w:line="246" w:lineRule="auto"/>
        <w:tabs>
          <w:tab w:leader="none" w:pos="125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US Tax Code. To the extent that any Option does not qualify as an Incentive Stock Option, it shall be deemed a Non-Qualified Stock Option.</w:t>
      </w:r>
    </w:p>
    <w:p>
      <w:pPr>
        <w:spacing w:after="0" w:line="17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8" w:lineRule="exact"/>
        <w:rPr>
          <w:sz w:val="20"/>
          <w:szCs w:val="20"/>
          <w:color w:val="auto"/>
        </w:rPr>
      </w:pPr>
    </w:p>
    <w:p>
      <w:pPr>
        <w:jc w:val="both"/>
        <w:ind w:firstLine="656"/>
        <w:spacing w:after="0" w:line="239" w:lineRule="auto"/>
        <w:tabs>
          <w:tab w:leader="none" w:pos="121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88" w:lineRule="exact"/>
        <w:rPr>
          <w:rFonts w:ascii="Arial" w:cs="Arial" w:eastAsia="Arial" w:hAnsi="Arial"/>
          <w:sz w:val="18"/>
          <w:szCs w:val="18"/>
          <w:color w:val="auto"/>
        </w:rPr>
      </w:pPr>
    </w:p>
    <w:p>
      <w:pPr>
        <w:jc w:val="both"/>
        <w:ind w:firstLine="656"/>
        <w:spacing w:after="0"/>
        <w:tabs>
          <w:tab w:leader="none" w:pos="124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89" w:lineRule="exact"/>
        <w:rPr>
          <w:rFonts w:ascii="Arial" w:cs="Arial" w:eastAsia="Arial" w:hAnsi="Arial"/>
          <w:sz w:val="18"/>
          <w:szCs w:val="18"/>
          <w:color w:val="auto"/>
        </w:rPr>
      </w:pPr>
    </w:p>
    <w:p>
      <w:pPr>
        <w:ind w:right="20" w:firstLine="656"/>
        <w:spacing w:after="0" w:line="246" w:lineRule="auto"/>
        <w:tabs>
          <w:tab w:leader="none" w:pos="142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9" w:lineRule="exact"/>
        <w:rPr>
          <w:sz w:val="20"/>
          <w:szCs w:val="20"/>
          <w:color w:val="auto"/>
        </w:rPr>
      </w:pPr>
    </w:p>
    <w:p>
      <w:pPr>
        <w:jc w:val="both"/>
        <w:ind w:firstLine="656"/>
        <w:spacing w:after="0" w:line="239" w:lineRule="auto"/>
        <w:tabs>
          <w:tab w:leader="none" w:pos="124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or the Company’s designee (in particular to the bank in charge of the capital increase as per art. 653e par. 2 of the Swiss Obligation Code) specifying the number of shares to be purchased. Payment of the purchase price may be made by one or more of the following methods, as determined by the Administrator in its sole discretion, except to the extent otherwise provided in the Option Award Certificate:</w:t>
      </w:r>
    </w:p>
    <w:p>
      <w:pPr>
        <w:spacing w:after="0" w:line="188" w:lineRule="exact"/>
        <w:rPr>
          <w:rFonts w:ascii="Arial" w:cs="Arial" w:eastAsia="Arial" w:hAnsi="Arial"/>
          <w:sz w:val="18"/>
          <w:szCs w:val="18"/>
          <w:color w:val="auto"/>
        </w:rPr>
      </w:pPr>
    </w:p>
    <w:p>
      <w:pPr>
        <w:ind w:left="1820" w:hanging="515"/>
        <w:spacing w:after="0"/>
        <w:tabs>
          <w:tab w:leader="none" w:pos="1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98" w:lineRule="exact"/>
        <w:rPr>
          <w:rFonts w:ascii="Arial" w:cs="Arial" w:eastAsia="Arial" w:hAnsi="Arial"/>
          <w:sz w:val="18"/>
          <w:szCs w:val="18"/>
          <w:color w:val="auto"/>
        </w:rPr>
      </w:pPr>
    </w:p>
    <w:p>
      <w:pPr>
        <w:jc w:val="both"/>
        <w:ind w:firstLine="1305"/>
        <w:spacing w:after="0"/>
        <w:tabs>
          <w:tab w:leader="none" w:pos="19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9" w:lineRule="exact"/>
        <w:rPr>
          <w:rFonts w:ascii="Arial" w:cs="Arial" w:eastAsia="Arial" w:hAnsi="Arial"/>
          <w:sz w:val="18"/>
          <w:szCs w:val="18"/>
          <w:color w:val="auto"/>
        </w:rPr>
      </w:pPr>
    </w:p>
    <w:p>
      <w:pPr>
        <w:jc w:val="both"/>
        <w:ind w:firstLine="1305"/>
        <w:spacing w:after="0" w:line="239" w:lineRule="auto"/>
        <w:tabs>
          <w:tab w:leader="none" w:pos="17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8" w:lineRule="exact"/>
        <w:rPr>
          <w:rFonts w:ascii="Arial" w:cs="Arial" w:eastAsia="Arial" w:hAnsi="Arial"/>
          <w:sz w:val="18"/>
          <w:szCs w:val="18"/>
          <w:color w:val="auto"/>
        </w:rPr>
      </w:pPr>
    </w:p>
    <w:p>
      <w:pPr>
        <w:jc w:val="both"/>
        <w:ind w:firstLine="1305"/>
        <w:spacing w:after="0"/>
        <w:tabs>
          <w:tab w:leader="none" w:pos="18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Payment instruments will be received subject to collection. The transfer to the optionee in the share register or the register in book entry form of uncertified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xml:space="preserve">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or social security contributions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In the event payment is not received within 30 days of the receipt of the notice of exercise, the Administrator shall have the right to declare such exercised Stock Options as terminated and thereby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96" w:lineRule="exact"/>
        <w:rPr>
          <w:sz w:val="20"/>
          <w:szCs w:val="20"/>
          <w:color w:val="auto"/>
        </w:rPr>
      </w:pPr>
    </w:p>
    <w:p>
      <w:pPr>
        <w:jc w:val="both"/>
        <w:ind w:firstLine="656"/>
        <w:spacing w:after="0" w:line="238" w:lineRule="auto"/>
        <w:tabs>
          <w:tab w:leader="none" w:pos="122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US Tax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9" w:lineRule="exact"/>
        <w:rPr>
          <w:rFonts w:ascii="Arial" w:cs="Arial" w:eastAsia="Arial" w:hAnsi="Arial"/>
          <w:sz w:val="18"/>
          <w:szCs w:val="18"/>
          <w:color w:val="auto"/>
        </w:rPr>
      </w:pPr>
    </w:p>
    <w:p>
      <w:pPr>
        <w:jc w:val="both"/>
        <w:ind w:firstLine="656"/>
        <w:spacing w:after="0" w:line="238" w:lineRule="auto"/>
        <w:tabs>
          <w:tab w:leader="none" w:pos="124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17 below, in writing after the Award is issued, a grantee’s right in all Stock Options that have not vested shall automatically terminate upon the grantee’s termination of employment (or cessation of service relationship) with the Company and its Subsidiaries for any reason. For the avoidance of doubt, Stock Options that would vest between the termination by one of the parties and the end of the notice period shall be forfeited.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STOCK APPRECIATION RIGHTS</w:t>
      </w:r>
    </w:p>
    <w:p>
      <w:pPr>
        <w:spacing w:after="0" w:line="198" w:lineRule="exact"/>
        <w:rPr>
          <w:sz w:val="20"/>
          <w:szCs w:val="20"/>
          <w:color w:val="auto"/>
        </w:rPr>
      </w:pPr>
    </w:p>
    <w:p>
      <w:pPr>
        <w:jc w:val="both"/>
        <w:ind w:firstLine="656"/>
        <w:spacing w:after="0" w:line="239" w:lineRule="auto"/>
        <w:tabs>
          <w:tab w:leader="none" w:pos="150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88" w:lineRule="exact"/>
        <w:rPr>
          <w:rFonts w:ascii="Arial" w:cs="Arial" w:eastAsia="Arial" w:hAnsi="Arial"/>
          <w:sz w:val="18"/>
          <w:szCs w:val="18"/>
          <w:color w:val="auto"/>
        </w:rPr>
      </w:pPr>
    </w:p>
    <w:p>
      <w:pPr>
        <w:ind w:firstLine="656"/>
        <w:spacing w:after="0" w:line="246" w:lineRule="auto"/>
        <w:tabs>
          <w:tab w:leader="none" w:pos="121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183" w:lineRule="exact"/>
        <w:rPr>
          <w:rFonts w:ascii="Arial" w:cs="Arial" w:eastAsia="Arial" w:hAnsi="Arial"/>
          <w:sz w:val="18"/>
          <w:szCs w:val="18"/>
          <w:color w:val="auto"/>
        </w:rPr>
      </w:pPr>
    </w:p>
    <w:p>
      <w:pPr>
        <w:ind w:firstLine="656"/>
        <w:spacing w:after="0" w:line="246" w:lineRule="auto"/>
        <w:tabs>
          <w:tab w:leader="none" w:pos="122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83" w:lineRule="exact"/>
        <w:rPr>
          <w:rFonts w:ascii="Arial" w:cs="Arial" w:eastAsia="Arial" w:hAnsi="Arial"/>
          <w:sz w:val="18"/>
          <w:szCs w:val="18"/>
          <w:color w:val="auto"/>
        </w:rPr>
      </w:pPr>
    </w:p>
    <w:p>
      <w:pPr>
        <w:jc w:val="both"/>
        <w:ind w:firstLine="656"/>
        <w:spacing w:after="0" w:line="239" w:lineRule="auto"/>
        <w:tabs>
          <w:tab w:leader="none" w:pos="124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Appreciation Rights</w:t>
      </w:r>
      <w:r>
        <w:rPr>
          <w:rFonts w:ascii="Arial" w:cs="Arial" w:eastAsia="Arial" w:hAnsi="Arial"/>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88" w:lineRule="exact"/>
        <w:rPr>
          <w:rFonts w:ascii="Arial" w:cs="Arial" w:eastAsia="Arial" w:hAnsi="Arial"/>
          <w:sz w:val="18"/>
          <w:szCs w:val="18"/>
          <w:color w:val="auto"/>
        </w:rPr>
      </w:pPr>
    </w:p>
    <w:p>
      <w:pPr>
        <w:jc w:val="both"/>
        <w:ind w:firstLine="656"/>
        <w:spacing w:after="0" w:line="238" w:lineRule="auto"/>
        <w:tabs>
          <w:tab w:leader="none" w:pos="124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17 below, in writing after the Award is issued, a grantee’s right in all Stock Appreciation Rights that have not vested shall automatically terminate upon the grantee’s termination of employment (or cessation of service relationship) with the Company and its Subsidiaries for any reason. For the avoidance of doubt, Stock Appreciation Rights that would vest between the termination by one of the parties and the end of the notice period shall be forfeited.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RESTRICTED STOCK AWARDS</w:t>
      </w:r>
    </w:p>
    <w:p>
      <w:pPr>
        <w:spacing w:after="0" w:line="198" w:lineRule="exact"/>
        <w:rPr>
          <w:sz w:val="20"/>
          <w:szCs w:val="20"/>
          <w:color w:val="auto"/>
        </w:rPr>
      </w:pPr>
    </w:p>
    <w:p>
      <w:pPr>
        <w:ind w:firstLine="656"/>
        <w:spacing w:after="0" w:line="246" w:lineRule="auto"/>
        <w:tabs>
          <w:tab w:leader="none" w:pos="128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Awards</w:t>
      </w:r>
      <w:r>
        <w:rPr>
          <w:rFonts w:ascii="Arial" w:cs="Arial" w:eastAsia="Arial" w:hAnsi="Arial"/>
          <w:sz w:val="18"/>
          <w:szCs w:val="18"/>
          <w:color w:val="auto"/>
        </w:rPr>
        <w:t>. The Administrator may grant Restricted Stock Awards under the Plan. A Restricted Stock Award is any Award of Restricted Shares subject to such restrictions and conditions as the Administrator may determine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9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of grant. Conditions may be based on continuing employment (or other service relationship) and/or achievement of pre-established performance goals and objectives.</w:t>
      </w:r>
    </w:p>
    <w:p>
      <w:pPr>
        <w:spacing w:after="0" w:line="183" w:lineRule="exact"/>
        <w:rPr>
          <w:sz w:val="20"/>
          <w:szCs w:val="20"/>
          <w:color w:val="auto"/>
        </w:rPr>
      </w:pPr>
    </w:p>
    <w:p>
      <w:pPr>
        <w:jc w:val="both"/>
        <w:ind w:firstLine="656"/>
        <w:spacing w:after="0" w:line="236" w:lineRule="auto"/>
        <w:tabs>
          <w:tab w:leader="none" w:pos="121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xml:space="preserve">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in the share register or the register in book entry form of uncertified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93" w:lineRule="exact"/>
        <w:rPr>
          <w:rFonts w:ascii="Arial" w:cs="Arial" w:eastAsia="Arial" w:hAnsi="Arial"/>
          <w:sz w:val="18"/>
          <w:szCs w:val="18"/>
          <w:color w:val="auto"/>
        </w:rPr>
      </w:pPr>
    </w:p>
    <w:p>
      <w:pPr>
        <w:jc w:val="both"/>
        <w:ind w:firstLine="656"/>
        <w:spacing w:after="0" w:line="236" w:lineRule="auto"/>
        <w:tabs>
          <w:tab w:leader="none" w:pos="120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17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For the avoidance of doubt, any Restricted Shares that would vest between the termination by one of the parties and the end of the notice period shall also be deemed to have been reacquired by the Company at the above mentioned conditions. By signing an Award Certificate the grantee irrevocably and unconditionally agrees and commits to (re)sell unvested Restricted Shares to the Company at the above mentioned conditions at the first request of the Company. Following such deemed reacquisition of Restricted Shares that are represented by physical certificates, a grantee shall surrender such certificates to the Company upon request without consideration.</w:t>
      </w:r>
    </w:p>
    <w:p>
      <w:pPr>
        <w:spacing w:after="0" w:line="190" w:lineRule="exact"/>
        <w:rPr>
          <w:rFonts w:ascii="Arial" w:cs="Arial" w:eastAsia="Arial" w:hAnsi="Arial"/>
          <w:sz w:val="18"/>
          <w:szCs w:val="18"/>
          <w:color w:val="auto"/>
        </w:rPr>
      </w:pPr>
    </w:p>
    <w:p>
      <w:pPr>
        <w:jc w:val="both"/>
        <w:ind w:firstLine="656"/>
        <w:spacing w:after="0" w:line="238" w:lineRule="auto"/>
        <w:tabs>
          <w:tab w:leader="none" w:pos="123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Vesting of Restricted Shares</w:t>
      </w:r>
      <w:r>
        <w:rPr>
          <w:rFonts w:ascii="Arial" w:cs="Arial" w:eastAsia="Arial" w:hAnsi="Arial"/>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8"/>
          <w:szCs w:val="18"/>
          <w:u w:val="single" w:color="auto"/>
          <w:color w:val="auto"/>
        </w:rPr>
        <w:t>RESTRICTED STOCK UNITS</w:t>
      </w:r>
    </w:p>
    <w:p>
      <w:pPr>
        <w:spacing w:after="0" w:line="198" w:lineRule="exact"/>
        <w:rPr>
          <w:sz w:val="20"/>
          <w:szCs w:val="20"/>
          <w:color w:val="auto"/>
        </w:rPr>
      </w:pPr>
    </w:p>
    <w:p>
      <w:pPr>
        <w:ind w:firstLine="656"/>
        <w:spacing w:after="0" w:line="246" w:lineRule="auto"/>
        <w:tabs>
          <w:tab w:leader="none" w:pos="123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Units</w:t>
      </w:r>
      <w:r>
        <w:rPr>
          <w:rFonts w:ascii="Arial" w:cs="Arial" w:eastAsia="Arial" w:hAnsi="Arial"/>
          <w:sz w:val="18"/>
          <w:szCs w:val="18"/>
          <w:color w:val="auto"/>
        </w:rPr>
        <w:t>. The Administrator may grant Restricted Stock Units under the Plan. A Restricted Stock Unit is an Award of stock units that may be settled in shares of Stock upon the satisfaction of such restrictions and conditions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and/or Section 457A, as applicable, at the end of the vesting period, the Restricted Stock Units, to the extent vested, shall be automatically settled in the form of shares of Stock. Restricted Stock Units with deferred settlement dates shall contain such additional terms and conditions as determined by the Administrator in its sole discretion in order to comply with the requirements of Section 409A and/or Section 457A, as applicable.</w:t>
      </w:r>
    </w:p>
    <w:p>
      <w:pPr>
        <w:spacing w:after="0" w:line="190" w:lineRule="exact"/>
        <w:rPr>
          <w:sz w:val="20"/>
          <w:szCs w:val="20"/>
          <w:color w:val="auto"/>
        </w:rPr>
      </w:pPr>
    </w:p>
    <w:p>
      <w:pPr>
        <w:jc w:val="both"/>
        <w:ind w:firstLine="656"/>
        <w:spacing w:after="0" w:line="236" w:lineRule="auto"/>
        <w:tabs>
          <w:tab w:leader="none" w:pos="13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Election to Receive Restricted Stock Units in Lieu of Compensation</w:t>
      </w:r>
      <w:r>
        <w:rPr>
          <w:rFonts w:ascii="Arial" w:cs="Arial" w:eastAsia="Arial" w:hAnsi="Arial"/>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and/or Section 457A, as applicable,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93" w:lineRule="exact"/>
        <w:rPr>
          <w:rFonts w:ascii="Arial" w:cs="Arial" w:eastAsia="Arial" w:hAnsi="Arial"/>
          <w:sz w:val="18"/>
          <w:szCs w:val="18"/>
          <w:color w:val="auto"/>
        </w:rPr>
      </w:pPr>
    </w:p>
    <w:p>
      <w:pPr>
        <w:jc w:val="both"/>
        <w:ind w:firstLine="656"/>
        <w:spacing w:after="0" w:line="239" w:lineRule="auto"/>
        <w:tabs>
          <w:tab w:leader="none" w:pos="128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10 and such terms and conditions as the Administrator may determine.</w:t>
      </w:r>
    </w:p>
    <w:p>
      <w:pPr>
        <w:spacing w:after="0" w:line="188" w:lineRule="exact"/>
        <w:rPr>
          <w:rFonts w:ascii="Arial" w:cs="Arial" w:eastAsia="Arial" w:hAnsi="Arial"/>
          <w:sz w:val="18"/>
          <w:szCs w:val="18"/>
          <w:color w:val="auto"/>
        </w:rPr>
      </w:pPr>
    </w:p>
    <w:p>
      <w:pPr>
        <w:jc w:val="both"/>
        <w:ind w:firstLine="656"/>
        <w:spacing w:after="0" w:line="238" w:lineRule="auto"/>
        <w:tabs>
          <w:tab w:leader="none" w:pos="12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17 below, in writing after the Award is issued, a grantee’s right in all Restricted Stock Units that have not vested shall automatically terminate upon the grantee’s termination of employment (or cessation of service relationship) with the Company and its Subsidiaries for any reason. For the avoidance of doubt, Restricted Stock Units that would vest between the termination by one of the parties and the end of the notice period shall be forfeited.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UNRESTRICTED STOCK AWARDS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3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PERFORMANCE SHARE AWARDS</w:t>
      </w:r>
    </w:p>
    <w:p>
      <w:pPr>
        <w:spacing w:after="0" w:line="198" w:lineRule="exact"/>
        <w:rPr>
          <w:sz w:val="20"/>
          <w:szCs w:val="20"/>
          <w:color w:val="auto"/>
        </w:rPr>
      </w:pPr>
    </w:p>
    <w:p>
      <w:pPr>
        <w:jc w:val="both"/>
        <w:ind w:firstLine="656"/>
        <w:spacing w:after="0" w:line="238" w:lineRule="auto"/>
        <w:tabs>
          <w:tab w:leader="none" w:pos="12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Nature of Performance Share Awards</w:t>
      </w:r>
      <w:r>
        <w:rPr>
          <w:rFonts w:ascii="Arial" w:cs="Arial" w:eastAsia="Arial" w:hAnsi="Arial"/>
          <w:sz w:val="18"/>
          <w:szCs w:val="18"/>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89" w:lineRule="exact"/>
        <w:rPr>
          <w:rFonts w:ascii="Arial" w:cs="Arial" w:eastAsia="Arial" w:hAnsi="Arial"/>
          <w:sz w:val="18"/>
          <w:szCs w:val="18"/>
          <w:color w:val="auto"/>
        </w:rPr>
      </w:pPr>
    </w:p>
    <w:p>
      <w:pPr>
        <w:jc w:val="both"/>
        <w:ind w:firstLine="656"/>
        <w:spacing w:after="0" w:line="239" w:lineRule="auto"/>
        <w:tabs>
          <w:tab w:leader="none" w:pos="135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88" w:lineRule="exact"/>
        <w:rPr>
          <w:rFonts w:ascii="Arial" w:cs="Arial" w:eastAsia="Arial" w:hAnsi="Arial"/>
          <w:sz w:val="18"/>
          <w:szCs w:val="18"/>
          <w:color w:val="auto"/>
        </w:rPr>
      </w:pPr>
    </w:p>
    <w:p>
      <w:pPr>
        <w:jc w:val="both"/>
        <w:ind w:firstLine="656"/>
        <w:spacing w:after="0" w:line="238" w:lineRule="auto"/>
        <w:tabs>
          <w:tab w:leader="none" w:pos="123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agreement or, subject to Section 17 below, in writing after the Award is issued, a grantee’s rights in all Performance Share Awards that have not yet vested shall automatically terminate upon the grantee’s termination of employment (or cessation of service relationship) with the Company and its Subsidiaries for any reason. For the avoidance of doubt, Performance Share Awards that would vest between the termination by one of the parties and the end of the notice period shall be forfeited.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PERFORMANCE-BASED AWARDS TO COVERED EMPLOYEES</w:t>
      </w:r>
    </w:p>
    <w:p>
      <w:pPr>
        <w:spacing w:after="0" w:line="198" w:lineRule="exact"/>
        <w:rPr>
          <w:sz w:val="20"/>
          <w:szCs w:val="20"/>
          <w:color w:val="auto"/>
        </w:rPr>
      </w:pPr>
    </w:p>
    <w:p>
      <w:pPr>
        <w:jc w:val="both"/>
        <w:ind w:firstLine="656"/>
        <w:spacing w:after="0" w:line="237" w:lineRule="auto"/>
        <w:tabs>
          <w:tab w:leader="none" w:pos="125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The Administrator may grant one or more Performance-Based Awards in the form of a Restricted Stock Award, Restricted Stock Units, or Performance Share Awards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spacing w:after="0" w:line="189" w:lineRule="exact"/>
        <w:rPr>
          <w:rFonts w:ascii="Arial" w:cs="Arial" w:eastAsia="Arial" w:hAnsi="Arial"/>
          <w:sz w:val="18"/>
          <w:szCs w:val="18"/>
          <w:color w:val="auto"/>
        </w:rPr>
      </w:pPr>
    </w:p>
    <w:p>
      <w:pPr>
        <w:jc w:val="both"/>
        <w:ind w:firstLine="656"/>
        <w:spacing w:after="0" w:line="237" w:lineRule="auto"/>
        <w:tabs>
          <w:tab w:leader="none" w:pos="132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Grant of Performance-Based Awards</w:t>
      </w:r>
      <w:r>
        <w:rPr>
          <w:rFonts w:ascii="Arial" w:cs="Arial" w:eastAsia="Arial" w:hAnsi="Arial"/>
          <w:sz w:val="18"/>
          <w:szCs w:val="18"/>
          <w:color w:val="auto"/>
        </w:rPr>
        <w:t>. With respect to each Performance-Based Award granted to a Covered Employee, the Administrator shall select, within the first 90 days of a Performance Cycle (or, if shorter, within the maximum period allowed under Section 162(m) of the US Tax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89" w:lineRule="exact"/>
        <w:rPr>
          <w:rFonts w:ascii="Arial" w:cs="Arial" w:eastAsia="Arial" w:hAnsi="Arial"/>
          <w:sz w:val="18"/>
          <w:szCs w:val="18"/>
          <w:color w:val="auto"/>
        </w:rPr>
      </w:pPr>
    </w:p>
    <w:p>
      <w:pPr>
        <w:ind w:firstLine="656"/>
        <w:spacing w:after="0" w:line="246" w:lineRule="auto"/>
        <w:tabs>
          <w:tab w:leader="none" w:pos="134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Following the completion of a Performance Cycle, the Administrator shall meet to review and certify in writing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w:t>
      </w:r>
    </w:p>
    <w:p>
      <w:pPr>
        <w:spacing w:after="0" w:line="189" w:lineRule="exact"/>
        <w:rPr>
          <w:sz w:val="20"/>
          <w:szCs w:val="20"/>
          <w:color w:val="auto"/>
        </w:rPr>
      </w:pPr>
    </w:p>
    <w:p>
      <w:pPr>
        <w:ind w:firstLine="656"/>
        <w:spacing w:after="0" w:line="246" w:lineRule="auto"/>
        <w:tabs>
          <w:tab w:leader="none" w:pos="12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Maximum Award Payable</w:t>
      </w:r>
      <w:r>
        <w:rPr>
          <w:rFonts w:ascii="Arial" w:cs="Arial" w:eastAsia="Arial" w:hAnsi="Arial"/>
          <w:sz w:val="18"/>
          <w:szCs w:val="18"/>
          <w:color w:val="auto"/>
        </w:rPr>
        <w:t>. The maximum Performance-Based Award payable to any one Covered Employee under the Plan for a Performance Cycle is 2,000,000 shares of Stock (subject to adjustment as provided in Section 3(d) hereof).</w:t>
      </w:r>
    </w:p>
    <w:p>
      <w:pPr>
        <w:spacing w:after="0" w:line="183" w:lineRule="exact"/>
        <w:rPr>
          <w:rFonts w:ascii="Arial" w:cs="Arial" w:eastAsia="Arial" w:hAnsi="Arial"/>
          <w:sz w:val="18"/>
          <w:szCs w:val="18"/>
          <w:color w:val="auto"/>
        </w:rPr>
      </w:pPr>
    </w:p>
    <w:p>
      <w:pPr>
        <w:ind w:right="20" w:firstLine="656"/>
        <w:spacing w:after="0"/>
        <w:tabs>
          <w:tab w:leader="none" w:pos="121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Compliance with Swiss Law.</w:t>
      </w:r>
      <w:r>
        <w:rPr>
          <w:rFonts w:ascii="Arial" w:cs="Arial" w:eastAsia="Arial" w:hAnsi="Arial"/>
          <w:sz w:val="18"/>
          <w:szCs w:val="18"/>
          <w:color w:val="auto"/>
        </w:rPr>
        <w:t xml:space="preserve"> Any grant to a Covered Employee must be within the limits approved by the Shareholders’ Meeting and thus be in compliance with the Swiss Ordinance against excessive compensation in listed stock corporations (</w:t>
      </w:r>
      <w:r>
        <w:rPr>
          <w:rFonts w:ascii="Arial" w:cs="Arial" w:eastAsia="Arial" w:hAnsi="Arial"/>
          <w:sz w:val="18"/>
          <w:szCs w:val="18"/>
          <w:i w:val="1"/>
          <w:iCs w:val="1"/>
          <w:color w:val="auto"/>
        </w:rPr>
        <w:t>Ordonnance contre les</w:t>
      </w:r>
      <w:r>
        <w:rPr>
          <w:rFonts w:ascii="Arial" w:cs="Arial" w:eastAsia="Arial" w:hAnsi="Arial"/>
          <w:sz w:val="18"/>
          <w:szCs w:val="18"/>
          <w:color w:val="auto"/>
        </w:rPr>
        <w:t xml:space="preserve"> </w:t>
      </w:r>
      <w:r>
        <w:rPr>
          <w:rFonts w:ascii="Arial" w:cs="Arial" w:eastAsia="Arial" w:hAnsi="Arial"/>
          <w:sz w:val="18"/>
          <w:szCs w:val="18"/>
          <w:i w:val="1"/>
          <w:iCs w:val="1"/>
          <w:color w:val="auto"/>
        </w:rPr>
        <w:t>rémunérations abusives dans les sociétés anonymes cotées en bourse</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DIVIDEND EQUIVALENT RIGHTS</w:t>
      </w:r>
    </w:p>
    <w:p>
      <w:pPr>
        <w:spacing w:after="0" w:line="198" w:lineRule="exact"/>
        <w:rPr>
          <w:sz w:val="20"/>
          <w:szCs w:val="20"/>
          <w:color w:val="auto"/>
        </w:rPr>
      </w:pPr>
    </w:p>
    <w:p>
      <w:pPr>
        <w:jc w:val="both"/>
        <w:ind w:firstLine="656"/>
        <w:spacing w:after="0" w:line="236"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91" w:lineRule="exact"/>
        <w:rPr>
          <w:rFonts w:ascii="Arial" w:cs="Arial" w:eastAsia="Arial" w:hAnsi="Arial"/>
          <w:sz w:val="18"/>
          <w:szCs w:val="18"/>
          <w:color w:val="auto"/>
        </w:rPr>
      </w:pPr>
    </w:p>
    <w:p>
      <w:pPr>
        <w:jc w:val="both"/>
        <w:ind w:firstLine="656"/>
        <w:spacing w:after="0" w:line="238" w:lineRule="auto"/>
        <w:tabs>
          <w:tab w:leader="none" w:pos="124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17 below, in writing after the Award is issued, a grantee’s rights in all Dividend Equivalent Rights shall automatically terminate upon the grantee’s termination of employment (or cessation of service relationship) with the Company and its Subsidiaries for any reason. For the avoidance of doubt, Dividend Equivalent Rights that would vest between the termination by one of the parties and the end of the notice period shall be forfeited.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u w:val="single" w:color="auto"/>
          <w:color w:val="auto"/>
        </w:rPr>
        <w:t>TRANSFERABILITY OF AWARDS</w:t>
      </w:r>
    </w:p>
    <w:p>
      <w:pPr>
        <w:spacing w:after="0" w:line="198" w:lineRule="exact"/>
        <w:rPr>
          <w:sz w:val="20"/>
          <w:szCs w:val="20"/>
          <w:color w:val="auto"/>
        </w:rPr>
      </w:pPr>
    </w:p>
    <w:p>
      <w:pPr>
        <w:jc w:val="both"/>
        <w:ind w:firstLine="656"/>
        <w:spacing w:after="0" w:line="238" w:lineRule="auto"/>
        <w:tabs>
          <w:tab w:leader="none" w:pos="1299"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13(b)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96" w:lineRule="exact"/>
        <w:rPr>
          <w:sz w:val="20"/>
          <w:szCs w:val="20"/>
          <w:color w:val="auto"/>
        </w:rPr>
      </w:pPr>
    </w:p>
    <w:p>
      <w:pPr>
        <w:jc w:val="both"/>
        <w:ind w:firstLine="656"/>
        <w:spacing w:after="0" w:line="238" w:lineRule="auto"/>
        <w:tabs>
          <w:tab w:leader="none" w:pos="144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13(a),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9" w:lineRule="exact"/>
        <w:rPr>
          <w:rFonts w:ascii="Arial" w:cs="Arial" w:eastAsia="Arial" w:hAnsi="Arial"/>
          <w:sz w:val="18"/>
          <w:szCs w:val="18"/>
          <w:color w:val="auto"/>
        </w:rPr>
      </w:pPr>
    </w:p>
    <w:p>
      <w:pPr>
        <w:jc w:val="both"/>
        <w:ind w:firstLine="656"/>
        <w:spacing w:after="0" w:line="237" w:lineRule="auto"/>
        <w:tabs>
          <w:tab w:leader="none" w:pos="133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Family Member</w:t>
      </w:r>
      <w:r>
        <w:rPr>
          <w:rFonts w:ascii="Arial" w:cs="Arial" w:eastAsia="Arial" w:hAnsi="Arial"/>
          <w:sz w:val="18"/>
          <w:szCs w:val="18"/>
          <w:color w:val="auto"/>
        </w:rPr>
        <w:t>. For purposes of Section 13(b),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91" w:lineRule="exact"/>
        <w:rPr>
          <w:rFonts w:ascii="Arial" w:cs="Arial" w:eastAsia="Arial" w:hAnsi="Arial"/>
          <w:sz w:val="18"/>
          <w:szCs w:val="18"/>
          <w:color w:val="auto"/>
        </w:rPr>
      </w:pPr>
    </w:p>
    <w:p>
      <w:pPr>
        <w:jc w:val="both"/>
        <w:ind w:firstLine="656"/>
        <w:spacing w:after="0" w:line="238" w:lineRule="auto"/>
        <w:tabs>
          <w:tab w:leader="none" w:pos="121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u w:val="single" w:color="auto"/>
          <w:color w:val="auto"/>
        </w:rPr>
        <w:t>TAX AND SOCIAL SECURITY WITHHOLDING</w:t>
      </w:r>
    </w:p>
    <w:p>
      <w:pPr>
        <w:spacing w:after="0" w:line="198" w:lineRule="exact"/>
        <w:rPr>
          <w:sz w:val="20"/>
          <w:szCs w:val="20"/>
          <w:color w:val="auto"/>
        </w:rPr>
      </w:pPr>
    </w:p>
    <w:p>
      <w:pPr>
        <w:jc w:val="both"/>
        <w:ind w:firstLine="656"/>
        <w:spacing w:after="0" w:line="236" w:lineRule="auto"/>
        <w:tabs>
          <w:tab w:leader="none" w:pos="132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Stock or other amounts received thereunder first becomes includable in the gross income of the grantee for income tax and, if applicable, social security purposes, pay to the Company, or make arrangements satisfactory to the Administrator regarding payment of, any Federal, state, or local taxes of any kind required by Swiss law or any applicable foreign law to be withheld by the Company with respect to such income. The Company and its Subsidiaries shall, to the extent permitted by law, have the right to deduct any such taxes and social security contributions from any payment of any kind otherwise due to the grantee, and/or to claim repayment of such taxes or social security contributions from the Participant who formally acknowledges his debt in this respect by signing the Award Certificate, and/or to retain the delivery of any shares due until payment or repayment by the Participant, and/or to sell any shares due and set off the gain resulting of the sale against all taxes and social security contributions to be borne by the Participant. The Company’s obligation to deliver evidence of book entry (or stock certificates) to any grantee is subject to and conditioned on tax and social security withholding obligations being satisfied by the grantee.</w:t>
      </w:r>
    </w:p>
    <w:p>
      <w:pPr>
        <w:spacing w:after="0" w:line="193" w:lineRule="exact"/>
        <w:rPr>
          <w:rFonts w:ascii="Arial" w:cs="Arial" w:eastAsia="Arial" w:hAnsi="Arial"/>
          <w:sz w:val="18"/>
          <w:szCs w:val="18"/>
          <w:color w:val="auto"/>
        </w:rPr>
      </w:pPr>
    </w:p>
    <w:p>
      <w:pPr>
        <w:jc w:val="both"/>
        <w:ind w:firstLine="656"/>
        <w:spacing w:after="0" w:line="238" w:lineRule="auto"/>
        <w:tabs>
          <w:tab w:leader="none" w:pos="125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Subject to approval by the Administrator, a grantee may elect to have the Company’s minimum required tax and, if applicable, social security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withholding, the Fair Market Value of withheld shares shall be determined in the same manner as the value of Stock includible in income of the Participants.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u w:val="single" w:color="auto"/>
          <w:color w:val="auto"/>
        </w:rPr>
        <w:t>SECTION 409A AND SECTION 457A</w:t>
      </w:r>
    </w:p>
    <w:p>
      <w:pPr>
        <w:spacing w:after="0" w:line="198" w:lineRule="exact"/>
        <w:rPr>
          <w:sz w:val="20"/>
          <w:szCs w:val="20"/>
          <w:color w:val="auto"/>
        </w:rPr>
      </w:pPr>
    </w:p>
    <w:p>
      <w:pPr>
        <w:jc w:val="both"/>
        <w:ind w:firstLine="656"/>
        <w:spacing w:after="0" w:line="236" w:lineRule="auto"/>
        <w:tabs>
          <w:tab w:leader="none" w:pos="129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Plan is intended to comply with the requirements of Section 409A to the extent applicable and in order to avoid the imposition of additional taxes and interest thereunder. The provisions of the Plan shall be interpreted in a manner that satisfies such requirements, and the Plan shall be operated accordingly. If any provision of the Plan would otherwise frustrate or conflict with this intent, the provision will be interpreted and deemed amended so as to avoid this conflict. If an operational failure occurs with respect to the requirements of Section 409A, any affected Participant shall fully cooperate with the Company to correct the failure in the manner determined by the Administrator in its sole discretion, including, to the extent possible, in accordance with any correction procedure established by the United States Internal Revenue Service. No provisions of the Plan shall be interpreted to transfer any liability for a failure to comply with Section 409A from a Participant or any other Person to the Company.</w:t>
      </w:r>
    </w:p>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Notwithstanding any provision of the Plan or any Award Agreement, if at the time of termination of a Participant’s employment or service with the Company or any of its Subsidiaries he or she is a “specified employee” (as defined in Section 409A) and any payments upon such termination under the Plan or such Award Agreement are treated as deferred compensation subject to Section 409A, he or she will not be entitled to such payments until the earlier of (a) the date that is six months after such termination or (b) any earlier date that does not result in any additional tax or interest to such Participant under Section 409A. For purposes of Section 409A, any payment or settlement of an Award made under the Plan shall be designated as a “separate payment” within the meaning of Section 409A. Further, the settlement date(s) specified in any such Award may not be accelerated or deferred subsequent to the issuance of the Award except to the extent permitted by Section 409A.</w:t>
      </w:r>
    </w:p>
    <w:p>
      <w:pPr>
        <w:spacing w:after="0" w:line="195" w:lineRule="exact"/>
        <w:rPr>
          <w:sz w:val="20"/>
          <w:szCs w:val="20"/>
          <w:color w:val="auto"/>
        </w:rPr>
      </w:pPr>
    </w:p>
    <w:p>
      <w:pPr>
        <w:jc w:val="both"/>
        <w:ind w:firstLine="656"/>
        <w:spacing w:after="0" w:line="236" w:lineRule="auto"/>
        <w:tabs>
          <w:tab w:leader="none" w:pos="129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Section 457A</w:t>
      </w:r>
      <w:r>
        <w:rPr>
          <w:rFonts w:ascii="Arial" w:cs="Arial" w:eastAsia="Arial" w:hAnsi="Arial"/>
          <w:sz w:val="18"/>
          <w:szCs w:val="18"/>
          <w:color w:val="auto"/>
        </w:rPr>
        <w:t>. The Plan is intended to comply with the requirements of Section 457A to the extent applicable and in order to avoid the imposition of additional taxes and interest thereunder. The provisions of the Plan shall be interpreted in a manner that satisfies such requirements, and the Plan shall be operated accordingly. If any provision of the Plan would otherwise frustrate or conflict with this intent, the provision will be interpreted and deemed amended so as to avoid this conflict. If an operational failure occurs with respect to the requirements of Section 457A, any affected Participant shall fully cooperate with the Company to correct the failure in the manner determined by the Administrator in its sole discretion, including, to the extent possible, in accordance with any correction procedure established by the United States Internal Revenue Service. No provisions of the Plan shall be interpreted to transfer any liability for a failure to comply with Section 457A from a Participant or any other Person to the Company.</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u w:val="single" w:color="auto"/>
          <w:color w:val="auto"/>
        </w:rPr>
        <w:t>TERMINATION OF EMPLOYMENT, TRANSFER, LEAVE OF ABSENCE, ETC.</w:t>
      </w:r>
    </w:p>
    <w:p>
      <w:pPr>
        <w:spacing w:after="0" w:line="198" w:lineRule="exact"/>
        <w:rPr>
          <w:sz w:val="20"/>
          <w:szCs w:val="20"/>
          <w:color w:val="auto"/>
        </w:rPr>
      </w:pPr>
    </w:p>
    <w:p>
      <w:pPr>
        <w:ind w:firstLine="656"/>
        <w:spacing w:after="0" w:line="246" w:lineRule="auto"/>
        <w:tabs>
          <w:tab w:leader="none" w:pos="143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grantee’s employer ceases to be a Subsidiary, the grantee shall be deemed to have terminated employment for purposes of the Plan.</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96" w:lineRule="exact"/>
        <w:rPr>
          <w:sz w:val="20"/>
          <w:szCs w:val="20"/>
          <w:color w:val="auto"/>
        </w:rPr>
      </w:pPr>
    </w:p>
    <w:p>
      <w:pPr>
        <w:ind w:firstLine="1305"/>
        <w:spacing w:after="0" w:line="246" w:lineRule="auto"/>
        <w:tabs>
          <w:tab w:leader="none" w:pos="19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 Subsidiary to another; or</w:t>
      </w:r>
    </w:p>
    <w:p>
      <w:pPr>
        <w:spacing w:after="0" w:line="183" w:lineRule="exact"/>
        <w:rPr>
          <w:rFonts w:ascii="Arial" w:cs="Arial" w:eastAsia="Arial" w:hAnsi="Arial"/>
          <w:sz w:val="18"/>
          <w:szCs w:val="18"/>
          <w:color w:val="auto"/>
        </w:rPr>
      </w:pPr>
    </w:p>
    <w:p>
      <w:pPr>
        <w:jc w:val="both"/>
        <w:ind w:firstLine="1305"/>
        <w:spacing w:after="0"/>
        <w:tabs>
          <w:tab w:leader="none" w:pos="18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u w:val="single" w:color="auto"/>
          <w:color w:val="auto"/>
        </w:rPr>
        <w:t>AMENDMENTS AND TERMINATION</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3(d) or 3(e),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US Tax Code to ensure that Incentive Stock Options granted under the Plan are qualified under Section 422 of the US Tax Code, or to ensure that compensation earned under Awards qualifies as performance-based compensation under Section 162(m) of the US Tax Code, Plan amendments shall be subject to approval by the Company stockholders entitled to vote at a meeting of stockholders. Nothing in this Section 17 shall limit the Administrator’s authority to take any action permitted pursuant to Section 3(d) or 3(e).</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u w:val="single" w:color="auto"/>
          <w:color w:val="auto"/>
        </w:rPr>
        <w:t>STATUS OF PLAN</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8"/>
          <w:szCs w:val="18"/>
          <w:u w:val="single" w:color="auto"/>
          <w:color w:val="auto"/>
        </w:rPr>
        <w:t>GENERAL PROVISIONS</w:t>
      </w:r>
    </w:p>
    <w:p>
      <w:pPr>
        <w:spacing w:after="0" w:line="198" w:lineRule="exact"/>
        <w:rPr>
          <w:sz w:val="20"/>
          <w:szCs w:val="20"/>
          <w:color w:val="auto"/>
        </w:rPr>
      </w:pPr>
    </w:p>
    <w:p>
      <w:pPr>
        <w:ind w:firstLine="656"/>
        <w:spacing w:after="0" w:line="246" w:lineRule="auto"/>
        <w:tabs>
          <w:tab w:leader="none" w:pos="131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83" w:lineRule="exact"/>
        <w:rPr>
          <w:rFonts w:ascii="Arial" w:cs="Arial" w:eastAsia="Arial" w:hAnsi="Arial"/>
          <w:sz w:val="18"/>
          <w:szCs w:val="18"/>
          <w:color w:val="auto"/>
        </w:rPr>
      </w:pPr>
    </w:p>
    <w:p>
      <w:pPr>
        <w:ind w:firstLine="656"/>
        <w:spacing w:after="0" w:line="246" w:lineRule="auto"/>
        <w:tabs>
          <w:tab w:leader="none" w:pos="12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Delivery of Stock Certificates.</w:t>
      </w:r>
      <w:r>
        <w:rPr>
          <w:rFonts w:ascii="Arial" w:cs="Arial" w:eastAsia="Arial" w:hAnsi="Arial"/>
          <w:sz w:val="18"/>
          <w:szCs w:val="18"/>
          <w:color w:val="auto"/>
        </w:rPr>
        <w:t xml:space="preserve"> No Stock certificates to grantees under the Plan shall be delivered, as all shares are recorded in the Company's share register or in book entry form as uncertified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tabs>
          <w:tab w:leader="none" w:pos="123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a grantee has been recorded in the Company's share register,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96" w:lineRule="exact"/>
        <w:rPr>
          <w:sz w:val="20"/>
          <w:szCs w:val="20"/>
          <w:color w:val="auto"/>
        </w:rPr>
      </w:pPr>
    </w:p>
    <w:p>
      <w:pPr>
        <w:jc w:val="both"/>
        <w:ind w:firstLine="656"/>
        <w:spacing w:after="0" w:line="237" w:lineRule="auto"/>
        <w:tabs>
          <w:tab w:leader="none" w:pos="140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 Any Award granted under this Plan qualifies as a voluntary benefit (</w:t>
      </w:r>
      <w:r>
        <w:rPr>
          <w:rFonts w:ascii="Arial" w:cs="Arial" w:eastAsia="Arial" w:hAnsi="Arial"/>
          <w:sz w:val="18"/>
          <w:szCs w:val="18"/>
          <w:i w:val="1"/>
          <w:iCs w:val="1"/>
          <w:color w:val="auto"/>
        </w:rPr>
        <w:t>gratification</w:t>
      </w:r>
      <w:r>
        <w:rPr>
          <w:rFonts w:ascii="Arial" w:cs="Arial" w:eastAsia="Arial" w:hAnsi="Arial"/>
          <w:sz w:val="18"/>
          <w:szCs w:val="18"/>
          <w:color w:val="auto"/>
        </w:rPr>
        <w:t>) granted at the discretion of the Company and shall under no circumstance be considered as salary (</w:t>
      </w:r>
      <w:r>
        <w:rPr>
          <w:rFonts w:ascii="Arial" w:cs="Arial" w:eastAsia="Arial" w:hAnsi="Arial"/>
          <w:sz w:val="18"/>
          <w:szCs w:val="18"/>
          <w:i w:val="1"/>
          <w:iCs w:val="1"/>
          <w:color w:val="auto"/>
        </w:rPr>
        <w:t>salaire</w:t>
      </w:r>
      <w:r>
        <w:rPr>
          <w:rFonts w:ascii="Arial" w:cs="Arial" w:eastAsia="Arial" w:hAnsi="Arial"/>
          <w:sz w:val="18"/>
          <w:szCs w:val="18"/>
          <w:color w:val="auto"/>
        </w:rPr>
        <w:t>). Neither the adoption of this Plan, nor the granting of Awards, nor any action of the Company or of the Administrator shall be held or construed to confer upon any Participant any legal right to be granted Awards. The grant of Awards does confer any rights to be granted further Awards.</w:t>
      </w:r>
    </w:p>
    <w:p>
      <w:pPr>
        <w:spacing w:after="0" w:line="189" w:lineRule="exact"/>
        <w:rPr>
          <w:rFonts w:ascii="Arial" w:cs="Arial" w:eastAsia="Arial" w:hAnsi="Arial"/>
          <w:sz w:val="18"/>
          <w:szCs w:val="18"/>
          <w:color w:val="auto"/>
        </w:rPr>
      </w:pPr>
    </w:p>
    <w:p>
      <w:pPr>
        <w:ind w:firstLine="656"/>
        <w:spacing w:after="0" w:line="246" w:lineRule="auto"/>
        <w:tabs>
          <w:tab w:leader="none" w:pos="121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198" w:lineRule="exact"/>
        <w:rPr>
          <w:rFonts w:ascii="Arial" w:cs="Arial" w:eastAsia="Arial" w:hAnsi="Arial"/>
          <w:sz w:val="18"/>
          <w:szCs w:val="18"/>
          <w:color w:val="auto"/>
        </w:rPr>
      </w:pPr>
    </w:p>
    <w:p>
      <w:pPr>
        <w:jc w:val="both"/>
        <w:ind w:firstLine="656"/>
        <w:spacing w:after="0" w:line="236" w:lineRule="auto"/>
        <w:tabs>
          <w:tab w:leader="none" w:pos="124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In order to administer the Plan and to implement or structure future equity grants, the Company, its subsidiaries and affiliates and certain agents thereof may process any and all personal or professional data, including but not limited to social security or other identification number, home address and telephone number, date of birth and other information that is necessary or desirable for the administration of the Plan (the “</w:t>
      </w:r>
      <w:r>
        <w:rPr>
          <w:rFonts w:ascii="Arial" w:cs="Arial" w:eastAsia="Arial" w:hAnsi="Arial"/>
          <w:sz w:val="18"/>
          <w:szCs w:val="18"/>
          <w:i w:val="1"/>
          <w:iCs w:val="1"/>
          <w:color w:val="auto"/>
        </w:rPr>
        <w:t>Relevant Information</w:t>
      </w:r>
      <w:r>
        <w:rPr>
          <w:rFonts w:ascii="Arial" w:cs="Arial" w:eastAsia="Arial" w:hAnsi="Arial"/>
          <w:sz w:val="18"/>
          <w:szCs w:val="18"/>
          <w:color w:val="auto"/>
        </w:rPr>
        <w:t>”). By entering into an Award Certificate, the Participant (i) authorizes the Company to collect, process, register and transfer to its subsidiaries and affiliates and certain agents thereof, all Relevant Information; (ii) waives any privacy rights he may have with respect to the Relevant Information; (iii) authorizes the Company, its subsidiaries and affiliates and certain agents thereof to store and transmit such information in electronic form; and (iv) authorizes the transfer of the Relevant Information to any jurisdiction in which the Company, its subsidiaries and affiliates and certain agents thereof consider appropriate. The Participant shall have access to, and the right to change, the Relevant Information. Relevant Information will only be used in accordance with applicable law.</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7"/>
          <w:szCs w:val="17"/>
          <w:u w:val="single" w:color="auto"/>
          <w:color w:val="auto"/>
        </w:rPr>
        <w:t>EFFECTIVE DATE OF PLAN AND RELATIONSHIP WITH PREVIOUS PLANS</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This Plan was effective as of the date immediately preceding the date of the Company’s Initial Public Offering (the “</w:t>
      </w:r>
      <w:r>
        <w:rPr>
          <w:rFonts w:ascii="Arial" w:cs="Arial" w:eastAsia="Arial" w:hAnsi="Arial"/>
          <w:sz w:val="18"/>
          <w:szCs w:val="18"/>
          <w:i w:val="1"/>
          <w:iCs w:val="1"/>
          <w:color w:val="auto"/>
        </w:rPr>
        <w:t>Effective Date</w:t>
      </w:r>
      <w:r>
        <w:rPr>
          <w:rFonts w:ascii="Arial" w:cs="Arial" w:eastAsia="Arial" w:hAnsi="Arial"/>
          <w:sz w:val="18"/>
          <w:szCs w:val="18"/>
          <w:color w:val="auto"/>
        </w:rPr>
        <w:t>”), was initially approved by the Board on October 7, 2016 (the “</w:t>
      </w:r>
      <w:r>
        <w:rPr>
          <w:rFonts w:ascii="Arial" w:cs="Arial" w:eastAsia="Arial" w:hAnsi="Arial"/>
          <w:sz w:val="18"/>
          <w:szCs w:val="18"/>
          <w:i w:val="1"/>
          <w:iCs w:val="1"/>
          <w:color w:val="auto"/>
        </w:rPr>
        <w:t>Initial Board Approval Date</w:t>
      </w:r>
      <w:r>
        <w:rPr>
          <w:rFonts w:ascii="Arial" w:cs="Arial" w:eastAsia="Arial" w:hAnsi="Arial"/>
          <w:sz w:val="18"/>
          <w:szCs w:val="18"/>
          <w:color w:val="auto"/>
        </w:rPr>
        <w:t>”), and was amended and restated as of May 29, 2017, and subsequently as of June 28, 2019. No grants of Nonqualified Stock Options and other Awards may be made hereunder after the tenth anniversary of the Effective Date and no grants of Incentive Stock Options may be made hereunder after the tenth anniversary of the Initial Board Approval Date.</w:t>
      </w:r>
    </w:p>
    <w:p>
      <w:pPr>
        <w:spacing w:after="0" w:line="19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This Plan governs the grant of Awards that occurred after the Effective Date. Awards that were granted before the Effective Date under previous plans remain ruled by such applicable previous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20"/>
                <w:szCs w:val="20"/>
                <w:color w:val="auto"/>
              </w:rPr>
            </w:pPr>
            <w:r>
              <w:rPr>
                <w:rFonts w:ascii="Arial" w:cs="Arial" w:eastAsia="Arial" w:hAnsi="Arial"/>
                <w:sz w:val="18"/>
                <w:szCs w:val="18"/>
                <w:color w:val="auto"/>
              </w:rPr>
              <w:t>AC Immune SA 2016 Stock Option and Incentive Plan</w:t>
            </w:r>
          </w:p>
        </w:tc>
        <w:tc>
          <w:tcPr>
            <w:tcW w:w="36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3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u w:val="single" w:color="auto"/>
          <w:color w:val="auto"/>
        </w:rPr>
        <w:t>GOVERNING LAW AND JURISDICTION</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internal laws of Switzerland, and exclusive place of jurisdiction shall be Lausanne, Switzerland.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5"/>
      <w:numFmt w:val="bullet"/>
      <w:start w:val="1"/>
    </w:lvl>
  </w:abstractNum>
  <w:abstractNum w:abstractNumId="2">
    <w:nsid w:val="628C895D"/>
    <w:multiLevelType w:val="hybridMultilevel"/>
    <w:lvl w:ilvl="0">
      <w:lvlJc w:val="left"/>
      <w:lvlText w:val="%1."/>
      <w:numFmt w:val="upperLetter"/>
      <w:start w:val="9"/>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upperLetter"/>
      <w:start w:val="35"/>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6"/>
    </w:lvl>
  </w:abstractNum>
  <w:abstractNum w:abstractNumId="7">
    <w:nsid w:val="6763845E"/>
    <w:multiLevelType w:val="hybridMultilevel"/>
    <w:lvl w:ilvl="0">
      <w:lvlJc w:val="left"/>
      <w:lvlText w:val="%1."/>
      <w:numFmt w:val="upperLetter"/>
      <w:start w:val="6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2"/>
    </w:lvl>
  </w:abstractNum>
  <w:abstractNum w:abstractNumId="10">
    <w:nsid w:val="79838CB2"/>
    <w:multiLevelType w:val="hybridMultilevel"/>
    <w:lvl w:ilvl="0">
      <w:lvlJc w:val="left"/>
      <w:lvlText w:val="%1)"/>
      <w:numFmt w:val="lowerLetter"/>
      <w:start w:val="1"/>
    </w:lvl>
    <w:lvl w:ilvl="1">
      <w:lvlJc w:val="left"/>
      <w:lvlText w:val="*"/>
      <w:numFmt w:val="bullet"/>
      <w:start w:val="1"/>
    </w:lvl>
  </w:abstractNum>
  <w:abstractNum w:abstractNumId="11">
    <w:nsid w:val="4353D0CD"/>
    <w:multiLevelType w:val="hybridMultilevel"/>
    <w:lvl w:ilvl="0">
      <w:lvlJc w:val="left"/>
      <w:lvlText w:val="(%1)"/>
      <w:numFmt w:val="lowerLetter"/>
      <w:start w:val="1"/>
    </w:lvl>
    <w:lvl w:ilvl="1">
      <w:lvlJc w:val="left"/>
      <w:lvlText w:val="(%2)"/>
      <w:numFmt w:val="lowerRoman"/>
      <w:start w:val="1"/>
    </w:lvl>
  </w:abstractNum>
  <w:abstractNum w:abstractNumId="12">
    <w:nsid w:val="B03E0C6"/>
    <w:multiLevelType w:val="hybridMultilevel"/>
    <w:lvl w:ilvl="0">
      <w:lvlJc w:val="left"/>
      <w:lvlText w:val="(%1)"/>
      <w:numFmt w:val="lowerRoman"/>
      <w:start w:val="3"/>
    </w:lvl>
  </w:abstractNum>
  <w:abstractNum w:abstractNumId="13">
    <w:nsid w:val="189A769B"/>
    <w:multiLevelType w:val="hybridMultilevel"/>
    <w:lvl w:ilvl="0">
      <w:lvlJc w:val="left"/>
      <w:lvlText w:val="(%1)"/>
      <w:numFmt w:val="lowerLetter"/>
      <w:start w:val="3"/>
    </w:lvl>
  </w:abstractNum>
  <w:abstractNum w:abstractNumId="14">
    <w:nsid w:val="54E49EB4"/>
    <w:multiLevelType w:val="hybridMultilevel"/>
    <w:lvl w:ilvl="0">
      <w:lvlJc w:val="left"/>
      <w:lvlText w:val="(%1)"/>
      <w:numFmt w:val="lowerLetter"/>
      <w:start w:val="6"/>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3"/>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2"/>
    </w:lvl>
  </w:abstractNum>
  <w:abstractNum w:abstractNumId="19">
    <w:nsid w:val="3A95F874"/>
    <w:multiLevelType w:val="hybridMultilevel"/>
    <w:lvl w:ilvl="0">
      <w:lvlJc w:val="left"/>
      <w:lvlText w:val="(%1)"/>
      <w:numFmt w:val="lowerLetter"/>
      <w:start w:val="5"/>
    </w:lvl>
    <w:lvl w:ilvl="1">
      <w:lvlJc w:val="left"/>
      <w:lvlText w:val="(%2)"/>
      <w:numFmt w:val="lowerRoman"/>
      <w:start w:val="1"/>
    </w:lvl>
  </w:abstractNum>
  <w:abstractNum w:abstractNumId="20">
    <w:nsid w:val="8138641"/>
    <w:multiLevelType w:val="hybridMultilevel"/>
    <w:lvl w:ilvl="0">
      <w:lvlJc w:val="left"/>
      <w:lvlText w:val="(%1)"/>
      <w:numFmt w:val="lowerLetter"/>
      <w:start w:val="6"/>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2"/>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4"/>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Roman"/>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14" Type="http://schemas.openxmlformats.org/officeDocument/2006/relationships/hyperlink" Target="http://www.sec.gov/Archives/edgar/data/1651625/000095010318009503/dp94327_ex0301.htm" TargetMode="External"/><Relationship Id="rId15" Type="http://schemas.openxmlformats.org/officeDocument/2006/relationships/hyperlink" Target="http://www.sec.gov/Archives/edgar/data/1651625/000119312516607922/d1643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2019-11-30T10:36:46Z</dcterms:created>
  <dcterms:modified xsi:type="dcterms:W3CDTF">2019-11-30T10:36:46Z</dcterms:modified>
</cp:coreProperties>
</file>