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jc w:val="center"/>
        <w:spacing w:after="0"/>
        <w:rPr>
          <w:sz w:val="20"/>
          <w:szCs w:val="20"/>
          <w:color w:val="auto"/>
        </w:rPr>
      </w:pPr>
      <w:r>
        <w:rPr>
          <w:rFonts w:ascii="Arial" w:cs="Arial" w:eastAsia="Arial" w:hAnsi="Arial"/>
          <w:sz w:val="23"/>
          <w:szCs w:val="23"/>
          <w:color w:val="auto"/>
        </w:rPr>
        <w:t>Washington, D.C. 20549</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6-K</w:t>
      </w:r>
    </w:p>
    <w:p>
      <w:pPr>
        <w:spacing w:after="0" w:line="307"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August, 2020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 IMMUNE SA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9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9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181610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198755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549910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60" w:top="825" w:right="459" w:bottom="1440" w:gutter="0" w:footer="0" w:header="0"/>
        </w:sectPr>
      </w:pPr>
    </w:p>
    <w:bookmarkStart w:id="1" w:name="page2"/>
    <w:bookmarkEnd w:id="1"/>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263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Andrea Pfeifer</w:t>
      </w:r>
    </w:p>
    <w:p>
      <w:pPr>
        <w:spacing w:after="0" w:line="7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Chief Executive Officer</w:t>
      </w:r>
    </w:p>
    <w:p>
      <w:pPr>
        <w:spacing w:after="0" w:line="33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2631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Joerg Hornstein</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Chief Financial Officer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August 5, 2020</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472"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80" w:type="dxa"/>
            <w:vAlign w:val="bottom"/>
          </w:tcPr>
          <w:p>
            <w:pPr>
              <w:jc w:val="center"/>
              <w:ind w:right="93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441"/>
        </w:trPr>
        <w:tc>
          <w:tcPr>
            <w:tcW w:w="40" w:type="dxa"/>
            <w:vAlign w:val="bottom"/>
          </w:tcPr>
          <w:p>
            <w:pPr>
              <w:spacing w:after="0"/>
              <w:rPr>
                <w:sz w:val="24"/>
                <w:szCs w:val="24"/>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24"/>
                <w:szCs w:val="24"/>
                <w:color w:val="auto"/>
              </w:rPr>
            </w:pPr>
          </w:p>
        </w:tc>
        <w:tc>
          <w:tcPr>
            <w:tcW w:w="10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20"/>
                <w:szCs w:val="20"/>
                <w:color w:val="auto"/>
              </w:rPr>
            </w:pPr>
          </w:p>
        </w:tc>
        <w:tc>
          <w:tcPr>
            <w:tcW w:w="1018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263"/>
        </w:trPr>
        <w:tc>
          <w:tcPr>
            <w:tcW w:w="40" w:type="dxa"/>
            <w:vAlign w:val="bottom"/>
          </w:tcPr>
          <w:p>
            <w:pPr>
              <w:spacing w:after="0"/>
              <w:rPr>
                <w:sz w:val="22"/>
                <w:szCs w:val="22"/>
                <w:color w:val="auto"/>
              </w:rPr>
            </w:pPr>
          </w:p>
        </w:tc>
        <w:tc>
          <w:tcPr>
            <w:tcW w:w="960" w:type="dxa"/>
            <w:vAlign w:val="bottom"/>
          </w:tcPr>
          <w:p>
            <w:pPr>
              <w:jc w:val="right"/>
              <w:ind w:right="570"/>
              <w:spacing w:after="0"/>
              <w:rPr>
                <w:sz w:val="20"/>
                <w:szCs w:val="20"/>
                <w:color w:val="auto"/>
              </w:rPr>
            </w:pPr>
            <w:r>
              <w:rPr>
                <w:rFonts w:ascii="Arial" w:cs="Arial" w:eastAsia="Arial" w:hAnsi="Arial"/>
                <w:sz w:val="18"/>
                <w:szCs w:val="18"/>
                <w:color w:val="auto"/>
                <w:w w:val="79"/>
              </w:rPr>
              <w:t>99.1</w:t>
            </w:r>
          </w:p>
        </w:tc>
        <w:tc>
          <w:tcPr>
            <w:tcW w:w="10220" w:type="dxa"/>
            <w:vAlign w:val="bottom"/>
            <w:gridSpan w:val="2"/>
          </w:tcPr>
          <w:p>
            <w:pPr>
              <w:ind w:left="40"/>
              <w:spacing w:after="0"/>
              <w:rPr>
                <w:sz w:val="20"/>
                <w:szCs w:val="20"/>
                <w:color w:val="auto"/>
              </w:rPr>
            </w:pPr>
            <w:r>
              <w:rPr>
                <w:rFonts w:ascii="Arial" w:cs="Arial" w:eastAsia="Arial" w:hAnsi="Arial"/>
                <w:sz w:val="18"/>
                <w:szCs w:val="18"/>
                <w:color w:val="auto"/>
              </w:rPr>
              <w:t>Interim Condensed Financial Statements (Unaudited) (IFRS) as of and for the three and six months ended June 30, 2020</w:t>
            </w:r>
          </w:p>
        </w:tc>
        <w:tc>
          <w:tcPr>
            <w:tcW w:w="2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960" w:type="dxa"/>
            <w:vAlign w:val="bottom"/>
          </w:tcPr>
          <w:p>
            <w:pPr>
              <w:jc w:val="right"/>
              <w:ind w:right="570"/>
              <w:spacing w:after="0"/>
              <w:rPr>
                <w:sz w:val="20"/>
                <w:szCs w:val="20"/>
                <w:color w:val="auto"/>
              </w:rPr>
            </w:pPr>
            <w:r>
              <w:rPr>
                <w:rFonts w:ascii="Arial" w:cs="Arial" w:eastAsia="Arial" w:hAnsi="Arial"/>
                <w:sz w:val="18"/>
                <w:szCs w:val="18"/>
                <w:color w:val="auto"/>
                <w:w w:val="79"/>
              </w:rPr>
              <w:t>99.2</w:t>
            </w:r>
          </w:p>
        </w:tc>
        <w:tc>
          <w:tcPr>
            <w:tcW w:w="10220" w:type="dxa"/>
            <w:vAlign w:val="bottom"/>
            <w:gridSpan w:val="2"/>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960" w:type="dxa"/>
            <w:vAlign w:val="bottom"/>
          </w:tcPr>
          <w:p>
            <w:pPr>
              <w:jc w:val="right"/>
              <w:ind w:right="570"/>
              <w:spacing w:after="0"/>
              <w:rPr>
                <w:sz w:val="20"/>
                <w:szCs w:val="20"/>
                <w:color w:val="auto"/>
              </w:rPr>
            </w:pPr>
            <w:r>
              <w:rPr>
                <w:rFonts w:ascii="Arial" w:cs="Arial" w:eastAsia="Arial" w:hAnsi="Arial"/>
                <w:sz w:val="18"/>
                <w:szCs w:val="18"/>
                <w:color w:val="auto"/>
                <w:w w:val="79"/>
              </w:rPr>
              <w:t>99.3</w:t>
            </w:r>
          </w:p>
        </w:tc>
        <w:tc>
          <w:tcPr>
            <w:tcW w:w="10220" w:type="dxa"/>
            <w:vAlign w:val="bottom"/>
            <w:gridSpan w:val="2"/>
          </w:tcPr>
          <w:p>
            <w:pPr>
              <w:ind w:left="40"/>
              <w:spacing w:after="0"/>
              <w:rPr>
                <w:sz w:val="20"/>
                <w:szCs w:val="20"/>
                <w:color w:val="auto"/>
              </w:rPr>
            </w:pPr>
            <w:r>
              <w:rPr>
                <w:rFonts w:ascii="Arial" w:cs="Arial" w:eastAsia="Arial" w:hAnsi="Arial"/>
                <w:sz w:val="18"/>
                <w:szCs w:val="18"/>
                <w:color w:val="auto"/>
              </w:rPr>
              <w:t>Press Release dated August 5, 2020</w:t>
            </w:r>
          </w:p>
        </w:tc>
        <w:tc>
          <w:tcPr>
            <w:tcW w:w="20" w:type="dxa"/>
            <w:vAlign w:val="bottom"/>
          </w:tcPr>
          <w:p>
            <w:pPr>
              <w:spacing w:after="0"/>
              <w:rPr>
                <w:sz w:val="23"/>
                <w:szCs w:val="23"/>
                <w:color w:val="auto"/>
              </w:rPr>
            </w:pPr>
          </w:p>
        </w:tc>
      </w:tr>
      <w:tr>
        <w:trPr>
          <w:trHeight w:val="486"/>
        </w:trPr>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gridSpan w:val="2"/>
          </w:tcPr>
          <w:p>
            <w:pPr>
              <w:jc w:val="right"/>
              <w:ind w:right="5470"/>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ind w:left="480"/>
              <w:spacing w:after="0"/>
              <w:rPr>
                <w:sz w:val="20"/>
                <w:szCs w:val="20"/>
                <w:color w:val="auto"/>
              </w:rPr>
            </w:pPr>
            <w:r>
              <w:rPr>
                <w:rFonts w:ascii="Arial" w:cs="Arial" w:eastAsia="Arial" w:hAnsi="Arial"/>
                <w:sz w:val="22"/>
                <w:szCs w:val="22"/>
                <w:b w:val="1"/>
                <w:bCs w:val="1"/>
                <w:color w:val="auto"/>
                <w:w w:val="89"/>
              </w:rPr>
              <w:t>Exhibit 99.1</w:t>
            </w:r>
          </w:p>
        </w:tc>
        <w:tc>
          <w:tcPr>
            <w:tcW w:w="0" w:type="dxa"/>
            <w:vAlign w:val="bottom"/>
          </w:tcPr>
          <w:p>
            <w:pPr>
              <w:spacing w:after="0"/>
              <w:rPr>
                <w:sz w:val="1"/>
                <w:szCs w:val="1"/>
                <w:color w:val="auto"/>
              </w:rPr>
            </w:pPr>
          </w:p>
        </w:tc>
      </w:tr>
      <w:tr>
        <w:trPr>
          <w:trHeight w:val="431"/>
        </w:trPr>
        <w:tc>
          <w:tcPr>
            <w:tcW w:w="752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52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5"/>
          </w:tcPr>
          <w:p>
            <w:pPr>
              <w:ind w:left="80"/>
              <w:spacing w:after="0"/>
              <w:rPr>
                <w:sz w:val="20"/>
                <w:szCs w:val="20"/>
                <w:color w:val="auto"/>
              </w:rPr>
            </w:pPr>
            <w:r>
              <w:rPr>
                <w:rFonts w:ascii="Arial" w:cs="Arial" w:eastAsia="Arial" w:hAnsi="Arial"/>
                <w:sz w:val="18"/>
                <w:szCs w:val="18"/>
                <w:b w:val="1"/>
                <w:bCs w:val="1"/>
                <w:color w:val="auto"/>
                <w:w w:val="94"/>
              </w:rPr>
              <w:t>As of June 30,  As of December 31,</w:t>
            </w:r>
          </w:p>
        </w:tc>
        <w:tc>
          <w:tcPr>
            <w:tcW w:w="0" w:type="dxa"/>
            <w:vAlign w:val="bottom"/>
          </w:tcPr>
          <w:p>
            <w:pPr>
              <w:spacing w:after="0"/>
              <w:rPr>
                <w:sz w:val="1"/>
                <w:szCs w:val="1"/>
                <w:color w:val="auto"/>
              </w:rPr>
            </w:pPr>
          </w:p>
        </w:tc>
      </w:tr>
      <w:tr>
        <w:trPr>
          <w:trHeight w:val="234"/>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Notes</w:t>
            </w: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489"/>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assets</w:t>
            </w: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00" w:type="dxa"/>
            <w:vAlign w:val="bottom"/>
            <w:shd w:val="clear" w:color="auto" w:fill="D5EAEA"/>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3,770</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D5EAEA"/>
          </w:tcPr>
          <w:p>
            <w:pPr>
              <w:spacing w:after="0"/>
              <w:rPr>
                <w:sz w:val="20"/>
                <w:szCs w:val="20"/>
                <w:color w:val="auto"/>
              </w:rPr>
            </w:pPr>
            <w:r>
              <w:rPr>
                <w:rFonts w:ascii="Arial" w:cs="Arial" w:eastAsia="Arial" w:hAnsi="Arial"/>
                <w:sz w:val="18"/>
                <w:szCs w:val="18"/>
                <w:color w:val="auto"/>
              </w:rPr>
              <w:t>Right-of-use assets</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2,040</w:t>
            </w:r>
          </w:p>
        </w:tc>
        <w:tc>
          <w:tcPr>
            <w:tcW w:w="120" w:type="dxa"/>
            <w:vAlign w:val="bottom"/>
            <w:shd w:val="clear" w:color="auto" w:fill="D5EAEA"/>
          </w:tcPr>
          <w:p>
            <w:pPr>
              <w:spacing w:after="0"/>
              <w:rPr>
                <w:sz w:val="18"/>
                <w:szCs w:val="18"/>
                <w:color w:val="auto"/>
              </w:rPr>
            </w:pPr>
          </w:p>
        </w:tc>
        <w:tc>
          <w:tcPr>
            <w:tcW w:w="15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Long-term financial assets</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66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6,114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5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assets</w:t>
            </w: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00" w:type="dxa"/>
            <w:vAlign w:val="bottom"/>
            <w:shd w:val="clear" w:color="auto" w:fill="D5EAEA"/>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Prepaid expenses</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3,689</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D5EAEA"/>
          </w:tcPr>
          <w:p>
            <w:pPr>
              <w:spacing w:after="0"/>
              <w:rPr>
                <w:sz w:val="18"/>
                <w:szCs w:val="18"/>
                <w:color w:val="auto"/>
              </w:rPr>
            </w:pPr>
          </w:p>
        </w:tc>
        <w:tc>
          <w:tcPr>
            <w:tcW w:w="15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85,000</w:t>
            </w:r>
          </w:p>
        </w:tc>
        <w:tc>
          <w:tcPr>
            <w:tcW w:w="120" w:type="dxa"/>
            <w:vAlign w:val="bottom"/>
            <w:shd w:val="clear" w:color="auto" w:fill="D5EAEA"/>
          </w:tcPr>
          <w:p>
            <w:pPr>
              <w:spacing w:after="0"/>
              <w:rPr>
                <w:sz w:val="18"/>
                <w:szCs w:val="18"/>
                <w:color w:val="auto"/>
              </w:rPr>
            </w:pPr>
          </w:p>
        </w:tc>
        <w:tc>
          <w:tcPr>
            <w:tcW w:w="15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177,464</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193,587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66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267,144</w:t>
            </w:r>
          </w:p>
        </w:tc>
        <w:tc>
          <w:tcPr>
            <w:tcW w:w="1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5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292,774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5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66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273,258</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299,250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520" w:type="dxa"/>
            <w:vAlign w:val="bottom"/>
            <w:shd w:val="clear" w:color="auto" w:fill="D5EAEA"/>
          </w:tcPr>
          <w:p>
            <w:pPr>
              <w:spacing w:after="0"/>
              <w:rPr>
                <w:sz w:val="17"/>
                <w:szCs w:val="17"/>
                <w:color w:val="auto"/>
              </w:rPr>
            </w:pPr>
          </w:p>
        </w:tc>
        <w:tc>
          <w:tcPr>
            <w:tcW w:w="6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500" w:type="dxa"/>
            <w:vAlign w:val="bottom"/>
            <w:shd w:val="clear" w:color="auto" w:fill="D5EAEA"/>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D5EAEA"/>
          </w:tcPr>
          <w:p>
            <w:pPr>
              <w:spacing w:after="0"/>
              <w:rPr>
                <w:sz w:val="18"/>
                <w:szCs w:val="18"/>
                <w:color w:val="auto"/>
              </w:rPr>
            </w:pP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00" w:type="dxa"/>
            <w:vAlign w:val="bottom"/>
            <w:shd w:val="clear" w:color="auto" w:fill="D5EAEA"/>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D5EAEA"/>
          </w:tcPr>
          <w:p>
            <w:pPr>
              <w:spacing w:after="0"/>
              <w:rPr>
                <w:sz w:val="20"/>
                <w:szCs w:val="20"/>
                <w:color w:val="auto"/>
              </w:rPr>
            </w:pPr>
            <w:r>
              <w:rPr>
                <w:rFonts w:ascii="Arial" w:cs="Arial" w:eastAsia="Arial" w:hAnsi="Arial"/>
                <w:sz w:val="18"/>
                <w:szCs w:val="18"/>
                <w:color w:val="auto"/>
              </w:rPr>
              <w:t>Share capital</w:t>
            </w: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D5EAEA"/>
          </w:tcPr>
          <w:p>
            <w:pPr>
              <w:spacing w:after="0"/>
              <w:rPr>
                <w:sz w:val="18"/>
                <w:szCs w:val="18"/>
                <w:color w:val="auto"/>
              </w:rPr>
            </w:pPr>
          </w:p>
        </w:tc>
        <w:tc>
          <w:tcPr>
            <w:tcW w:w="15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Share premium</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346,634</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346,526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D5EAEA"/>
          </w:tcPr>
          <w:p>
            <w:pPr>
              <w:spacing w:after="0"/>
              <w:rPr>
                <w:sz w:val="20"/>
                <w:szCs w:val="20"/>
                <w:color w:val="auto"/>
              </w:rPr>
            </w:pPr>
            <w:r>
              <w:rPr>
                <w:rFonts w:ascii="Arial" w:cs="Arial" w:eastAsia="Arial" w:hAnsi="Arial"/>
                <w:sz w:val="18"/>
                <w:szCs w:val="18"/>
                <w:color w:val="auto"/>
              </w:rPr>
              <w:t>Accumulated losses</w:t>
            </w: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(97,210)</w:t>
            </w:r>
          </w:p>
        </w:tc>
        <w:tc>
          <w:tcPr>
            <w:tcW w:w="120" w:type="dxa"/>
            <w:vAlign w:val="bottom"/>
            <w:shd w:val="clear" w:color="auto" w:fill="D5EAEA"/>
          </w:tcPr>
          <w:p>
            <w:pPr>
              <w:spacing w:after="0"/>
              <w:rPr>
                <w:sz w:val="18"/>
                <w:szCs w:val="18"/>
                <w:color w:val="auto"/>
              </w:rPr>
            </w:pPr>
          </w:p>
        </w:tc>
        <w:tc>
          <w:tcPr>
            <w:tcW w:w="15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5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66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250,862</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272,442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D5EAEA"/>
          </w:tcPr>
          <w:p>
            <w:pPr>
              <w:spacing w:after="0"/>
              <w:rPr>
                <w:sz w:val="17"/>
                <w:szCs w:val="17"/>
                <w:color w:val="auto"/>
              </w:rPr>
            </w:pPr>
          </w:p>
        </w:tc>
        <w:tc>
          <w:tcPr>
            <w:tcW w:w="6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500" w:type="dxa"/>
            <w:vAlign w:val="bottom"/>
            <w:shd w:val="clear" w:color="auto" w:fill="D5EAEA"/>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D5EAEA"/>
          </w:tcPr>
          <w:p>
            <w:pPr>
              <w:spacing w:after="0"/>
              <w:rPr>
                <w:sz w:val="20"/>
                <w:szCs w:val="20"/>
                <w:color w:val="auto"/>
              </w:rPr>
            </w:pPr>
            <w:r>
              <w:rPr>
                <w:rFonts w:ascii="Arial" w:cs="Arial" w:eastAsia="Arial" w:hAnsi="Arial"/>
                <w:sz w:val="18"/>
                <w:szCs w:val="18"/>
                <w:color w:val="auto"/>
              </w:rPr>
              <w:t>Long-term lease liabilities</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1,602</w:t>
            </w:r>
          </w:p>
        </w:tc>
        <w:tc>
          <w:tcPr>
            <w:tcW w:w="120" w:type="dxa"/>
            <w:vAlign w:val="bottom"/>
            <w:shd w:val="clear" w:color="auto" w:fill="D5EAEA"/>
          </w:tcPr>
          <w:p>
            <w:pPr>
              <w:spacing w:after="0"/>
              <w:rPr>
                <w:sz w:val="18"/>
                <w:szCs w:val="18"/>
                <w:color w:val="auto"/>
              </w:rPr>
            </w:pPr>
          </w:p>
        </w:tc>
        <w:tc>
          <w:tcPr>
            <w:tcW w:w="15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7,847</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66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9,449</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5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liabilities</w:t>
            </w: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00" w:type="dxa"/>
            <w:vAlign w:val="bottom"/>
            <w:shd w:val="clear" w:color="auto" w:fill="D5EAEA"/>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D5EAEA"/>
          </w:tcPr>
          <w:p>
            <w:pPr>
              <w:spacing w:after="0"/>
              <w:rPr>
                <w:sz w:val="20"/>
                <w:szCs w:val="20"/>
                <w:color w:val="auto"/>
              </w:rPr>
            </w:pPr>
            <w:r>
              <w:rPr>
                <w:rFonts w:ascii="Arial" w:cs="Arial" w:eastAsia="Arial" w:hAnsi="Arial"/>
                <w:sz w:val="18"/>
                <w:szCs w:val="18"/>
                <w:color w:val="auto"/>
              </w:rPr>
              <w:t>Accrued expenses</w:t>
            </w: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9,339</w:t>
            </w:r>
          </w:p>
        </w:tc>
        <w:tc>
          <w:tcPr>
            <w:tcW w:w="120" w:type="dxa"/>
            <w:vAlign w:val="bottom"/>
            <w:shd w:val="clear" w:color="auto" w:fill="D5EAEA"/>
          </w:tcPr>
          <w:p>
            <w:pPr>
              <w:spacing w:after="0"/>
              <w:rPr>
                <w:sz w:val="18"/>
                <w:szCs w:val="18"/>
                <w:color w:val="auto"/>
              </w:rPr>
            </w:pPr>
          </w:p>
        </w:tc>
        <w:tc>
          <w:tcPr>
            <w:tcW w:w="15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Short-term deferred income</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financing obligation</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D5EAEA"/>
          </w:tcPr>
          <w:p>
            <w:pPr>
              <w:spacing w:after="0"/>
              <w:rPr>
                <w:sz w:val="18"/>
                <w:szCs w:val="18"/>
                <w:color w:val="auto"/>
              </w:rPr>
            </w:pPr>
          </w:p>
        </w:tc>
        <w:tc>
          <w:tcPr>
            <w:tcW w:w="15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Short-term lease liabilities</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current liabilities</w:t>
            </w:r>
          </w:p>
        </w:tc>
        <w:tc>
          <w:tcPr>
            <w:tcW w:w="66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12,947</w:t>
            </w:r>
          </w:p>
        </w:tc>
        <w:tc>
          <w:tcPr>
            <w:tcW w:w="1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5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liabilities</w:t>
            </w:r>
          </w:p>
        </w:tc>
        <w:tc>
          <w:tcPr>
            <w:tcW w:w="6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22,396</w:t>
            </w:r>
          </w:p>
        </w:tc>
        <w:tc>
          <w:tcPr>
            <w:tcW w:w="10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66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273,258</w:t>
            </w:r>
          </w:p>
        </w:tc>
        <w:tc>
          <w:tcPr>
            <w:tcW w:w="10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5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299,250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Statements of Income/(Loss)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CHF thousands except for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Contract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Research &amp; development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&amp;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254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25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Notes</w:t>
            </w:r>
          </w:p>
        </w:tc>
        <w:tc>
          <w:tcPr>
            <w:tcW w:w="11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r>
      <w:tr>
        <w:trPr>
          <w:trHeight w:val="439"/>
        </w:trPr>
        <w:tc>
          <w:tcPr>
            <w:tcW w:w="8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26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4"/>
                <w:szCs w:val="24"/>
                <w:color w:val="auto"/>
              </w:rPr>
            </w:pPr>
          </w:p>
        </w:tc>
        <w:tc>
          <w:tcPr>
            <w:tcW w:w="1220" w:type="dxa"/>
            <w:vAlign w:val="bottom"/>
            <w:tcBorders>
              <w:top w:val="single" w:sz="8" w:color="auto"/>
            </w:tcBorders>
            <w:gridSpan w:val="2"/>
          </w:tcPr>
          <w:p>
            <w:pPr>
              <w:jc w:val="right"/>
              <w:ind w:right="41"/>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4"/>
                <w:szCs w:val="24"/>
                <w:color w:val="auto"/>
              </w:rPr>
            </w:pPr>
          </w:p>
        </w:tc>
        <w:tc>
          <w:tcPr>
            <w:tcW w:w="1220" w:type="dxa"/>
            <w:vAlign w:val="bottom"/>
            <w:tcBorders>
              <w:top w:val="single" w:sz="8" w:color="auto"/>
            </w:tcBorders>
            <w:gridSpan w:val="2"/>
          </w:tcPr>
          <w:p>
            <w:pPr>
              <w:jc w:val="right"/>
              <w:ind w:right="41"/>
              <w:spacing w:after="0"/>
              <w:rPr>
                <w:sz w:val="20"/>
                <w:szCs w:val="20"/>
                <w:color w:val="auto"/>
              </w:rPr>
            </w:pPr>
            <w:r>
              <w:rPr>
                <w:rFonts w:ascii="Arial" w:cs="Arial" w:eastAsia="Arial" w:hAnsi="Arial"/>
                <w:sz w:val="18"/>
                <w:szCs w:val="18"/>
                <w:color w:val="auto"/>
              </w:rPr>
              <w:t>13,689</w:t>
            </w:r>
          </w:p>
        </w:tc>
        <w:tc>
          <w:tcPr>
            <w:tcW w:w="100" w:type="dxa"/>
            <w:vAlign w:val="bottom"/>
          </w:tcPr>
          <w:p>
            <w:pPr>
              <w:spacing w:after="0"/>
              <w:rPr>
                <w:sz w:val="24"/>
                <w:szCs w:val="24"/>
                <w:color w:val="auto"/>
              </w:rPr>
            </w:pPr>
          </w:p>
        </w:tc>
        <w:tc>
          <w:tcPr>
            <w:tcW w:w="1160" w:type="dxa"/>
            <w:vAlign w:val="bottom"/>
            <w:tcBorders>
              <w:top w:val="single" w:sz="8" w:color="auto"/>
            </w:tcBorders>
            <w:gridSpan w:val="3"/>
          </w:tcPr>
          <w:p>
            <w:pPr>
              <w:jc w:val="right"/>
              <w:ind w:right="1"/>
              <w:spacing w:after="0"/>
              <w:rPr>
                <w:sz w:val="20"/>
                <w:szCs w:val="20"/>
                <w:color w:val="auto"/>
              </w:rPr>
            </w:pPr>
            <w:r>
              <w:rPr>
                <w:rFonts w:ascii="Arial" w:cs="Arial" w:eastAsia="Arial" w:hAnsi="Arial"/>
                <w:sz w:val="18"/>
                <w:szCs w:val="18"/>
                <w:color w:val="auto"/>
              </w:rPr>
              <w:t>76,553</w:t>
            </w:r>
          </w:p>
        </w:tc>
        <w:tc>
          <w:tcPr>
            <w:tcW w:w="60" w:type="dxa"/>
            <w:vAlign w:val="bottom"/>
            <w:tcBorders>
              <w:top w:val="single" w:sz="8" w:color="auto"/>
            </w:tcBorders>
          </w:tcPr>
          <w:p>
            <w:pPr>
              <w:spacing w:after="0"/>
              <w:rPr>
                <w:sz w:val="24"/>
                <w:szCs w:val="24"/>
                <w:color w:val="auto"/>
              </w:rPr>
            </w:pPr>
          </w:p>
        </w:tc>
      </w:tr>
      <w:tr>
        <w:trPr>
          <w:trHeight w:val="223"/>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gridSpan w:val="3"/>
          </w:tcPr>
          <w:p>
            <w:pPr>
              <w:jc w:val="right"/>
              <w:ind w:right="1"/>
              <w:spacing w:after="0"/>
              <w:rPr>
                <w:sz w:val="20"/>
                <w:szCs w:val="20"/>
                <w:color w:val="auto"/>
              </w:rPr>
            </w:pPr>
            <w:r>
              <w:rPr>
                <w:rFonts w:ascii="Arial" w:cs="Arial" w:eastAsia="Arial" w:hAnsi="Arial"/>
                <w:sz w:val="18"/>
                <w:szCs w:val="18"/>
                <w:color w:val="auto"/>
              </w:rPr>
              <w:t>76,553</w:t>
            </w:r>
          </w:p>
        </w:tc>
        <w:tc>
          <w:tcPr>
            <w:tcW w:w="6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614"/>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
              <w:spacing w:after="0"/>
              <w:rPr>
                <w:sz w:val="20"/>
                <w:szCs w:val="20"/>
                <w:color w:val="auto"/>
              </w:rPr>
            </w:pPr>
            <w:r>
              <w:rPr>
                <w:rFonts w:ascii="Arial" w:cs="Arial" w:eastAsia="Arial" w:hAnsi="Arial"/>
                <w:sz w:val="18"/>
                <w:szCs w:val="18"/>
                <w:color w:val="auto"/>
              </w:rPr>
              <w:t>(12,809)</w:t>
            </w:r>
          </w:p>
        </w:tc>
        <w:tc>
          <w:tcPr>
            <w:tcW w:w="1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(12,700)</w:t>
            </w:r>
          </w:p>
        </w:tc>
        <w:tc>
          <w:tcPr>
            <w:tcW w:w="1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(28,018)</w:t>
            </w:r>
          </w:p>
        </w:tc>
        <w:tc>
          <w:tcPr>
            <w:tcW w:w="100" w:type="dxa"/>
            <w:vAlign w:val="bottom"/>
          </w:tcPr>
          <w:p>
            <w:pPr>
              <w:spacing w:after="0"/>
              <w:rPr>
                <w:sz w:val="24"/>
                <w:szCs w:val="24"/>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(24,293)</w:t>
            </w:r>
          </w:p>
        </w:tc>
      </w:tr>
      <w:tr>
        <w:trPr>
          <w:trHeight w:val="244"/>
        </w:trPr>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
              <w:spacing w:after="0"/>
              <w:rPr>
                <w:sz w:val="20"/>
                <w:szCs w:val="20"/>
                <w:color w:val="auto"/>
              </w:rPr>
            </w:pPr>
            <w:r>
              <w:rPr>
                <w:rFonts w:ascii="Arial" w:cs="Arial" w:eastAsia="Arial" w:hAnsi="Arial"/>
                <w:sz w:val="18"/>
                <w:szCs w:val="18"/>
                <w:color w:val="auto"/>
              </w:rPr>
              <w:t>(4,156)</w:t>
            </w:r>
          </w:p>
        </w:tc>
        <w:tc>
          <w:tcPr>
            <w:tcW w:w="1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(8,660)</w:t>
            </w:r>
          </w:p>
        </w:tc>
        <w:tc>
          <w:tcPr>
            <w:tcW w:w="10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(6,879)</w:t>
            </w:r>
          </w:p>
        </w:tc>
      </w:tr>
      <w:tr>
        <w:trPr>
          <w:trHeight w:val="209"/>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(16,965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(16,285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(36,678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(31,172</w:t>
            </w:r>
          </w:p>
        </w:tc>
        <w:tc>
          <w:tcPr>
            <w:tcW w:w="80" w:type="dxa"/>
            <w:vAlign w:val="bottom"/>
            <w:gridSpan w:val="2"/>
          </w:tcPr>
          <w:p>
            <w:pPr>
              <w:jc w:val="right"/>
              <w:ind w:right="40"/>
              <w:spacing w:after="0"/>
              <w:rPr>
                <w:sz w:val="20"/>
                <w:szCs w:val="20"/>
                <w:color w:val="auto"/>
              </w:rPr>
            </w:pPr>
            <w:r>
              <w:rPr>
                <w:rFonts w:ascii="Arial" w:cs="Arial" w:eastAsia="Arial" w:hAnsi="Arial"/>
                <w:sz w:val="8"/>
                <w:szCs w:val="8"/>
                <w:color w:val="auto"/>
                <w:w w:val="73"/>
              </w:rPr>
              <w:t>)</w:t>
            </w:r>
          </w:p>
        </w:tc>
      </w:tr>
      <w:tr>
        <w:trPr>
          <w:trHeight w:val="223"/>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gridSpan w:val="3"/>
          </w:tcPr>
          <w:p>
            <w:pPr>
              <w:jc w:val="right"/>
              <w:ind w:right="1"/>
              <w:spacing w:after="0"/>
              <w:rPr>
                <w:sz w:val="20"/>
                <w:szCs w:val="20"/>
                <w:color w:val="auto"/>
              </w:rPr>
            </w:pPr>
            <w:r>
              <w:rPr>
                <w:rFonts w:ascii="Arial" w:cs="Arial" w:eastAsia="Arial" w:hAnsi="Arial"/>
                <w:sz w:val="18"/>
                <w:szCs w:val="18"/>
                <w:color w:val="auto"/>
              </w:rPr>
              <w:t>45,381</w:t>
            </w:r>
          </w:p>
        </w:tc>
        <w:tc>
          <w:tcPr>
            <w:tcW w:w="6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-1207770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-899160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-607695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-325120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60" w:space="720"/>
            <w:col w:w="6160"/>
          </w:cols>
          <w:pgMar w:left="320" w:top="472"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5060" w:type="dxa"/>
            <w:vAlign w:val="bottom"/>
            <w:shd w:val="clear" w:color="auto" w:fill="D5EAEA"/>
          </w:tcPr>
          <w:p>
            <w:pPr>
              <w:spacing w:after="0"/>
              <w:rPr>
                <w:sz w:val="17"/>
                <w:szCs w:val="17"/>
                <w:color w:val="auto"/>
              </w:rPr>
            </w:pPr>
          </w:p>
        </w:tc>
        <w:tc>
          <w:tcPr>
            <w:tcW w:w="96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4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Finance expense, net</w:t>
            </w:r>
          </w:p>
        </w:tc>
        <w:tc>
          <w:tcPr>
            <w:tcW w:w="960" w:type="dxa"/>
            <w:vAlign w:val="bottom"/>
          </w:tcPr>
          <w:p>
            <w:pPr>
              <w:spacing w:after="0"/>
              <w:rPr>
                <w:sz w:val="18"/>
                <w:szCs w:val="18"/>
                <w:color w:val="auto"/>
              </w:rPr>
            </w:pPr>
          </w:p>
        </w:tc>
        <w:tc>
          <w:tcPr>
            <w:tcW w:w="1360" w:type="dxa"/>
            <w:vAlign w:val="bottom"/>
            <w:gridSpan w:val="2"/>
          </w:tcPr>
          <w:p>
            <w:pPr>
              <w:jc w:val="right"/>
              <w:ind w:right="101"/>
              <w:spacing w:after="0"/>
              <w:rPr>
                <w:sz w:val="20"/>
                <w:szCs w:val="20"/>
                <w:color w:val="auto"/>
              </w:rPr>
            </w:pPr>
            <w:r>
              <w:rPr>
                <w:rFonts w:ascii="Arial" w:cs="Arial" w:eastAsia="Arial" w:hAnsi="Arial"/>
                <w:sz w:val="18"/>
                <w:szCs w:val="18"/>
                <w:color w:val="auto"/>
              </w:rPr>
              <w:t>(13)</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(1,732)</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(405)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(1,812)</w:t>
            </w:r>
          </w:p>
        </w:tc>
      </w:tr>
      <w:tr>
        <w:trPr>
          <w:trHeight w:val="216"/>
        </w:trPr>
        <w:tc>
          <w:tcPr>
            <w:tcW w:w="5060" w:type="dxa"/>
            <w:vAlign w:val="bottom"/>
            <w:shd w:val="clear" w:color="auto" w:fill="D5EAEA"/>
          </w:tcPr>
          <w:p>
            <w:pPr>
              <w:spacing w:after="0"/>
              <w:rPr>
                <w:sz w:val="20"/>
                <w:szCs w:val="20"/>
                <w:color w:val="auto"/>
              </w:rPr>
            </w:pPr>
            <w:r>
              <w:rPr>
                <w:rFonts w:ascii="Arial" w:cs="Arial" w:eastAsia="Arial" w:hAnsi="Arial"/>
                <w:sz w:val="18"/>
                <w:szCs w:val="18"/>
                <w:color w:val="auto"/>
              </w:rPr>
              <w:t>Change in fair value of conversion feature</w:t>
            </w:r>
          </w:p>
        </w:tc>
        <w:tc>
          <w:tcPr>
            <w:tcW w:w="96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ind w:right="16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5EAEA"/>
          </w:tcPr>
          <w:p>
            <w:pPr>
              <w:jc w:val="right"/>
              <w:ind w:right="141"/>
              <w:spacing w:after="0"/>
              <w:rPr>
                <w:sz w:val="20"/>
                <w:szCs w:val="20"/>
                <w:color w:val="auto"/>
              </w:rPr>
            </w:pPr>
            <w:r>
              <w:rPr>
                <w:rFonts w:ascii="Arial" w:cs="Arial" w:eastAsia="Arial" w:hAnsi="Arial"/>
                <w:sz w:val="18"/>
                <w:szCs w:val="18"/>
                <w:color w:val="auto"/>
              </w:rPr>
              <w:t>36</w:t>
            </w:r>
          </w:p>
        </w:tc>
        <w:tc>
          <w:tcPr>
            <w:tcW w:w="1320" w:type="dxa"/>
            <w:vAlign w:val="bottom"/>
            <w:gridSpan w:val="2"/>
            <w:shd w:val="clear" w:color="auto" w:fill="D5EAEA"/>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4,542</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8"/>
                <w:szCs w:val="18"/>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75</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78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r>
        <w:trPr>
          <w:trHeight w:val="230"/>
        </w:trPr>
        <w:tc>
          <w:tcPr>
            <w:tcW w:w="5060" w:type="dxa"/>
            <w:vAlign w:val="bottom"/>
            <w:shd w:val="clear" w:color="auto" w:fill="D5EAEA"/>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D5EAEA"/>
          </w:tcPr>
          <w:p>
            <w:pPr>
              <w:spacing w:after="0"/>
              <w:rPr>
                <w:sz w:val="19"/>
                <w:szCs w:val="19"/>
                <w:color w:val="auto"/>
              </w:rPr>
            </w:pPr>
          </w:p>
        </w:tc>
        <w:tc>
          <w:tcPr>
            <w:tcW w:w="1360" w:type="dxa"/>
            <w:vAlign w:val="bottom"/>
            <w:gridSpan w:val="2"/>
            <w:shd w:val="clear" w:color="auto" w:fill="D5EAEA"/>
          </w:tcPr>
          <w:p>
            <w:pPr>
              <w:jc w:val="right"/>
              <w:ind w:right="101"/>
              <w:spacing w:after="0"/>
              <w:rPr>
                <w:sz w:val="20"/>
                <w:szCs w:val="20"/>
                <w:color w:val="auto"/>
              </w:rPr>
            </w:pPr>
            <w:r>
              <w:rPr>
                <w:rFonts w:ascii="Arial" w:cs="Arial" w:eastAsia="Arial" w:hAnsi="Arial"/>
                <w:sz w:val="18"/>
                <w:szCs w:val="18"/>
                <w:color w:val="auto"/>
              </w:rPr>
              <w:t>(55)</w:t>
            </w:r>
          </w:p>
        </w:tc>
        <w:tc>
          <w:tcPr>
            <w:tcW w:w="1320" w:type="dxa"/>
            <w:vAlign w:val="bottom"/>
            <w:gridSpan w:val="2"/>
            <w:shd w:val="clear" w:color="auto" w:fill="D5EAEA"/>
          </w:tcPr>
          <w:p>
            <w:pPr>
              <w:jc w:val="right"/>
              <w:ind w:right="81"/>
              <w:spacing w:after="0"/>
              <w:rPr>
                <w:sz w:val="20"/>
                <w:szCs w:val="20"/>
                <w:color w:val="auto"/>
              </w:rPr>
            </w:pPr>
            <w:r>
              <w:rPr>
                <w:rFonts w:ascii="Arial" w:cs="Arial" w:eastAsia="Arial" w:hAnsi="Arial"/>
                <w:sz w:val="18"/>
                <w:szCs w:val="18"/>
                <w:color w:val="auto"/>
              </w:rPr>
              <w:t>(504)</w:t>
            </w:r>
          </w:p>
        </w:tc>
        <w:tc>
          <w:tcPr>
            <w:tcW w:w="1320" w:type="dxa"/>
            <w:vAlign w:val="bottom"/>
            <w:gridSpan w:val="2"/>
            <w:shd w:val="clear" w:color="auto" w:fill="D5EAEA"/>
          </w:tcPr>
          <w:p>
            <w:pPr>
              <w:jc w:val="right"/>
              <w:ind w:right="81"/>
              <w:spacing w:after="0"/>
              <w:rPr>
                <w:sz w:val="20"/>
                <w:szCs w:val="20"/>
                <w:color w:val="auto"/>
              </w:rPr>
            </w:pPr>
            <w:r>
              <w:rPr>
                <w:rFonts w:ascii="Arial" w:cs="Arial" w:eastAsia="Arial" w:hAnsi="Arial"/>
                <w:sz w:val="18"/>
                <w:szCs w:val="18"/>
                <w:color w:val="auto"/>
              </w:rPr>
              <w:t>(109)</w:t>
            </w:r>
          </w:p>
        </w:tc>
        <w:tc>
          <w:tcPr>
            <w:tcW w:w="122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(1,601)</w:t>
            </w:r>
          </w:p>
        </w:tc>
      </w:tr>
      <w:tr>
        <w:trPr>
          <w:trHeight w:val="263"/>
        </w:trPr>
        <w:tc>
          <w:tcPr>
            <w:tcW w:w="50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Finance result, net</w:t>
            </w:r>
          </w:p>
        </w:tc>
        <w:tc>
          <w:tcPr>
            <w:tcW w:w="960" w:type="dxa"/>
            <w:vAlign w:val="bottom"/>
            <w:tcBorders>
              <w:bottom w:val="single" w:sz="8" w:color="D5EAEA"/>
            </w:tcBorders>
          </w:tcPr>
          <w:p>
            <w:pPr>
              <w:jc w:val="right"/>
              <w:ind w:right="350"/>
              <w:spacing w:after="0"/>
              <w:rPr>
                <w:sz w:val="20"/>
                <w:szCs w:val="20"/>
                <w:color w:val="auto"/>
              </w:rPr>
            </w:pPr>
            <w:r>
              <w:rPr>
                <w:rFonts w:ascii="Arial" w:cs="Arial" w:eastAsia="Arial" w:hAnsi="Arial"/>
                <w:sz w:val="18"/>
                <w:szCs w:val="18"/>
                <w:color w:val="auto"/>
              </w:rPr>
              <w:t>11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D5EAEA"/>
            </w:tcBorders>
          </w:tcPr>
          <w:p>
            <w:pPr>
              <w:jc w:val="right"/>
              <w:ind w:right="10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220" w:type="dxa"/>
            <w:vAlign w:val="bottom"/>
            <w:tcBorders>
              <w:bottom w:val="single" w:sz="8" w:color="D5EAEA"/>
            </w:tcBorders>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Borders>
              <w:bottom w:val="single" w:sz="8" w:color="D5EAEA"/>
            </w:tcBorders>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D5EAEA"/>
            </w:tcBorders>
          </w:tcPr>
          <w:p>
            <w:pPr>
              <w:spacing w:after="0"/>
              <w:rPr>
                <w:sz w:val="22"/>
                <w:szCs w:val="22"/>
                <w:color w:val="auto"/>
              </w:rPr>
            </w:pPr>
          </w:p>
        </w:tc>
      </w:tr>
      <w:tr>
        <w:trPr>
          <w:trHeight w:val="197"/>
        </w:trPr>
        <w:tc>
          <w:tcPr>
            <w:tcW w:w="5060" w:type="dxa"/>
            <w:vAlign w:val="bottom"/>
            <w:shd w:val="clear" w:color="auto" w:fill="D5EAEA"/>
          </w:tcPr>
          <w:p>
            <w:pPr>
              <w:spacing w:after="0"/>
              <w:rPr>
                <w:sz w:val="17"/>
                <w:szCs w:val="17"/>
                <w:color w:val="auto"/>
              </w:rPr>
            </w:pPr>
          </w:p>
        </w:tc>
        <w:tc>
          <w:tcPr>
            <w:tcW w:w="96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4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b w:val="1"/>
                <w:bCs w:val="1"/>
                <w:color w:val="auto"/>
              </w:rPr>
              <w:t>Income/(loss) before tax</w:t>
            </w:r>
          </w:p>
        </w:tc>
        <w:tc>
          <w:tcPr>
            <w:tcW w:w="960" w:type="dxa"/>
            <w:vAlign w:val="bottom"/>
          </w:tcPr>
          <w:p>
            <w:pPr>
              <w:spacing w:after="0"/>
              <w:rPr>
                <w:sz w:val="19"/>
                <w:szCs w:val="19"/>
                <w:color w:val="auto"/>
              </w:rPr>
            </w:pPr>
          </w:p>
        </w:tc>
        <w:tc>
          <w:tcPr>
            <w:tcW w:w="1360" w:type="dxa"/>
            <w:vAlign w:val="bottom"/>
            <w:gridSpan w:val="2"/>
          </w:tcPr>
          <w:p>
            <w:pPr>
              <w:jc w:val="right"/>
              <w:ind w:right="101"/>
              <w:spacing w:after="0"/>
              <w:rPr>
                <w:sz w:val="20"/>
                <w:szCs w:val="20"/>
                <w:color w:val="auto"/>
              </w:rPr>
            </w:pPr>
            <w:r>
              <w:rPr>
                <w:rFonts w:ascii="Arial" w:cs="Arial" w:eastAsia="Arial" w:hAnsi="Arial"/>
                <w:sz w:val="18"/>
                <w:szCs w:val="18"/>
                <w:color w:val="auto"/>
              </w:rPr>
              <w:t>(15,738)</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(16,899)</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(23,425)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46,674</w:t>
            </w:r>
          </w:p>
        </w:tc>
      </w:tr>
      <w:tr>
        <w:trPr>
          <w:trHeight w:val="210"/>
        </w:trPr>
        <w:tc>
          <w:tcPr>
            <w:tcW w:w="50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Income tax expense</w:t>
            </w:r>
          </w:p>
        </w:tc>
        <w:tc>
          <w:tcPr>
            <w:tcW w:w="96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r>
      <w:tr>
        <w:trPr>
          <w:trHeight w:val="263"/>
        </w:trPr>
        <w:tc>
          <w:tcPr>
            <w:tcW w:w="50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Income/(loss) for the period</w:t>
            </w:r>
          </w:p>
        </w:tc>
        <w:tc>
          <w:tcPr>
            <w:tcW w:w="960" w:type="dxa"/>
            <w:vAlign w:val="bottom"/>
            <w:tcBorders>
              <w:bottom w:val="single" w:sz="8" w:color="D5EAEA"/>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(15,738</w:t>
            </w:r>
          </w:p>
        </w:tc>
        <w:tc>
          <w:tcPr>
            <w:tcW w:w="240" w:type="dxa"/>
            <w:vAlign w:val="bottom"/>
            <w:tcBorders>
              <w:bottom w:val="single" w:sz="8" w:color="D5EAEA"/>
            </w:tcBorders>
          </w:tcPr>
          <w:p>
            <w:pPr>
              <w:jc w:val="right"/>
              <w:ind w:right="10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(16,899</w:t>
            </w:r>
          </w:p>
        </w:tc>
        <w:tc>
          <w:tcPr>
            <w:tcW w:w="220" w:type="dxa"/>
            <w:vAlign w:val="bottom"/>
            <w:tcBorders>
              <w:bottom w:val="single" w:sz="8" w:color="D5EAEA"/>
            </w:tcBorders>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(23,425</w:t>
            </w:r>
          </w:p>
        </w:tc>
        <w:tc>
          <w:tcPr>
            <w:tcW w:w="220" w:type="dxa"/>
            <w:vAlign w:val="bottom"/>
            <w:tcBorders>
              <w:bottom w:val="single" w:sz="8" w:color="D5EAEA"/>
            </w:tcBorders>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46,674</w:t>
            </w:r>
          </w:p>
        </w:tc>
        <w:tc>
          <w:tcPr>
            <w:tcW w:w="100" w:type="dxa"/>
            <w:vAlign w:val="bottom"/>
            <w:tcBorders>
              <w:bottom w:val="single" w:sz="8" w:color="D5EAEA"/>
            </w:tcBorders>
          </w:tcPr>
          <w:p>
            <w:pPr>
              <w:spacing w:after="0"/>
              <w:rPr>
                <w:sz w:val="22"/>
                <w:szCs w:val="22"/>
                <w:color w:val="auto"/>
              </w:rPr>
            </w:pPr>
          </w:p>
        </w:tc>
      </w:tr>
      <w:tr>
        <w:trPr>
          <w:trHeight w:val="197"/>
        </w:trPr>
        <w:tc>
          <w:tcPr>
            <w:tcW w:w="5060" w:type="dxa"/>
            <w:vAlign w:val="bottom"/>
            <w:shd w:val="clear" w:color="auto" w:fill="D5EAEA"/>
          </w:tcPr>
          <w:p>
            <w:pPr>
              <w:spacing w:after="0"/>
              <w:rPr>
                <w:sz w:val="17"/>
                <w:szCs w:val="17"/>
                <w:color w:val="auto"/>
              </w:rPr>
            </w:pPr>
          </w:p>
        </w:tc>
        <w:tc>
          <w:tcPr>
            <w:tcW w:w="96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4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Earnings/(loss) per share (EPS):</w:t>
            </w: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4</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D5EAEA"/>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96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ind w:right="101"/>
              <w:spacing w:after="0"/>
              <w:rPr>
                <w:sz w:val="20"/>
                <w:szCs w:val="20"/>
                <w:color w:val="auto"/>
              </w:rPr>
            </w:pPr>
            <w:r>
              <w:rPr>
                <w:rFonts w:ascii="Arial" w:cs="Arial" w:eastAsia="Arial" w:hAnsi="Arial"/>
                <w:sz w:val="18"/>
                <w:szCs w:val="18"/>
                <w:color w:val="auto"/>
              </w:rPr>
              <w:t>(0.22)</w:t>
            </w:r>
          </w:p>
        </w:tc>
        <w:tc>
          <w:tcPr>
            <w:tcW w:w="1320" w:type="dxa"/>
            <w:vAlign w:val="bottom"/>
            <w:gridSpan w:val="2"/>
            <w:shd w:val="clear" w:color="auto" w:fill="D5EAEA"/>
          </w:tcPr>
          <w:p>
            <w:pPr>
              <w:jc w:val="right"/>
              <w:ind w:right="81"/>
              <w:spacing w:after="0"/>
              <w:rPr>
                <w:sz w:val="20"/>
                <w:szCs w:val="20"/>
                <w:color w:val="auto"/>
              </w:rPr>
            </w:pPr>
            <w:r>
              <w:rPr>
                <w:rFonts w:ascii="Arial" w:cs="Arial" w:eastAsia="Arial" w:hAnsi="Arial"/>
                <w:sz w:val="18"/>
                <w:szCs w:val="18"/>
                <w:color w:val="auto"/>
              </w:rPr>
              <w:t>(0.24)</w:t>
            </w:r>
          </w:p>
        </w:tc>
        <w:tc>
          <w:tcPr>
            <w:tcW w:w="1320" w:type="dxa"/>
            <w:vAlign w:val="bottom"/>
            <w:gridSpan w:val="2"/>
            <w:shd w:val="clear" w:color="auto" w:fill="D5EAEA"/>
          </w:tcPr>
          <w:p>
            <w:pPr>
              <w:jc w:val="right"/>
              <w:ind w:right="81"/>
              <w:spacing w:after="0"/>
              <w:rPr>
                <w:sz w:val="20"/>
                <w:szCs w:val="20"/>
                <w:color w:val="auto"/>
              </w:rPr>
            </w:pPr>
            <w:r>
              <w:rPr>
                <w:rFonts w:ascii="Arial" w:cs="Arial" w:eastAsia="Arial" w:hAnsi="Arial"/>
                <w:sz w:val="18"/>
                <w:szCs w:val="18"/>
                <w:color w:val="auto"/>
              </w:rPr>
              <w:t>(0.33)</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0.67</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w w:val="98"/>
              </w:rPr>
              <w:t>Diluted income/(loss) for the period attributable to equity holders</w:t>
            </w:r>
          </w:p>
        </w:tc>
        <w:tc>
          <w:tcPr>
            <w:tcW w:w="960" w:type="dxa"/>
            <w:vAlign w:val="bottom"/>
          </w:tcPr>
          <w:p>
            <w:pPr>
              <w:spacing w:after="0"/>
              <w:rPr>
                <w:sz w:val="20"/>
                <w:szCs w:val="20"/>
                <w:color w:val="auto"/>
              </w:rPr>
            </w:pPr>
          </w:p>
        </w:tc>
        <w:tc>
          <w:tcPr>
            <w:tcW w:w="1360" w:type="dxa"/>
            <w:vAlign w:val="bottom"/>
            <w:gridSpan w:val="2"/>
          </w:tcPr>
          <w:p>
            <w:pPr>
              <w:jc w:val="right"/>
              <w:ind w:right="101"/>
              <w:spacing w:after="0"/>
              <w:rPr>
                <w:sz w:val="20"/>
                <w:szCs w:val="20"/>
                <w:color w:val="auto"/>
              </w:rPr>
            </w:pPr>
            <w:r>
              <w:rPr>
                <w:rFonts w:ascii="Arial" w:cs="Arial" w:eastAsia="Arial" w:hAnsi="Arial"/>
                <w:sz w:val="18"/>
                <w:szCs w:val="18"/>
                <w:color w:val="auto"/>
              </w:rPr>
              <w:t>(0.22)</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(0.24)</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(0.33)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ind w:left="440"/>
              <w:spacing w:after="0"/>
              <w:rPr>
                <w:sz w:val="20"/>
                <w:szCs w:val="20"/>
                <w:color w:val="auto"/>
              </w:rPr>
            </w:pPr>
            <w:r>
              <w:rPr>
                <w:rFonts w:ascii="Arial" w:cs="Arial" w:eastAsia="Arial" w:hAnsi="Arial"/>
                <w:sz w:val="18"/>
                <w:szCs w:val="18"/>
                <w:b w:val="1"/>
                <w:bCs w:val="1"/>
                <w:color w:val="auto"/>
              </w:rPr>
              <w:t>For the Three Months</w:t>
            </w:r>
          </w:p>
        </w:tc>
        <w:tc>
          <w:tcPr>
            <w:tcW w:w="2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Six Months</w:t>
            </w:r>
          </w:p>
        </w:tc>
      </w:t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Statements of Comprehensive Income/(Loss)</w:t>
            </w:r>
          </w:p>
        </w:tc>
        <w:tc>
          <w:tcPr>
            <w:tcW w:w="2720" w:type="dxa"/>
            <w:vAlign w:val="bottom"/>
            <w:gridSpan w:val="4"/>
          </w:tcPr>
          <w:p>
            <w:pPr>
              <w:ind w:left="740"/>
              <w:spacing w:after="0"/>
              <w:rPr>
                <w:sz w:val="20"/>
                <w:szCs w:val="20"/>
                <w:color w:val="auto"/>
              </w:rPr>
            </w:pPr>
            <w:r>
              <w:rPr>
                <w:rFonts w:ascii="Arial" w:cs="Arial" w:eastAsia="Arial" w:hAnsi="Arial"/>
                <w:sz w:val="18"/>
                <w:szCs w:val="18"/>
                <w:b w:val="1"/>
                <w:bCs w:val="1"/>
                <w:color w:val="auto"/>
              </w:rPr>
              <w:t>ended June 30,</w:t>
            </w:r>
          </w:p>
        </w:tc>
        <w:tc>
          <w:tcPr>
            <w:tcW w:w="2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ended June 30,</w:t>
            </w: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2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bl>
    <w:p>
      <w:pPr>
        <w:spacing w:after="0" w:line="200" w:lineRule="exact"/>
        <w:rPr>
          <w:sz w:val="20"/>
          <w:szCs w:val="20"/>
          <w:color w:val="auto"/>
        </w:rPr>
      </w:pPr>
    </w:p>
    <w:p>
      <w:pPr>
        <w:sectPr>
          <w:pgSz w:w="11900" w:h="16838" w:orient="portrait"/>
          <w:cols w:equalWidth="0" w:num="1">
            <w:col w:w="11240"/>
          </w:cols>
          <w:pgMar w:left="320" w:top="472"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Income/(loss) for the period</w:t>
      </w:r>
    </w:p>
    <w:p>
      <w:pPr>
        <w:spacing w:after="0" w:line="23" w:lineRule="exact"/>
        <w:rPr>
          <w:sz w:val="20"/>
          <w:szCs w:val="20"/>
          <w:color w:val="auto"/>
        </w:rPr>
      </w:pPr>
    </w:p>
    <w:p>
      <w:pPr>
        <w:ind w:right="1540"/>
        <w:spacing w:after="0" w:line="265" w:lineRule="auto"/>
        <w:rPr>
          <w:sz w:val="20"/>
          <w:szCs w:val="20"/>
          <w:color w:val="auto"/>
        </w:rPr>
      </w:pPr>
      <w:r>
        <w:rPr>
          <w:rFonts w:ascii="Arial" w:cs="Arial" w:eastAsia="Arial" w:hAnsi="Arial"/>
          <w:sz w:val="17"/>
          <w:szCs w:val="17"/>
          <w:color w:val="auto"/>
        </w:rPr>
        <w:t>Other comprehensive income/(loss) not to be reclassified to income or loss in subsequent periods (net of tax): Re-measurement losses on defined benefit plans</w:t>
      </w:r>
    </w:p>
    <w:p>
      <w:pPr>
        <w:spacing w:after="0"/>
        <w:rPr>
          <w:sz w:val="20"/>
          <w:szCs w:val="20"/>
          <w:color w:val="auto"/>
        </w:rPr>
      </w:pPr>
      <w:r>
        <w:rPr>
          <w:rFonts w:ascii="Arial" w:cs="Arial" w:eastAsia="Arial" w:hAnsi="Arial"/>
          <w:sz w:val="18"/>
          <w:szCs w:val="18"/>
          <w:color w:val="auto"/>
        </w:rPr>
        <w:t>Total comprehensive income/(loss), net of tax</w:t>
      </w:r>
    </w:p>
    <w:p>
      <w:pPr>
        <w:spacing w:after="0" w:line="20" w:lineRule="exact"/>
        <w:rPr>
          <w:sz w:val="20"/>
          <w:szCs w:val="20"/>
          <w:color w:val="auto"/>
        </w:rPr>
      </w:pPr>
      <w:r>
        <w:rPr>
          <w:sz w:val="20"/>
          <w:szCs w:val="20"/>
          <w:color w:val="auto"/>
        </w:rPr>
        <w:br w:type="column"/>
      </w:r>
    </w:p>
    <w:p>
      <w:pPr>
        <w:spacing w:after="0"/>
        <w:tabs>
          <w:tab w:leader="none" w:pos="1360" w:val="left"/>
          <w:tab w:leader="none" w:pos="2680" w:val="left"/>
          <w:tab w:leader="none" w:pos="4060" w:val="left"/>
        </w:tabs>
        <w:rPr>
          <w:sz w:val="20"/>
          <w:szCs w:val="20"/>
          <w:color w:val="auto"/>
        </w:rPr>
      </w:pPr>
      <w:r>
        <w:rPr>
          <w:rFonts w:ascii="Arial" w:cs="Arial" w:eastAsia="Arial" w:hAnsi="Arial"/>
          <w:sz w:val="18"/>
          <w:szCs w:val="18"/>
          <w:color w:val="auto"/>
        </w:rPr>
        <w:t>(15,738)</w:t>
      </w:r>
      <w:r>
        <w:rPr>
          <w:sz w:val="20"/>
          <w:szCs w:val="20"/>
          <w:color w:val="auto"/>
        </w:rPr>
        <w:tab/>
      </w:r>
      <w:r>
        <w:rPr>
          <w:rFonts w:ascii="Arial" w:cs="Arial" w:eastAsia="Arial" w:hAnsi="Arial"/>
          <w:sz w:val="18"/>
          <w:szCs w:val="18"/>
          <w:color w:val="auto"/>
        </w:rPr>
        <w:t>(16,899)</w:t>
      </w:r>
      <w:r>
        <w:rPr>
          <w:sz w:val="20"/>
          <w:szCs w:val="20"/>
          <w:color w:val="auto"/>
        </w:rPr>
        <w:tab/>
      </w:r>
      <w:r>
        <w:rPr>
          <w:rFonts w:ascii="Arial" w:cs="Arial" w:eastAsia="Arial" w:hAnsi="Arial"/>
          <w:sz w:val="18"/>
          <w:szCs w:val="18"/>
          <w:color w:val="auto"/>
        </w:rPr>
        <w:t>(23,425)</w:t>
      </w:r>
      <w:r>
        <w:rPr>
          <w:sz w:val="20"/>
          <w:szCs w:val="20"/>
          <w:color w:val="auto"/>
        </w:rPr>
        <w:tab/>
      </w:r>
      <w:r>
        <w:rPr>
          <w:rFonts w:ascii="Arial" w:cs="Arial" w:eastAsia="Arial" w:hAnsi="Arial"/>
          <w:sz w:val="16"/>
          <w:szCs w:val="16"/>
          <w:color w:val="auto"/>
        </w:rPr>
        <w:t>46,674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-121920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tabs>
          <w:tab w:leader="none" w:pos="1720" w:val="left"/>
          <w:tab w:leader="none" w:pos="3040" w:val="left"/>
          <w:tab w:leader="none" w:pos="4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-130175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tabs>
          <w:tab w:leader="none" w:pos="1360" w:val="left"/>
          <w:tab w:leader="none" w:pos="2680" w:val="left"/>
          <w:tab w:leader="none" w:pos="4060" w:val="left"/>
        </w:tabs>
        <w:rPr>
          <w:sz w:val="20"/>
          <w:szCs w:val="20"/>
          <w:color w:val="auto"/>
        </w:rPr>
      </w:pPr>
      <w:r>
        <w:rPr>
          <w:rFonts w:ascii="Arial" w:cs="Arial" w:eastAsia="Arial" w:hAnsi="Arial"/>
          <w:sz w:val="18"/>
          <w:szCs w:val="18"/>
          <w:color w:val="auto"/>
        </w:rPr>
        <w:t>(15,738)</w:t>
      </w:r>
      <w:r>
        <w:rPr>
          <w:sz w:val="20"/>
          <w:szCs w:val="20"/>
          <w:color w:val="auto"/>
        </w:rPr>
        <w:tab/>
      </w:r>
      <w:r>
        <w:rPr>
          <w:rFonts w:ascii="Arial" w:cs="Arial" w:eastAsia="Arial" w:hAnsi="Arial"/>
          <w:sz w:val="18"/>
          <w:szCs w:val="18"/>
          <w:color w:val="auto"/>
        </w:rPr>
        <w:t>(16,899)</w:t>
      </w:r>
      <w:r>
        <w:rPr>
          <w:sz w:val="20"/>
          <w:szCs w:val="20"/>
          <w:color w:val="auto"/>
        </w:rPr>
        <w:tab/>
      </w:r>
      <w:r>
        <w:rPr>
          <w:rFonts w:ascii="Arial" w:cs="Arial" w:eastAsia="Arial" w:hAnsi="Arial"/>
          <w:sz w:val="18"/>
          <w:szCs w:val="18"/>
          <w:color w:val="auto"/>
        </w:rPr>
        <w:t>(23,425)</w:t>
      </w:r>
      <w:r>
        <w:rPr>
          <w:sz w:val="20"/>
          <w:szCs w:val="20"/>
          <w:color w:val="auto"/>
        </w:rPr>
        <w:tab/>
      </w:r>
      <w:r>
        <w:rPr>
          <w:rFonts w:ascii="Arial" w:cs="Arial" w:eastAsia="Arial" w:hAnsi="Arial"/>
          <w:sz w:val="16"/>
          <w:szCs w:val="16"/>
          <w:color w:val="auto"/>
        </w:rPr>
        <w:t>46,674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22860</wp:posOffset>
            </wp:positionV>
            <wp:extent cx="327469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680"/>
          </w:cols>
          <w:pgMar w:left="320" w:top="472" w:right="339" w:bottom="1440" w:gutter="0" w:footer="0" w:header="0"/>
          <w:type w:val="continuous"/>
        </w:sectPr>
      </w:pP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accompanying notes form an integral part of these Interim Condensed Financial Statements (Unaudited).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Share</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capital</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premium</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2019</w:t>
            </w:r>
          </w:p>
        </w:tc>
        <w:tc>
          <w:tcPr>
            <w:tcW w:w="1260" w:type="dxa"/>
            <w:vAlign w:val="bottom"/>
            <w:tcBorders>
              <w:top w:val="single" w:sz="8" w:color="auto"/>
            </w:tcBorders>
            <w:gridSpan w:val="2"/>
            <w:shd w:val="clear" w:color="auto" w:fill="D5EAEA"/>
          </w:tcPr>
          <w:p>
            <w:pPr>
              <w:ind w:left="720"/>
              <w:spacing w:after="0"/>
              <w:rPr>
                <w:sz w:val="20"/>
                <w:szCs w:val="20"/>
                <w:color w:val="auto"/>
              </w:rPr>
            </w:pPr>
            <w:r>
              <w:rPr>
                <w:rFonts w:ascii="Arial" w:cs="Arial" w:eastAsia="Arial" w:hAnsi="Arial"/>
                <w:sz w:val="18"/>
                <w:szCs w:val="18"/>
                <w:color w:val="auto"/>
              </w:rPr>
              <w:t>1,351</w:t>
            </w:r>
          </w:p>
        </w:tc>
        <w:tc>
          <w:tcPr>
            <w:tcW w:w="120" w:type="dxa"/>
            <w:vAlign w:val="bottom"/>
            <w:tcBorders>
              <w:top w:val="single" w:sz="8" w:color="D5EAEA"/>
            </w:tcBorders>
            <w:shd w:val="clear" w:color="auto" w:fill="D5EAEA"/>
          </w:tcPr>
          <w:p>
            <w:pPr>
              <w:spacing w:after="0"/>
              <w:rPr>
                <w:sz w:val="19"/>
                <w:szCs w:val="19"/>
                <w:color w:val="auto"/>
              </w:rPr>
            </w:pPr>
          </w:p>
        </w:tc>
        <w:tc>
          <w:tcPr>
            <w:tcW w:w="1240" w:type="dxa"/>
            <w:vAlign w:val="bottom"/>
            <w:tcBorders>
              <w:top w:val="single" w:sz="8" w:color="auto"/>
            </w:tcBorders>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298,149</w:t>
            </w:r>
          </w:p>
        </w:tc>
        <w:tc>
          <w:tcPr>
            <w:tcW w:w="100" w:type="dxa"/>
            <w:vAlign w:val="bottom"/>
            <w:tcBorders>
              <w:top w:val="single" w:sz="8" w:color="D5EAEA"/>
            </w:tcBorders>
            <w:shd w:val="clear" w:color="auto" w:fill="D5EAEA"/>
          </w:tcPr>
          <w:p>
            <w:pPr>
              <w:spacing w:after="0"/>
              <w:rPr>
                <w:sz w:val="19"/>
                <w:szCs w:val="19"/>
                <w:color w:val="auto"/>
              </w:rPr>
            </w:pPr>
          </w:p>
        </w:tc>
        <w:tc>
          <w:tcPr>
            <w:tcW w:w="122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(121,877)</w:t>
            </w:r>
          </w:p>
        </w:tc>
        <w:tc>
          <w:tcPr>
            <w:tcW w:w="100" w:type="dxa"/>
            <w:vAlign w:val="bottom"/>
            <w:tcBorders>
              <w:top w:val="single" w:sz="8" w:color="D5EAEA"/>
            </w:tcBorders>
            <w:shd w:val="clear" w:color="auto" w:fill="D5EAEA"/>
          </w:tcPr>
          <w:p>
            <w:pPr>
              <w:spacing w:after="0"/>
              <w:rPr>
                <w:sz w:val="19"/>
                <w:szCs w:val="19"/>
                <w:color w:val="auto"/>
              </w:rPr>
            </w:pPr>
          </w:p>
        </w:tc>
        <w:tc>
          <w:tcPr>
            <w:tcW w:w="114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177,623</w:t>
            </w:r>
          </w:p>
        </w:tc>
        <w:tc>
          <w:tcPr>
            <w:tcW w:w="80" w:type="dxa"/>
            <w:vAlign w:val="bottom"/>
            <w:tcBorders>
              <w:top w:val="single" w:sz="8" w:color="auto"/>
            </w:tcBorders>
            <w:shd w:val="clear" w:color="auto" w:fill="D5EAEA"/>
          </w:tcPr>
          <w:p>
            <w:pPr>
              <w:spacing w:after="0"/>
              <w:rPr>
                <w:sz w:val="19"/>
                <w:szCs w:val="19"/>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120" w:type="dxa"/>
            <w:vAlign w:val="bottom"/>
            <w:tcBorders>
              <w:top w:val="single" w:sz="8" w:color="auto"/>
            </w:tcBorders>
          </w:tcPr>
          <w:p>
            <w:pPr>
              <w:ind w:left="940"/>
              <w:spacing w:after="0"/>
              <w:rPr>
                <w:sz w:val="20"/>
                <w:szCs w:val="20"/>
                <w:color w:val="auto"/>
              </w:rPr>
            </w:pPr>
            <w:r>
              <w:rPr>
                <w:rFonts w:ascii="Arial" w:cs="Arial" w:eastAsia="Arial" w:hAnsi="Arial"/>
                <w:sz w:val="18"/>
                <w:szCs w:val="18"/>
                <w:b w:val="1"/>
                <w:bCs w:val="1"/>
                <w:color w:val="auto"/>
                <w:w w:val="88"/>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income/(loss)</w:t>
            </w:r>
          </w:p>
        </w:tc>
        <w:tc>
          <w:tcPr>
            <w:tcW w:w="1380" w:type="dxa"/>
            <w:vAlign w:val="bottom"/>
            <w:gridSpan w:val="3"/>
            <w:shd w:val="clear" w:color="auto" w:fill="D5EAEA"/>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5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income</w:t>
            </w:r>
          </w:p>
        </w:tc>
        <w:tc>
          <w:tcPr>
            <w:tcW w:w="11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46,674</w:t>
            </w:r>
          </w:p>
        </w:tc>
        <w:tc>
          <w:tcPr>
            <w:tcW w:w="12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46,674</w:t>
            </w:r>
          </w:p>
        </w:tc>
        <w:tc>
          <w:tcPr>
            <w:tcW w:w="20" w:type="dxa"/>
            <w:vAlign w:val="bottom"/>
            <w:tcBorders>
              <w:bottom w:val="single" w:sz="8" w:color="D5EAEA"/>
            </w:tcBorders>
          </w:tcPr>
          <w:p>
            <w:pPr>
              <w:spacing w:after="0"/>
              <w:rPr>
                <w:sz w:val="22"/>
                <w:szCs w:val="22"/>
                <w:color w:val="auto"/>
              </w:rPr>
            </w:pPr>
          </w:p>
        </w:tc>
        <w:tc>
          <w:tcPr>
            <w:tcW w:w="80" w:type="dxa"/>
            <w:vAlign w:val="bottom"/>
            <w:tcBorders>
              <w:bottom w:val="single" w:sz="8" w:color="D5EAEA"/>
            </w:tcBorders>
          </w:tcPr>
          <w:p>
            <w:pPr>
              <w:spacing w:after="0"/>
              <w:rPr>
                <w:sz w:val="22"/>
                <w:szCs w:val="22"/>
                <w:color w:val="auto"/>
              </w:rPr>
            </w:pPr>
          </w:p>
        </w:tc>
      </w:tr>
      <w:tr>
        <w:trPr>
          <w:trHeight w:val="197"/>
        </w:trPr>
        <w:tc>
          <w:tcPr>
            <w:tcW w:w="598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Share-based payments</w:t>
            </w:r>
          </w:p>
        </w:tc>
        <w:tc>
          <w:tcPr>
            <w:tcW w:w="13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1,146</w:t>
            </w:r>
          </w:p>
        </w:tc>
        <w:tc>
          <w:tcPr>
            <w:tcW w:w="80" w:type="dxa"/>
            <w:vAlign w:val="bottom"/>
          </w:tcPr>
          <w:p>
            <w:pPr>
              <w:spacing w:after="0"/>
              <w:rPr>
                <w:sz w:val="18"/>
                <w:szCs w:val="18"/>
                <w:color w:val="auto"/>
              </w:rPr>
            </w:pP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12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Conversion of note agreement, net of transaction costs</w:t>
            </w: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47,705</w:t>
            </w: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47,778</w:t>
            </w: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Restricted share awards</w:t>
            </w:r>
          </w:p>
        </w:tc>
        <w:tc>
          <w:tcPr>
            <w:tcW w:w="1380" w:type="dxa"/>
            <w:vAlign w:val="bottom"/>
            <w:gridSpan w:val="3"/>
            <w:shd w:val="clear" w:color="auto" w:fill="D5EAEA"/>
          </w:tcPr>
          <w:p>
            <w:pPr>
              <w:ind w:left="9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D5EAEA"/>
          </w:tcPr>
          <w:p>
            <w:pPr>
              <w:spacing w:after="0"/>
              <w:rPr>
                <w:sz w:val="18"/>
                <w:szCs w:val="18"/>
                <w:color w:val="auto"/>
              </w:rPr>
            </w:pPr>
          </w:p>
        </w:tc>
        <w:tc>
          <w:tcPr>
            <w:tcW w:w="122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Exercise of options, net of transaction costs</w:t>
            </w: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r>
      <w:tr>
        <w:trPr>
          <w:trHeight w:val="223"/>
        </w:trPr>
        <w:tc>
          <w:tcPr>
            <w:tcW w:w="59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June 30, 2019</w:t>
            </w:r>
          </w:p>
        </w:tc>
        <w:tc>
          <w:tcPr>
            <w:tcW w:w="1120" w:type="dxa"/>
            <w:vAlign w:val="bottom"/>
            <w:tcBorders>
              <w:top w:val="single" w:sz="8" w:color="auto"/>
              <w:bottom w:val="single" w:sz="8" w:color="auto"/>
            </w:tcBorders>
            <w:shd w:val="clear" w:color="auto" w:fill="D5EAEA"/>
          </w:tcPr>
          <w:p>
            <w:pPr>
              <w:ind w:left="720"/>
              <w:spacing w:after="0"/>
              <w:rPr>
                <w:sz w:val="20"/>
                <w:szCs w:val="20"/>
                <w:color w:val="auto"/>
              </w:rPr>
            </w:pPr>
            <w:r>
              <w:rPr>
                <w:rFonts w:ascii="Arial" w:cs="Arial" w:eastAsia="Arial" w:hAnsi="Arial"/>
                <w:sz w:val="18"/>
                <w:szCs w:val="18"/>
                <w:color w:val="auto"/>
                <w:w w:val="84"/>
              </w:rPr>
              <w:t>1,436</w:t>
            </w:r>
          </w:p>
        </w:tc>
        <w:tc>
          <w:tcPr>
            <w:tcW w:w="14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346,024</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(74,170</w:t>
            </w:r>
          </w:p>
        </w:tc>
        <w:tc>
          <w:tcPr>
            <w:tcW w:w="12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273,290</w:t>
            </w:r>
          </w:p>
        </w:tc>
        <w:tc>
          <w:tcPr>
            <w:tcW w:w="20" w:type="dxa"/>
            <w:vAlign w:val="bottom"/>
            <w:tcBorders>
              <w:top w:val="single" w:sz="8" w:color="D5EAEA"/>
              <w:bottom w:val="single" w:sz="8" w:color="D5EAEA"/>
            </w:tcBorders>
            <w:shd w:val="clear" w:color="auto" w:fill="D5EAEA"/>
          </w:tcPr>
          <w:p>
            <w:pPr>
              <w:spacing w:after="0"/>
              <w:rPr>
                <w:sz w:val="19"/>
                <w:szCs w:val="19"/>
                <w:color w:val="auto"/>
              </w:rPr>
            </w:pP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1"/>
        </w:trPr>
        <w:tc>
          <w:tcPr>
            <w:tcW w:w="5980" w:type="dxa"/>
            <w:vAlign w:val="bottom"/>
          </w:tcPr>
          <w:p>
            <w:pPr>
              <w:spacing w:after="0"/>
              <w:rPr>
                <w:sz w:val="24"/>
                <w:szCs w:val="24"/>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Share</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capital</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premium</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2020</w:t>
            </w:r>
          </w:p>
        </w:tc>
        <w:tc>
          <w:tcPr>
            <w:tcW w:w="1260" w:type="dxa"/>
            <w:vAlign w:val="bottom"/>
            <w:tcBorders>
              <w:top w:val="single" w:sz="8" w:color="auto"/>
            </w:tcBorders>
            <w:gridSpan w:val="2"/>
            <w:shd w:val="clear" w:color="auto" w:fill="D5EAEA"/>
          </w:tcPr>
          <w:p>
            <w:pPr>
              <w:ind w:left="720"/>
              <w:spacing w:after="0"/>
              <w:rPr>
                <w:sz w:val="20"/>
                <w:szCs w:val="20"/>
                <w:color w:val="auto"/>
              </w:rPr>
            </w:pPr>
            <w:r>
              <w:rPr>
                <w:rFonts w:ascii="Arial" w:cs="Arial" w:eastAsia="Arial" w:hAnsi="Arial"/>
                <w:sz w:val="18"/>
                <w:szCs w:val="18"/>
                <w:color w:val="auto"/>
              </w:rPr>
              <w:t>1,437</w:t>
            </w:r>
          </w:p>
        </w:tc>
        <w:tc>
          <w:tcPr>
            <w:tcW w:w="120" w:type="dxa"/>
            <w:vAlign w:val="bottom"/>
            <w:tcBorders>
              <w:top w:val="single" w:sz="8" w:color="D5EAEA"/>
            </w:tcBorders>
            <w:shd w:val="clear" w:color="auto" w:fill="D5EAEA"/>
          </w:tcPr>
          <w:p>
            <w:pPr>
              <w:spacing w:after="0"/>
              <w:rPr>
                <w:sz w:val="19"/>
                <w:szCs w:val="19"/>
                <w:color w:val="auto"/>
              </w:rPr>
            </w:pPr>
          </w:p>
        </w:tc>
        <w:tc>
          <w:tcPr>
            <w:tcW w:w="1240" w:type="dxa"/>
            <w:vAlign w:val="bottom"/>
            <w:tcBorders>
              <w:top w:val="single" w:sz="8" w:color="auto"/>
            </w:tcBorders>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346,526</w:t>
            </w:r>
          </w:p>
        </w:tc>
        <w:tc>
          <w:tcPr>
            <w:tcW w:w="100" w:type="dxa"/>
            <w:vAlign w:val="bottom"/>
            <w:tcBorders>
              <w:top w:val="single" w:sz="8" w:color="D5EAEA"/>
            </w:tcBorders>
            <w:shd w:val="clear" w:color="auto" w:fill="D5EAEA"/>
          </w:tcPr>
          <w:p>
            <w:pPr>
              <w:spacing w:after="0"/>
              <w:rPr>
                <w:sz w:val="19"/>
                <w:szCs w:val="19"/>
                <w:color w:val="auto"/>
              </w:rPr>
            </w:pPr>
          </w:p>
        </w:tc>
        <w:tc>
          <w:tcPr>
            <w:tcW w:w="122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(75,521)</w:t>
            </w:r>
          </w:p>
        </w:tc>
        <w:tc>
          <w:tcPr>
            <w:tcW w:w="100" w:type="dxa"/>
            <w:vAlign w:val="bottom"/>
            <w:tcBorders>
              <w:top w:val="single" w:sz="8" w:color="D5EAEA"/>
            </w:tcBorders>
            <w:shd w:val="clear" w:color="auto" w:fill="D5EAEA"/>
          </w:tcPr>
          <w:p>
            <w:pPr>
              <w:spacing w:after="0"/>
              <w:rPr>
                <w:sz w:val="19"/>
                <w:szCs w:val="19"/>
                <w:color w:val="auto"/>
              </w:rPr>
            </w:pPr>
          </w:p>
        </w:tc>
        <w:tc>
          <w:tcPr>
            <w:tcW w:w="114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272,442</w:t>
            </w:r>
          </w:p>
        </w:tc>
        <w:tc>
          <w:tcPr>
            <w:tcW w:w="80" w:type="dxa"/>
            <w:vAlign w:val="bottom"/>
            <w:tcBorders>
              <w:top w:val="single" w:sz="8" w:color="auto"/>
            </w:tcBorders>
            <w:shd w:val="clear" w:color="auto" w:fill="D5EAEA"/>
          </w:tcPr>
          <w:p>
            <w:pPr>
              <w:spacing w:after="0"/>
              <w:rPr>
                <w:sz w:val="19"/>
                <w:szCs w:val="19"/>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120" w:type="dxa"/>
            <w:vAlign w:val="bottom"/>
            <w:tcBorders>
              <w:top w:val="single" w:sz="8" w:color="auto"/>
            </w:tcBorders>
          </w:tcPr>
          <w:p>
            <w:pPr>
              <w:ind w:left="940"/>
              <w:spacing w:after="0"/>
              <w:rPr>
                <w:sz w:val="20"/>
                <w:szCs w:val="20"/>
                <w:color w:val="auto"/>
              </w:rPr>
            </w:pPr>
            <w:r>
              <w:rPr>
                <w:rFonts w:ascii="Arial" w:cs="Arial" w:eastAsia="Arial" w:hAnsi="Arial"/>
                <w:sz w:val="18"/>
                <w:szCs w:val="18"/>
                <w:b w:val="1"/>
                <w:bCs w:val="1"/>
                <w:color w:val="auto"/>
                <w:w w:val="88"/>
              </w:rPr>
              <w:t>—</w:t>
            </w:r>
          </w:p>
        </w:tc>
        <w:tc>
          <w:tcPr>
            <w:tcW w:w="260" w:type="dxa"/>
            <w:vAlign w:val="bottom"/>
            <w:gridSpan w:val="2"/>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(23,425)</w:t>
            </w:r>
          </w:p>
        </w:tc>
        <w:tc>
          <w:tcPr>
            <w:tcW w:w="100" w:type="dxa"/>
            <w:vAlign w:val="bottom"/>
            <w:gridSpan w:val="2"/>
          </w:tcPr>
          <w:p>
            <w:pPr>
              <w:spacing w:after="0"/>
              <w:rPr>
                <w:sz w:val="18"/>
                <w:szCs w:val="18"/>
                <w:color w:val="auto"/>
              </w:rPr>
            </w:pPr>
          </w:p>
        </w:tc>
      </w:tr>
      <w:tr>
        <w:trPr>
          <w:trHeight w:val="230"/>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income/(loss)</w:t>
            </w:r>
          </w:p>
        </w:tc>
        <w:tc>
          <w:tcPr>
            <w:tcW w:w="1380" w:type="dxa"/>
            <w:vAlign w:val="bottom"/>
            <w:gridSpan w:val="3"/>
            <w:shd w:val="clear" w:color="auto" w:fill="D5EAEA"/>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5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income</w:t>
            </w:r>
          </w:p>
        </w:tc>
        <w:tc>
          <w:tcPr>
            <w:tcW w:w="11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D5EAEA"/>
            </w:tcBorders>
            <w:gridSpan w:val="2"/>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5EAEA"/>
            </w:tcBorders>
            <w:gridSpan w:val="2"/>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(23,425</w:t>
            </w:r>
          </w:p>
        </w:tc>
        <w:tc>
          <w:tcPr>
            <w:tcW w:w="12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(23,425</w:t>
            </w:r>
          </w:p>
        </w:tc>
        <w:tc>
          <w:tcPr>
            <w:tcW w:w="100" w:type="dxa"/>
            <w:vAlign w:val="bottom"/>
            <w:tcBorders>
              <w:bottom w:val="single" w:sz="8" w:color="D5EAEA"/>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7"/>
        </w:trPr>
        <w:tc>
          <w:tcPr>
            <w:tcW w:w="598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Share-based payments</w:t>
            </w:r>
          </w:p>
        </w:tc>
        <w:tc>
          <w:tcPr>
            <w:tcW w:w="13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1,847</w:t>
            </w:r>
          </w:p>
        </w:tc>
        <w:tc>
          <w:tcPr>
            <w:tcW w:w="80" w:type="dxa"/>
            <w:vAlign w:val="bottom"/>
          </w:tcPr>
          <w:p>
            <w:pPr>
              <w:spacing w:after="0"/>
              <w:rPr>
                <w:sz w:val="18"/>
                <w:szCs w:val="18"/>
                <w:color w:val="auto"/>
              </w:rPr>
            </w:pP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12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Restricted share awards</w:t>
            </w:r>
          </w:p>
        </w:tc>
        <w:tc>
          <w:tcPr>
            <w:tcW w:w="1380" w:type="dxa"/>
            <w:vAlign w:val="bottom"/>
            <w:gridSpan w:val="3"/>
          </w:tcPr>
          <w:p>
            <w:pPr>
              <w:ind w:left="9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Exercise of options</w:t>
            </w:r>
          </w:p>
        </w:tc>
        <w:tc>
          <w:tcPr>
            <w:tcW w:w="1260" w:type="dxa"/>
            <w:vAlign w:val="bottom"/>
            <w:gridSpan w:val="2"/>
            <w:shd w:val="clear" w:color="auto" w:fill="D5EAEA"/>
          </w:tcPr>
          <w:p>
            <w:pPr>
              <w:ind w:left="10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D5EAEA"/>
          </w:tcPr>
          <w:p>
            <w:pPr>
              <w:spacing w:after="0"/>
              <w:rPr>
                <w:sz w:val="19"/>
                <w:szCs w:val="19"/>
                <w:color w:val="auto"/>
              </w:rPr>
            </w:pPr>
          </w:p>
        </w:tc>
        <w:tc>
          <w:tcPr>
            <w:tcW w:w="12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D5EAEA"/>
          </w:tcPr>
          <w:p>
            <w:pPr>
              <w:spacing w:after="0"/>
              <w:rPr>
                <w:sz w:val="19"/>
                <w:szCs w:val="19"/>
                <w:color w:val="auto"/>
              </w:rPr>
            </w:pPr>
          </w:p>
        </w:tc>
        <w:tc>
          <w:tcPr>
            <w:tcW w:w="13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11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4"/>
              </w:rPr>
              <w:t>1,438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(97,210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1"/>
              </w:rPr>
              <w:t>For the Six Months</w:t>
            </w:r>
          </w:p>
        </w:tc>
        <w:tc>
          <w:tcPr>
            <w:tcW w:w="0" w:type="dxa"/>
            <w:vAlign w:val="bottom"/>
          </w:tcPr>
          <w:p>
            <w:pPr>
              <w:spacing w:after="0"/>
              <w:rPr>
                <w:sz w:val="1"/>
                <w:szCs w:val="1"/>
                <w:color w:val="auto"/>
              </w:rPr>
            </w:pPr>
          </w:p>
        </w:tc>
      </w:tr>
      <w:tr>
        <w:trPr>
          <w:trHeight w:val="234"/>
        </w:trPr>
        <w:tc>
          <w:tcPr>
            <w:tcW w:w="8100" w:type="dxa"/>
            <w:vAlign w:val="bottom"/>
          </w:tcPr>
          <w:p>
            <w:pPr>
              <w:spacing w:after="0"/>
              <w:rPr>
                <w:sz w:val="20"/>
                <w:szCs w:val="2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Notes</w:t>
            </w:r>
          </w:p>
        </w:tc>
        <w:tc>
          <w:tcPr>
            <w:tcW w:w="23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Ended June 30,</w:t>
            </w:r>
          </w:p>
        </w:tc>
        <w:tc>
          <w:tcPr>
            <w:tcW w:w="0" w:type="dxa"/>
            <w:vAlign w:val="bottom"/>
          </w:tcPr>
          <w:p>
            <w:pPr>
              <w:spacing w:after="0"/>
              <w:rPr>
                <w:sz w:val="1"/>
                <w:szCs w:val="1"/>
                <w:color w:val="auto"/>
              </w:rPr>
            </w:pPr>
          </w:p>
        </w:tc>
      </w:tr>
      <w:tr>
        <w:trPr>
          <w:trHeight w:val="209"/>
        </w:trPr>
        <w:tc>
          <w:tcPr>
            <w:tcW w:w="8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Operating activities</w:t>
            </w:r>
          </w:p>
        </w:tc>
        <w:tc>
          <w:tcPr>
            <w:tcW w:w="6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Net income/(loss) for the period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(23,425)</w:t>
            </w:r>
          </w:p>
        </w:tc>
        <w:tc>
          <w:tcPr>
            <w:tcW w:w="1120" w:type="dxa"/>
            <w:vAlign w:val="bottom"/>
          </w:tcPr>
          <w:p>
            <w:pPr>
              <w:jc w:val="right"/>
              <w:spacing w:after="0"/>
              <w:rPr>
                <w:sz w:val="20"/>
                <w:szCs w:val="20"/>
                <w:color w:val="auto"/>
              </w:rPr>
            </w:pPr>
            <w:r>
              <w:rPr>
                <w:rFonts w:ascii="Arial" w:cs="Arial" w:eastAsia="Arial" w:hAnsi="Arial"/>
                <w:sz w:val="18"/>
                <w:szCs w:val="18"/>
                <w:color w:val="auto"/>
              </w:rPr>
              <w:t>46,674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Adjustments to reconcile net loss for the period to net cash flows:</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734</w:t>
            </w:r>
          </w:p>
        </w:tc>
        <w:tc>
          <w:tcPr>
            <w:tcW w:w="1120" w:type="dxa"/>
            <w:vAlign w:val="bottom"/>
          </w:tcPr>
          <w:p>
            <w:pPr>
              <w:jc w:val="right"/>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color w:val="auto"/>
              </w:rPr>
              <w:t>Depreciation of right-of-use assets</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215</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Finance expense, net</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282</w:t>
            </w:r>
          </w:p>
        </w:tc>
        <w:tc>
          <w:tcPr>
            <w:tcW w:w="1120" w:type="dxa"/>
            <w:vAlign w:val="bottom"/>
          </w:tcPr>
          <w:p>
            <w:pPr>
              <w:jc w:val="right"/>
              <w:spacing w:after="0"/>
              <w:rPr>
                <w:sz w:val="20"/>
                <w:szCs w:val="20"/>
                <w:color w:val="auto"/>
              </w:rPr>
            </w:pPr>
            <w:r>
              <w:rPr>
                <w:rFonts w:ascii="Arial" w:cs="Arial" w:eastAsia="Arial" w:hAnsi="Arial"/>
                <w:sz w:val="18"/>
                <w:szCs w:val="18"/>
                <w:color w:val="auto"/>
              </w:rPr>
              <w:t>1,648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color w:val="auto"/>
              </w:rPr>
              <w:t>Share-based compensation expense</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1,847</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Change in net employee defined benefit liability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363</w:t>
            </w:r>
          </w:p>
        </w:tc>
        <w:tc>
          <w:tcPr>
            <w:tcW w:w="1120" w:type="dxa"/>
            <w:vAlign w:val="bottom"/>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color w:val="auto"/>
              </w:rPr>
              <w:t>Change in fair value of conversion feature</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109</w:t>
            </w:r>
          </w:p>
        </w:tc>
        <w:tc>
          <w:tcPr>
            <w:tcW w:w="1120" w:type="dxa"/>
            <w:vAlign w:val="bottom"/>
          </w:tcPr>
          <w:p>
            <w:pPr>
              <w:jc w:val="right"/>
              <w:spacing w:after="0"/>
              <w:rPr>
                <w:sz w:val="20"/>
                <w:szCs w:val="20"/>
                <w:color w:val="auto"/>
              </w:rPr>
            </w:pPr>
            <w:r>
              <w:rPr>
                <w:rFonts w:ascii="Arial" w:cs="Arial" w:eastAsia="Arial" w:hAnsi="Arial"/>
                <w:sz w:val="18"/>
                <w:szCs w:val="18"/>
                <w:color w:val="auto"/>
              </w:rPr>
              <w:t>1,601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Changes in working capital:</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(Increase) in prepaid expenses</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(951)</w:t>
            </w:r>
          </w:p>
        </w:tc>
        <w:tc>
          <w:tcPr>
            <w:tcW w:w="1120" w:type="dxa"/>
            <w:vAlign w:val="bottom"/>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color w:val="auto"/>
              </w:rPr>
              <w:t>Decrease in accrued income</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672</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(Increase) in other current receivables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120" w:type="dxa"/>
            <w:vAlign w:val="bottom"/>
          </w:tcPr>
          <w:p>
            <w:pPr>
              <w:jc w:val="right"/>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color w:val="auto"/>
              </w:rPr>
              <w:t>(Decrease) in accrued expenses</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(2,348)</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(Decrease)/Increase in deferred income</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(3,071)</w:t>
            </w:r>
          </w:p>
        </w:tc>
        <w:tc>
          <w:tcPr>
            <w:tcW w:w="1120" w:type="dxa"/>
            <w:vAlign w:val="bottom"/>
          </w:tcPr>
          <w:p>
            <w:pPr>
              <w:jc w:val="right"/>
              <w:spacing w:after="0"/>
              <w:rPr>
                <w:sz w:val="20"/>
                <w:szCs w:val="20"/>
                <w:color w:val="auto"/>
              </w:rPr>
            </w:pPr>
            <w:r>
              <w:rPr>
                <w:rFonts w:ascii="Arial" w:cs="Arial" w:eastAsia="Arial" w:hAnsi="Arial"/>
                <w:sz w:val="18"/>
                <w:szCs w:val="18"/>
                <w:color w:val="auto"/>
              </w:rPr>
              <w:t>5,488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B"/>
          </w:tcPr>
          <w:p>
            <w:pPr>
              <w:spacing w:after="0"/>
              <w:rPr>
                <w:sz w:val="20"/>
                <w:szCs w:val="20"/>
                <w:color w:val="auto"/>
              </w:rPr>
            </w:pPr>
            <w:r>
              <w:rPr>
                <w:rFonts w:ascii="Arial" w:cs="Arial" w:eastAsia="Arial" w:hAnsi="Arial"/>
                <w:sz w:val="18"/>
                <w:szCs w:val="18"/>
                <w:color w:val="auto"/>
              </w:rPr>
              <w:t>Increase/(Decrease) in trade and other payables</w:t>
            </w:r>
          </w:p>
        </w:tc>
        <w:tc>
          <w:tcPr>
            <w:tcW w:w="680" w:type="dxa"/>
            <w:vAlign w:val="bottom"/>
            <w:shd w:val="clear" w:color="auto" w:fill="D5EAEB"/>
          </w:tcPr>
          <w:p>
            <w:pPr>
              <w:spacing w:after="0"/>
              <w:rPr>
                <w:sz w:val="18"/>
                <w:szCs w:val="18"/>
                <w:color w:val="auto"/>
              </w:rPr>
            </w:pPr>
          </w:p>
        </w:tc>
        <w:tc>
          <w:tcPr>
            <w:tcW w:w="120" w:type="dxa"/>
            <w:vAlign w:val="bottom"/>
            <w:shd w:val="clear" w:color="auto" w:fill="D5EAEB"/>
          </w:tcPr>
          <w:p>
            <w:pPr>
              <w:spacing w:after="0"/>
              <w:rPr>
                <w:sz w:val="18"/>
                <w:szCs w:val="18"/>
                <w:color w:val="auto"/>
              </w:rPr>
            </w:pPr>
          </w:p>
        </w:tc>
        <w:tc>
          <w:tcPr>
            <w:tcW w:w="1220" w:type="dxa"/>
            <w:vAlign w:val="bottom"/>
            <w:gridSpan w:val="2"/>
            <w:shd w:val="clear" w:color="auto" w:fill="D5EAEB"/>
          </w:tcPr>
          <w:p>
            <w:pPr>
              <w:jc w:val="right"/>
              <w:ind w:right="10"/>
              <w:spacing w:after="0"/>
              <w:rPr>
                <w:sz w:val="20"/>
                <w:szCs w:val="20"/>
                <w:color w:val="auto"/>
              </w:rPr>
            </w:pPr>
            <w:r>
              <w:rPr>
                <w:rFonts w:ascii="Arial" w:cs="Arial" w:eastAsia="Arial" w:hAnsi="Arial"/>
                <w:sz w:val="18"/>
                <w:szCs w:val="18"/>
                <w:color w:val="auto"/>
              </w:rPr>
              <w:t>1,357</w:t>
            </w:r>
          </w:p>
        </w:tc>
        <w:tc>
          <w:tcPr>
            <w:tcW w:w="1120" w:type="dxa"/>
            <w:vAlign w:val="bottom"/>
            <w:shd w:val="clear" w:color="auto" w:fill="D5EAEB"/>
          </w:tcPr>
          <w:p>
            <w:pPr>
              <w:jc w:val="right"/>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tcPr>
          <w:p>
            <w:pPr>
              <w:spacing w:after="0"/>
              <w:rPr>
                <w:sz w:val="20"/>
                <w:szCs w:val="20"/>
                <w:color w:val="auto"/>
              </w:rPr>
            </w:pPr>
            <w:r>
              <w:rPr>
                <w:rFonts w:ascii="Arial" w:cs="Arial" w:eastAsia="Arial" w:hAnsi="Arial"/>
                <w:sz w:val="18"/>
                <w:szCs w:val="18"/>
                <w:b w:val="1"/>
                <w:bCs w:val="1"/>
                <w:color w:val="auto"/>
              </w:rPr>
              <w:t>Cash provided by/(used in) operating activities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(24,479)</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B"/>
          </w:tcPr>
          <w:p>
            <w:pPr>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D5EAEB"/>
          </w:tcPr>
          <w:p>
            <w:pPr>
              <w:spacing w:after="0"/>
              <w:rPr>
                <w:sz w:val="18"/>
                <w:szCs w:val="18"/>
                <w:color w:val="auto"/>
              </w:rPr>
            </w:pPr>
          </w:p>
        </w:tc>
        <w:tc>
          <w:tcPr>
            <w:tcW w:w="120" w:type="dxa"/>
            <w:vAlign w:val="bottom"/>
            <w:shd w:val="clear" w:color="auto" w:fill="D5EAEB"/>
          </w:tcPr>
          <w:p>
            <w:pPr>
              <w:spacing w:after="0"/>
              <w:rPr>
                <w:sz w:val="18"/>
                <w:szCs w:val="18"/>
                <w:color w:val="auto"/>
              </w:rPr>
            </w:pPr>
          </w:p>
        </w:tc>
        <w:tc>
          <w:tcPr>
            <w:tcW w:w="1220" w:type="dxa"/>
            <w:vAlign w:val="bottom"/>
            <w:gridSpan w:val="2"/>
            <w:shd w:val="clear" w:color="auto" w:fill="D5EAEB"/>
          </w:tcPr>
          <w:p>
            <w:pPr>
              <w:jc w:val="right"/>
              <w:ind w:right="10"/>
              <w:spacing w:after="0"/>
              <w:rPr>
                <w:sz w:val="20"/>
                <w:szCs w:val="20"/>
                <w:color w:val="auto"/>
              </w:rPr>
            </w:pPr>
            <w:r>
              <w:rPr>
                <w:rFonts w:ascii="Arial" w:cs="Arial" w:eastAsia="Arial" w:hAnsi="Arial"/>
                <w:sz w:val="18"/>
                <w:szCs w:val="18"/>
                <w:color w:val="auto"/>
              </w:rPr>
              <w:t>78</w:t>
            </w:r>
          </w:p>
        </w:tc>
        <w:tc>
          <w:tcPr>
            <w:tcW w:w="1120" w:type="dxa"/>
            <w:vAlign w:val="bottom"/>
            <w:shd w:val="clear" w:color="auto" w:fill="D5EAEB"/>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Interest paid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color w:val="auto"/>
              </w:rPr>
              <w:t>Finance costs</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(5)</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1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6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(24,557</w:t>
            </w:r>
          </w:p>
        </w:tc>
        <w:tc>
          <w:tcPr>
            <w:tcW w:w="10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100" w:type="dxa"/>
            <w:vAlign w:val="bottom"/>
            <w:shd w:val="clear" w:color="auto" w:fill="D5EAEA"/>
          </w:tcPr>
          <w:p>
            <w:pPr>
              <w:spacing w:after="0"/>
              <w:rPr>
                <w:sz w:val="17"/>
                <w:szCs w:val="17"/>
                <w:color w:val="auto"/>
              </w:rPr>
            </w:pPr>
          </w:p>
        </w:tc>
        <w:tc>
          <w:tcPr>
            <w:tcW w:w="6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 net</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10,000</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1120" w:type="dxa"/>
            <w:vAlign w:val="bottom"/>
          </w:tcPr>
          <w:p>
            <w:pPr>
              <w:jc w:val="right"/>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cash flows provided by/(used in) investing activities</w:t>
            </w:r>
          </w:p>
        </w:tc>
        <w:tc>
          <w:tcPr>
            <w:tcW w:w="68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9,413</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Financing activities</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Repayment of short-term debt obligation</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color w:val="auto"/>
              </w:rPr>
              <w:t>Principal payments of lease obligations</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(215)</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Proceeds from issuance of common shares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convertible loan</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Transaction costs on issuance of shares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color w:val="auto"/>
              </w:rPr>
              <w:t>Proceeds from long-term financing</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1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provided by/(used in) financing activities</w:t>
            </w:r>
          </w:p>
        </w:tc>
        <w:tc>
          <w:tcPr>
            <w:tcW w:w="6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100" w:type="dxa"/>
            <w:vAlign w:val="bottom"/>
            <w:shd w:val="clear" w:color="auto" w:fill="D5EAEA"/>
          </w:tcPr>
          <w:p>
            <w:pPr>
              <w:spacing w:after="0"/>
              <w:rPr>
                <w:sz w:val="17"/>
                <w:szCs w:val="17"/>
                <w:color w:val="auto"/>
              </w:rPr>
            </w:pPr>
          </w:p>
        </w:tc>
        <w:tc>
          <w:tcPr>
            <w:tcW w:w="6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100" w:type="dxa"/>
            <w:vAlign w:val="bottom"/>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(15,625)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49,831</w:t>
            </w:r>
          </w:p>
        </w:tc>
        <w:tc>
          <w:tcPr>
            <w:tcW w:w="0" w:type="dxa"/>
            <w:vAlign w:val="bottom"/>
          </w:tcPr>
          <w:p>
            <w:pPr>
              <w:spacing w:after="0"/>
              <w:rPr>
                <w:sz w:val="1"/>
                <w:szCs w:val="1"/>
                <w:color w:val="auto"/>
              </w:rPr>
            </w:pPr>
          </w:p>
        </w:tc>
      </w:tr>
      <w:tr>
        <w:trPr>
          <w:trHeight w:val="196"/>
        </w:trPr>
        <w:tc>
          <w:tcPr>
            <w:tcW w:w="8100" w:type="dxa"/>
            <w:vAlign w:val="bottom"/>
            <w:tcBorders>
              <w:top w:val="single" w:sz="8" w:color="D5EAEA"/>
            </w:tcBorders>
            <w:shd w:val="clear" w:color="auto" w:fill="D5EAEA"/>
          </w:tcPr>
          <w:p>
            <w:pPr>
              <w:spacing w:after="0"/>
              <w:rPr>
                <w:sz w:val="17"/>
                <w:szCs w:val="17"/>
                <w:color w:val="auto"/>
              </w:rPr>
            </w:pPr>
          </w:p>
        </w:tc>
        <w:tc>
          <w:tcPr>
            <w:tcW w:w="68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193,587</w:t>
            </w:r>
          </w:p>
        </w:tc>
        <w:tc>
          <w:tcPr>
            <w:tcW w:w="1120" w:type="dxa"/>
            <w:vAlign w:val="bottom"/>
          </w:tcPr>
          <w:p>
            <w:pPr>
              <w:jc w:val="right"/>
              <w:spacing w:after="0"/>
              <w:rPr>
                <w:sz w:val="20"/>
                <w:szCs w:val="20"/>
                <w:color w:val="auto"/>
              </w:rPr>
            </w:pPr>
            <w:r>
              <w:rPr>
                <w:rFonts w:ascii="Arial" w:cs="Arial" w:eastAsia="Arial" w:hAnsi="Arial"/>
                <w:sz w:val="18"/>
                <w:szCs w:val="18"/>
                <w:color w:val="auto"/>
              </w:rPr>
              <w:t>156,462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Arial" w:cs="Arial" w:eastAsia="Arial" w:hAnsi="Arial"/>
                <w:sz w:val="18"/>
                <w:szCs w:val="18"/>
                <w:color w:val="auto"/>
              </w:rPr>
              <w:t>Exchange loss on cash and cash equivalents</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(498)</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Cash and cash equivalents at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177,464</w:t>
            </w:r>
          </w:p>
        </w:tc>
        <w:tc>
          <w:tcPr>
            <w:tcW w:w="1120" w:type="dxa"/>
            <w:vAlign w:val="bottom"/>
          </w:tcPr>
          <w:p>
            <w:pPr>
              <w:jc w:val="right"/>
              <w:spacing w:after="0"/>
              <w:rPr>
                <w:sz w:val="20"/>
                <w:szCs w:val="20"/>
                <w:color w:val="auto"/>
              </w:rPr>
            </w:pPr>
            <w:r>
              <w:rPr>
                <w:rFonts w:ascii="Arial" w:cs="Arial" w:eastAsia="Arial" w:hAnsi="Arial"/>
                <w:sz w:val="18"/>
                <w:szCs w:val="18"/>
                <w:color w:val="auto"/>
              </w:rPr>
              <w:t>205,735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68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(15,625</w:t>
            </w:r>
          </w:p>
        </w:tc>
        <w:tc>
          <w:tcPr>
            <w:tcW w:w="100" w:type="dxa"/>
            <w:vAlign w:val="bottom"/>
            <w:tcBorders>
              <w:top w:val="single" w:sz="8" w:color="D5EAEA"/>
              <w:bottom w:val="single" w:sz="8" w:color="D5EAEA"/>
            </w:tcBorders>
            <w:shd w:val="clear" w:color="auto" w:fill="D5EAEA"/>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49,831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For the six months ended June 30, 2019, the Company settled its convertible loan via equity for CHF 48.3 million, gross of CHF 510 thousand for transaction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Notes to the Interim Condensed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share and per share amounts)</w:t>
      </w:r>
    </w:p>
    <w:p>
      <w:pPr>
        <w:spacing w:after="0" w:line="207"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AC Immune SA (the “Company,” “AC Immune,” “ACIU,” “we,” “our,” “ours,” or “us”) is a clinical stage biopharmaceutical company leveraging our two proprietary technology platforms to discover, design and develop novel, proprietary medicines and diagnostics for prevention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9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Interim Condensed Financial Statements of AC Immune SA as of and for the three and six months ended June 30, 2020, were authorized for issuance by the Company’s Audit and Finance Committee on August 4, 2020.</w:t>
      </w:r>
    </w:p>
    <w:p>
      <w:pPr>
        <w:spacing w:after="0" w:line="166" w:lineRule="exact"/>
        <w:rPr>
          <w:sz w:val="20"/>
          <w:szCs w:val="20"/>
          <w:color w:val="auto"/>
        </w:rPr>
      </w:pPr>
    </w:p>
    <w:p>
      <w:pPr>
        <w:ind w:right="5440" w:firstLine="8"/>
        <w:spacing w:after="0" w:line="503" w:lineRule="auto"/>
        <w:tabs>
          <w:tab w:leader="none" w:pos="3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ind w:right="20" w:firstLine="324"/>
        <w:spacing w:after="0" w:line="259" w:lineRule="auto"/>
        <w:rPr>
          <w:sz w:val="20"/>
          <w:szCs w:val="20"/>
          <w:color w:val="auto"/>
        </w:rPr>
      </w:pPr>
      <w:r>
        <w:rPr>
          <w:rFonts w:ascii="Arial" w:cs="Arial" w:eastAsia="Arial" w:hAnsi="Arial"/>
          <w:sz w:val="18"/>
          <w:szCs w:val="18"/>
          <w:color w:val="auto"/>
        </w:rPr>
        <w:t xml:space="preserve">These Interim Condensed Financial Statements as of and for the three and six months ended June 30, 2020, have been prepared in accordance with International Accounting Standard 34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and such financial information should be read in conjunction with the audited financial statements in the Company’s Annual Report on Form 20-F for the year ended December 31, 2019, and any public announcements made by the Company during the interim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Company enters into licensing agreements which are within the scope of IFRS 15, under which it licenses certain rights to its product candidates and intellectual property (“IP”)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IP. Each of these payments results in license, collaboration and other revenues, which are classified as contract revenue on the statements of income/(loss), except for revenues from royalties on net sales of products commercialized from the Company’s IP, which are classified as royalty revenues.</w:t>
      </w:r>
    </w:p>
    <w:p>
      <w:pPr>
        <w:spacing w:after="0" w:line="19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At the inception of each arrangement that includes development, regulatory and/or commercial milestone payments,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evaluates whether the milestones are considered highly probable of being reached and estimates the amount to be included in the transaction price using the most likely amount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8" w:name="page9"/>
    <w:bookmarkEnd w:id="8"/>
    <w:p>
      <w:pPr>
        <w:ind w:right="380"/>
        <w:spacing w:after="0" w:line="301" w:lineRule="auto"/>
        <w:rPr>
          <w:sz w:val="20"/>
          <w:szCs w:val="20"/>
          <w:color w:val="auto"/>
        </w:rPr>
      </w:pPr>
      <w:r>
        <w:rPr>
          <w:rFonts w:ascii="Arial" w:cs="Arial" w:eastAsia="Arial" w:hAnsi="Arial"/>
          <w:sz w:val="16"/>
          <w:szCs w:val="16"/>
          <w:color w:val="auto"/>
        </w:rPr>
        <w:t>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57"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Company has certain arrangements with our collaboration partners that include contracting our full-time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4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i w:val="1"/>
          <w:iCs w:val="1"/>
          <w:color w:val="auto"/>
        </w:rPr>
        <w:t xml:space="preserve">Sublicense revenues: </w:t>
      </w:r>
      <w:r>
        <w:rPr>
          <w:rFonts w:ascii="Arial" w:cs="Arial" w:eastAsia="Arial" w:hAnsi="Arial"/>
          <w:sz w:val="17"/>
          <w:szCs w:val="17"/>
          <w:color w:val="auto"/>
        </w:rPr>
        <w:t>The Company has certain arrangements with our collaboration partners that include provisions for sublicensing.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any sublicense revenues at the point in time it is highly probable to obtain and not subject to reversal in the future.</w:t>
      </w:r>
    </w:p>
    <w:p>
      <w:pPr>
        <w:spacing w:after="0" w:line="146"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including milestone payments based on the level of sales, and the license is deemed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and collaboration agreements.</w:t>
      </w:r>
    </w:p>
    <w:p>
      <w:pPr>
        <w:spacing w:after="0" w:line="17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The Company receives payments and determines credit terms from its customers for its various performance obligations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schedules established in each contract. The timing of revenue recognition, billings and cash collections results in billed other current receivables, accrued income (contract assets), and deferred income (contract liabilities) on the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The preparation of the Company’s Interim Condensed Financial Statements in conformity with IAS 34 requires management to make judgments, estimates and assumptions that affect the amounts reported in the Interim Condensed Financial Statements and accompanying notes and the related application of accounting policies as it relates to the reported amounts of assets, liabilities, income and expenses.</w:t>
      </w:r>
    </w:p>
    <w:p>
      <w:pPr>
        <w:spacing w:after="0" w:line="165" w:lineRule="exact"/>
        <w:rPr>
          <w:sz w:val="20"/>
          <w:szCs w:val="20"/>
          <w:color w:val="auto"/>
        </w:rPr>
      </w:pPr>
    </w:p>
    <w:p>
      <w:pPr>
        <w:jc w:val="both"/>
        <w:ind w:right="120" w:firstLine="324"/>
        <w:spacing w:after="0" w:line="279" w:lineRule="auto"/>
        <w:rPr>
          <w:sz w:val="20"/>
          <w:szCs w:val="20"/>
          <w:color w:val="auto"/>
        </w:rPr>
      </w:pPr>
      <w:r>
        <w:rPr>
          <w:rFonts w:ascii="Arial" w:cs="Arial" w:eastAsia="Arial" w:hAnsi="Arial"/>
          <w:sz w:val="17"/>
          <w:szCs w:val="17"/>
          <w:color w:val="auto"/>
        </w:rPr>
        <w:t>The areas where AC Immune has had to make judgments, estimates and assumptions relate to (i) revenue recognition on licensing and collaboration agreements, (ii) clinical development accruals, (iii) net employee defined benefit liability, (iv) income taxes, (v) share-based compensation and (vi) right-of-use assets and lease liabilities. Actual results may differ from these estimates. Estimates and underlying assumptions are reviewed on an ongoing basis. Revisions to accounting estimates are recognized in the period in which the estimates are revised.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accounting policies adopted in the preparation of the Interim Condensed Financial Statements are consistent with those followed in the preparation of the Company’s annual financial statements for the year ended December 31, 2019.</w:t>
      </w:r>
    </w:p>
    <w:p>
      <w:pPr>
        <w:spacing w:after="0" w:line="170"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Company has not adopted any other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The Company believes it will be able to meet all of its obligations as they fall due for at least 12 months from June 30, 2020, after considering the Company’s cash position of CHF 177.5 million and short-term financial assets of CHF 85 million as of June 30, 2020. Hence, the unaudited Interim Condensed Financial Statements have been prepared on a going concern basis.</w:t>
      </w:r>
    </w:p>
    <w:p>
      <w:pPr>
        <w:spacing w:after="0" w:line="18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To date, the Company has financed its cash requirements primarily from its public offerings, share issuances and revenues from license and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9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to the foregoing, based on the Company’s current assessment, the Company does not expect any material impact on its long-term development timeline, its liquidity or ability to remain a going concern due to the worldwide spread of the Covid-19 virus. The Company is continuing to assess the effect on its operations by carefully monitoring the spread of Covid-19 and taking appropriate steps intended to offset any negative impacts from the Covid-19 virus.</w:t>
      </w:r>
    </w:p>
    <w:p>
      <w:pPr>
        <w:spacing w:after="0" w:line="18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For the three and six months ended June 30, 2020, AC Immune generated revenues of CHF 1.3 million and CHF 13.7 million compared with CHF 1.5 million and CHF 76.6 million for the comparable periods in 2019, respectively. This represents a decrease of CHF 0.2 million and CHF 62.9 million,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2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Three Months</w:t>
            </w:r>
          </w:p>
        </w:tc>
      </w:tr>
      <w:tr>
        <w:trPr>
          <w:trHeight w:val="234"/>
        </w:trPr>
        <w:tc>
          <w:tcPr>
            <w:tcW w:w="8460" w:type="dxa"/>
            <w:vAlign w:val="bottom"/>
          </w:tcPr>
          <w:p>
            <w:pPr>
              <w:spacing w:after="0"/>
              <w:rPr>
                <w:sz w:val="20"/>
                <w:szCs w:val="20"/>
                <w:color w:val="auto"/>
              </w:rPr>
            </w:pPr>
          </w:p>
        </w:tc>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Ended June 30,</w:t>
            </w:r>
          </w:p>
        </w:tc>
      </w:tr>
      <w:tr>
        <w:trPr>
          <w:trHeight w:val="210"/>
        </w:trPr>
        <w:tc>
          <w:tcPr>
            <w:tcW w:w="846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8460" w:type="dxa"/>
            <w:vAlign w:val="bottom"/>
            <w:shd w:val="clear" w:color="auto" w:fill="D5EAEA"/>
          </w:tcPr>
          <w:p>
            <w:pPr>
              <w:spacing w:after="0"/>
              <w:rPr>
                <w:sz w:val="20"/>
                <w:szCs w:val="20"/>
                <w:color w:val="auto"/>
              </w:rPr>
            </w:pPr>
            <w:r>
              <w:rPr>
                <w:rFonts w:ascii="Arial" w:cs="Arial" w:eastAsia="Arial" w:hAnsi="Arial"/>
                <w:sz w:val="18"/>
                <w:szCs w:val="18"/>
                <w:color w:val="auto"/>
              </w:rPr>
              <w:t>Eli Lilly and Company</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433</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Genentech</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8460" w:type="dxa"/>
            <w:vAlign w:val="bottom"/>
            <w:shd w:val="clear" w:color="auto" w:fill="D5EAEA"/>
          </w:tcPr>
          <w:p>
            <w:pPr>
              <w:spacing w:after="0"/>
              <w:rPr>
                <w:sz w:val="20"/>
                <w:szCs w:val="20"/>
                <w:color w:val="auto"/>
              </w:rPr>
            </w:pPr>
            <w:r>
              <w:rPr>
                <w:rFonts w:ascii="Arial" w:cs="Arial" w:eastAsia="Arial" w:hAnsi="Arial"/>
                <w:sz w:val="18"/>
                <w:szCs w:val="18"/>
                <w:color w:val="auto"/>
              </w:rPr>
              <w:t>Janssen</w:t>
            </w:r>
          </w:p>
        </w:tc>
        <w:tc>
          <w:tcPr>
            <w:tcW w:w="14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233</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648</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Life Molecular Imaging</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D5EAEA"/>
          </w:tcPr>
          <w:p>
            <w:pPr>
              <w:spacing w:after="0"/>
              <w:rPr>
                <w:sz w:val="20"/>
                <w:szCs w:val="20"/>
                <w:color w:val="auto"/>
              </w:rPr>
            </w:pPr>
            <w:r>
              <w:rPr>
                <w:rFonts w:ascii="Arial" w:cs="Arial" w:eastAsia="Arial" w:hAnsi="Arial"/>
                <w:sz w:val="18"/>
                <w:szCs w:val="18"/>
                <w:color w:val="auto"/>
              </w:rPr>
              <w:t>Biogen</w:t>
            </w:r>
          </w:p>
        </w:tc>
        <w:tc>
          <w:tcPr>
            <w:tcW w:w="14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34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23"/>
        </w:trPr>
        <w:tc>
          <w:tcPr>
            <w:tcW w:w="84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contract revenue</w:t>
            </w: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1,511</w:t>
            </w:r>
          </w:p>
        </w:tc>
      </w:tr>
      <w:tr>
        <w:trPr>
          <w:trHeight w:val="20"/>
        </w:trPr>
        <w:tc>
          <w:tcPr>
            <w:tcW w:w="8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21"/>
        </w:trPr>
        <w:tc>
          <w:tcPr>
            <w:tcW w:w="8460" w:type="dxa"/>
            <w:vAlign w:val="bottom"/>
          </w:tcPr>
          <w:p>
            <w:pPr>
              <w:spacing w:after="0"/>
              <w:rPr>
                <w:sz w:val="24"/>
                <w:szCs w:val="24"/>
                <w:color w:val="auto"/>
              </w:rPr>
            </w:pPr>
          </w:p>
        </w:tc>
        <w:tc>
          <w:tcPr>
            <w:tcW w:w="2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Six Months</w:t>
            </w:r>
          </w:p>
        </w:tc>
      </w:tr>
      <w:tr>
        <w:trPr>
          <w:trHeight w:val="234"/>
        </w:trPr>
        <w:tc>
          <w:tcPr>
            <w:tcW w:w="8460" w:type="dxa"/>
            <w:vAlign w:val="bottom"/>
          </w:tcPr>
          <w:p>
            <w:pPr>
              <w:spacing w:after="0"/>
              <w:rPr>
                <w:sz w:val="20"/>
                <w:szCs w:val="20"/>
                <w:color w:val="auto"/>
              </w:rPr>
            </w:pPr>
          </w:p>
        </w:tc>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Ended June 30,</w:t>
            </w:r>
          </w:p>
        </w:tc>
      </w:tr>
      <w:tr>
        <w:trPr>
          <w:trHeight w:val="210"/>
        </w:trPr>
        <w:tc>
          <w:tcPr>
            <w:tcW w:w="846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8460" w:type="dxa"/>
            <w:vAlign w:val="bottom"/>
            <w:shd w:val="clear" w:color="auto" w:fill="D5EAEA"/>
          </w:tcPr>
          <w:p>
            <w:pPr>
              <w:spacing w:after="0"/>
              <w:rPr>
                <w:sz w:val="20"/>
                <w:szCs w:val="20"/>
                <w:color w:val="auto"/>
              </w:rPr>
            </w:pPr>
            <w:r>
              <w:rPr>
                <w:rFonts w:ascii="Arial" w:cs="Arial" w:eastAsia="Arial" w:hAnsi="Arial"/>
                <w:sz w:val="18"/>
                <w:szCs w:val="18"/>
                <w:color w:val="auto"/>
              </w:rPr>
              <w:t>Eli Lilly and Company</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12,941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74,300</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Genentech</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8460" w:type="dxa"/>
            <w:vAlign w:val="bottom"/>
            <w:shd w:val="clear" w:color="auto" w:fill="D5EAEA"/>
          </w:tcPr>
          <w:p>
            <w:pPr>
              <w:spacing w:after="0"/>
              <w:rPr>
                <w:sz w:val="20"/>
                <w:szCs w:val="20"/>
                <w:color w:val="auto"/>
              </w:rPr>
            </w:pPr>
            <w:r>
              <w:rPr>
                <w:rFonts w:ascii="Arial" w:cs="Arial" w:eastAsia="Arial" w:hAnsi="Arial"/>
                <w:sz w:val="18"/>
                <w:szCs w:val="18"/>
                <w:color w:val="auto"/>
              </w:rPr>
              <w:t>Janssen</w:t>
            </w:r>
          </w:p>
        </w:tc>
        <w:tc>
          <w:tcPr>
            <w:tcW w:w="14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424</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673</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Life Molecular Imaging</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D5EAEA"/>
          </w:tcPr>
          <w:p>
            <w:pPr>
              <w:spacing w:after="0"/>
              <w:rPr>
                <w:sz w:val="20"/>
                <w:szCs w:val="20"/>
                <w:color w:val="auto"/>
              </w:rPr>
            </w:pPr>
            <w:r>
              <w:rPr>
                <w:rFonts w:ascii="Arial" w:cs="Arial" w:eastAsia="Arial" w:hAnsi="Arial"/>
                <w:sz w:val="18"/>
                <w:szCs w:val="18"/>
                <w:color w:val="auto"/>
              </w:rPr>
              <w:t>Biogen</w:t>
            </w:r>
          </w:p>
        </w:tc>
        <w:tc>
          <w:tcPr>
            <w:tcW w:w="14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1,063</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134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23"/>
        </w:trPr>
        <w:tc>
          <w:tcPr>
            <w:tcW w:w="84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contract revenue</w:t>
            </w: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13,689</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76,553</w:t>
            </w:r>
          </w:p>
        </w:tc>
      </w:tr>
      <w:tr>
        <w:trPr>
          <w:trHeight w:val="20"/>
        </w:trPr>
        <w:tc>
          <w:tcPr>
            <w:tcW w:w="8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changes in the Company’s contract assets and liabilities during the six months ended June 30, 2020 and 2019:</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Balance at the</w:t>
            </w: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Balance at the</w:t>
            </w:r>
          </w:p>
        </w:tc>
      </w:tr>
      <w:tr>
        <w:trPr>
          <w:trHeight w:val="216"/>
        </w:trPr>
        <w:tc>
          <w:tcPr>
            <w:tcW w:w="59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beginning of the</w:t>
            </w: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end of the</w:t>
            </w:r>
          </w:p>
        </w:tc>
      </w:tr>
      <w:tr>
        <w:trPr>
          <w:trHeight w:val="216"/>
        </w:trPr>
        <w:tc>
          <w:tcPr>
            <w:tcW w:w="59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reporting</w:t>
            </w: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reporting</w:t>
            </w:r>
          </w:p>
        </w:tc>
      </w:tr>
      <w:tr>
        <w:trPr>
          <w:trHeight w:val="234"/>
        </w:trPr>
        <w:tc>
          <w:tcPr>
            <w:tcW w:w="5980" w:type="dxa"/>
            <w:vAlign w:val="bottom"/>
          </w:tcPr>
          <w:p>
            <w:pPr>
              <w:spacing w:after="0"/>
              <w:rPr>
                <w:sz w:val="20"/>
                <w:szCs w:val="20"/>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period</w:t>
            </w: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Additions</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Deductions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w:t>
            </w:r>
          </w:p>
        </w:tc>
      </w:tr>
      <w:tr>
        <w:trPr>
          <w:trHeight w:val="210"/>
        </w:trPr>
        <w:tc>
          <w:tcPr>
            <w:tcW w:w="5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5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(in CHF thousands)</w:t>
            </w:r>
          </w:p>
        </w:tc>
        <w:tc>
          <w:tcPr>
            <w:tcW w:w="1280" w:type="dxa"/>
            <w:vAlign w:val="bottom"/>
          </w:tcPr>
          <w:p>
            <w:pPr>
              <w:spacing w:after="0"/>
              <w:rPr>
                <w:sz w:val="18"/>
                <w:szCs w:val="18"/>
                <w:color w:val="auto"/>
              </w:rPr>
            </w:pP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Six months ended June 30, 2020:</w:t>
            </w:r>
          </w:p>
        </w:tc>
        <w:tc>
          <w:tcPr>
            <w:tcW w:w="142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300" w:type="dxa"/>
            <w:vAlign w:val="bottom"/>
            <w:shd w:val="clear" w:color="auto" w:fill="D5EAEA"/>
          </w:tcPr>
          <w:p>
            <w:pPr>
              <w:spacing w:after="0"/>
              <w:rPr>
                <w:sz w:val="18"/>
                <w:szCs w:val="18"/>
                <w:color w:val="auto"/>
              </w:rPr>
            </w:pPr>
          </w:p>
        </w:tc>
        <w:tc>
          <w:tcPr>
            <w:tcW w:w="1280" w:type="dxa"/>
            <w:vAlign w:val="bottom"/>
            <w:shd w:val="clear" w:color="auto" w:fill="D5EAEA"/>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Accrued income</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1,095</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424</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424</w:t>
            </w: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Deferred income</w:t>
            </w:r>
          </w:p>
        </w:tc>
        <w:tc>
          <w:tcPr>
            <w:tcW w:w="1420" w:type="dxa"/>
            <w:vAlign w:val="bottom"/>
            <w:shd w:val="clear" w:color="auto" w:fill="D5EAEA"/>
          </w:tcPr>
          <w:p>
            <w:pPr>
              <w:jc w:val="right"/>
              <w:ind w:right="210"/>
              <w:spacing w:after="0"/>
              <w:rPr>
                <w:sz w:val="20"/>
                <w:szCs w:val="20"/>
                <w:color w:val="auto"/>
              </w:rPr>
            </w:pPr>
            <w:r>
              <w:rPr>
                <w:rFonts w:ascii="Arial" w:cs="Arial" w:eastAsia="Arial" w:hAnsi="Arial"/>
                <w:sz w:val="18"/>
                <w:szCs w:val="18"/>
                <w:color w:val="auto"/>
              </w:rPr>
              <w:t>4,477</w:t>
            </w:r>
          </w:p>
        </w:tc>
        <w:tc>
          <w:tcPr>
            <w:tcW w:w="12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196</w:t>
            </w:r>
          </w:p>
        </w:tc>
        <w:tc>
          <w:tcPr>
            <w:tcW w:w="13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(3,266)</w:t>
            </w: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1,407</w:t>
            </w:r>
          </w:p>
        </w:tc>
      </w:tr>
      <w:tr>
        <w:trPr>
          <w:trHeight w:val="459"/>
        </w:trPr>
        <w:tc>
          <w:tcPr>
            <w:tcW w:w="5980" w:type="dxa"/>
            <w:vAlign w:val="bottom"/>
          </w:tcPr>
          <w:p>
            <w:pPr>
              <w:spacing w:after="0"/>
              <w:rPr>
                <w:sz w:val="20"/>
                <w:szCs w:val="20"/>
                <w:color w:val="auto"/>
              </w:rPr>
            </w:pPr>
            <w:r>
              <w:rPr>
                <w:rFonts w:ascii="Arial" w:cs="Arial" w:eastAsia="Arial" w:hAnsi="Arial"/>
                <w:sz w:val="18"/>
                <w:szCs w:val="18"/>
                <w:b w:val="1"/>
                <w:bCs w:val="1"/>
                <w:color w:val="auto"/>
              </w:rPr>
              <w:t>Six months ended June 30, 2019:</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98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420" w:type="dxa"/>
            <w:vAlign w:val="bottom"/>
            <w:shd w:val="clear" w:color="auto" w:fill="D5EAEA"/>
          </w:tcPr>
          <w:p>
            <w:pPr>
              <w:jc w:val="right"/>
              <w:ind w:right="210"/>
              <w:spacing w:after="0"/>
              <w:rPr>
                <w:sz w:val="20"/>
                <w:szCs w:val="20"/>
                <w:color w:val="auto"/>
              </w:rPr>
            </w:pPr>
            <w:r>
              <w:rPr>
                <w:rFonts w:ascii="Arial" w:cs="Arial" w:eastAsia="Arial" w:hAnsi="Arial"/>
                <w:sz w:val="18"/>
                <w:szCs w:val="18"/>
                <w:color w:val="auto"/>
              </w:rPr>
              <w:t>3,667</w:t>
            </w:r>
          </w:p>
        </w:tc>
        <w:tc>
          <w:tcPr>
            <w:tcW w:w="12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1,296</w:t>
            </w:r>
          </w:p>
        </w:tc>
        <w:tc>
          <w:tcPr>
            <w:tcW w:w="13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(4,416)</w:t>
            </w: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547</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Deferred income</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351</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7,121</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(1,628)</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-1131570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-1131570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-1131570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7"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During the three and six months ended June 30, 2020 and 2019, the Company recognized the following revenues as a result of changes in the contract asset and the contract liability balances in the respective periods:</w:t>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recognized in the period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right="2100"/>
        <w:spacing w:after="0" w:line="260" w:lineRule="auto"/>
        <w:rPr>
          <w:sz w:val="20"/>
          <w:szCs w:val="20"/>
          <w:color w:val="auto"/>
        </w:rPr>
      </w:pPr>
      <w:r>
        <w:rPr>
          <w:rFonts w:ascii="Arial" w:cs="Arial" w:eastAsia="Arial" w:hAnsi="Arial"/>
          <w:sz w:val="18"/>
          <w:szCs w:val="18"/>
          <w:color w:val="auto"/>
        </w:rPr>
        <w:t>Amounts included in the contract liability at the beginning of the period Performance obligations satisfied in previous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recognized in the period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right="2100"/>
        <w:spacing w:after="0" w:line="260" w:lineRule="auto"/>
        <w:rPr>
          <w:sz w:val="20"/>
          <w:szCs w:val="20"/>
          <w:color w:val="auto"/>
        </w:rPr>
      </w:pPr>
      <w:r>
        <w:rPr>
          <w:rFonts w:ascii="Arial" w:cs="Arial" w:eastAsia="Arial" w:hAnsi="Arial"/>
          <w:sz w:val="18"/>
          <w:szCs w:val="18"/>
          <w:color w:val="auto"/>
        </w:rPr>
        <w:t>Amounts included in the contract liability at the beginning of the period Performance obligations satisfied in previous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Licensing and collaboration agreements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Morphomer Tau Small Molecule – 2018 license agreement with Eli Lilly and Company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4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2019</w:t>
            </w:r>
          </w:p>
        </w:tc>
      </w:tr>
      <w:tr>
        <w:trPr>
          <w:trHeight w:val="228"/>
        </w:trPr>
        <w:tc>
          <w:tcPr>
            <w:tcW w:w="3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 CHF thousands)</w:t>
            </w:r>
          </w:p>
        </w:tc>
      </w:tr>
      <w:tr>
        <w:trPr>
          <w:trHeight w:val="399"/>
        </w:trPr>
        <w:tc>
          <w:tcPr>
            <w:tcW w:w="2240" w:type="dxa"/>
            <w:vAlign w:val="bottom"/>
          </w:tcPr>
          <w:p>
            <w:pPr>
              <w:jc w:val="right"/>
              <w:ind w:right="670"/>
              <w:spacing w:after="0"/>
              <w:rPr>
                <w:sz w:val="20"/>
                <w:szCs w:val="20"/>
                <w:color w:val="auto"/>
              </w:rPr>
            </w:pPr>
            <w:r>
              <w:rPr>
                <w:rFonts w:ascii="Arial" w:cs="Arial" w:eastAsia="Arial" w:hAnsi="Arial"/>
                <w:sz w:val="18"/>
                <w:szCs w:val="18"/>
                <w:color w:val="auto"/>
              </w:rPr>
              <w:t>1,045</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466</w:t>
            </w:r>
          </w:p>
        </w:tc>
      </w:tr>
      <w:tr>
        <w:trPr>
          <w:trHeight w:val="230"/>
        </w:trPr>
        <w:tc>
          <w:tcPr>
            <w:tcW w:w="22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41"/>
        </w:trPr>
        <w:tc>
          <w:tcPr>
            <w:tcW w:w="3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the Six Months</w:t>
            </w:r>
          </w:p>
        </w:tc>
      </w:tr>
      <w:tr>
        <w:trPr>
          <w:trHeight w:val="234"/>
        </w:trPr>
        <w:tc>
          <w:tcPr>
            <w:tcW w:w="224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b w:val="1"/>
                <w:bCs w:val="1"/>
                <w:color w:val="auto"/>
                <w:w w:val="90"/>
              </w:rPr>
              <w:t>Ended June 30,</w:t>
            </w:r>
          </w:p>
        </w:tc>
        <w:tc>
          <w:tcPr>
            <w:tcW w:w="1000" w:type="dxa"/>
            <w:vAlign w:val="bottom"/>
            <w:tcBorders>
              <w:bottom w:val="single" w:sz="8" w:color="auto"/>
            </w:tcBorders>
          </w:tcPr>
          <w:p>
            <w:pPr>
              <w:spacing w:after="0"/>
              <w:rPr>
                <w:sz w:val="20"/>
                <w:szCs w:val="20"/>
                <w:color w:val="auto"/>
              </w:rPr>
            </w:pPr>
          </w:p>
        </w:tc>
      </w:tr>
      <w:tr>
        <w:trPr>
          <w:trHeight w:val="223"/>
        </w:trPr>
        <w:tc>
          <w:tcPr>
            <w:tcW w:w="224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2019</w:t>
            </w:r>
          </w:p>
        </w:tc>
      </w:tr>
      <w:tr>
        <w:trPr>
          <w:trHeight w:val="228"/>
        </w:trPr>
        <w:tc>
          <w:tcPr>
            <w:tcW w:w="3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 CHF thousands)</w:t>
            </w:r>
          </w:p>
        </w:tc>
      </w:tr>
      <w:tr>
        <w:trPr>
          <w:trHeight w:val="399"/>
        </w:trPr>
        <w:tc>
          <w:tcPr>
            <w:tcW w:w="2240" w:type="dxa"/>
            <w:vAlign w:val="bottom"/>
          </w:tcPr>
          <w:p>
            <w:pPr>
              <w:jc w:val="right"/>
              <w:ind w:right="670"/>
              <w:spacing w:after="0"/>
              <w:rPr>
                <w:sz w:val="20"/>
                <w:szCs w:val="20"/>
                <w:color w:val="auto"/>
              </w:rPr>
            </w:pPr>
            <w:r>
              <w:rPr>
                <w:rFonts w:ascii="Arial" w:cs="Arial" w:eastAsia="Arial" w:hAnsi="Arial"/>
                <w:sz w:val="18"/>
                <w:szCs w:val="18"/>
                <w:color w:val="auto"/>
              </w:rPr>
              <w:t>3,266</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230"/>
        </w:trPr>
        <w:tc>
          <w:tcPr>
            <w:tcW w:w="2240" w:type="dxa"/>
            <w:vAlign w:val="bottom"/>
          </w:tcPr>
          <w:p>
            <w:pPr>
              <w:jc w:val="right"/>
              <w:ind w:right="670"/>
              <w:spacing w:after="0"/>
              <w:rPr>
                <w:sz w:val="20"/>
                <w:szCs w:val="20"/>
                <w:color w:val="auto"/>
              </w:rPr>
            </w:pPr>
            <w:r>
              <w:rPr>
                <w:rFonts w:ascii="Arial" w:cs="Arial" w:eastAsia="Arial" w:hAnsi="Arial"/>
                <w:sz w:val="18"/>
                <w:szCs w:val="18"/>
                <w:color w:val="auto"/>
              </w:rPr>
              <w:t>10,000</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-1696720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1002665</wp:posOffset>
            </wp:positionH>
            <wp:positionV relativeFrom="paragraph">
              <wp:posOffset>-556895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44" w:lineRule="exact"/>
        <w:rPr>
          <w:sz w:val="20"/>
          <w:szCs w:val="20"/>
          <w:color w:val="auto"/>
        </w:rPr>
      </w:pPr>
    </w:p>
    <w:p>
      <w:pPr>
        <w:sectPr>
          <w:pgSz w:w="11900" w:h="16838" w:orient="portrait"/>
          <w:cols w:equalWidth="0" w:num="2">
            <w:col w:w="7280" w:space="720"/>
            <w:col w:w="3240"/>
          </w:cols>
          <w:pgMar w:left="320" w:top="472" w:right="339" w:bottom="1440" w:gutter="0" w:footer="0" w:header="0"/>
          <w:type w:val="continuous"/>
        </w:sectPr>
      </w:pPr>
    </w:p>
    <w:p>
      <w:pPr>
        <w:spacing w:after="0" w:line="4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December 2018, we entered into an exclusive, worldwide licensing agreement with Eli Lilly and Company (“Lilly”) to research and develop Morphomer Tau small molecules for the treatment of Alzheimer’s disease and other neurodegenerative diseases. More specifically, this is an exclusive license with the right to grant sublicenses, under the ACIU Patents, the ACIU Know-How, and ACIU’s interests in the Joint Patents and the Joint Know-How to Exploit the Licensed Compounds and Licensed Products. The agreement became effective on January 23, 2019 (the “Effective Date”) when the waiting period under the Hart-Scott-Rodino Antitrust Improvements Act of 1976, as amended, expired. In September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earlier terminates the agreement. In March 2020, the Company and Lilly entered into a second amendment to replace the second CHF 30 million to be paid on or before March 31, 2020 with two milestone payments, a CHF 10 million milestone payment to be paid on or before March 31, 2020 and a CHF 60 million milestone payment following the first patient dosed in a Phase 2 clinical study of a licensed product in the U.S. or European Union.</w:t>
      </w:r>
    </w:p>
    <w:p>
      <w:pPr>
        <w:spacing w:after="0" w:line="1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Per the terms of the agreement, the Company received an initial upfront payment of CHF 80 million in Q1 2019 for the rights granted by the Company to Lilly. The Company is conducting the development of ACI-3024, our lead candidate from our Morphomer Tau small molecules program through the completion of Phase 1, which commenced in the first half of 2019. Lilly will lead and fund further clinical development and will retain global commercialization rights for all indications, including Alzheimer’s disease, progressive supranuclear palsy and other neurodegenerative diseases. As it relates to our lead compound, ACI-3024, Lilly will lead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1" w:name="page12"/>
    <w:bookmarkEnd w:id="11"/>
    <w:p>
      <w:pPr>
        <w:ind w:right="200"/>
        <w:spacing w:after="0" w:line="308" w:lineRule="auto"/>
        <w:rPr>
          <w:sz w:val="20"/>
          <w:szCs w:val="20"/>
          <w:color w:val="auto"/>
        </w:rPr>
      </w:pPr>
      <w:r>
        <w:rPr>
          <w:rFonts w:ascii="Arial" w:cs="Arial" w:eastAsia="Arial" w:hAnsi="Arial"/>
          <w:sz w:val="17"/>
          <w:szCs w:val="17"/>
          <w:color w:val="auto"/>
        </w:rPr>
        <w:t>development after the completion of Phase 1 and retain commercialization rights. As of June 30, 2020, Lilly is engaged in certain Preclinical activities of its own as defined in the agreement, which are intended to provide further data in support of the Phase 2 clinical study design.</w:t>
      </w:r>
    </w:p>
    <w:p>
      <w:pPr>
        <w:spacing w:after="0" w:line="14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Per the terms of the agreement, the Company may become eligible to receive additional milestone payments totaling up to approximately CHF 880 million for clinical and regulatory milestones and CHF 900 million upon achievement of certain commercial milestones. In addition to milestones, we will be eligible to receive royalties on sales at a percentage rate ranging from the low-double digits to the mid-teens. The agreement will terminate by the date of expiration of the last royalty term for the last licensed product. However, under the terms of the agreement, Lilly may terminate the agreement at any time after March 31, 2020 by providing three months’ notice to us.</w:t>
      </w:r>
    </w:p>
    <w:p>
      <w:pPr>
        <w:spacing w:after="0" w:line="18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AC Immune assessed this arrangement in accordance with IFRS 15 and concluded that Lilly is a customer. The Company identified the following significant performance obligations under the contract (i) a right-of-use license and (ii) research and development activities outlined in the development plan. Per the agreement, the Company is responsible for the preclinical and Phase 1 activities, which the Company determined are distinct and capable of being completed by Lilly or a third party. Preclinical activities for which AC Immune was responsible prior to their completion in Q2 2019 included final manufacturing of materials for use in the Phase 1 and regulatory submission of the protocols. For the current Phase 1, AC Immune is responsible for leading the study design, obtaining relevant regulatory agency approvals, arranging necessary third party contracts, completing patient selection, ensuring patient treatment, following up with patients, drafting the clinical study report development and other relevant clinical activities to ensure that the primary objective of the study is completed. The Company used CMOs for certain of its preclinical activities and is currently using CROs to complete certain Phase 1 activities.</w:t>
      </w:r>
    </w:p>
    <w:p>
      <w:pPr>
        <w:spacing w:after="0" w:line="196"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The Company’s preclinical and Phase 1 activities do not represent integrated services with the licensed IP for which Lilly contracted. Lilly purchased a license to the Company’s Tau therapeutic small molecule program, which was delivered at commencement of the agreement and AC Immune’s preclinical and Phase 1 activities do not affect the form or functionality of this license. The Company’s objective of the current Phase 1 activity is to assess safety and tolerability and does not modify or customize the lead compound and the completion of these preclinical and Phase 1 activities does not affect the licensed IP.</w:t>
      </w:r>
    </w:p>
    <w:p>
      <w:pPr>
        <w:spacing w:after="0" w:line="18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Finally, per the agreement, each party has three representatives in a joint steering committee (“JSC”); depending upon the agenda, additional field experts can attend the JSC to provide the technical and scientific contribution required. The JSC meets on a regular basis depending on agreements between the representatives. The JSC is responsible for (i) serving as the forum to discuss, review and approve certain activities by reviewing and discussing the development progress and updates to make, (ii) discuss, review and approve all amendments to the global development plan, (iii) periodically serve as a forum to discuss and review commercialization of licensed products and (iv) review and approve reports related to development costs among other activities. The JSC is intended to ensure that communication between the parties remains consistent and that the development plan is both agreed to and progressing as intended.</w:t>
      </w:r>
    </w:p>
    <w:p>
      <w:pPr>
        <w:spacing w:after="0" w:line="19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valuation of each performance obligation involves estimates and assumptions with revenue recognition timing to be determined either by delivery or the provision of services.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are expected to be delivered over time as the services are performed. For these services, revenue will be recognized over time using the input method, based on costs incurred to perform the services, since the level of costs incurred over time is thought to best reflect the transfer of services to Lilly. The Company determined the value of the research and development activities to be CHF 6.9 million and deferred this balance from the effective date. As of June 30, 2020, the Company has cumulatively recognized CHF 5.5 million in revenue, resulting in a deferred income (contract liability) balance of CHF 1.4 million which is all classified on the balance sheet as current within “short-term deferred income.” The remaining CHF 73.1 million from the upfront payment was allocated to the right-of-use license and recognized on the effective date.</w:t>
      </w:r>
    </w:p>
    <w:p>
      <w:pPr>
        <w:spacing w:after="0" w:line="178"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At inception of the agreement, none of the clinical, regulatory or commercial milestones had been included in the transaction price, as all milestone amounts were fully constrained. As acknowledged in the first and second amendments completed between the Company and Lilly in Q3 2019 and Q1 2020, respectively,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spacing w:after="0" w:line="291" w:lineRule="auto"/>
        <w:rPr>
          <w:sz w:val="20"/>
          <w:szCs w:val="20"/>
          <w:color w:val="auto"/>
        </w:rPr>
      </w:pPr>
      <w:r>
        <w:rPr>
          <w:rFonts w:ascii="Arial" w:cs="Arial" w:eastAsia="Arial" w:hAnsi="Arial"/>
          <w:sz w:val="16"/>
          <w:szCs w:val="16"/>
          <w:color w:val="auto"/>
        </w:rPr>
        <w:t>Company earned and received a CHF 30 million and a CHF 10 million milestone payment related to the right-of-use license for IP. The Company recognized contract revenues in Q3 2019 and Q1 2020, respectively as there were no further constraints related to this milestone.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16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For the three months ended June 30, 2020, and 2019, we have recognized CHF 0.9 million and CHF 0.4 million, respectively. For the six months ended June 30, 2020, and 2019, we have recognized CHF 12.9 million and CHF 74.3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 2006 agreement with Genentech, a member of the Roche group</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November 2006, we signed an exclusive, worldwide licensing agreement for crenezumab, our humanized monoclonal therapeutic antibody targeting misfolded Abeta. The agreement was amended in March 2009, January 2013, May 2014 and May 2015. The agreement also provides for the development of a second therapeutic product for a non-Alzheimer’s disease indication based on the same intellectual property and anti-Abeta antibody compound. The value of this partnership is potentially greater than USD 340 (CHF 327) million.</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that notice is given.</w:t>
      </w:r>
    </w:p>
    <w:p>
      <w:pPr>
        <w:spacing w:after="0" w:line="18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Genentech commenced a first Phase 3 clinical study in March 2016 for crenezumab (CREAD). In March 2017, Genentech started a second Phase 3 clinical trial (CREAD 2). Since 2013, crenezumab is also studied in a Phase 2 trial in individuals who carry the PSEN1 E280A autosomal dominant mutation and do not meet the criteria for mild cognitive impairment due to AD or dementia due to Alzheimer’s disease and are, thus, in a preclinical phase of Alzheimer’s disease (autosomal dominant Alzheimer’s disease (ADAD)). In 2019, Genentech initiated a Tau positron emission tomography (PET) substudy to the ongoing Phase 2 trial in ADAD to evaluate the effect of crenezumab on Tau burden, which may also increase the understanding of disease progression in the preclinical stage of ADAD.</w:t>
      </w:r>
    </w:p>
    <w:p>
      <w:pPr>
        <w:spacing w:after="0" w:line="19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If crenezumab receives regulatory approval, we will be entitled to receive royalties that are tied to annual sales volumes with different royalty rates applicable in the U.S. and Europe. To date, we have received total milestone payments of USD 65 (CHF 70.1) million comprised of a USD 25 (CHF 31.6) million upfront payment and USD 40 (CHF 38.2) million for clinical development milestones achieved all prior to January 1, 2017. Genentech may terminate the agreement at any time by providing three months’ notice to us. In such event all costs incurred are still refundable.</w:t>
      </w:r>
    </w:p>
    <w:p>
      <w:pPr>
        <w:spacing w:after="0" w:line="17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5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At execution of the agreement, the transaction price included the USD 25 (CHF 31.6) million upfront consideration received. At inception, none of the clinical or regulatory milestones had been included in the transaction price, as all milestone amounts were fully constrained. The Company has received three milestone payments since inception totaling USD 40 (CHF 38.2) million. The Company could receive greater than USD 275 (CHF 265)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contingent upon success in future clinical trials and the licensee’s efforts. Any consideration related to royalties will be recognized when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3" w:name="page14"/>
    <w:bookmarkEnd w:id="13"/>
    <w:p>
      <w:pPr>
        <w:jc w:val="both"/>
        <w:ind w:right="320"/>
        <w:spacing w:after="0" w:line="263" w:lineRule="auto"/>
        <w:rPr>
          <w:sz w:val="20"/>
          <w:szCs w:val="20"/>
          <w:color w:val="auto"/>
        </w:rPr>
      </w:pPr>
      <w:r>
        <w:rPr>
          <w:rFonts w:ascii="Arial" w:cs="Arial" w:eastAsia="Arial" w:hAnsi="Arial"/>
          <w:sz w:val="18"/>
          <w:szCs w:val="18"/>
          <w:color w:val="auto"/>
        </w:rPr>
        <w:t>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8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January 30, 2019, we announced that Roche, the parent of Genentech, is discontinuing the CREAD and CREAD 2 (BN29552 and BN29553) Phase 3 studies of crenezumab in people with prodromal to mild sporadic AD. The decision came after an interim analysis conducted by the Independent Data Monitoring Center (“IDMC”) indicated that crenezumab was unlikely to meet its primary endpoint of change from baseline in Clinical Dementia Rating-Sum of Boxes (CDR-SB) Score. This decision was not related to the safety of the investigational product. No safety signals for crenezumab were observed in this analysis and the overall safety profile was similar to that seen in previous trials.</w:t>
      </w:r>
    </w:p>
    <w:p>
      <w:pPr>
        <w:spacing w:after="0" w:line="17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Crenezumab continues to be studied in the Phase 2 preventive trial, which began in 2013, of cognitively healthy individuals in Columbia who carry the PSEN1 E280A autosomal dominant mutation and are in a preclinical phase of ADAD. This study will determine if treating people carrying this mutation with crenezumab prior to the onset of AD symptoms will slow or prevent the decline of cognitive and functional abilities.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and six months ended June 30, 2020, and 2019, respectively,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Alzheimer’s disease – 2012 agreement with Genentech</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June 2012, we entered into a second agreement with Genentech to research, develop and commercialize our anti-Tau antibodies for use as immunotherapeutics and diagnostics. The agreement was amended in December 2015.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the high-single digits. The agreement also provides for collaboration on at least an additional therapeutic indication outside of Alzheimer’s disease built on the same anti-Tau antibody program as well as anti-Tau diagnostic products for Alzheimer’s disease.</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that notice is given.</w:t>
      </w:r>
    </w:p>
    <w:p>
      <w:pPr>
        <w:spacing w:after="0" w:line="187"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To date, we have received payments totaling CHF 59 million, including a CHF 14 million milestone payment received and recognized in Q4 2017 associated with the first patient dosing in a Phase 2 clinical trial for Alzheimer’s disease with an anti-Tau monoclonal antibody known as semorinemab, a CHF 14 million milestone payment recognized in Q2 2016 and received in July 2016, associated with the announcement of the commencement of the Phase 1 clinical study of semorinemab and a CHF 14 million milestone payment received in 2015 in connection with the ED-GO decision. As we met all performance obligations on reaching these milestones, we have recognized revenue in the respective periods. Genentech may terminate the agreement at any time by providing three months’ notice to us.</w:t>
      </w:r>
    </w:p>
    <w:p>
      <w:pPr>
        <w:spacing w:after="0" w:line="19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57" w:lineRule="exact"/>
        <w:rPr>
          <w:sz w:val="20"/>
          <w:szCs w:val="20"/>
          <w:color w:val="auto"/>
        </w:rPr>
      </w:pPr>
    </w:p>
    <w:p>
      <w:pPr>
        <w:ind w:right="340" w:firstLine="324"/>
        <w:spacing w:after="0" w:line="255" w:lineRule="auto"/>
        <w:rPr>
          <w:sz w:val="20"/>
          <w:szCs w:val="20"/>
          <w:color w:val="auto"/>
        </w:rPr>
      </w:pPr>
      <w:r>
        <w:rPr>
          <w:rFonts w:ascii="Arial" w:cs="Arial" w:eastAsia="Arial" w:hAnsi="Arial"/>
          <w:sz w:val="18"/>
          <w:szCs w:val="18"/>
          <w:color w:val="auto"/>
        </w:rPr>
        <w:t>At execution of the agreement, the transaction price included CHF 17 million upfront consideration received. At inception, none of the clinical or regulatory milestones had been included in the transaction price, as all milestone amounts were fully constrained. The Company has received three milestones since inception totaling CHF 42 million. The Company could also receive up to an additional CHF 368.5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Any consideration related 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4" w:name="page15"/>
    <w:bookmarkEnd w:id="14"/>
    <w:p>
      <w:pPr>
        <w:ind w:right="80"/>
        <w:spacing w:after="0" w:line="263" w:lineRule="auto"/>
        <w:rPr>
          <w:sz w:val="20"/>
          <w:szCs w:val="20"/>
          <w:color w:val="auto"/>
        </w:rPr>
      </w:pPr>
      <w:r>
        <w:rPr>
          <w:rFonts w:ascii="Arial" w:cs="Arial" w:eastAsia="Arial" w:hAnsi="Arial"/>
          <w:sz w:val="18"/>
          <w:szCs w:val="18"/>
          <w:color w:val="auto"/>
        </w:rPr>
        <w:t>sales-based milestones (including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and six months ended June 30, 2020, and 2019, respectively,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Vaccine– 2014 agreement with Janssen Pharmaceuticals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December 2014, we entered into an agreement with Janssen Pharmaceuticals, Inc. (“Janssen”) one of the Janssen Pharmaceutical Companies of Johnson &amp; Johnson, to develop and commercialize therapeutic anti-Tau vaccines for the treatment of Alzheimer’s disease and potentially other Tauopathies. The value of this partnership is potentially up to CHF 500 million and includes upfront and clinical, regulatory and commercial milestones. In addition to milestones, we will be eligible to receive royalties on sales at a percentage rate ranging from the low-double digits to the mid-teens. In April 2016, July 2017, January 2019 and November 2019, the companies entered into the First, Second, Third and Fourth amendments, respectively. These amendments allow for the alignment of certain payment and activity provisions with the Development Plan and Research Plan activities. We and Janssen are co-developing second generation lead therapeutic vaccines, ACI-35.030 and JACI-35.054, through Phase 1b/2a completion. AC Immune and Janssen are jointly sharing research and development costs until the completion of the first Phase 2b. From Phase 2b and onwards, Janssen will assume responsibility for the clinical development, manufacturing and commercialization of the second generation vaccines.</w:t>
      </w:r>
    </w:p>
    <w:p>
      <w:pPr>
        <w:spacing w:after="0" w:line="166"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8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agreement also allows for the expansion to a second indication based on the same anti-Tau vaccine program and based on intellectual property related to this program.</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received a CHF 25.9 million upfront, non-refundable license fee which we recognized as revenue in 2014. In May 2016, we received a CHF 4.9 million payment for reaching a clinical milestone in the first Phase 1b study. As we met all performance obligations on reaching the milestone, we have recognized this income as revenue.</w:t>
      </w:r>
    </w:p>
    <w:p>
      <w:pPr>
        <w:spacing w:after="0" w:line="18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CMC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of the arrangement, which were deemed to be distinct in the context of the contract.</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At execution of the agreement, the transaction price included only the CHF 25.9 million upfront consideration received. At inception, none of the clinical, regulatory or commercial milestones has been included in the transaction price, as all milestone amounts were fully constrained. The Company did receive a CHF 4.9 million payment for reaching a clinical milestone in the first Phase 1b study in May 2016. The Company could also receive up to more than CHF 458 million in clinical, regulatory and commercial milestones as well as tiered, low-double digit to mid-teen royalties on aggregate net sales of products.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5" w:name="page16"/>
    <w:bookmarkEnd w:id="15"/>
    <w:p>
      <w:pPr>
        <w:ind w:right="440" w:firstLine="324"/>
        <w:spacing w:after="0" w:line="277" w:lineRule="auto"/>
        <w:rPr>
          <w:sz w:val="20"/>
          <w:szCs w:val="20"/>
          <w:color w:val="auto"/>
        </w:rPr>
      </w:pPr>
      <w:r>
        <w:rPr>
          <w:rFonts w:ascii="Arial" w:cs="Arial" w:eastAsia="Arial" w:hAnsi="Arial"/>
          <w:sz w:val="18"/>
          <w:szCs w:val="18"/>
          <w:color w:val="auto"/>
        </w:rPr>
        <w:t>For the three months ended June 30, 2020, and 2019, we have recognized CHF 0.2 million and CHF 0.6 million, respectively. For the six months ended June 30, 2020, and 2019, we have recognized CHF 0.4 million and CHF 0.7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Tau-PET imaging agent –2014 agreement with Life Molecular Imaging (formerly Piramal Imaging SA)</w:t>
      </w:r>
    </w:p>
    <w:p>
      <w:pPr>
        <w:spacing w:after="0" w:line="22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In May 2014, we entered into an agreement, our first diagnostic partnership, with Life Molecular, the former Piramal Imaging SA. The partnership with Life Molecular is an exclusive, worldwide licensing agreement for the research, development and commercialization of the Company’s Tau protein PET tracers supporting the early diagnosis and clinical management of Alzheimer’s disease and other Tau-related disorders and includes upfront and sales milestone payments totaling up to EUR 159 (CHF 172) million, plus royalties on sales at a percentage rate ranging from mid-single digits to low double digits. Life Molecular may terminate the LCA at any time by providing three months’ notice to us.</w:t>
      </w:r>
    </w:p>
    <w:p>
      <w:pPr>
        <w:spacing w:after="0" w:line="176"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In connection with this agreement, AC Immune received a EUR 500 (CHF 664) thousand payment which was fully recognized in 2015. In Q1 2017, we recorded a EUR 1 (CHF 1.1) million milestone related to the initiation of “Part B” of the first-in-man Phase 1 study. In Q3 2019, the Company recognized EUR 2 (CHF 2.2) million in connection with the initiation of a Phase 2 Trial of Tau-PET Tracer in patients with mild cognitive impairment (MCI) and mild to moderate Alzheimer’s disease in comparison with non-demented control (NDC) participants. The Company is eligible to receive variable consideration related to the achievement of certain clinical milestones totaling EUR 8 (CHF 9) million should the compound make it through Phase 3 clinical studies. We are also eligible to receive potential regulatory and sales based milestones totaling EUR 148 (CHF 160) million. Finally, the Company is eligible for royalties from the mid-single digits to low-double digits.</w:t>
      </w:r>
    </w:p>
    <w:p>
      <w:pPr>
        <w:spacing w:after="0" w:line="17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AC Immune assessed this arrangement in accordance with IFRS 15 and concluded that Life Molecular is a customer. The Company has identified that the right-of-use license is the only performance obligation. The Company determined the transaction price based on the defined terms allocated to the performance obligation specified in the contract.</w:t>
      </w:r>
    </w:p>
    <w:p>
      <w:pPr>
        <w:spacing w:after="0" w:line="18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upfront payment constitutes the amount of consideration to be included in the transaction price and has been allocated to the license. None of the clinical, regulatory and commercial milestones have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Any consideration related to sales-based milestones (including royalties) will be recognized when the related sales occur as these amounts have been determined to relate predominantly to the license granted to Life Molecular and therefore are recognized at the later of when the performance obligation is satisfied or the related sales occur. The Company considered Life Molecular’s right to sublicense and develop the Tau protein PET tracers, and the fact that Life Molecular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and six months ended June 30, 2020, and 2019, respectively, the Company has recognized no revenues from this agreement.</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Alpha-synuclein and TDP-43 PET tracers in AD – 2016 agreement with Biogen</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April 13, 2016, we entered into a non-exclusive research collaboration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primarily funding the majority of research costs, subject to a cap, which includes an upfront technology access fee and funding towards research and development personnel. We own all intellectual property rights to any invention relating to alpha-synuclein or TDP-43 PET tracers.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6" w:name="page17"/>
    <w:bookmarkEnd w:id="16"/>
    <w:p>
      <w:pPr>
        <w:ind w:right="80" w:firstLine="324"/>
        <w:spacing w:after="0" w:line="271" w:lineRule="auto"/>
        <w:rPr>
          <w:sz w:val="20"/>
          <w:szCs w:val="20"/>
          <w:color w:val="auto"/>
        </w:rPr>
      </w:pPr>
      <w:r>
        <w:rPr>
          <w:rFonts w:ascii="Arial" w:cs="Arial" w:eastAsia="Arial" w:hAnsi="Arial"/>
          <w:sz w:val="17"/>
          <w:szCs w:val="17"/>
          <w:color w:val="auto"/>
        </w:rPr>
        <w:t>AC Immune assessed this arrangement in accordance with IFRS 15 and concluded that Biogen is a customer. The Company has identified two performance obligations in our Biogen collaboration (i) technology access fee and (ii) research and development services. The Company determined the transaction price based on the defined terms allocated to each performance obligation specified in the contract. In instances where the Company is reimbursed for research and development contributions procured from third parties such as negotiated terms with clinical research organizations, AC Immune records revenues for such services as it is acting as a principal in procuring the goods or services. The Company has the primary responsibility for fulfilling the promise to provide the specified good or service, it has inventory risk before transfer to the customer and it has discretion in negotiating the price with third parties. For other research and development services, revenues are recognized as work is performed, which correspond with, and best depict the transfer of control to the customer in line with the terms outlined in the contract.</w:t>
      </w:r>
    </w:p>
    <w:p>
      <w:pPr>
        <w:spacing w:after="0" w:line="178"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For the three months ended June 30, 2020, and 2019, the Company has recognized nil and CHF 0.1 million, respectively. For the six months ended June 30, 2020, and 2019, the Company has recognized nil and CHF 1.1 million, respectively. This collaboration concluded on April 13, 2019.</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Grants from the Michael J. Fox Foundation</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On September 16, 2017, we formally signed a grant continuation with the Michael J. Fox Foundation for Parkinson’s disease research (“MJFF”). This grant provides funds for the development of PET tracers for pathological forms of the protein alpha-synuclein, to support the early diagnosis and clinical management of Parkinson’s disease. We have since received two additional grants. The first in November 2018 was to conduct a first-in-human (“FiH”) study in 2019. This grant aimed to facilitate the execution of a FiH study for a potential alpha-synuclein-PET tracer (“PET tracer”) with the current lead compound. The second in Q3 2019 is a supplement for the further development of the PET tracer. The Company retains its intellectual property rights for these alpha-synuclein-PET tracers.</w:t>
      </w:r>
    </w:p>
    <w:p>
      <w:pPr>
        <w:spacing w:after="0" w:line="19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May 2020, the Company received a USD 3.2 (CHF 3.1) million award from the MJFF’s Ken Griffin Alpha-synuclein Imaging Competition. As part of this grant, AC Immune is eligible to receive USD 2.5 (CHF 2.4) million directly from the MJFF. The clinical arm of the project will be conducted in partnership with Lund University and Skåne University Hospital (“Skåne”) in Sweden. Skåne will receive USD 0.7 (CHF 0.7) million of the total grant directly from the MJFF over two years to support the clinical arm of the project.</w:t>
      </w:r>
    </w:p>
    <w:p>
      <w:pPr>
        <w:spacing w:after="0" w:line="187"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MJFF expects that AC Immune and Skåne will complete tasks according to the agreed timelines. AC Immune’s funding is variable depending on the satisfactory achievement of these specific tasks within a specific period of time. The Company has recognized no revenues from this award during the period.</w:t>
      </w:r>
    </w:p>
    <w:p>
      <w:pPr>
        <w:spacing w:after="0" w:line="18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the three months ended June 30, 2020, the Company recognized the remainder of grant revenue from its prior August 2019 grant totaling CHF 0.2 million.</w:t>
      </w:r>
    </w:p>
    <w:p>
      <w:pPr>
        <w:spacing w:after="0" w:line="170"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For the three months ended June 30, 2020, and 2019, the Company has recognized CHF 0.2 million and CHF 0.1 million, respectively. For the six months ended June 30, 2020, and 2019, the Company has recognized CHF 0.3 million and CHF 0.2 million, respectively.</w:t>
      </w:r>
    </w:p>
    <w:p>
      <w:pPr>
        <w:sectPr>
          <w:pgSz w:w="11900" w:h="16838" w:orient="portrait"/>
          <w:cols w:equalWidth="0" w:num="1">
            <w:col w:w="11240"/>
          </w:cols>
          <w:pgMar w:left="320" w:top="476" w:right="339" w:bottom="1440" w:gutter="0" w:footer="0" w:header="0"/>
        </w:sectPr>
      </w:pPr>
    </w:p>
    <w:p>
      <w:pPr>
        <w:spacing w:after="0" w:line="14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in CHF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(EPS):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 attributable to equity holders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right="360"/>
        <w:spacing w:after="0" w:line="250" w:lineRule="auto"/>
        <w:rPr>
          <w:sz w:val="20"/>
          <w:szCs w:val="20"/>
          <w:color w:val="auto"/>
        </w:rPr>
      </w:pPr>
      <w:r>
        <w:rPr>
          <w:rFonts w:ascii="Arial" w:cs="Arial" w:eastAsia="Arial" w:hAnsi="Arial"/>
          <w:sz w:val="18"/>
          <w:szCs w:val="18"/>
          <w:color w:val="auto"/>
        </w:rPr>
        <w:t>Weighted-average number of shares outstanding used to compute EPS basic and diluted attributable to equity 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for the period attributable to equity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For the Three Months</w:t>
      </w:r>
    </w:p>
    <w:p>
      <w:pPr>
        <w:spacing w:after="0" w:line="3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17741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tabs>
          <w:tab w:leader="none" w:pos="14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17741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40"/>
        <w:spacing w:after="0"/>
        <w:tabs>
          <w:tab w:leader="none" w:pos="1660" w:val="left"/>
        </w:tabs>
        <w:rPr>
          <w:sz w:val="20"/>
          <w:szCs w:val="20"/>
          <w:color w:val="auto"/>
        </w:rPr>
      </w:pPr>
      <w:r>
        <w:rPr>
          <w:rFonts w:ascii="Arial" w:cs="Arial" w:eastAsia="Arial" w:hAnsi="Arial"/>
          <w:sz w:val="18"/>
          <w:szCs w:val="18"/>
          <w:color w:val="auto"/>
        </w:rPr>
        <w:t>(15,738)</w:t>
      </w:r>
      <w:r>
        <w:rPr>
          <w:sz w:val="20"/>
          <w:szCs w:val="20"/>
          <w:color w:val="auto"/>
        </w:rPr>
        <w:tab/>
      </w:r>
      <w:r>
        <w:rPr>
          <w:rFonts w:ascii="Arial" w:cs="Arial" w:eastAsia="Arial" w:hAnsi="Arial"/>
          <w:sz w:val="18"/>
          <w:szCs w:val="18"/>
          <w:color w:val="auto"/>
        </w:rPr>
        <w:t>(16,899)</w:t>
      </w: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5"/>
          <w:szCs w:val="15"/>
          <w:color w:val="auto"/>
        </w:rPr>
        <w:t>71,875,102</w:t>
      </w:r>
      <w:r>
        <w:rPr>
          <w:sz w:val="20"/>
          <w:szCs w:val="20"/>
          <w:color w:val="auto"/>
        </w:rPr>
        <w:tab/>
      </w:r>
      <w:r>
        <w:rPr>
          <w:rFonts w:ascii="Arial" w:cs="Arial" w:eastAsia="Arial" w:hAnsi="Arial"/>
          <w:sz w:val="15"/>
          <w:szCs w:val="15"/>
          <w:color w:val="auto"/>
        </w:rPr>
        <w:t>70,764,091</w:t>
      </w:r>
    </w:p>
    <w:p>
      <w:pPr>
        <w:spacing w:after="0" w:line="84"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(0.22)</w:t>
      </w:r>
      <w:r>
        <w:rPr>
          <w:sz w:val="20"/>
          <w:szCs w:val="20"/>
          <w:color w:val="auto"/>
        </w:rPr>
        <w:tab/>
      </w:r>
      <w:r>
        <w:rPr>
          <w:rFonts w:ascii="Arial" w:cs="Arial" w:eastAsia="Arial" w:hAnsi="Arial"/>
          <w:sz w:val="16"/>
          <w:szCs w:val="16"/>
          <w:color w:val="auto"/>
        </w:rPr>
        <w:t>(0.24)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177419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7419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20" w:space="720"/>
            <w:col w:w="2300"/>
          </w:cols>
          <w:pgMar w:left="320" w:top="476" w:right="339" w:bottom="1440" w:gutter="0" w:footer="0" w:header="0"/>
          <w:type w:val="continuous"/>
        </w:sectPr>
      </w:pP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7" w:name="page18"/>
    <w:bookmarkEnd w:id="17"/>
    <w:p>
      <w:pPr>
        <w:jc w:val="center"/>
        <w:ind w:left="8420"/>
        <w:spacing w:after="0"/>
        <w:rPr>
          <w:sz w:val="20"/>
          <w:szCs w:val="20"/>
          <w:color w:val="auto"/>
        </w:rPr>
      </w:pPr>
      <w:r>
        <w:rPr>
          <w:rFonts w:ascii="Arial" w:cs="Arial" w:eastAsia="Arial" w:hAnsi="Arial"/>
          <w:sz w:val="18"/>
          <w:szCs w:val="18"/>
          <w:b w:val="1"/>
          <w:bCs w:val="1"/>
          <w:color w:val="auto"/>
        </w:rPr>
        <w:t>For the Six Months</w:t>
      </w:r>
    </w:p>
    <w:p>
      <w:pPr>
        <w:spacing w:after="0" w:line="27"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5715</wp:posOffset>
            </wp:positionV>
            <wp:extent cx="17741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ind w:left="8940"/>
        <w:spacing w:after="0"/>
        <w:tabs>
          <w:tab w:leader="none" w:pos="103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14605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40" w:type="dxa"/>
            <w:vAlign w:val="bottom"/>
          </w:tcPr>
          <w:p>
            <w:pPr>
              <w:ind w:left="208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Basic income/(loss) per share (EPS):</w:t>
            </w: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Net income/(loss) attributable to equity holders of the Company</w:t>
            </w: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(23,425)</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46,674</w:t>
            </w: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Weighted-average number of shares outstanding – basic to equity holders</w:t>
            </w: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71,869,658</w:t>
            </w:r>
          </w:p>
        </w:tc>
        <w:tc>
          <w:tcPr>
            <w:tcW w:w="100" w:type="dxa"/>
            <w:vAlign w:val="bottom"/>
            <w:tcBorders>
              <w:bottom w:val="single" w:sz="8" w:color="D5EAEA"/>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69,351,363</w:t>
            </w:r>
          </w:p>
        </w:tc>
      </w:tr>
      <w:tr>
        <w:trPr>
          <w:trHeight w:val="277"/>
        </w:trPr>
        <w:tc>
          <w:tcPr>
            <w:tcW w:w="8440" w:type="dxa"/>
            <w:vAlign w:val="bottom"/>
          </w:tcPr>
          <w:p>
            <w:pPr>
              <w:spacing w:after="0"/>
              <w:rPr>
                <w:sz w:val="20"/>
                <w:szCs w:val="20"/>
                <w:color w:val="auto"/>
              </w:rPr>
            </w:pPr>
            <w:r>
              <w:rPr>
                <w:rFonts w:ascii="Arial" w:cs="Arial" w:eastAsia="Arial" w:hAnsi="Arial"/>
                <w:sz w:val="18"/>
                <w:szCs w:val="18"/>
                <w:color w:val="auto"/>
              </w:rPr>
              <w:t>Basic income/(loss) per share for the period attributable to equity holders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134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196"/>
        </w:trPr>
        <w:tc>
          <w:tcPr>
            <w:tcW w:w="844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340" w:type="dxa"/>
            <w:vAlign w:val="bottom"/>
            <w:tcBorders>
              <w:top w:val="single" w:sz="8" w:color="auto"/>
            </w:tcBorders>
            <w:shd w:val="clear" w:color="auto" w:fill="D5EAEA"/>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Diluted income/(loss) per share (EPS)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Numerator:</w:t>
            </w: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Net income/(loss) attributable to equity holders of the Company</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(23,425)</w:t>
            </w:r>
          </w:p>
        </w:tc>
        <w:tc>
          <w:tcPr>
            <w:tcW w:w="1340" w:type="dxa"/>
            <w:vAlign w:val="bottom"/>
          </w:tcPr>
          <w:p>
            <w:pPr>
              <w:jc w:val="right"/>
              <w:spacing w:after="0"/>
              <w:rPr>
                <w:sz w:val="20"/>
                <w:szCs w:val="20"/>
                <w:color w:val="auto"/>
              </w:rPr>
            </w:pPr>
            <w:r>
              <w:rPr>
                <w:rFonts w:ascii="Arial" w:cs="Arial" w:eastAsia="Arial" w:hAnsi="Arial"/>
                <w:sz w:val="18"/>
                <w:szCs w:val="18"/>
                <w:color w:val="auto"/>
              </w:rPr>
              <w:t>46,674</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Denominator:</w:t>
            </w: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Weighted-average number of shares outstanding to equity holders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71,869,658</w:t>
            </w:r>
          </w:p>
        </w:tc>
        <w:tc>
          <w:tcPr>
            <w:tcW w:w="1340" w:type="dxa"/>
            <w:vAlign w:val="bottom"/>
          </w:tcPr>
          <w:p>
            <w:pPr>
              <w:jc w:val="right"/>
              <w:spacing w:after="0"/>
              <w:rPr>
                <w:sz w:val="20"/>
                <w:szCs w:val="20"/>
                <w:color w:val="auto"/>
              </w:rPr>
            </w:pPr>
            <w:r>
              <w:rPr>
                <w:rFonts w:ascii="Arial" w:cs="Arial" w:eastAsia="Arial" w:hAnsi="Arial"/>
                <w:sz w:val="18"/>
                <w:szCs w:val="18"/>
                <w:color w:val="auto"/>
              </w:rPr>
              <w:t>69,351,363</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Effect of dilutive securities from equity incentive plans</w:t>
            </w: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494,495</w:t>
            </w: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Weighted-average number of shares outstanding – diluted to equity holders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71,869,658</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69,845,858</w:t>
            </w:r>
          </w:p>
        </w:tc>
      </w:tr>
      <w:tr>
        <w:trPr>
          <w:trHeight w:val="237"/>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Diluted income/(loss) per share for the period attributable to equity holders</w:t>
            </w: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(0.33)</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0.67</w:t>
            </w:r>
          </w:p>
        </w:tc>
      </w:tr>
      <w:tr>
        <w:trPr>
          <w:trHeight w:val="20"/>
        </w:trPr>
        <w:tc>
          <w:tcPr>
            <w:tcW w:w="8440" w:type="dxa"/>
            <w:vAlign w:val="bottom"/>
            <w:tcBorders>
              <w:top w:val="single" w:sz="8" w:color="D5EAEA"/>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Potentially dilutive securities that were not included in the diluted per share calculations because they would be anti-dilutive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8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844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Ended June 30,</w:t>
            </w:r>
          </w:p>
        </w:tc>
      </w:tr>
      <w:tr>
        <w:trPr>
          <w:trHeight w:val="209"/>
        </w:trPr>
        <w:tc>
          <w:tcPr>
            <w:tcW w:w="844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Share options issued and outstanding</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324,422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335,958</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160,396</w:t>
            </w:r>
          </w:p>
        </w:tc>
        <w:tc>
          <w:tcPr>
            <w:tcW w:w="1340" w:type="dxa"/>
            <w:vAlign w:val="bottom"/>
          </w:tcPr>
          <w:p>
            <w:pPr>
              <w:jc w:val="right"/>
              <w:spacing w:after="0"/>
              <w:rPr>
                <w:sz w:val="20"/>
                <w:szCs w:val="20"/>
                <w:color w:val="auto"/>
              </w:rPr>
            </w:pPr>
            <w:r>
              <w:rPr>
                <w:rFonts w:ascii="Arial" w:cs="Arial" w:eastAsia="Arial" w:hAnsi="Arial"/>
                <w:sz w:val="18"/>
                <w:szCs w:val="18"/>
                <w:color w:val="auto"/>
              </w:rPr>
              <w:t>97,642</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Convertible shares</w:t>
            </w: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993,222</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8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45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Ended June 30,</w:t>
            </w:r>
          </w:p>
        </w:tc>
      </w:tr>
      <w:tr>
        <w:trPr>
          <w:trHeight w:val="210"/>
        </w:trPr>
        <w:tc>
          <w:tcPr>
            <w:tcW w:w="4520" w:type="dxa"/>
            <w:vAlign w:val="bottom"/>
            <w:tcBorders>
              <w:bottom w:val="single" w:sz="8" w:color="D5EAEA"/>
            </w:tcBorders>
          </w:tcPr>
          <w:p>
            <w:pPr>
              <w:spacing w:after="0"/>
              <w:rPr>
                <w:sz w:val="18"/>
                <w:szCs w:val="18"/>
                <w:color w:val="auto"/>
              </w:rPr>
            </w:pPr>
          </w:p>
        </w:tc>
        <w:tc>
          <w:tcPr>
            <w:tcW w:w="392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4520" w:type="dxa"/>
            <w:vAlign w:val="bottom"/>
            <w:shd w:val="clear" w:color="auto" w:fill="D5EAEA"/>
          </w:tcPr>
          <w:p>
            <w:pPr>
              <w:spacing w:after="0"/>
              <w:rPr>
                <w:sz w:val="20"/>
                <w:szCs w:val="20"/>
                <w:color w:val="auto"/>
              </w:rPr>
            </w:pPr>
            <w:r>
              <w:rPr>
                <w:rFonts w:ascii="Arial" w:cs="Arial" w:eastAsia="Arial" w:hAnsi="Arial"/>
                <w:sz w:val="18"/>
                <w:szCs w:val="18"/>
                <w:color w:val="auto"/>
              </w:rPr>
              <w:t>Share options issued and outstanding</w:t>
            </w:r>
          </w:p>
        </w:tc>
        <w:tc>
          <w:tcPr>
            <w:tcW w:w="39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325,828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770,068</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5380" w:type="dxa"/>
            <w:vAlign w:val="bottom"/>
            <w:gridSpan w:val="3"/>
          </w:tcPr>
          <w:p>
            <w:pPr>
              <w:jc w:val="right"/>
              <w:ind w:right="100"/>
              <w:spacing w:after="0"/>
              <w:rPr>
                <w:sz w:val="20"/>
                <w:szCs w:val="20"/>
                <w:color w:val="auto"/>
              </w:rPr>
            </w:pPr>
            <w:r>
              <w:rPr>
                <w:rFonts w:ascii="Arial" w:cs="Arial" w:eastAsia="Arial" w:hAnsi="Arial"/>
                <w:sz w:val="18"/>
                <w:szCs w:val="18"/>
                <w:color w:val="auto"/>
              </w:rPr>
              <w:t>157,296</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D5EAEA"/>
          </w:tcPr>
          <w:p>
            <w:pPr>
              <w:spacing w:after="0"/>
              <w:rPr>
                <w:sz w:val="20"/>
                <w:szCs w:val="20"/>
                <w:color w:val="auto"/>
              </w:rPr>
            </w:pPr>
            <w:r>
              <w:rPr>
                <w:rFonts w:ascii="Arial" w:cs="Arial" w:eastAsia="Arial" w:hAnsi="Arial"/>
                <w:sz w:val="18"/>
                <w:szCs w:val="18"/>
                <w:color w:val="auto"/>
              </w:rPr>
              <w:t>Convertible shares</w:t>
            </w:r>
          </w:p>
        </w:tc>
        <w:tc>
          <w:tcPr>
            <w:tcW w:w="3920" w:type="dxa"/>
            <w:vAlign w:val="bottom"/>
            <w:shd w:val="clear" w:color="auto" w:fill="D5EAEA"/>
          </w:tcPr>
          <w:p>
            <w:pPr>
              <w:spacing w:after="0"/>
              <w:rPr>
                <w:sz w:val="18"/>
                <w:szCs w:val="18"/>
                <w:color w:val="auto"/>
              </w:rPr>
            </w:pP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1,837,625</w:t>
            </w:r>
          </w:p>
        </w:tc>
      </w:tr>
      <w:tr>
        <w:trPr>
          <w:trHeight w:val="459"/>
        </w:trPr>
        <w:tc>
          <w:tcPr>
            <w:tcW w:w="45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right"/>
              <w:ind w:right="2630"/>
              <w:spacing w:after="0"/>
              <w:rPr>
                <w:sz w:val="20"/>
                <w:szCs w:val="20"/>
                <w:color w:val="auto"/>
              </w:rPr>
            </w:pPr>
            <w:r>
              <w:rPr>
                <w:rFonts w:ascii="Arial" w:cs="Arial" w:eastAsia="Arial" w:hAnsi="Arial"/>
                <w:sz w:val="18"/>
                <w:szCs w:val="18"/>
                <w:color w:val="auto"/>
              </w:rPr>
              <w:t>18</w:t>
            </w: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5.  Property, plant and equipment</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8"/>
                <w:szCs w:val="18"/>
                <w:b w:val="1"/>
                <w:bCs w:val="1"/>
                <w:color w:val="auto"/>
                <w:w w:val="88"/>
              </w:rPr>
              <w:t>As of June 30, 2020</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9"/>
              </w:rPr>
              <w:t>Lab</w:t>
            </w:r>
          </w:p>
        </w:tc>
        <w:tc>
          <w:tcPr>
            <w:tcW w:w="122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7"/>
              </w:rPr>
              <w:t>Leasehold</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in CHF thousands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Furniture</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IT Equipment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Equipment</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Improvements</w:t>
            </w:r>
          </w:p>
        </w:tc>
        <w:tc>
          <w:tcPr>
            <w:tcW w:w="11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Acquisition Cost:</w:t>
            </w: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6,698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1120" w:type="dxa"/>
            <w:vAlign w:val="bottom"/>
          </w:tcPr>
          <w:p>
            <w:pPr>
              <w:jc w:val="right"/>
              <w:spacing w:after="0"/>
              <w:rPr>
                <w:sz w:val="20"/>
                <w:szCs w:val="20"/>
                <w:color w:val="auto"/>
              </w:rPr>
            </w:pPr>
            <w:r>
              <w:rPr>
                <w:rFonts w:ascii="Arial" w:cs="Arial" w:eastAsia="Arial" w:hAnsi="Arial"/>
                <w:sz w:val="18"/>
                <w:szCs w:val="18"/>
                <w:color w:val="auto"/>
              </w:rPr>
              <w:t>8,445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D5EAEA"/>
          </w:tcPr>
          <w:p>
            <w:pPr>
              <w:spacing w:after="0"/>
              <w:rPr>
                <w:sz w:val="20"/>
                <w:szCs w:val="20"/>
                <w:color w:val="auto"/>
              </w:rPr>
            </w:pPr>
            <w:r>
              <w:rPr>
                <w:rFonts w:ascii="Arial" w:cs="Arial" w:eastAsia="Arial" w:hAnsi="Arial"/>
                <w:sz w:val="18"/>
                <w:szCs w:val="18"/>
                <w:color w:val="auto"/>
              </w:rPr>
              <w:t>Acquisitions</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84</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91</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392</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20</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Balance at June 30,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7,090</w:t>
            </w:r>
          </w:p>
        </w:tc>
        <w:tc>
          <w:tcPr>
            <w:tcW w:w="12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Accumulated depreciation: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2019</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(68)</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(627)</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(3,619)</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(214)</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vMerge w:val="restart"/>
          </w:tcPr>
          <w:p>
            <w:pPr>
              <w:spacing w:after="0"/>
              <w:rPr>
                <w:sz w:val="20"/>
                <w:szCs w:val="20"/>
                <w:color w:val="auto"/>
              </w:rPr>
            </w:pPr>
            <w:r>
              <w:rPr>
                <w:rFonts w:ascii="Arial" w:cs="Arial" w:eastAsia="Arial" w:hAnsi="Arial"/>
                <w:sz w:val="18"/>
                <w:szCs w:val="18"/>
                <w:color w:val="auto"/>
              </w:rPr>
              <w:t>Depreciation expense</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(524)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120" w:type="dxa"/>
            <w:vAlign w:val="bottom"/>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June 30, 2020</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(80)</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(792)</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(4,143)</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(247)</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(5,262)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Carrying Amount:</w:t>
            </w: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December 31, 2019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3,079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1120" w:type="dxa"/>
            <w:vAlign w:val="bottom"/>
          </w:tcPr>
          <w:p>
            <w:pPr>
              <w:jc w:val="right"/>
              <w:spacing w:after="0"/>
              <w:rPr>
                <w:sz w:val="20"/>
                <w:szCs w:val="20"/>
                <w:color w:val="auto"/>
              </w:rPr>
            </w:pPr>
            <w:r>
              <w:rPr>
                <w:rFonts w:ascii="Arial" w:cs="Arial" w:eastAsia="Arial" w:hAnsi="Arial"/>
                <w:sz w:val="18"/>
                <w:szCs w:val="18"/>
                <w:color w:val="auto"/>
              </w:rPr>
              <w:t>3,917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D5EAEA"/>
          </w:tcPr>
          <w:p>
            <w:pPr>
              <w:spacing w:after="0"/>
              <w:rPr>
                <w:sz w:val="20"/>
                <w:szCs w:val="20"/>
                <w:color w:val="auto"/>
              </w:rPr>
            </w:pPr>
            <w:r>
              <w:rPr>
                <w:rFonts w:ascii="Arial" w:cs="Arial" w:eastAsia="Arial" w:hAnsi="Arial"/>
                <w:sz w:val="18"/>
                <w:szCs w:val="18"/>
                <w:color w:val="auto"/>
              </w:rPr>
              <w:t>June 30, 2020</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162</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486</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2,947</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175</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-2159635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-2159635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-2159635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-2159635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 Company continues to enhance its laboratory equipment to support its research and development functions. This effort has continued since the year ended December 31, 2019, with CHF 0.5 million invested in lab and IT equipment representing a 6.1% increase. This is consistent with the Company’s long-term strategic plan.</w:t>
      </w:r>
    </w:p>
    <w:p>
      <w:pPr>
        <w:spacing w:after="0" w:line="18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lease liabilities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Company did not recognize additions of right-of-use of leased assets for buildings or for office equipment for the six months ended June 30, 2020.</w:t>
      </w:r>
    </w:p>
    <w:p>
      <w:pPr>
        <w:spacing w:after="0" w:line="248"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Regarding lease liabilities, the amortization depends on the rate implicit in the contract or the incremental borrowing rate for the respective lease component. The weighted averages of the incremental borrowing rates are 2.5% for buildings, 4.2% for office equipment and 2.6% for IT equipment,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movements in the net book values of right-of-use of leased assets for the six months ended June 30,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Office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IT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Buildings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Equipment</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Equipment</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390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w w:val="88"/>
              </w:rPr>
              <w:t>Balance as of December 31, 2019</w:t>
            </w:r>
          </w:p>
        </w:tc>
        <w:tc>
          <w:tcPr>
            <w:tcW w:w="514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2,106</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81</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68</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Additions</w:t>
            </w:r>
          </w:p>
        </w:tc>
        <w:tc>
          <w:tcPr>
            <w:tcW w:w="39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D5EAEA"/>
          </w:tcPr>
          <w:p>
            <w:pPr>
              <w:spacing w:after="0"/>
              <w:rPr>
                <w:sz w:val="20"/>
                <w:szCs w:val="20"/>
                <w:color w:val="auto"/>
              </w:rPr>
            </w:pPr>
            <w:r>
              <w:rPr>
                <w:rFonts w:ascii="Arial" w:cs="Arial" w:eastAsia="Arial" w:hAnsi="Arial"/>
                <w:sz w:val="18"/>
                <w:szCs w:val="18"/>
                <w:color w:val="auto"/>
              </w:rPr>
              <w:t>Disposals</w:t>
            </w:r>
          </w:p>
        </w:tc>
        <w:tc>
          <w:tcPr>
            <w:tcW w:w="390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Depreciation</w:t>
            </w:r>
          </w:p>
        </w:tc>
        <w:tc>
          <w:tcPr>
            <w:tcW w:w="5140" w:type="dxa"/>
            <w:vAlign w:val="bottom"/>
            <w:gridSpan w:val="3"/>
          </w:tcPr>
          <w:p>
            <w:pPr>
              <w:jc w:val="right"/>
              <w:ind w:right="100"/>
              <w:spacing w:after="0"/>
              <w:rPr>
                <w:sz w:val="20"/>
                <w:szCs w:val="20"/>
                <w:color w:val="auto"/>
              </w:rPr>
            </w:pPr>
            <w:r>
              <w:rPr>
                <w:rFonts w:ascii="Arial" w:cs="Arial" w:eastAsia="Arial" w:hAnsi="Arial"/>
                <w:sz w:val="18"/>
                <w:szCs w:val="18"/>
                <w:color w:val="auto"/>
              </w:rPr>
              <w:t>(199)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25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June 30, 2020</w:t>
            </w:r>
          </w:p>
        </w:tc>
        <w:tc>
          <w:tcPr>
            <w:tcW w:w="3900" w:type="dxa"/>
            <w:vAlign w:val="bottom"/>
            <w:tcBorders>
              <w:top w:val="single" w:sz="8" w:color="D5EAEA"/>
              <w:bottom w:val="single" w:sz="8" w:color="D5EAEA"/>
            </w:tcBorders>
            <w:shd w:val="clear" w:color="auto" w:fill="D5EAEA"/>
          </w:tcPr>
          <w:p>
            <w:pPr>
              <w:spacing w:after="0"/>
              <w:rPr>
                <w:sz w:val="19"/>
                <w:szCs w:val="19"/>
                <w:color w:val="auto"/>
              </w:rPr>
            </w:pP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Overall, IFRS 16 was cash flow neutral for the Company. There are no variable lease payments which are not included in the measurement of lease obligations. All extension options have been included in the measurement of lease obligations.</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For the three and six months ended June 30, 2020, and 2019, the impact on the Company’s statements of income/(loss) and statements of cash flows is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8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844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8440" w:type="dxa"/>
            <w:vAlign w:val="bottom"/>
            <w:tcBorders>
              <w:bottom w:val="single" w:sz="8" w:color="D5EAEA"/>
            </w:tcBorders>
          </w:tcPr>
          <w:p>
            <w:pPr>
              <w:ind w:left="352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8440" w:type="dxa"/>
            <w:vAlign w:val="bottom"/>
            <w:shd w:val="clear" w:color="auto" w:fill="D5EAEA"/>
          </w:tcPr>
          <w:p>
            <w:pPr>
              <w:spacing w:after="0"/>
              <w:rPr>
                <w:sz w:val="20"/>
                <w:szCs w:val="20"/>
                <w:color w:val="auto"/>
              </w:rPr>
            </w:pPr>
            <w:r>
              <w:rPr>
                <w:rFonts w:ascii="Arial" w:cs="Arial" w:eastAsia="Arial" w:hAnsi="Arial"/>
                <w:sz w:val="18"/>
                <w:szCs w:val="18"/>
                <w:i w:val="1"/>
                <w:iCs w:val="1"/>
                <w:color w:val="auto"/>
              </w:rPr>
              <w:t>Statements of income/(loss)</w:t>
            </w: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3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Interest expense on lease liabilities</w:t>
            </w: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14</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Expense for short-term leases and leases of low value</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3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3"/>
        </w:trPr>
        <w:tc>
          <w:tcPr>
            <w:tcW w:w="844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8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1"/>
        </w:trPr>
        <w:tc>
          <w:tcPr>
            <w:tcW w:w="8440" w:type="dxa"/>
            <w:vAlign w:val="bottom"/>
            <w:tcBorders>
              <w:bottom w:val="single" w:sz="8" w:color="D5EAEA"/>
            </w:tcBorders>
            <w:shd w:val="clear" w:color="auto" w:fill="D5EAEA"/>
          </w:tcPr>
          <w:p>
            <w:pPr>
              <w:spacing w:after="0" w:line="176" w:lineRule="exact"/>
              <w:rPr>
                <w:sz w:val="20"/>
                <w:szCs w:val="20"/>
                <w:color w:val="auto"/>
              </w:rPr>
            </w:pPr>
            <w:r>
              <w:rPr>
                <w:rFonts w:ascii="Arial" w:cs="Arial" w:eastAsia="Arial" w:hAnsi="Arial"/>
                <w:sz w:val="18"/>
                <w:szCs w:val="18"/>
                <w:i w:val="1"/>
                <w:iCs w:val="1"/>
                <w:color w:val="auto"/>
              </w:rPr>
              <w:t>Statements of cash flows</w:t>
            </w:r>
          </w:p>
        </w:tc>
        <w:tc>
          <w:tcPr>
            <w:tcW w:w="1360" w:type="dxa"/>
            <w:vAlign w:val="bottom"/>
            <w:tcBorders>
              <w:bottom w:val="single" w:sz="8" w:color="auto"/>
            </w:tcBorders>
            <w:shd w:val="clear" w:color="auto" w:fill="D5EAEA"/>
          </w:tcPr>
          <w:p>
            <w:pPr>
              <w:spacing w:after="0"/>
              <w:rPr>
                <w:sz w:val="17"/>
                <w:szCs w:val="17"/>
                <w:color w:val="auto"/>
              </w:rPr>
            </w:pPr>
          </w:p>
        </w:tc>
        <w:tc>
          <w:tcPr>
            <w:tcW w:w="100" w:type="dxa"/>
            <w:vAlign w:val="bottom"/>
            <w:tcBorders>
              <w:bottom w:val="single" w:sz="8" w:color="D5EAEA"/>
            </w:tcBorders>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spacing w:after="0"/>
              <w:rPr>
                <w:sz w:val="17"/>
                <w:szCs w:val="17"/>
                <w:color w:val="auto"/>
              </w:rPr>
            </w:pPr>
          </w:p>
        </w:tc>
      </w:tr>
      <w:tr>
        <w:trPr>
          <w:trHeight w:val="243"/>
        </w:trPr>
        <w:tc>
          <w:tcPr>
            <w:tcW w:w="8440" w:type="dxa"/>
            <w:vAlign w:val="bottom"/>
            <w:tcBorders>
              <w:top w:val="single" w:sz="8" w:color="D5EAEA"/>
            </w:tcBorders>
          </w:tcPr>
          <w:p>
            <w:pPr>
              <w:spacing w:after="0"/>
              <w:rPr>
                <w:sz w:val="20"/>
                <w:szCs w:val="20"/>
                <w:color w:val="auto"/>
              </w:rPr>
            </w:pPr>
            <w:r>
              <w:rPr>
                <w:rFonts w:ascii="Arial" w:cs="Arial" w:eastAsia="Arial" w:hAnsi="Arial"/>
                <w:sz w:val="18"/>
                <w:szCs w:val="18"/>
                <w:color w:val="auto"/>
              </w:rPr>
              <w:t>Total cash outflow for leases</w:t>
            </w:r>
          </w:p>
        </w:tc>
        <w:tc>
          <w:tcPr>
            <w:tcW w:w="1460" w:type="dxa"/>
            <w:vAlign w:val="bottom"/>
            <w:tcBorders>
              <w:top w:val="single" w:sz="8" w:color="D5EAEA"/>
            </w:tcBorders>
            <w:gridSpan w:val="2"/>
          </w:tcPr>
          <w:p>
            <w:pPr>
              <w:jc w:val="right"/>
              <w:ind w:right="100"/>
              <w:spacing w:after="0"/>
              <w:rPr>
                <w:sz w:val="20"/>
                <w:szCs w:val="20"/>
                <w:color w:val="auto"/>
              </w:rPr>
            </w:pPr>
            <w:r>
              <w:rPr>
                <w:rFonts w:ascii="Arial" w:cs="Arial" w:eastAsia="Arial" w:hAnsi="Arial"/>
                <w:sz w:val="18"/>
                <w:szCs w:val="18"/>
                <w:color w:val="auto"/>
              </w:rPr>
              <w:t>263</w:t>
            </w:r>
          </w:p>
        </w:tc>
        <w:tc>
          <w:tcPr>
            <w:tcW w:w="1340" w:type="dxa"/>
            <w:vAlign w:val="bottom"/>
            <w:tcBorders>
              <w:top w:val="single" w:sz="8" w:color="D5EAEA"/>
            </w:tcBorders>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84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of income/(loss)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Depreciation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expense on lease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Expense for short-term leases and leases of low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Total cash outflow for leases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411"/>
        </w:trPr>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134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134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56"/>
        </w:trPr>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134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472" w:right="339" w:bottom="1440" w:gutter="0" w:footer="0" w:header="0"/>
          <w:type w:val="continuous"/>
        </w:sectPr>
      </w:pPr>
    </w:p>
    <w:p>
      <w:pPr>
        <w:spacing w:after="0" w:line="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Company’s statements of cash flow were impacted by a shift from cash generated from operations of CHF 0.2 million and CHF 0.2 million to the net cash used in financing activities, for the six months ended June 30, 2020, and 2019,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Pr>
          <w:p>
            <w:pPr>
              <w:ind w:left="340"/>
              <w:spacing w:after="0"/>
              <w:rPr>
                <w:sz w:val="20"/>
                <w:szCs w:val="20"/>
                <w:color w:val="auto"/>
              </w:rPr>
            </w:pPr>
            <w:r>
              <w:rPr>
                <w:rFonts w:ascii="Arial" w:cs="Arial" w:eastAsia="Arial" w:hAnsi="Arial"/>
                <w:sz w:val="18"/>
                <w:szCs w:val="18"/>
                <w:color w:val="auto"/>
              </w:rPr>
              <w:t>The following table presents the contractual undiscounted cash flows for lease obligations as of June 30, 2020: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78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r>
      <w:tr>
        <w:trPr>
          <w:trHeight w:val="234"/>
        </w:trPr>
        <w:tc>
          <w:tcPr>
            <w:tcW w:w="9780" w:type="dxa"/>
            <w:vAlign w:val="bottom"/>
          </w:tcPr>
          <w:p>
            <w:pPr>
              <w:ind w:left="1540"/>
              <w:spacing w:after="0"/>
              <w:rPr>
                <w:sz w:val="20"/>
                <w:szCs w:val="20"/>
                <w:color w:val="auto"/>
              </w:rPr>
            </w:pPr>
            <w:r>
              <w:rPr>
                <w:rFonts w:ascii="Arial" w:cs="Arial" w:eastAsia="Arial" w:hAnsi="Arial"/>
                <w:sz w:val="18"/>
                <w:szCs w:val="18"/>
                <w:b w:val="1"/>
                <w:bCs w:val="1"/>
                <w:color w:val="auto"/>
              </w:rPr>
              <w:t>in CHF thousands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 2020</w:t>
            </w:r>
          </w:p>
        </w:tc>
      </w:tr>
      <w:tr>
        <w:trPr>
          <w:trHeight w:val="210"/>
        </w:trPr>
        <w:tc>
          <w:tcPr>
            <w:tcW w:w="97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Less than one year</w:t>
            </w: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top w:val="single" w:sz="8" w:color="D5EAEA"/>
            </w:tcBorders>
            <w:shd w:val="clear" w:color="auto" w:fill="D5EAEA"/>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1-3 years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r>
      <w:tr>
        <w:trPr>
          <w:trHeight w:val="216"/>
        </w:trPr>
        <w:tc>
          <w:tcPr>
            <w:tcW w:w="9780" w:type="dxa"/>
            <w:vAlign w:val="bottom"/>
            <w:shd w:val="clear" w:color="auto" w:fill="D5EAEA"/>
          </w:tcPr>
          <w:p>
            <w:pPr>
              <w:spacing w:after="0"/>
              <w:rPr>
                <w:sz w:val="20"/>
                <w:szCs w:val="20"/>
                <w:color w:val="auto"/>
              </w:rPr>
            </w:pPr>
            <w:r>
              <w:rPr>
                <w:rFonts w:ascii="Arial" w:cs="Arial" w:eastAsia="Arial" w:hAnsi="Arial"/>
                <w:sz w:val="18"/>
                <w:szCs w:val="18"/>
                <w:color w:val="auto"/>
              </w:rPr>
              <w:t>3-5 years</w:t>
            </w:r>
          </w:p>
        </w:tc>
        <w:tc>
          <w:tcPr>
            <w:tcW w:w="1460" w:type="dxa"/>
            <w:vAlign w:val="bottom"/>
            <w:tcBorders>
              <w:bottom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712</w:t>
            </w:r>
          </w:p>
        </w:tc>
      </w:tr>
      <w:tr>
        <w:trPr>
          <w:trHeight w:val="250"/>
        </w:trPr>
        <w:tc>
          <w:tcPr>
            <w:tcW w:w="97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2,179</w:t>
            </w:r>
          </w:p>
        </w:tc>
      </w:tr>
      <w:tr>
        <w:trPr>
          <w:trHeight w:val="20"/>
        </w:trPr>
        <w:tc>
          <w:tcPr>
            <w:tcW w:w="97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Prepaid expenses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Prepaid expenses include prepaid research and development costs, administrative costs and net employee defined benefit liability expenses totaling CHF 3.7 million and CHF 2.8 million as of June 30, 2020 and December 31, 2019, respectively.</w:t>
      </w:r>
    </w:p>
    <w:p>
      <w:pPr>
        <w:spacing w:after="0" w:line="16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financial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summarizes the Company’s cash and cash equivalents and short-term financial assets as of June 30, 2020 and December 31, 2019: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20" w:type="dxa"/>
            <w:vAlign w:val="bottom"/>
            <w:gridSpan w:val="5"/>
          </w:tcPr>
          <w:p>
            <w:pPr>
              <w:ind w:left="1220"/>
              <w:spacing w:after="0"/>
              <w:rPr>
                <w:sz w:val="20"/>
                <w:szCs w:val="20"/>
                <w:color w:val="auto"/>
              </w:rPr>
            </w:pPr>
            <w:r>
              <w:rPr>
                <w:rFonts w:ascii="Arial" w:cs="Arial" w:eastAsia="Arial" w:hAnsi="Arial"/>
                <w:sz w:val="18"/>
                <w:szCs w:val="18"/>
                <w:b w:val="1"/>
                <w:bCs w:val="1"/>
                <w:color w:val="auto"/>
              </w:rPr>
              <w:t>As of</w:t>
            </w:r>
          </w:p>
        </w:tc>
      </w:tr>
      <w:tr>
        <w:trPr>
          <w:trHeight w:val="191"/>
        </w:trPr>
        <w:tc>
          <w:tcPr>
            <w:tcW w:w="8440" w:type="dxa"/>
            <w:vAlign w:val="bottom"/>
          </w:tcPr>
          <w:p>
            <w:pPr>
              <w:spacing w:after="0"/>
              <w:rPr>
                <w:sz w:val="16"/>
                <w:szCs w:val="16"/>
                <w:color w:val="auto"/>
              </w:rPr>
            </w:pPr>
          </w:p>
        </w:tc>
        <w:tc>
          <w:tcPr>
            <w:tcW w:w="1600" w:type="dxa"/>
            <w:vAlign w:val="bottom"/>
            <w:tcBorders>
              <w:top w:val="single" w:sz="8" w:color="auto"/>
            </w:tcBorders>
            <w:gridSpan w:val="3"/>
          </w:tcPr>
          <w:p>
            <w:pPr>
              <w:jc w:val="center"/>
              <w:ind w:right="150"/>
              <w:spacing w:after="0" w:line="191" w:lineRule="exact"/>
              <w:rPr>
                <w:sz w:val="20"/>
                <w:szCs w:val="20"/>
                <w:color w:val="auto"/>
              </w:rPr>
            </w:pPr>
            <w:r>
              <w:rPr>
                <w:rFonts w:ascii="Arial" w:cs="Arial" w:eastAsia="Arial" w:hAnsi="Arial"/>
                <w:sz w:val="18"/>
                <w:szCs w:val="18"/>
                <w:b w:val="1"/>
                <w:bCs w:val="1"/>
                <w:color w:val="auto"/>
                <w:w w:val="88"/>
              </w:rPr>
              <w:t>June 30,</w:t>
            </w:r>
          </w:p>
        </w:tc>
        <w:tc>
          <w:tcPr>
            <w:tcW w:w="12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6"/>
                <w:szCs w:val="16"/>
                <w:color w:val="auto"/>
              </w:rPr>
            </w:pPr>
          </w:p>
        </w:tc>
      </w:tr>
      <w:tr>
        <w:trPr>
          <w:trHeight w:val="234"/>
        </w:trPr>
        <w:tc>
          <w:tcPr>
            <w:tcW w:w="844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r>
      <w:tr>
        <w:trPr>
          <w:trHeight w:val="209"/>
        </w:trPr>
        <w:tc>
          <w:tcPr>
            <w:tcW w:w="844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CHF</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w w:val="70"/>
              </w:rPr>
              <w:t>thousands)</w:t>
            </w:r>
          </w:p>
        </w:tc>
        <w:tc>
          <w:tcPr>
            <w:tcW w:w="20" w:type="dxa"/>
            <w:vAlign w:val="bottom"/>
          </w:tcPr>
          <w:p>
            <w:pPr>
              <w:spacing w:after="0"/>
              <w:rPr>
                <w:sz w:val="18"/>
                <w:szCs w:val="18"/>
                <w:color w:val="auto"/>
              </w:rPr>
            </w:pPr>
          </w:p>
        </w:tc>
      </w:tr>
      <w:tr>
        <w:trPr>
          <w:trHeight w:val="209"/>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177,464</w:t>
            </w:r>
          </w:p>
        </w:tc>
        <w:tc>
          <w:tcPr>
            <w:tcW w:w="140" w:type="dxa"/>
            <w:vAlign w:val="bottom"/>
            <w:shd w:val="clear" w:color="auto" w:fill="D5EAEA"/>
          </w:tcPr>
          <w:p>
            <w:pPr>
              <w:spacing w:after="0"/>
              <w:rPr>
                <w:sz w:val="18"/>
                <w:szCs w:val="18"/>
                <w:color w:val="auto"/>
              </w:rPr>
            </w:pPr>
          </w:p>
        </w:tc>
        <w:tc>
          <w:tcPr>
            <w:tcW w:w="12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193,587</w:t>
            </w:r>
          </w:p>
        </w:tc>
        <w:tc>
          <w:tcPr>
            <w:tcW w:w="20" w:type="dxa"/>
            <w:vAlign w:val="bottom"/>
          </w:tcPr>
          <w:p>
            <w:pPr>
              <w:spacing w:after="0"/>
              <w:rPr>
                <w:sz w:val="18"/>
                <w:szCs w:val="18"/>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177,464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193,587</w:t>
            </w:r>
          </w:p>
        </w:tc>
        <w:tc>
          <w:tcPr>
            <w:tcW w:w="2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8440" w:type="dxa"/>
            <w:vAlign w:val="bottom"/>
          </w:tcPr>
          <w:p>
            <w:pPr>
              <w:spacing w:after="0"/>
              <w:rPr>
                <w:sz w:val="24"/>
                <w:szCs w:val="24"/>
                <w:color w:val="auto"/>
              </w:rPr>
            </w:pPr>
          </w:p>
        </w:tc>
        <w:tc>
          <w:tcPr>
            <w:tcW w:w="160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w w:val="84"/>
              </w:rPr>
              <w:t>As of</w:t>
            </w: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8440" w:type="dxa"/>
            <w:vAlign w:val="bottom"/>
          </w:tcPr>
          <w:p>
            <w:pPr>
              <w:spacing w:after="0"/>
              <w:rPr>
                <w:sz w:val="16"/>
                <w:szCs w:val="16"/>
                <w:color w:val="auto"/>
              </w:rPr>
            </w:pPr>
          </w:p>
        </w:tc>
        <w:tc>
          <w:tcPr>
            <w:tcW w:w="1600" w:type="dxa"/>
            <w:vAlign w:val="bottom"/>
            <w:gridSpan w:val="3"/>
          </w:tcPr>
          <w:p>
            <w:pPr>
              <w:jc w:val="center"/>
              <w:ind w:right="150"/>
              <w:spacing w:after="0" w:line="191" w:lineRule="exact"/>
              <w:rPr>
                <w:sz w:val="20"/>
                <w:szCs w:val="20"/>
                <w:color w:val="auto"/>
              </w:rPr>
            </w:pPr>
            <w:r>
              <w:rPr>
                <w:rFonts w:ascii="Arial" w:cs="Arial" w:eastAsia="Arial" w:hAnsi="Arial"/>
                <w:sz w:val="18"/>
                <w:szCs w:val="18"/>
                <w:b w:val="1"/>
                <w:bCs w:val="1"/>
                <w:color w:val="auto"/>
                <w:w w:val="88"/>
              </w:rPr>
              <w:t>June 30,</w:t>
            </w:r>
          </w:p>
        </w:tc>
        <w:tc>
          <w:tcPr>
            <w:tcW w:w="12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6"/>
                <w:szCs w:val="16"/>
                <w:color w:val="auto"/>
              </w:rPr>
            </w:pPr>
          </w:p>
        </w:tc>
      </w:tr>
      <w:tr>
        <w:trPr>
          <w:trHeight w:val="234"/>
        </w:trPr>
        <w:tc>
          <w:tcPr>
            <w:tcW w:w="844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r>
      <w:tr>
        <w:trPr>
          <w:trHeight w:val="209"/>
        </w:trPr>
        <w:tc>
          <w:tcPr>
            <w:tcW w:w="844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CHF</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w w:val="70"/>
              </w:rPr>
              <w:t>thousands)</w:t>
            </w:r>
          </w:p>
        </w:tc>
        <w:tc>
          <w:tcPr>
            <w:tcW w:w="20" w:type="dxa"/>
            <w:vAlign w:val="bottom"/>
          </w:tcPr>
          <w:p>
            <w:pPr>
              <w:spacing w:after="0"/>
              <w:rPr>
                <w:sz w:val="18"/>
                <w:szCs w:val="18"/>
                <w:color w:val="auto"/>
              </w:rPr>
            </w:pPr>
          </w:p>
        </w:tc>
      </w:tr>
      <w:tr>
        <w:trPr>
          <w:trHeight w:val="209"/>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 due in one year or less</w:t>
            </w:r>
          </w:p>
        </w:tc>
        <w:tc>
          <w:tcPr>
            <w:tcW w:w="14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85,000</w:t>
            </w:r>
          </w:p>
        </w:tc>
        <w:tc>
          <w:tcPr>
            <w:tcW w:w="140" w:type="dxa"/>
            <w:vAlign w:val="bottom"/>
            <w:shd w:val="clear" w:color="auto" w:fill="D5EAEA"/>
          </w:tcPr>
          <w:p>
            <w:pPr>
              <w:spacing w:after="0"/>
              <w:rPr>
                <w:sz w:val="18"/>
                <w:szCs w:val="18"/>
                <w:color w:val="auto"/>
              </w:rPr>
            </w:pPr>
          </w:p>
        </w:tc>
        <w:tc>
          <w:tcPr>
            <w:tcW w:w="12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95,000</w:t>
            </w:r>
          </w:p>
        </w:tc>
        <w:tc>
          <w:tcPr>
            <w:tcW w:w="20" w:type="dxa"/>
            <w:vAlign w:val="bottom"/>
          </w:tcPr>
          <w:p>
            <w:pPr>
              <w:spacing w:after="0"/>
              <w:rPr>
                <w:sz w:val="18"/>
                <w:szCs w:val="18"/>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20" w:type="dxa"/>
            <w:vAlign w:val="bottom"/>
            <w:tcBorders>
              <w:bottom w:val="single" w:sz="8" w:color="auto"/>
            </w:tcBorders>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-1508125</wp:posOffset>
            </wp:positionV>
            <wp:extent cx="6858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-471170</wp:posOffset>
            </wp:positionV>
            <wp:extent cx="6858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26035"/>
                    </a:xfrm>
                    <a:prstGeom prst="rect">
                      <a:avLst/>
                    </a:prstGeom>
                    <a:noFill/>
                  </pic:spPr>
                </pic:pic>
              </a:graphicData>
            </a:graphic>
          </wp:anchor>
        </w:drawing>
      </w:r>
    </w:p>
    <w:p>
      <w:pPr>
        <w:spacing w:after="0" w:line="18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Company also has two deposits in escrow accounts totaling CHF 0.3 million for the lease of the Company’s premises as of June 30, 2020 and December 31, 2019, respectively.</w:t>
      </w:r>
    </w:p>
    <w:p>
      <w:pPr>
        <w:spacing w:after="0" w:line="166" w:lineRule="exact"/>
        <w:rPr>
          <w:sz w:val="20"/>
          <w:szCs w:val="20"/>
          <w:color w:val="auto"/>
        </w:rPr>
      </w:pPr>
    </w:p>
    <w:p>
      <w:pPr>
        <w:ind w:left="380" w:hanging="318"/>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obligation</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On January 4, 2016, September 13, 2016 and January 26, 2018 for fiscal years 2016, 2017 and 2018, respectively, AC Immune obtained separate funding commitment notices from the LuMind Research Down Syndrome Foundation (“LuMind”) totaling USD 200 thousand in each instance. Per the Research Grant Agreement, AC Immune has an obligation to reimburse LuMind for an amount equal to 125% of the then funding commitment made by LuMind to AC Immune.</w:t>
      </w:r>
    </w:p>
    <w:p>
      <w:pPr>
        <w:spacing w:after="0" w:line="187"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In Q4 2018, LuMind and the Company modified the repayment terms in an effort to fund a Down Syndrome Clinical Trials Network. The repayment terms were modified such that the Company will repay the outstanding balance in three installments in 2018, 2019 and 2020, with the total repayment to equal the total the Company is to receive in funding with the additional 25% interest.</w:t>
      </w:r>
    </w:p>
    <w:p>
      <w:pPr>
        <w:spacing w:after="0" w:line="1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June 30, 2020 and December 31, 2019, the Company has recorded in current liabilities a short-term financing obligation of USD 333 (CHF 321) thousand and USD 667 (CHF 652) thousand, respectively.</w:t>
      </w:r>
    </w:p>
    <w:p>
      <w:pPr>
        <w:spacing w:after="0" w:line="16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settled its two foreign currency exchange rate contracts in Q2 2020.</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Finance result, net</w:t>
      </w:r>
    </w:p>
    <w:p>
      <w:pPr>
        <w:spacing w:after="0" w:line="22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For the three months ended June 30, 2020, and 2019, the Company recorded CHF 0.1 million and CHF 2.1 million in net financial losses, respectively. For the three months ended June 30, 2020, the Company recorded less than CHF 0.1 million in foreign currency losses. For the three months ended June 30, 2019, the Company recorded a CHF 1.2 million loss on the settlement of a convertible loan with Lilly and the recognition of CHF 0.4 million in effective interest to amortize the host debt per the convertible loan due to Lilly. These transactions were not repeated in the current period.</w:t>
      </w:r>
    </w:p>
    <w:p>
      <w:pPr>
        <w:spacing w:after="0" w:line="157"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For the six months ended June 30, 2020, and 2019, the Company recorded CHF 0.4 million and CHF 1.3 million in net financial losses and gains, respectively. For the six months ended June 30, 2020, the Company recorded a CHF 0.5 million foreign currency loss and CHF 0.1 million in interest charges. For the six months ended June 30, 2019, the Company recorded a CHF 4.5 million gain on the conversion feature of the convertible loan due to Lilly. This gain was offset by CHF 1.4 million of effective interest recorded to amortize the host debt per the convertible loan due to Lilly. These transactions were not repeated in the current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Management has evaluated subsequent events after the balance sheet date, through the issuance of these Interim Condensed Financial Statements, for appropriate accounting and disclosures. The Company has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determined that there were no other such events that warrant disclosure or recognition in these Interim Condensed Financial Statements.</w:t>
      </w:r>
    </w:p>
    <w:p>
      <w:pPr>
        <w:sectPr>
          <w:pgSz w:w="11900" w:h="16838" w:orient="portrait"/>
          <w:cols w:equalWidth="0" w:num="1">
            <w:col w:w="10139"/>
          </w:cols>
          <w:pgMar w:left="320" w:top="476" w:right="1440" w:bottom="1440" w:gutter="0" w:footer="0" w:header="0"/>
        </w:sect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476" w:right="1440"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financial information as of and for the three and six months ended June 30, 2020, included as Exhibit 99.1 to this Report on Form 6-K. We also recommend that you read our management’s discussion and analysis and our audited financial statements and the notes thereto, which appear in our Annual Report on Form 20-F for the year ended December 31, 2019 on file with the U.S. Securities and Exchange Commission (the “SEC”).</w:t>
      </w:r>
    </w:p>
    <w:p>
      <w:pPr>
        <w:spacing w:after="0" w:line="18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to “AC Immune” or the “Company,” “we,” “our,” “ours,” “us” or similar terms refer to AC Immune SA.</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We prepare and report our financial statements and financial information in accordance with International Financial Reporting Standards (“IFRS”) as issued by the International Accounting Standards Board (the “IASB”). None of our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This discussion and analysis is dated as of August 5,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The Covid-19 global pandemic has impacted various countries where we currently operate our clinical trials and business operations. The extent to which Covid-19 may impact us will depend on future developments, which are highly uncertain and cannot be predicted with confidence, such as the duration of the outbreak, the severity of Covid-19, or the effectiveness of actions to contain and treat for Covid-19.</w:t>
      </w:r>
    </w:p>
    <w:p>
      <w:pPr>
        <w:spacing w:after="0" w:line="16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effected its business continuity plan during the interim period ended June 30, 2020. The Company implemented its plan quickly and continues to adapt as the situation evolves. Currently, we have mostly resumed normal operations at full capacity with minimal disruptions to our business. We are continuously assessing and adapting our working practices and business operations to ensure compliance with official guidance and orders related to the pandemic, and are working proactively with our partners and other stakeholders to take steps intended to mitigate and minimize any negative impact to our research, clinical programs and other business operations.</w:t>
      </w:r>
    </w:p>
    <w:p>
      <w:pPr>
        <w:spacing w:after="0" w:line="18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Many of our key trials are already fully enrolled and patient follow-up can continue remotely in most cases. However, the current pandemic may impact certain clinical trials as long as the pandemic is ongoing. Most notably:</w:t>
      </w:r>
    </w:p>
    <w:p>
      <w:pPr>
        <w:spacing w:after="0" w:line="166" w:lineRule="exact"/>
        <w:rPr>
          <w:sz w:val="20"/>
          <w:szCs w:val="20"/>
          <w:color w:val="auto"/>
        </w:rPr>
      </w:pPr>
    </w:p>
    <w:p>
      <w:pPr>
        <w:ind w:right="340" w:firstLine="324"/>
        <w:spacing w:after="0" w:line="347" w:lineRule="auto"/>
        <w:rPr>
          <w:sz w:val="20"/>
          <w:szCs w:val="20"/>
          <w:color w:val="auto"/>
        </w:rPr>
      </w:pPr>
      <w:r>
        <w:rPr>
          <w:rFonts w:ascii="Arial" w:cs="Arial" w:eastAsia="Arial" w:hAnsi="Arial"/>
          <w:sz w:val="16"/>
          <w:szCs w:val="16"/>
          <w:b w:val="1"/>
          <w:bCs w:val="1"/>
          <w:color w:val="auto"/>
        </w:rPr>
        <w:t>ACI-3024</w:t>
      </w:r>
      <w:r>
        <w:rPr>
          <w:rFonts w:ascii="Arial" w:cs="Arial" w:eastAsia="Arial" w:hAnsi="Arial"/>
          <w:sz w:val="16"/>
          <w:szCs w:val="16"/>
          <w:color w:val="auto"/>
        </w:rPr>
        <w:t>: Our Phase 1 study for ACI-3024-1901 in Healthy Volunteers has completed the recruitment and treatment phases as planned.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currently collecting safety, pharmacokinetic and biomarker data. The clinical data is currently anticipated to be communicated in H2 2020.</w:t>
      </w:r>
    </w:p>
    <w:p>
      <w:pPr>
        <w:spacing w:after="0" w:line="116" w:lineRule="exact"/>
        <w:rPr>
          <w:sz w:val="20"/>
          <w:szCs w:val="20"/>
          <w:color w:val="auto"/>
        </w:rPr>
      </w:pPr>
    </w:p>
    <w:p>
      <w:pPr>
        <w:ind w:right="140" w:firstLine="324"/>
        <w:spacing w:after="0" w:line="289" w:lineRule="auto"/>
        <w:rPr>
          <w:sz w:val="20"/>
          <w:szCs w:val="20"/>
          <w:color w:val="auto"/>
        </w:rPr>
      </w:pPr>
      <w:r>
        <w:rPr>
          <w:rFonts w:ascii="Arial" w:cs="Arial" w:eastAsia="Arial" w:hAnsi="Arial"/>
          <w:sz w:val="17"/>
          <w:szCs w:val="17"/>
          <w:b w:val="1"/>
          <w:bCs w:val="1"/>
          <w:color w:val="auto"/>
        </w:rPr>
        <w:t xml:space="preserve">ACI-35 in Alzheimer’s disease: </w:t>
      </w:r>
      <w:r>
        <w:rPr>
          <w:rFonts w:ascii="Arial" w:cs="Arial" w:eastAsia="Arial" w:hAnsi="Arial"/>
          <w:sz w:val="17"/>
          <w:szCs w:val="17"/>
          <w:color w:val="auto"/>
        </w:rPr>
        <w:t>The Company continues to collect data from the Phase 1b/2a ACI-35-1802 study. The interim analysis of cohort 1.1</w:t>
      </w:r>
      <w:r>
        <w:rPr>
          <w:rFonts w:ascii="Arial" w:cs="Arial" w:eastAsia="Arial" w:hAnsi="Arial"/>
          <w:sz w:val="17"/>
          <w:szCs w:val="17"/>
          <w:b w:val="1"/>
          <w:bCs w:val="1"/>
          <w:color w:val="auto"/>
        </w:rPr>
        <w:t xml:space="preserve"> </w:t>
      </w:r>
      <w:r>
        <w:rPr>
          <w:rFonts w:ascii="Arial" w:cs="Arial" w:eastAsia="Arial" w:hAnsi="Arial"/>
          <w:sz w:val="17"/>
          <w:szCs w:val="17"/>
          <w:color w:val="auto"/>
        </w:rPr>
        <w:t>(safety, tolerability and immunogenicity) was obtained in Q2 2020 and led to the initiation of the second highest dosing group in the Phase 1b/2a clinical trial. The initiation of cohort 1.2 and cohort 2 will commence in accordance with the underlying development plans.</w:t>
      </w:r>
    </w:p>
    <w:p>
      <w:pPr>
        <w:spacing w:after="0" w:line="158" w:lineRule="exact"/>
        <w:rPr>
          <w:sz w:val="20"/>
          <w:szCs w:val="20"/>
          <w:color w:val="auto"/>
        </w:rPr>
      </w:pPr>
    </w:p>
    <w:p>
      <w:pPr>
        <w:ind w:right="60" w:firstLine="324"/>
        <w:spacing w:after="0" w:line="282" w:lineRule="auto"/>
        <w:rPr>
          <w:sz w:val="20"/>
          <w:szCs w:val="20"/>
          <w:color w:val="auto"/>
        </w:rPr>
      </w:pPr>
      <w:r>
        <w:rPr>
          <w:rFonts w:ascii="Arial" w:cs="Arial" w:eastAsia="Arial" w:hAnsi="Arial"/>
          <w:sz w:val="18"/>
          <w:szCs w:val="18"/>
          <w:b w:val="1"/>
          <w:bCs w:val="1"/>
          <w:color w:val="auto"/>
        </w:rPr>
        <w:t>ACI-24 in Down syndrome</w:t>
      </w:r>
      <w:r>
        <w:rPr>
          <w:rFonts w:ascii="Arial" w:cs="Arial" w:eastAsia="Arial" w:hAnsi="Arial"/>
          <w:sz w:val="18"/>
          <w:szCs w:val="18"/>
          <w:color w:val="auto"/>
        </w:rPr>
        <w:t>: The Company’s ACI-24-1301 Phase 1b trial recruitment and treatment phases have been completed. Several subjects are</w:t>
      </w:r>
      <w:r>
        <w:rPr>
          <w:rFonts w:ascii="Arial" w:cs="Arial" w:eastAsia="Arial" w:hAnsi="Arial"/>
          <w:sz w:val="18"/>
          <w:szCs w:val="18"/>
          <w:b w:val="1"/>
          <w:bCs w:val="1"/>
          <w:color w:val="auto"/>
        </w:rPr>
        <w:t xml:space="preserve"> </w:t>
      </w:r>
      <w:r>
        <w:rPr>
          <w:rFonts w:ascii="Arial" w:cs="Arial" w:eastAsia="Arial" w:hAnsi="Arial"/>
          <w:sz w:val="18"/>
          <w:szCs w:val="18"/>
          <w:color w:val="auto"/>
        </w:rPr>
        <w:t>still being monitored during the safety follow-up period. The clinical data communication is anticipated by H2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ind w:right="180" w:firstLine="324"/>
        <w:spacing w:after="0" w:line="277" w:lineRule="auto"/>
        <w:rPr>
          <w:sz w:val="20"/>
          <w:szCs w:val="20"/>
          <w:color w:val="auto"/>
        </w:rPr>
      </w:pPr>
      <w:r>
        <w:rPr>
          <w:rFonts w:ascii="Arial" w:cs="Arial" w:eastAsia="Arial" w:hAnsi="Arial"/>
          <w:sz w:val="18"/>
          <w:szCs w:val="18"/>
          <w:color w:val="auto"/>
        </w:rPr>
        <w:t>The Regulatory submission of the ACI-24-DS-1902 Phase 2 trial is proceeding as planned. The initiation of the clinical trial is on track to commence in H2 2020.</w:t>
      </w:r>
    </w:p>
    <w:p>
      <w:pPr>
        <w:spacing w:after="0" w:line="166" w:lineRule="exact"/>
        <w:rPr>
          <w:sz w:val="20"/>
          <w:szCs w:val="20"/>
          <w:color w:val="auto"/>
        </w:rPr>
      </w:pPr>
    </w:p>
    <w:p>
      <w:pPr>
        <w:ind w:right="160" w:firstLine="324"/>
        <w:spacing w:after="0" w:line="312" w:lineRule="auto"/>
        <w:rPr>
          <w:sz w:val="20"/>
          <w:szCs w:val="20"/>
          <w:color w:val="auto"/>
        </w:rPr>
      </w:pPr>
      <w:r>
        <w:rPr>
          <w:rFonts w:ascii="Arial" w:cs="Arial" w:eastAsia="Arial" w:hAnsi="Arial"/>
          <w:sz w:val="17"/>
          <w:szCs w:val="17"/>
          <w:b w:val="1"/>
          <w:bCs w:val="1"/>
          <w:color w:val="auto"/>
        </w:rPr>
        <w:t xml:space="preserve">ACI-24 in Alzheimer’s disease: </w:t>
      </w:r>
      <w:r>
        <w:rPr>
          <w:rFonts w:ascii="Arial" w:cs="Arial" w:eastAsia="Arial" w:hAnsi="Arial"/>
          <w:sz w:val="17"/>
          <w:szCs w:val="17"/>
          <w:color w:val="auto"/>
        </w:rPr>
        <w:t>The Company continues to collect safety, immunogenicity and biomarker data from patients in the ongoing Phase 2</w:t>
      </w:r>
      <w:r>
        <w:rPr>
          <w:rFonts w:ascii="Arial" w:cs="Arial" w:eastAsia="Arial" w:hAnsi="Arial"/>
          <w:sz w:val="17"/>
          <w:szCs w:val="17"/>
          <w:b w:val="1"/>
          <w:bCs w:val="1"/>
          <w:color w:val="auto"/>
        </w:rPr>
        <w:t xml:space="preserve"> </w:t>
      </w:r>
      <w:r>
        <w:rPr>
          <w:rFonts w:ascii="Arial" w:cs="Arial" w:eastAsia="Arial" w:hAnsi="Arial"/>
          <w:sz w:val="17"/>
          <w:szCs w:val="17"/>
          <w:color w:val="auto"/>
        </w:rPr>
        <w:t>study of ACI-24-1801. The 12-month interim data analysis will be performed as planned on a reduced patient data-set due to Covid-19.</w:t>
      </w:r>
    </w:p>
    <w:p>
      <w:pPr>
        <w:spacing w:after="0" w:line="140" w:lineRule="exact"/>
        <w:rPr>
          <w:sz w:val="20"/>
          <w:szCs w:val="20"/>
          <w:color w:val="auto"/>
        </w:rPr>
      </w:pPr>
    </w:p>
    <w:p>
      <w:pPr>
        <w:ind w:right="40" w:firstLine="324"/>
        <w:spacing w:after="0" w:line="314" w:lineRule="auto"/>
        <w:rPr>
          <w:sz w:val="20"/>
          <w:szCs w:val="20"/>
          <w:color w:val="auto"/>
        </w:rPr>
      </w:pPr>
      <w:r>
        <w:rPr>
          <w:rFonts w:ascii="Arial" w:cs="Arial" w:eastAsia="Arial" w:hAnsi="Arial"/>
          <w:sz w:val="16"/>
          <w:szCs w:val="16"/>
          <w:b w:val="1"/>
          <w:bCs w:val="1"/>
          <w:color w:val="auto"/>
        </w:rPr>
        <w:t xml:space="preserve">crenezumab: </w:t>
      </w:r>
      <w:r>
        <w:rPr>
          <w:rFonts w:ascii="Arial" w:cs="Arial" w:eastAsia="Arial" w:hAnsi="Arial"/>
          <w:sz w:val="16"/>
          <w:szCs w:val="16"/>
          <w:color w:val="auto"/>
        </w:rPr>
        <w:t>In response to the government-imposed stay at home order in Colombia related to the Covid-19 pandemic, the dosing of participants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Colombian API study was temporarily interrupted in H1 2020. The dosing restarted on May 18, 2020. Participants are receiving crenezumab or placebo for at least five years as part of the long-term prevention study, and, despite the interruption, we continue to expect data from the study in 2022.</w:t>
      </w:r>
    </w:p>
    <w:p>
      <w:pPr>
        <w:spacing w:after="0" w:line="14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has drug supplies that are expected to be sufficient to complete ongoing trials as well as additional drug substance supplies expected to be sufficient to support ongoing cohorts of clinical trials for a period of at least three to six months. The Company will refrain from starting new clinical trials if a minimum of a six-months supply on hand cannot be secured. Finally, the Company currently does not expect delays to its clinical trials due to manufacturing or supply-chain issues.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2020 and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440" w:firstLine="324"/>
        <w:spacing w:after="0" w:line="311" w:lineRule="auto"/>
        <w:rPr>
          <w:sz w:val="20"/>
          <w:szCs w:val="20"/>
          <w:color w:val="auto"/>
        </w:rPr>
      </w:pPr>
      <w:r>
        <w:rPr>
          <w:rFonts w:ascii="Arial" w:cs="Arial" w:eastAsia="Arial" w:hAnsi="Arial"/>
          <w:sz w:val="16"/>
          <w:szCs w:val="16"/>
          <w:color w:val="auto"/>
        </w:rPr>
        <w:t>AC Immune generated revenues of CHF 1.3 million in the three months ended June 30, 2020, a decrease of CHF 0.2 million over the comparable period in 2019. AC Immune generated revenues of CHF 13.7 million in the six months ended June 30, 2020, a decrease of CHF 62.9 million over the comparable period in 2019. The following table summarizes our revenues during the three and six months ended June 30, 2020, and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2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For the Three Months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60" w:type="dxa"/>
            <w:vAlign w:val="bottom"/>
          </w:tcPr>
          <w:p>
            <w:pPr>
              <w:spacing w:after="0"/>
              <w:rPr>
                <w:sz w:val="20"/>
                <w:szCs w:val="20"/>
                <w:color w:val="auto"/>
              </w:rPr>
            </w:pPr>
          </w:p>
        </w:tc>
        <w:tc>
          <w:tcPr>
            <w:tcW w:w="2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Ended June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5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Change</w:t>
            </w:r>
          </w:p>
        </w:tc>
      </w:tr>
      <w:tr>
        <w:trPr>
          <w:trHeight w:val="209"/>
        </w:trPr>
        <w:tc>
          <w:tcPr>
            <w:tcW w:w="7560" w:type="dxa"/>
            <w:vAlign w:val="bottom"/>
          </w:tcPr>
          <w:p>
            <w:pPr>
              <w:spacing w:after="0"/>
              <w:rPr>
                <w:sz w:val="18"/>
                <w:szCs w:val="18"/>
                <w:color w:val="auto"/>
              </w:rPr>
            </w:pPr>
          </w:p>
        </w:tc>
        <w:tc>
          <w:tcPr>
            <w:tcW w:w="3680" w:type="dxa"/>
            <w:vAlign w:val="bottom"/>
            <w:gridSpan w:val="6"/>
          </w:tcPr>
          <w:p>
            <w:pPr>
              <w:ind w:left="640"/>
              <w:spacing w:after="0"/>
              <w:rPr>
                <w:sz w:val="20"/>
                <w:szCs w:val="20"/>
                <w:color w:val="auto"/>
              </w:rPr>
            </w:pPr>
            <w:r>
              <w:rPr>
                <w:rFonts w:ascii="Arial" w:cs="Arial" w:eastAsia="Arial" w:hAnsi="Arial"/>
                <w:sz w:val="18"/>
                <w:szCs w:val="18"/>
                <w:b w:val="1"/>
                <w:bCs w:val="1"/>
                <w:color w:val="auto"/>
              </w:rPr>
              <w:t>(in CHF thousands, unaudited)</w:t>
            </w:r>
          </w:p>
        </w:tc>
      </w:tr>
      <w:tr>
        <w:trPr>
          <w:trHeight w:val="216"/>
        </w:trPr>
        <w:tc>
          <w:tcPr>
            <w:tcW w:w="756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1,278</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1,511</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r>
      <w:tr>
        <w:trPr>
          <w:trHeight w:val="20"/>
        </w:trPr>
        <w:tc>
          <w:tcPr>
            <w:tcW w:w="7560" w:type="dxa"/>
            <w:vAlign w:val="bottom"/>
            <w:shd w:val="clear" w:color="auto" w:fill="D5EAEA"/>
          </w:tcPr>
          <w:p>
            <w:pPr>
              <w:spacing w:after="0" w:line="20" w:lineRule="exact"/>
              <w:rPr>
                <w:sz w:val="1"/>
                <w:szCs w:val="1"/>
                <w:color w:val="auto"/>
              </w:rPr>
            </w:pPr>
          </w:p>
        </w:tc>
        <w:tc>
          <w:tcPr>
            <w:tcW w:w="1120" w:type="dxa"/>
            <w:vAlign w:val="bottom"/>
            <w:tcBorders>
              <w:bottom w:val="single" w:sz="8" w:color="auto"/>
            </w:tcBorders>
            <w:shd w:val="clear" w:color="auto" w:fill="D5EAEA"/>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D5EAEA"/>
          </w:tcPr>
          <w:p>
            <w:pPr>
              <w:spacing w:after="0" w:line="20" w:lineRule="exact"/>
              <w:rPr>
                <w:sz w:val="1"/>
                <w:szCs w:val="1"/>
                <w:color w:val="auto"/>
              </w:rPr>
            </w:pPr>
          </w:p>
        </w:tc>
        <w:tc>
          <w:tcPr>
            <w:tcW w:w="1120" w:type="dxa"/>
            <w:vAlign w:val="bottom"/>
            <w:tcBorders>
              <w:bottom w:val="single" w:sz="8" w:color="auto"/>
            </w:tcBorders>
            <w:shd w:val="clear" w:color="auto" w:fill="D5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7560" w:type="dxa"/>
            <w:vAlign w:val="bottom"/>
          </w:tcPr>
          <w:p>
            <w:pPr>
              <w:spacing w:after="0" w:line="203" w:lineRule="exact"/>
              <w:rPr>
                <w:sz w:val="20"/>
                <w:szCs w:val="20"/>
                <w:color w:val="auto"/>
              </w:rPr>
            </w:pPr>
            <w:r>
              <w:rPr>
                <w:rFonts w:ascii="Arial" w:cs="Arial" w:eastAsia="Arial" w:hAnsi="Arial"/>
                <w:sz w:val="18"/>
                <w:szCs w:val="18"/>
                <w:b w:val="1"/>
                <w:bCs w:val="1"/>
                <w:color w:val="auto"/>
              </w:rPr>
              <w:t>Total revenues</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1,278</w:t>
            </w:r>
          </w:p>
        </w:tc>
        <w:tc>
          <w:tcPr>
            <w:tcW w:w="100" w:type="dxa"/>
            <w:vAlign w:val="bottom"/>
          </w:tcPr>
          <w:p>
            <w:pPr>
              <w:spacing w:after="0"/>
              <w:rPr>
                <w:sz w:val="17"/>
                <w:szCs w:val="17"/>
                <w:color w:val="auto"/>
              </w:rPr>
            </w:pPr>
          </w:p>
        </w:tc>
        <w:tc>
          <w:tcPr>
            <w:tcW w:w="12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1,511</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(233)</w:t>
            </w:r>
          </w:p>
        </w:tc>
        <w:tc>
          <w:tcPr>
            <w:tcW w:w="100" w:type="dxa"/>
            <w:vAlign w:val="bottom"/>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1"/>
        </w:trPr>
        <w:tc>
          <w:tcPr>
            <w:tcW w:w="7560" w:type="dxa"/>
            <w:vAlign w:val="bottom"/>
          </w:tcPr>
          <w:p>
            <w:pPr>
              <w:spacing w:after="0"/>
              <w:rPr>
                <w:sz w:val="24"/>
                <w:szCs w:val="24"/>
                <w:color w:val="auto"/>
              </w:rPr>
            </w:pPr>
          </w:p>
        </w:tc>
        <w:tc>
          <w:tcPr>
            <w:tcW w:w="2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For the Six Months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560" w:type="dxa"/>
            <w:vAlign w:val="bottom"/>
          </w:tcPr>
          <w:p>
            <w:pPr>
              <w:spacing w:after="0"/>
              <w:rPr>
                <w:sz w:val="20"/>
                <w:szCs w:val="20"/>
                <w:color w:val="auto"/>
              </w:rPr>
            </w:pPr>
          </w:p>
        </w:tc>
        <w:tc>
          <w:tcPr>
            <w:tcW w:w="2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Ended June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5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Change</w:t>
            </w:r>
          </w:p>
        </w:tc>
      </w:tr>
      <w:tr>
        <w:trPr>
          <w:trHeight w:val="209"/>
        </w:trPr>
        <w:tc>
          <w:tcPr>
            <w:tcW w:w="7560" w:type="dxa"/>
            <w:vAlign w:val="bottom"/>
          </w:tcPr>
          <w:p>
            <w:pPr>
              <w:spacing w:after="0"/>
              <w:rPr>
                <w:sz w:val="18"/>
                <w:szCs w:val="18"/>
                <w:color w:val="auto"/>
              </w:rPr>
            </w:pPr>
          </w:p>
        </w:tc>
        <w:tc>
          <w:tcPr>
            <w:tcW w:w="3680" w:type="dxa"/>
            <w:vAlign w:val="bottom"/>
            <w:gridSpan w:val="6"/>
          </w:tcPr>
          <w:p>
            <w:pPr>
              <w:ind w:left="640"/>
              <w:spacing w:after="0"/>
              <w:rPr>
                <w:sz w:val="20"/>
                <w:szCs w:val="20"/>
                <w:color w:val="auto"/>
              </w:rPr>
            </w:pPr>
            <w:r>
              <w:rPr>
                <w:rFonts w:ascii="Arial" w:cs="Arial" w:eastAsia="Arial" w:hAnsi="Arial"/>
                <w:sz w:val="18"/>
                <w:szCs w:val="18"/>
                <w:b w:val="1"/>
                <w:bCs w:val="1"/>
                <w:color w:val="auto"/>
              </w:rPr>
              <w:t>(in CHF thousands, unaudited)</w:t>
            </w:r>
          </w:p>
        </w:tc>
      </w:tr>
      <w:tr>
        <w:trPr>
          <w:trHeight w:val="230"/>
        </w:trPr>
        <w:tc>
          <w:tcPr>
            <w:tcW w:w="756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13,689</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76,553</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(62,864)</w:t>
            </w:r>
          </w:p>
        </w:tc>
        <w:tc>
          <w:tcPr>
            <w:tcW w:w="100" w:type="dxa"/>
            <w:vAlign w:val="bottom"/>
          </w:tcPr>
          <w:p>
            <w:pPr>
              <w:spacing w:after="0"/>
              <w:rPr>
                <w:sz w:val="19"/>
                <w:szCs w:val="19"/>
                <w:color w:val="auto"/>
              </w:rPr>
            </w:pPr>
          </w:p>
        </w:tc>
      </w:tr>
      <w:tr>
        <w:trPr>
          <w:trHeight w:val="210"/>
        </w:trPr>
        <w:tc>
          <w:tcPr>
            <w:tcW w:w="756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13,689</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76,553</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(62,864)</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-1516380</wp:posOffset>
            </wp:positionV>
            <wp:extent cx="6858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-1516380</wp:posOffset>
            </wp:positionV>
            <wp:extent cx="6858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-471170</wp:posOffset>
            </wp:positionV>
            <wp:extent cx="6858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-471170</wp:posOffset>
            </wp:positionV>
            <wp:extent cx="6858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182" w:lineRule="exact"/>
        <w:rPr>
          <w:sz w:val="20"/>
          <w:szCs w:val="20"/>
          <w:color w:val="auto"/>
        </w:rPr>
      </w:pPr>
    </w:p>
    <w:p>
      <w:pPr>
        <w:jc w:val="both"/>
        <w:ind w:right="420" w:firstLine="324"/>
        <w:spacing w:after="0" w:line="263" w:lineRule="auto"/>
        <w:rPr>
          <w:sz w:val="20"/>
          <w:szCs w:val="20"/>
          <w:color w:val="auto"/>
        </w:rPr>
      </w:pPr>
      <w:r>
        <w:rPr>
          <w:rFonts w:ascii="Arial" w:cs="Arial" w:eastAsia="Arial" w:hAnsi="Arial"/>
          <w:sz w:val="18"/>
          <w:szCs w:val="18"/>
          <w:color w:val="auto"/>
        </w:rPr>
        <w:t>For the three months ended June 30, 2020, the Company recorded CHF 1.3 million in total revenues. The Company recorded CHF 0.9 million for research and development activities associated with our agreement with Lilly which is a CHF 0.4 million increase from the prior period. The offset in contract revenues relates to a CHF 0.4 million decrease in association with our collaboration with Janssen.</w:t>
      </w:r>
    </w:p>
    <w:p>
      <w:pPr>
        <w:spacing w:after="0" w:line="184"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For the six months ended June 30, 2020, the Company recorded a CHF 10 million milestone from its collaboration with Lilly. Additionally, the Company recorded CHF 2.9 million for research and development activities. The overall decrease predominantly relates to a CHF 73.1 million upfront payment and CHF 1.2 million for research and development activities associated with our agreement with Lilly recorded in the prior period.</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Research and development activities are essential to our business and represent the majority of our costs incurred. Costs for certain development activities, such as clinical trials, are recognized based on an evaluation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ind w:right="40"/>
        <w:spacing w:after="0" w:line="293" w:lineRule="auto"/>
        <w:rPr>
          <w:sz w:val="20"/>
          <w:szCs w:val="20"/>
          <w:color w:val="auto"/>
        </w:rPr>
      </w:pPr>
      <w:r>
        <w:rPr>
          <w:rFonts w:ascii="Arial" w:cs="Arial" w:eastAsia="Arial" w:hAnsi="Arial"/>
          <w:sz w:val="16"/>
          <w:szCs w:val="16"/>
          <w:color w:val="auto"/>
        </w:rPr>
        <w:t>of the progress to completion of specific tasks using information from the clinical sites and our vendors. Our collaboration arrangements share costs for the research and development of our product candidates differently. We have completed our research and development spending in both of our Genentech collaborations. Janssen will be responsible for the full development cost from the completion of the first Phase 2 or first Phase 3 clinical trial. In addition to these arrangements, we however expect that our total future research and development costs will continue to increase over current levels in line with planned expansion of our product pipeline supporting our three-pillar strategy that focuses on Alzheimer’s disease, non-Alzheimer’s neurodegenerative diseases including NeuroOrphan indications and diagnostics, including both small molecule PET tracers and antibodies.</w:t>
      </w:r>
    </w:p>
    <w:p>
      <w:pPr>
        <w:spacing w:after="0" w:line="164"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For the three and six months ended June 30, 2020, research and development expenses totaled CHF 12.8 million and CHF 28.0 million compared with CHF 12.7 million and CHF 24.3 million for the comparable periods in 2019, respectively. This represents an increase of CHF 0.1 million and CHF 3.7 million, respectively. The following table presents the research and development expenses during the three and six months ended June 30, 2020 and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2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For the Three Months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60" w:type="dxa"/>
            <w:vAlign w:val="bottom"/>
          </w:tcPr>
          <w:p>
            <w:pPr>
              <w:spacing w:after="0"/>
              <w:rPr>
                <w:sz w:val="20"/>
                <w:szCs w:val="20"/>
                <w:color w:val="auto"/>
              </w:rPr>
            </w:pPr>
          </w:p>
        </w:tc>
        <w:tc>
          <w:tcPr>
            <w:tcW w:w="2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Ended June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5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Change</w:t>
            </w:r>
          </w:p>
        </w:tc>
      </w:tr>
      <w:tr>
        <w:trPr>
          <w:trHeight w:val="209"/>
        </w:trPr>
        <w:tc>
          <w:tcPr>
            <w:tcW w:w="7560" w:type="dxa"/>
            <w:vAlign w:val="bottom"/>
          </w:tcPr>
          <w:p>
            <w:pPr>
              <w:spacing w:after="0"/>
              <w:rPr>
                <w:sz w:val="18"/>
                <w:szCs w:val="18"/>
                <w:color w:val="auto"/>
              </w:rPr>
            </w:pPr>
          </w:p>
        </w:tc>
        <w:tc>
          <w:tcPr>
            <w:tcW w:w="36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(in CHF thousands, unaudited)</w:t>
            </w:r>
          </w:p>
        </w:tc>
      </w:tr>
      <w:tr>
        <w:trPr>
          <w:trHeight w:val="216"/>
        </w:trPr>
        <w:tc>
          <w:tcPr>
            <w:tcW w:w="756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8,839</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9,412</w:t>
            </w:r>
          </w:p>
        </w:tc>
        <w:tc>
          <w:tcPr>
            <w:tcW w:w="122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(573)</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Salaries and related costs(2)</w:t>
            </w:r>
          </w:p>
        </w:tc>
        <w:tc>
          <w:tcPr>
            <w:tcW w:w="1120" w:type="dxa"/>
            <w:vAlign w:val="bottom"/>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3,288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r>
      <w:tr>
        <w:trPr>
          <w:trHeight w:val="20"/>
        </w:trPr>
        <w:tc>
          <w:tcPr>
            <w:tcW w:w="7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5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12,809</w:t>
            </w:r>
          </w:p>
        </w:tc>
        <w:tc>
          <w:tcPr>
            <w:tcW w:w="100" w:type="dxa"/>
            <w:vAlign w:val="bottom"/>
            <w:shd w:val="clear" w:color="auto" w:fill="D5EAEA"/>
          </w:tcPr>
          <w:p>
            <w:pPr>
              <w:spacing w:after="0"/>
              <w:rPr>
                <w:sz w:val="20"/>
                <w:szCs w:val="20"/>
                <w:color w:val="auto"/>
              </w:rPr>
            </w:pP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12,700</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109</w:t>
            </w:r>
          </w:p>
        </w:tc>
      </w:tr>
      <w:tr>
        <w:trPr>
          <w:trHeight w:val="20"/>
        </w:trPr>
        <w:tc>
          <w:tcPr>
            <w:tcW w:w="756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r>
      <w:tr>
        <w:trPr>
          <w:trHeight w:val="421"/>
        </w:trPr>
        <w:tc>
          <w:tcPr>
            <w:tcW w:w="7560" w:type="dxa"/>
            <w:vAlign w:val="bottom"/>
          </w:tcPr>
          <w:p>
            <w:pPr>
              <w:spacing w:after="0"/>
              <w:rPr>
                <w:sz w:val="24"/>
                <w:szCs w:val="24"/>
                <w:color w:val="auto"/>
              </w:rPr>
            </w:pPr>
          </w:p>
        </w:tc>
        <w:tc>
          <w:tcPr>
            <w:tcW w:w="2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For the Six Months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560" w:type="dxa"/>
            <w:vAlign w:val="bottom"/>
          </w:tcPr>
          <w:p>
            <w:pPr>
              <w:spacing w:after="0"/>
              <w:rPr>
                <w:sz w:val="20"/>
                <w:szCs w:val="20"/>
                <w:color w:val="auto"/>
              </w:rPr>
            </w:pPr>
          </w:p>
        </w:tc>
        <w:tc>
          <w:tcPr>
            <w:tcW w:w="2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Ended June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5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Change</w:t>
            </w:r>
          </w:p>
        </w:tc>
      </w:tr>
      <w:tr>
        <w:trPr>
          <w:trHeight w:val="209"/>
        </w:trPr>
        <w:tc>
          <w:tcPr>
            <w:tcW w:w="7560" w:type="dxa"/>
            <w:vAlign w:val="bottom"/>
          </w:tcPr>
          <w:p>
            <w:pPr>
              <w:spacing w:after="0"/>
              <w:rPr>
                <w:sz w:val="18"/>
                <w:szCs w:val="18"/>
                <w:color w:val="auto"/>
              </w:rPr>
            </w:pPr>
          </w:p>
        </w:tc>
        <w:tc>
          <w:tcPr>
            <w:tcW w:w="36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(in CHF thousands, unaudited)</w:t>
            </w:r>
          </w:p>
        </w:tc>
      </w:tr>
      <w:tr>
        <w:trPr>
          <w:trHeight w:val="216"/>
        </w:trPr>
        <w:tc>
          <w:tcPr>
            <w:tcW w:w="756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20,285</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17,865</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2,420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Salaries and related costs(2)</w:t>
            </w:r>
          </w:p>
        </w:tc>
        <w:tc>
          <w:tcPr>
            <w:tcW w:w="1120" w:type="dxa"/>
            <w:vAlign w:val="bottom"/>
          </w:tcPr>
          <w:p>
            <w:pPr>
              <w:jc w:val="right"/>
              <w:spacing w:after="0"/>
              <w:rPr>
                <w:sz w:val="20"/>
                <w:szCs w:val="20"/>
                <w:color w:val="auto"/>
              </w:rPr>
            </w:pPr>
            <w:r>
              <w:rPr>
                <w:rFonts w:ascii="Arial" w:cs="Arial" w:eastAsia="Arial" w:hAnsi="Arial"/>
                <w:sz w:val="18"/>
                <w:szCs w:val="18"/>
                <w:color w:val="auto"/>
              </w:rPr>
              <w:t>7,733</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6,428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r>
      <w:tr>
        <w:trPr>
          <w:trHeight w:val="20"/>
        </w:trPr>
        <w:tc>
          <w:tcPr>
            <w:tcW w:w="7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5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28,018</w:t>
            </w:r>
          </w:p>
        </w:tc>
        <w:tc>
          <w:tcPr>
            <w:tcW w:w="100" w:type="dxa"/>
            <w:vAlign w:val="bottom"/>
            <w:shd w:val="clear" w:color="auto" w:fill="D5EAEA"/>
          </w:tcPr>
          <w:p>
            <w:pPr>
              <w:spacing w:after="0"/>
              <w:rPr>
                <w:sz w:val="20"/>
                <w:szCs w:val="20"/>
                <w:color w:val="auto"/>
              </w:rPr>
            </w:pP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24,293</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3,725</w:t>
            </w:r>
          </w:p>
        </w:tc>
      </w:tr>
      <w:tr>
        <w:trPr>
          <w:trHeight w:val="20"/>
        </w:trPr>
        <w:tc>
          <w:tcPr>
            <w:tcW w:w="756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-1807845</wp:posOffset>
            </wp:positionV>
            <wp:extent cx="6858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-1807845</wp:posOffset>
            </wp:positionV>
            <wp:extent cx="6858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-616585</wp:posOffset>
            </wp:positionV>
            <wp:extent cx="6858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-616585</wp:posOffset>
            </wp:positionV>
            <wp:extent cx="6858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26035"/>
                    </a:xfrm>
                    <a:prstGeom prst="rect">
                      <a:avLst/>
                    </a:prstGeom>
                    <a:noFill/>
                  </pic:spPr>
                </pic:pic>
              </a:graphicData>
            </a:graphic>
          </wp:anchor>
        </w:drawing>
      </w:r>
    </w:p>
    <w:p>
      <w:pPr>
        <w:spacing w:after="0" w:line="182" w:lineRule="exact"/>
        <w:rPr>
          <w:sz w:val="20"/>
          <w:szCs w:val="20"/>
          <w:color w:val="auto"/>
        </w:rPr>
      </w:pPr>
    </w:p>
    <w:p>
      <w:pPr>
        <w:ind w:left="500" w:hanging="317"/>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63" w:lineRule="exact"/>
        <w:rPr>
          <w:rFonts w:ascii="Arial" w:cs="Arial" w:eastAsia="Arial" w:hAnsi="Arial"/>
          <w:sz w:val="18"/>
          <w:szCs w:val="18"/>
          <w:color w:val="auto"/>
        </w:rPr>
      </w:pPr>
    </w:p>
    <w:p>
      <w:pPr>
        <w:ind w:left="500" w:hanging="317"/>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share-based compensation expense</w:t>
      </w:r>
    </w:p>
    <w:p>
      <w:pPr>
        <w:spacing w:after="0" w:line="22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The table below provides a breakdown of our research and development costs, including direct research and development costs and manufacturing costs related to research and development, by major development categories of our programs for the periods covered by this Form 6-K. The research and development costs not allocated to specific programs include employment costs, regulatory, quality assurance and intellectual property costs. We do not assign our internal costs, such as salary and benefits, stock-based compensation expense, laboratory supplies and other direct expenses and infrastructure costs to individual research and development projects, because the employees within our research and development groups typically are deployed across multiple research and development programs.</w:t>
      </w:r>
    </w:p>
    <w:p>
      <w:pPr>
        <w:spacing w:after="0" w:line="19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summarizes our research and development expenses by major development program during the three and months ended June 30,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60" w:type="dxa"/>
            <w:vAlign w:val="bottom"/>
            <w:gridSpan w:val="4"/>
          </w:tcPr>
          <w:p>
            <w:pPr>
              <w:ind w:left="380"/>
              <w:spacing w:after="0"/>
              <w:rPr>
                <w:sz w:val="20"/>
                <w:szCs w:val="20"/>
                <w:color w:val="auto"/>
              </w:rPr>
            </w:pPr>
            <w:r>
              <w:rPr>
                <w:rFonts w:ascii="Arial" w:cs="Arial" w:eastAsia="Arial" w:hAnsi="Arial"/>
                <w:sz w:val="18"/>
                <w:szCs w:val="18"/>
                <w:b w:val="1"/>
                <w:bCs w:val="1"/>
                <w:color w:val="auto"/>
              </w:rPr>
              <w:t>For the Three Months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8"/>
                <w:szCs w:val="18"/>
                <w:b w:val="1"/>
                <w:bCs w:val="1"/>
                <w:color w:val="auto"/>
              </w:rPr>
              <w:t>Ended June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422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3,096</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5,875</w:t>
            </w:r>
          </w:p>
        </w:tc>
        <w:tc>
          <w:tcPr>
            <w:tcW w:w="1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Non-Alzheimer’s diseases</w:t>
            </w:r>
          </w:p>
        </w:tc>
        <w:tc>
          <w:tcPr>
            <w:tcW w:w="4220" w:type="dxa"/>
            <w:vAlign w:val="bottom"/>
            <w:gridSpan w:val="3"/>
          </w:tcPr>
          <w:p>
            <w:pPr>
              <w:jc w:val="right"/>
              <w:ind w:right="100"/>
              <w:spacing w:after="0"/>
              <w:rPr>
                <w:sz w:val="20"/>
                <w:szCs w:val="20"/>
                <w:color w:val="auto"/>
              </w:rPr>
            </w:pPr>
            <w:r>
              <w:rPr>
                <w:rFonts w:ascii="Arial" w:cs="Arial" w:eastAsia="Arial" w:hAnsi="Arial"/>
                <w:sz w:val="18"/>
                <w:szCs w:val="18"/>
                <w:color w:val="auto"/>
              </w:rPr>
              <w:t>4,048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2,144</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4560" w:type="dxa"/>
            <w:vAlign w:val="bottom"/>
            <w:shd w:val="clear" w:color="auto" w:fill="D5EAEA"/>
          </w:tcPr>
          <w:p>
            <w:pPr>
              <w:spacing w:after="0"/>
              <w:rPr>
                <w:sz w:val="20"/>
                <w:szCs w:val="20"/>
                <w:color w:val="auto"/>
              </w:rPr>
            </w:pPr>
            <w:r>
              <w:rPr>
                <w:rFonts w:ascii="Arial" w:cs="Arial" w:eastAsia="Arial" w:hAnsi="Arial"/>
                <w:sz w:val="18"/>
                <w:szCs w:val="18"/>
                <w:color w:val="auto"/>
              </w:rPr>
              <w:t>Diagnostics</w:t>
            </w:r>
          </w:p>
        </w:tc>
        <w:tc>
          <w:tcPr>
            <w:tcW w:w="422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403</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554</w:t>
            </w:r>
          </w:p>
        </w:tc>
        <w:tc>
          <w:tcPr>
            <w:tcW w:w="1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New discovery programs</w:t>
            </w:r>
          </w:p>
        </w:tc>
        <w:tc>
          <w:tcPr>
            <w:tcW w:w="4220" w:type="dxa"/>
            <w:vAlign w:val="bottom"/>
            <w:gridSpan w:val="3"/>
          </w:tcPr>
          <w:p>
            <w:pPr>
              <w:jc w:val="right"/>
              <w:ind w:right="100"/>
              <w:spacing w:after="0"/>
              <w:rPr>
                <w:sz w:val="20"/>
                <w:szCs w:val="20"/>
                <w:color w:val="auto"/>
              </w:rPr>
            </w:pPr>
            <w:r>
              <w:rPr>
                <w:rFonts w:ascii="Arial" w:cs="Arial" w:eastAsia="Arial" w:hAnsi="Arial"/>
                <w:sz w:val="18"/>
                <w:szCs w:val="18"/>
                <w:color w:val="auto"/>
              </w:rPr>
              <w:t>392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45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programs</w:t>
            </w:r>
          </w:p>
        </w:tc>
        <w:tc>
          <w:tcPr>
            <w:tcW w:w="30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8,804</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R&amp;D expenses not allocated to specific programs</w:t>
            </w:r>
          </w:p>
        </w:tc>
        <w:tc>
          <w:tcPr>
            <w:tcW w:w="300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tcBorders>
              <w:bottom w:val="single" w:sz="8" w:color="D5EAEA"/>
            </w:tcBorders>
            <w:vMerge w:val="continue"/>
          </w:tcPr>
          <w:p>
            <w:pPr>
              <w:spacing w:after="0"/>
              <w:rPr>
                <w:sz w:val="17"/>
                <w:szCs w:val="17"/>
                <w:color w:val="auto"/>
              </w:rPr>
            </w:pPr>
          </w:p>
        </w:tc>
        <w:tc>
          <w:tcPr>
            <w:tcW w:w="3000" w:type="dxa"/>
            <w:vAlign w:val="bottom"/>
            <w:tcBorders>
              <w:bottom w:val="single" w:sz="8" w:color="D5EAEA"/>
            </w:tcBorders>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4,870</w:t>
            </w:r>
          </w:p>
        </w:tc>
        <w:tc>
          <w:tcPr>
            <w:tcW w:w="100" w:type="dxa"/>
            <w:vAlign w:val="bottom"/>
            <w:tcBorders>
              <w:bottom w:val="single" w:sz="8" w:color="D5EAEA"/>
            </w:tcBorders>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3,896</w:t>
            </w:r>
          </w:p>
        </w:tc>
        <w:tc>
          <w:tcPr>
            <w:tcW w:w="120" w:type="dxa"/>
            <w:vAlign w:val="bottom"/>
            <w:tcBorders>
              <w:bottom w:val="single" w:sz="8" w:color="D5EAEA"/>
            </w:tcBorders>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974</w:t>
            </w:r>
          </w:p>
        </w:tc>
        <w:tc>
          <w:tcPr>
            <w:tcW w:w="100" w:type="dxa"/>
            <w:vAlign w:val="bottom"/>
            <w:tcBorders>
              <w:bottom w:val="single" w:sz="8" w:color="D5EAEA"/>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300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12,809</w:t>
            </w:r>
          </w:p>
        </w:tc>
        <w:tc>
          <w:tcPr>
            <w:tcW w:w="10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12,700</w:t>
            </w:r>
          </w:p>
        </w:tc>
        <w:tc>
          <w:tcPr>
            <w:tcW w:w="12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000" w:type="dxa"/>
            <w:vAlign w:val="bottom"/>
            <w:vMerge w:val="restart"/>
          </w:tcPr>
          <w:p>
            <w:pPr>
              <w:jc w:val="right"/>
              <w:ind w:right="1750"/>
              <w:spacing w:after="0"/>
              <w:rPr>
                <w:sz w:val="20"/>
                <w:szCs w:val="20"/>
                <w:color w:val="auto"/>
              </w:rPr>
            </w:pPr>
            <w:r>
              <w:rPr>
                <w:rFonts w:ascii="Arial" w:cs="Arial" w:eastAsia="Arial" w:hAnsi="Arial"/>
                <w:sz w:val="18"/>
                <w:szCs w:val="18"/>
                <w:color w:val="auto"/>
              </w:rPr>
              <w:t>25</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-1508125</wp:posOffset>
            </wp:positionV>
            <wp:extent cx="6858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-1508125</wp:posOffset>
            </wp:positionV>
            <wp:extent cx="6858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603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24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For the Six Months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tcPr>
          <w:p>
            <w:pPr>
              <w:spacing w:after="0"/>
              <w:rPr>
                <w:sz w:val="20"/>
                <w:szCs w:val="20"/>
                <w:color w:val="auto"/>
              </w:rPr>
            </w:pPr>
          </w:p>
        </w:tc>
        <w:tc>
          <w:tcPr>
            <w:tcW w:w="24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8"/>
                <w:szCs w:val="18"/>
                <w:b w:val="1"/>
                <w:bCs w:val="1"/>
                <w:color w:val="auto"/>
              </w:rPr>
              <w:t>Ended June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7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8,949</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11,299</w:t>
            </w:r>
          </w:p>
        </w:tc>
        <w:tc>
          <w:tcPr>
            <w:tcW w:w="122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Non-Alzheimer’s diseases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7,557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3,915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6"/>
        </w:trPr>
        <w:tc>
          <w:tcPr>
            <w:tcW w:w="7560" w:type="dxa"/>
            <w:vAlign w:val="bottom"/>
            <w:shd w:val="clear" w:color="auto" w:fill="D5EAEA"/>
          </w:tcPr>
          <w:p>
            <w:pPr>
              <w:spacing w:after="0"/>
              <w:rPr>
                <w:sz w:val="20"/>
                <w:szCs w:val="20"/>
                <w:color w:val="auto"/>
              </w:rPr>
            </w:pPr>
            <w:r>
              <w:rPr>
                <w:rFonts w:ascii="Arial" w:cs="Arial" w:eastAsia="Arial" w:hAnsi="Arial"/>
                <w:sz w:val="18"/>
                <w:szCs w:val="18"/>
                <w:color w:val="auto"/>
              </w:rPr>
              <w:t>Diagnostics</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791</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955</w:t>
            </w:r>
          </w:p>
        </w:tc>
        <w:tc>
          <w:tcPr>
            <w:tcW w:w="122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New discovery programs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75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programs</w:t>
            </w: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18,063</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16,560</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R&amp;D expenses not allocated to specific programs</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60" w:type="dxa"/>
            <w:vAlign w:val="bottom"/>
            <w:tcBorders>
              <w:bottom w:val="single" w:sz="8" w:color="D5EAEA"/>
            </w:tcBorders>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9,955</w:t>
            </w:r>
          </w:p>
        </w:tc>
        <w:tc>
          <w:tcPr>
            <w:tcW w:w="100" w:type="dxa"/>
            <w:vAlign w:val="bottom"/>
            <w:tcBorders>
              <w:bottom w:val="single" w:sz="8" w:color="D5EAEA"/>
            </w:tcBorders>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7,733</w:t>
            </w:r>
          </w:p>
        </w:tc>
        <w:tc>
          <w:tcPr>
            <w:tcW w:w="120" w:type="dxa"/>
            <w:vAlign w:val="bottom"/>
            <w:tcBorders>
              <w:bottom w:val="single" w:sz="8" w:color="D5EAEA"/>
            </w:tcBorders>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2,222</w:t>
            </w:r>
          </w:p>
        </w:tc>
        <w:tc>
          <w:tcPr>
            <w:tcW w:w="100" w:type="dxa"/>
            <w:vAlign w:val="bottom"/>
            <w:tcBorders>
              <w:bottom w:val="single" w:sz="8" w:color="D5EAEA"/>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28,018</w:t>
            </w:r>
          </w:p>
        </w:tc>
        <w:tc>
          <w:tcPr>
            <w:tcW w:w="10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24,293</w:t>
            </w:r>
          </w:p>
        </w:tc>
        <w:tc>
          <w:tcPr>
            <w:tcW w:w="12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Borders>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-1207770</wp:posOffset>
            </wp:positionV>
            <wp:extent cx="6858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-1207770</wp:posOffset>
            </wp:positionV>
            <wp:extent cx="6858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39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CHF 2.8 million decrease in investments in Alzheimer’s disease programs for the three months ended June 30, 2020, predominantly relates to a CHF 1.8 million decrease in spending on ACI-24 in Alzheimer’s disease primarily related to the advanced status of the second generation vaccine technology. The Company also spent CHF 0.8 million less for ACI-35 in the current period as we incurred manufacturing costs for clinical trial material in the prior period that did not repeat. Finally, the Company spent CHF 0.2 million less on certain Phase 1 clinical activities completed for our Morphomer Tau compound as this continues to progress per the clinical development plan. The CHF 1.9 million increase in non-Alzheimer’s disease programs is led by a CHF 2.1 million increase for ACI-24 in Down syndrome related costs primarily related to scaling up activities for a Phase 2 clinical study, which are offset by approximately a CHF 0.2 million decrease associated with our alpha-synuclein antibodies.</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CHF 2.4 million decrease in investments in Alzheimer’s disease programs for the six months ended June 30, 2020, predominantly relates to a CHF 2.3 million decrease in spending on ACI-24 in Alzheimer’s disease primarily related to the advanced status of the second generation vaccine technology. The Company also incurred CHF 0.7 million less in ACI-35 in the current period related to a decrease in toxicology and manufacturing costs for clinical trial material in the prior period that did not repeat. These decreases were offset by certain clinical expenses for the project in the current period. Additionally, the Company increased its spend by CHF 0.8 million for certain Phase 1 clinical activities completed for our Morphomer Tau compound due to full year activities in 2020 compared to ramping up as part of the start of the collaboration in H1 2019. The CHF 3.6 million increase in non-Alzheimer’s disease programs is led by a CHF 3.4 million increase for ACI-24 in Down syndrome related costs primarily related to scaling up activities for a Phase 2 clinical study. We also recorded a CHF 0.3 million increase associated primarily with higher preclinical and manufacturing costs for our alpha-synuclein antibodies. Finally, the increase of CHF 0.4 million in new discovery programs predominantly relates to CHF 0.5 million in certain neuroinflammation investments. This was offset by slight decreases in other programs.</w:t>
      </w:r>
    </w:p>
    <w:p>
      <w:pPr>
        <w:spacing w:after="0" w:line="185"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R&amp;D expenses not allocated to specific programs increased CHF 1.0 million for the three months ended June 30, 2020, predominantly driven by a CHF 0.7 million increase in salaries and related costs with the increase of 14 full time equivalents (FTEs). Additionally, we recorded an increase of CHF 0.3 million in regulatory and quality assurance, intellectual property and other unallocated research and development costs.</w:t>
      </w:r>
    </w:p>
    <w:p>
      <w:pPr>
        <w:spacing w:after="0" w:line="16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R&amp;D expenses not allocated to specific programs increased CHF 2.2 million for the six months ended June 30, 2020, predominantly driven by a CHF 1.3 million increase in salaries and related costs with the increase of 15 full time equivalents. Additionally, we recorded an increase of CHF 0.9 million in regulatory and quality assurance and other unallocated research and development costs.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costs, including share-based compensation, professional fees such as legal and accounting related services, infrastructure expenses and other operating expenses.</w:t>
      </w:r>
    </w:p>
    <w:p>
      <w:pPr>
        <w:spacing w:after="0" w:line="170"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For the three and six months ended June 30, 2020, general and administrative expenses totaled CHF 4.2 million and CHF 8.7 million compared with CHF 3.6 million and CHF 6.9 million for the comparable periods in 2019, respectively. This represents an increase of CHF 0.6 million and CHF 1.8 million, respectively. The increase is predominantly associated with increases in our payroll expense due to an increase of seven FTEs from 19 to 26.</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6" w:name="page27"/>
    <w:bookmarkEnd w:id="26"/>
    <w:p>
      <w:pPr>
        <w:ind w:right="220" w:firstLine="324"/>
        <w:spacing w:after="0" w:line="257" w:lineRule="auto"/>
        <w:rPr>
          <w:sz w:val="20"/>
          <w:szCs w:val="20"/>
          <w:color w:val="auto"/>
        </w:rPr>
      </w:pPr>
      <w:r>
        <w:rPr>
          <w:rFonts w:ascii="Arial" w:cs="Arial" w:eastAsia="Arial" w:hAnsi="Arial"/>
          <w:sz w:val="18"/>
          <w:szCs w:val="18"/>
          <w:color w:val="auto"/>
        </w:rPr>
        <w:t>For the three months ended June 30, 2020, there was a CHF 0.4 million increase in rental expenditures and depreciation offset by a decrease of CHF 0.2 million for IT related expenditures and professional services. For the six months ended June 30, 2020, there was a CHF 0.8 million increase in rental expenditures and depreciation offset by a decrease of CHF 0.2 million for IT related expenditures and professional services. The remaining CHF 0.1 million was across various functions. The following tables present the general and administrative expenses for the three and six months ended June 30, 2020, and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7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For the Three Months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27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Ended June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Change</w:t>
            </w:r>
          </w:p>
        </w:tc>
      </w:tr>
      <w:tr>
        <w:trPr>
          <w:trHeight w:val="209"/>
        </w:trPr>
        <w:tc>
          <w:tcPr>
            <w:tcW w:w="7320" w:type="dxa"/>
            <w:vAlign w:val="bottom"/>
          </w:tcPr>
          <w:p>
            <w:pPr>
              <w:spacing w:after="0"/>
              <w:rPr>
                <w:sz w:val="18"/>
                <w:szCs w:val="18"/>
                <w:color w:val="auto"/>
              </w:rPr>
            </w:pPr>
          </w:p>
        </w:tc>
        <w:tc>
          <w:tcPr>
            <w:tcW w:w="3920" w:type="dxa"/>
            <w:vAlign w:val="bottom"/>
            <w:gridSpan w:val="8"/>
          </w:tcPr>
          <w:p>
            <w:pPr>
              <w:jc w:val="center"/>
              <w:spacing w:after="0"/>
              <w:rPr>
                <w:sz w:val="20"/>
                <w:szCs w:val="20"/>
                <w:color w:val="auto"/>
              </w:rPr>
            </w:pPr>
            <w:r>
              <w:rPr>
                <w:rFonts w:ascii="Arial" w:cs="Arial" w:eastAsia="Arial" w:hAnsi="Arial"/>
                <w:sz w:val="18"/>
                <w:szCs w:val="18"/>
                <w:b w:val="1"/>
                <w:bCs w:val="1"/>
                <w:color w:val="auto"/>
                <w:w w:val="91"/>
              </w:rPr>
              <w:t>(in CHF thousands, unaudited)</w:t>
            </w:r>
          </w:p>
        </w:tc>
      </w:tr>
      <w:tr>
        <w:trPr>
          <w:trHeight w:val="216"/>
        </w:trPr>
        <w:tc>
          <w:tcPr>
            <w:tcW w:w="732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1,376</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163</w:t>
            </w: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Salaries and related costs(2)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2,617</w:t>
            </w: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r>
      <w:tr>
        <w:trPr>
          <w:trHeight w:val="223"/>
        </w:trPr>
        <w:tc>
          <w:tcPr>
            <w:tcW w:w="73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4,156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1"/>
        </w:trPr>
        <w:tc>
          <w:tcPr>
            <w:tcW w:w="7320" w:type="dxa"/>
            <w:vAlign w:val="bottom"/>
          </w:tcPr>
          <w:p>
            <w:pPr>
              <w:spacing w:after="0"/>
              <w:rPr>
                <w:sz w:val="24"/>
                <w:szCs w:val="24"/>
                <w:color w:val="auto"/>
              </w:rPr>
            </w:pPr>
          </w:p>
        </w:tc>
        <w:tc>
          <w:tcPr>
            <w:tcW w:w="27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1"/>
              </w:rPr>
              <w:t>For the Six Months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320" w:type="dxa"/>
            <w:vAlign w:val="bottom"/>
          </w:tcPr>
          <w:p>
            <w:pPr>
              <w:spacing w:after="0"/>
              <w:rPr>
                <w:sz w:val="20"/>
                <w:szCs w:val="20"/>
                <w:color w:val="auto"/>
              </w:rPr>
            </w:pPr>
          </w:p>
        </w:tc>
        <w:tc>
          <w:tcPr>
            <w:tcW w:w="27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Ended June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Change</w:t>
            </w:r>
          </w:p>
        </w:tc>
      </w:tr>
      <w:tr>
        <w:trPr>
          <w:trHeight w:val="209"/>
        </w:trPr>
        <w:tc>
          <w:tcPr>
            <w:tcW w:w="7320" w:type="dxa"/>
            <w:vAlign w:val="bottom"/>
          </w:tcPr>
          <w:p>
            <w:pPr>
              <w:spacing w:after="0"/>
              <w:rPr>
                <w:sz w:val="18"/>
                <w:szCs w:val="18"/>
                <w:color w:val="auto"/>
              </w:rPr>
            </w:pPr>
          </w:p>
        </w:tc>
        <w:tc>
          <w:tcPr>
            <w:tcW w:w="3920" w:type="dxa"/>
            <w:vAlign w:val="bottom"/>
            <w:gridSpan w:val="8"/>
          </w:tcPr>
          <w:p>
            <w:pPr>
              <w:jc w:val="center"/>
              <w:spacing w:after="0"/>
              <w:rPr>
                <w:sz w:val="20"/>
                <w:szCs w:val="20"/>
                <w:color w:val="auto"/>
              </w:rPr>
            </w:pPr>
            <w:r>
              <w:rPr>
                <w:rFonts w:ascii="Arial" w:cs="Arial" w:eastAsia="Arial" w:hAnsi="Arial"/>
                <w:sz w:val="18"/>
                <w:szCs w:val="18"/>
                <w:b w:val="1"/>
                <w:bCs w:val="1"/>
                <w:color w:val="auto"/>
                <w:w w:val="91"/>
              </w:rPr>
              <w:t>(in CHF thousands, unaudited)</w:t>
            </w:r>
          </w:p>
        </w:tc>
      </w:tr>
      <w:tr>
        <w:trPr>
          <w:trHeight w:val="216"/>
        </w:trPr>
        <w:tc>
          <w:tcPr>
            <w:tcW w:w="732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3,275</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2,796</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479</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Salaries and related costs(2)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5,385</w:t>
            </w: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4,083</w:t>
            </w: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r>
      <w:tr>
        <w:trPr>
          <w:trHeight w:val="223"/>
        </w:trPr>
        <w:tc>
          <w:tcPr>
            <w:tcW w:w="73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8,660</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6,879</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-1807845</wp:posOffset>
            </wp:positionV>
            <wp:extent cx="6858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-1807845</wp:posOffset>
            </wp:positionV>
            <wp:extent cx="6858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-616585</wp:posOffset>
            </wp:positionV>
            <wp:extent cx="6858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-616585</wp:posOffset>
            </wp:positionV>
            <wp:extent cx="6858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18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63" w:lineRule="exact"/>
        <w:rPr>
          <w:rFonts w:ascii="Arial" w:cs="Arial" w:eastAsia="Arial" w:hAnsi="Arial"/>
          <w:sz w:val="18"/>
          <w:szCs w:val="18"/>
          <w:color w:val="auto"/>
        </w:rPr>
      </w:pPr>
    </w:p>
    <w:p>
      <w:pPr>
        <w:ind w:left="340" w:right="7740" w:hanging="332"/>
        <w:spacing w:after="0" w:line="50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Includes share-based compensation expense </w:t>
      </w:r>
      <w:r>
        <w:rPr>
          <w:rFonts w:ascii="Arial" w:cs="Arial" w:eastAsia="Arial" w:hAnsi="Arial"/>
          <w:sz w:val="18"/>
          <w:szCs w:val="18"/>
          <w:i w:val="1"/>
          <w:iCs w:val="1"/>
          <w:color w:val="auto"/>
        </w:rPr>
        <w:t>Finance result, net</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presents the net financial income and expenses during the three and six months ended June 30, 2020, and 2019:</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income/(expense),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conversion feature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remeasurement gain/(loss),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finance income/(expense)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result,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income/(expense),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conversion feature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remeasurement gain/(loss),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finance income/(expense)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result, net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For the Three Months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Ended June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8"/>
                <w:szCs w:val="18"/>
                <w:b w:val="1"/>
                <w:bCs w:val="1"/>
                <w:color w:val="auto"/>
              </w:rPr>
              <w:t>Change</w:t>
            </w:r>
          </w:p>
        </w:tc>
      </w:tr>
      <w:tr>
        <w:trPr>
          <w:trHeight w:val="195"/>
        </w:trPr>
        <w:tc>
          <w:tcPr>
            <w:tcW w:w="3920" w:type="dxa"/>
            <w:vAlign w:val="bottom"/>
            <w:gridSpan w:val="8"/>
          </w:tcPr>
          <w:p>
            <w:pPr>
              <w:jc w:val="center"/>
              <w:spacing w:after="0" w:line="195" w:lineRule="exact"/>
              <w:rPr>
                <w:sz w:val="20"/>
                <w:szCs w:val="20"/>
                <w:color w:val="auto"/>
              </w:rPr>
            </w:pPr>
            <w:r>
              <w:rPr>
                <w:rFonts w:ascii="Arial" w:cs="Arial" w:eastAsia="Arial" w:hAnsi="Arial"/>
                <w:sz w:val="18"/>
                <w:szCs w:val="18"/>
                <w:b w:val="1"/>
                <w:bCs w:val="1"/>
                <w:color w:val="auto"/>
                <w:w w:val="91"/>
              </w:rPr>
              <w:t>(in CHF thousands, unaudited)</w:t>
            </w:r>
          </w:p>
        </w:tc>
      </w:tr>
      <w:tr>
        <w:trPr>
          <w:trHeight w:val="216"/>
        </w:trPr>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391</w:t>
            </w:r>
          </w:p>
        </w:tc>
      </w:tr>
      <w:tr>
        <w:trPr>
          <w:trHeight w:val="216"/>
        </w:trPr>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470</w:t>
            </w:r>
          </w:p>
        </w:tc>
      </w:tr>
      <w:tr>
        <w:trPr>
          <w:trHeight w:val="244"/>
        </w:trPr>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19"/>
                <w:szCs w:val="19"/>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1"/>
        </w:trPr>
        <w:tc>
          <w:tcPr>
            <w:tcW w:w="27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1"/>
              </w:rPr>
              <w:t>For the Six Months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7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Ended June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8"/>
                <w:szCs w:val="18"/>
                <w:b w:val="1"/>
                <w:bCs w:val="1"/>
                <w:color w:val="auto"/>
              </w:rPr>
              <w:t>Change</w:t>
            </w:r>
          </w:p>
        </w:tc>
      </w:tr>
      <w:tr>
        <w:trPr>
          <w:trHeight w:val="195"/>
        </w:trPr>
        <w:tc>
          <w:tcPr>
            <w:tcW w:w="3920" w:type="dxa"/>
            <w:vAlign w:val="bottom"/>
            <w:gridSpan w:val="8"/>
          </w:tcPr>
          <w:p>
            <w:pPr>
              <w:jc w:val="center"/>
              <w:spacing w:after="0" w:line="195" w:lineRule="exact"/>
              <w:rPr>
                <w:sz w:val="20"/>
                <w:szCs w:val="20"/>
                <w:color w:val="auto"/>
              </w:rPr>
            </w:pPr>
            <w:r>
              <w:rPr>
                <w:rFonts w:ascii="Arial" w:cs="Arial" w:eastAsia="Arial" w:hAnsi="Arial"/>
                <w:sz w:val="18"/>
                <w:szCs w:val="18"/>
                <w:b w:val="1"/>
                <w:bCs w:val="1"/>
                <w:color w:val="auto"/>
                <w:w w:val="91"/>
              </w:rPr>
              <w:t>(in CHF thousands, unaudited)</w:t>
            </w:r>
          </w:p>
        </w:tc>
      </w:tr>
      <w:tr>
        <w:trPr>
          <w:trHeight w:val="216"/>
        </w:trPr>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r>
      <w:tr>
        <w:trPr>
          <w:trHeight w:val="216"/>
        </w:trPr>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(4,542)</w:t>
            </w:r>
          </w:p>
        </w:tc>
      </w:tr>
      <w:tr>
        <w:trPr>
          <w:trHeight w:val="216"/>
        </w:trPr>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44"/>
        </w:trPr>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1"/>
                <w:szCs w:val="21"/>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-2202180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-1928495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-1645285</wp:posOffset>
            </wp:positionV>
            <wp:extent cx="713232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-2356485</wp:posOffset>
            </wp:positionV>
            <wp:extent cx="6858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-2356485</wp:posOffset>
            </wp:positionV>
            <wp:extent cx="6858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-736600</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-462280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-179070</wp:posOffset>
            </wp:positionV>
            <wp:extent cx="713232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-890905</wp:posOffset>
            </wp:positionV>
            <wp:extent cx="6858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-890905</wp:posOffset>
            </wp:positionV>
            <wp:extent cx="6858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476" w:right="339" w:bottom="1440" w:gutter="0" w:footer="0" w:header="0"/>
          <w:type w:val="continuous"/>
        </w:sectPr>
      </w:pPr>
    </w:p>
    <w:p>
      <w:pPr>
        <w:spacing w:after="0" w:line="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For the three and six months ended June 30, 2020 and 2019, the Company recognized CHF 0.1 million and CHF 0.4 million in net financial losses compared with CHF 2.1 million in net financial losses and CHF 1.3 million in net financial gains,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27" w:name="page28"/>
    <w:bookmarkEnd w:id="27"/>
    <w:p>
      <w:pPr>
        <w:ind w:right="60" w:firstLine="324"/>
        <w:spacing w:after="0" w:line="263" w:lineRule="auto"/>
        <w:rPr>
          <w:sz w:val="20"/>
          <w:szCs w:val="20"/>
          <w:color w:val="auto"/>
        </w:rPr>
      </w:pPr>
      <w:r>
        <w:rPr>
          <w:rFonts w:ascii="Arial" w:cs="Arial" w:eastAsia="Arial" w:hAnsi="Arial"/>
          <w:sz w:val="18"/>
          <w:szCs w:val="18"/>
          <w:color w:val="auto"/>
        </w:rPr>
        <w:t>For the three months ended June 30, 2020, the Company recorded less than CHF 0.1 million in foreign currency losses. The key driver for the changes in financial losses relates to items related to our Lilly agreement in the prior periods. The Company recorded a CHF 1.2 million loss associated with the revaluation of the convertible loan prior to its settlement.</w:t>
      </w:r>
    </w:p>
    <w:p>
      <w:pPr>
        <w:spacing w:after="0" w:line="18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For the six months ended June 30, 2020, the Company recorded CHF 0.5 million in foreign currency losses compared with CHF 0.6 million in the prior period. The Company held approximately 95% of its cash and cash equivalents and short-term financial assets in local currency, which is an increase from 89% as of June 30, 2019. The key driver for the changes relate to items related to our Lilly agreement in the prior period. Notably, a CHF 4.5 million remeasurement gain associated with the change in fair value of the conversion feature for the convertible loan due to Lilly and CHF 1.4 million in effective interest to amortize the host debt for the convertible loan were not repeated in the current period.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To date, the Company has financed its cash requirements primarily from its public offerings,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As of June 30, 2020, we had cash and cash equivalents of CHF 177.5 million and short-term financial assets of CHF 85 million for a total liquidity balance of CHF 262.5 million.</w:t>
      </w:r>
    </w:p>
    <w:p>
      <w:pPr>
        <w:spacing w:after="0" w:line="15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and cash equivalents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This includes co-funding ACI-35 to the end of the Phase 1b/2a clinical study, expenditures for clinical activities in accordance with our agreement with Lilly, material increases in spending on ACI-24 in Alzheimer’s disease to fund an ongoing Phase 2 study and for the preparation of a Phase 2 study in ACI-24 in Down syndrome, increased investment in our PET tracer candidates focused on alpha-synuclein and TDP-43 and a number of research initiatives focused on neurodegenerative orphan diseases other than Alzheimer’s disease.</w:t>
      </w:r>
    </w:p>
    <w:p>
      <w:pPr>
        <w:spacing w:after="0" w:line="16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plan to continue to fund our operating and capital funding needs through proceeds received from licensing and collaboration agreements and through equity or other forms of financing. We may also consider entering into additional collaboration agreements and selectively partnering for clinical development and commercialization.</w:t>
      </w:r>
    </w:p>
    <w:p>
      <w:pPr>
        <w:sectPr>
          <w:pgSz w:w="11900" w:h="16838" w:orient="portrait"/>
          <w:cols w:equalWidth="0" w:num="1">
            <w:col w:w="11240"/>
          </w:cols>
          <w:pgMar w:left="320" w:top="476"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For the Six Months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16370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760" w:right="320" w:hanging="321"/>
        <w:spacing w:after="0" w:line="297" w:lineRule="auto"/>
        <w:rPr>
          <w:sz w:val="20"/>
          <w:szCs w:val="20"/>
          <w:color w:val="auto"/>
        </w:rPr>
      </w:pPr>
      <w:r>
        <w:rPr>
          <w:rFonts w:ascii="Arial" w:cs="Arial" w:eastAsia="Arial" w:hAnsi="Arial"/>
          <w:sz w:val="18"/>
          <w:szCs w:val="18"/>
          <w:b w:val="1"/>
          <w:bCs w:val="1"/>
          <w:color w:val="auto"/>
        </w:rPr>
        <w:t>2020</w:t>
      </w:r>
      <w:r>
        <w:rPr>
          <w:sz w:val="20"/>
          <w:szCs w:val="20"/>
          <w:color w:val="auto"/>
        </w:rPr>
        <w:t xml:space="preserve"> </w:t>
      </w:r>
      <w:r>
        <w:rPr>
          <w:rFonts w:ascii="Arial" w:cs="Arial" w:eastAsia="Arial" w:hAnsi="Arial"/>
          <w:sz w:val="18"/>
          <w:szCs w:val="18"/>
          <w:b w:val="1"/>
          <w:bCs w:val="1"/>
          <w:color w:val="auto"/>
        </w:rPr>
        <w:t>2019 Change (in CHF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248602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86025" cy="2540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(24,557)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50,949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(75,506)</w:t>
            </w:r>
          </w:p>
        </w:tc>
      </w:tr>
      <w:tr>
        <w:trPr>
          <w:trHeight w:val="216"/>
        </w:trPr>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9,413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(50,850)</w:t>
            </w:r>
          </w:p>
        </w:tc>
        <w:tc>
          <w:tcPr>
            <w:tcW w:w="1120" w:type="dxa"/>
            <w:vAlign w:val="bottom"/>
          </w:tcPr>
          <w:p>
            <w:pPr>
              <w:jc w:val="right"/>
              <w:spacing w:after="0"/>
              <w:rPr>
                <w:sz w:val="20"/>
                <w:szCs w:val="20"/>
                <w:color w:val="auto"/>
              </w:rPr>
            </w:pPr>
            <w:r>
              <w:rPr>
                <w:rFonts w:ascii="Arial" w:cs="Arial" w:eastAsia="Arial" w:hAnsi="Arial"/>
                <w:sz w:val="18"/>
                <w:szCs w:val="18"/>
                <w:color w:val="auto"/>
              </w:rPr>
              <w:t>60,263</w:t>
            </w:r>
          </w:p>
        </w:tc>
        <w:tc>
          <w:tcPr>
            <w:tcW w:w="60" w:type="dxa"/>
            <w:vAlign w:val="bottom"/>
          </w:tcPr>
          <w:p>
            <w:pPr>
              <w:spacing w:after="0"/>
              <w:rPr>
                <w:sz w:val="18"/>
                <w:szCs w:val="18"/>
                <w:color w:val="auto"/>
              </w:rPr>
            </w:pPr>
          </w:p>
        </w:tc>
      </w:tr>
      <w:tr>
        <w:trPr>
          <w:trHeight w:val="244"/>
        </w:trPr>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(481)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49,732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(50,213)</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49,831</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(65,456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6600" w:space="720"/>
            <w:col w:w="3920"/>
          </w:cols>
          <w:pgMar w:left="320" w:top="476" w:right="339" w:bottom="1440" w:gutter="0" w:footer="0" w:header="0"/>
          <w:type w:val="continuous"/>
        </w:sectPr>
      </w:pPr>
    </w:p>
    <w:p>
      <w:pPr>
        <w:spacing w:after="0" w:line="25"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Net cash used in operating activities was CHF 24.6 million for the six months ended June 30, 2020, compared with net cash provided by operating activities of CHF 50.9 million for the six months ended June 30, 2019. The change in cash used in operating activities for the six months ended June 30, 2020, was due to the Company’s reporting net loss of CHF 23.4 million for the six months ended June 30, 2020, compared with net income of CHF 46.7 million for the same period in 2019 driven by (i) a decrease of CHF 62.9 million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28" w:name="page29"/>
    <w:bookmarkEnd w:id="28"/>
    <w:p>
      <w:pPr>
        <w:ind w:right="20"/>
        <w:spacing w:after="0" w:line="263" w:lineRule="auto"/>
        <w:rPr>
          <w:sz w:val="20"/>
          <w:szCs w:val="20"/>
          <w:color w:val="auto"/>
        </w:rPr>
      </w:pPr>
      <w:r>
        <w:rPr>
          <w:rFonts w:ascii="Arial" w:cs="Arial" w:eastAsia="Arial" w:hAnsi="Arial"/>
          <w:sz w:val="18"/>
          <w:szCs w:val="18"/>
          <w:color w:val="auto"/>
        </w:rPr>
        <w:t>revenues, principally due to recognition of CHF 74.3 million from the upfront payment for a right-of-use license fee and research and development activities associated with our agreement with Lilly in the prior period compared to CHF 12.9 million in H1 2020 (ii) further increased by a CHF 3.7 million increase in research and development costs for the six months ended June 30, 2020.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Net cash provided by investing activities was CHF 9.4 million for the six months ended June 30, 2020, compared with net cash used in investing activities of CHF 50.9 million for the six months ended June 30, 2019. A net of CHF 10 million worth of short-term financial assets matured for the six months ended June 30, 2020, compared to a CHF 50 million increase in investments in short-term financial assets for the prior period. The Company additionally acquired CHF 0.6 million in additional fixed assets in the current period compared to CHF 0.9 million in the prior period.</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Net cash used in financing activities was CHF 0.5 million for the six months ended June 30, 2020, compared with net cash provided by financing activities of CHF 49.7 million for the six months ended June 30, 2019. The decrease of CHF 50.2 million is predominantly related to CHF 50.3 million received from Lilly for a convertible loan in the prior period that was not repeated in the current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do not expect to generate revenues from royalties based on product sales unless and until our partners obtain regulatory approval of, and successfully commercialize, our current or any future product candidates. As of June 30, 2020, we had cash and cash equivalents of CHF 177.5 million and short-term financial assets of CHF 85 million totaling CHF 262.5 million in liquidity. The decrease relative to December 31, 2019 is due to the receipt of a CHF 10 million milestone payment from Lilly offset by an increase in research and development spending on our major discovery and development programs and the strengthening of the Company’s infrastructure, systems and organization.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we believe that our existing capital resources will be sufficient to meet our projected operating requirements through the first quarter of 2024.</w:t>
      </w:r>
    </w:p>
    <w:p>
      <w:pPr>
        <w:spacing w:after="0" w:line="16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1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197"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During the three and six months ended June 30, 2020,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2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under the heading “Management’s Discussion and Analysis of Financial Condition and Results of Operations – Critical Judgments and Accounting Estimates” in the Annual Report on Form 20-F.</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JOBS Act Exemption</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April 5, 2012, the Jumpstart our Business Startups Act of 2012, or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for a period of five years following the completion of our initial public offering (through 2021) or until we no longer meet the requirements of being an “emerging growth company,” whichever is earlier. We would also cease to be an emerging growth company if (i) we have more than USD 1.07 billion in annual revenue, (ii) we are deemed to be a “large accelerated filer” under the rules of the SEC, which means the market value of our common shares that are held by non-affiliates exceeds USD 700 million as of the most recently completed second fiscal quarter, or (iii) we have issued more than USD 1.0 billion in non-convertible debt during the prior three-year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to our operating results, as calculated in accordance with International Financial Reporting Standards, or IFRS, as adopted by the International Accounting Standards Board, we use adjusted income/(loss) and adjusted earnings/(loss) per share when monitoring and evaluating our operational performance. Adjusted income/(loss) is defined as income/(loss) for the relevant period, as adjusted for certain items that we believe are not indicative of our ongoing operating performance. Adjusted earnings/(loss) per share is defined as adjusted income/(loss) for the relevant period divided by the weighted-average number of shares for such period.</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believe that these measures assist our shareholders because they enhance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AC Immune’s financial statements prepared in accordance with IFRS. The most directly comparable IFRS measure to these non-IFRS measures is net income/(loss). The following table reconciles net income/(loss) to adjusted income/(loss) and adjusted earnings/(loss) per share for the periods presented:</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476" w:right="43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Reconciliation of Income/(Loss) to Adjusted Income/(Loss) and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Earnings/(Loss) Per Share to Adjusted Earnings/(Loss) Per Share</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Non-cash share-based payments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losses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interest expense (c)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Change in fair value of conversion feature (d)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Income/(Loss)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6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2"/>
              </w:rPr>
              <w:t>For the Three Months</w:t>
            </w:r>
          </w:p>
        </w:tc>
        <w:tc>
          <w:tcPr>
            <w:tcW w:w="23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For the Six Months</w:t>
            </w:r>
          </w:p>
        </w:tc>
      </w:tr>
      <w:tr>
        <w:trPr>
          <w:trHeight w:val="234"/>
        </w:trPr>
        <w:tc>
          <w:tcPr>
            <w:tcW w:w="246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9"/>
              </w:rPr>
              <w:t>Ended June 30,</w:t>
            </w:r>
          </w:p>
        </w:tc>
        <w:tc>
          <w:tcPr>
            <w:tcW w:w="23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Ended June 30,</w:t>
            </w:r>
          </w:p>
        </w:tc>
      </w:tr>
      <w:tr>
        <w:trPr>
          <w:trHeight w:val="210"/>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r>
      <w:tr>
        <w:trPr>
          <w:trHeight w:val="191"/>
        </w:trPr>
        <w:tc>
          <w:tcPr>
            <w:tcW w:w="11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(in CHF</w:t>
            </w:r>
          </w:p>
        </w:tc>
        <w:tc>
          <w:tcPr>
            <w:tcW w:w="124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w w:val="73"/>
              </w:rPr>
              <w:t>thousands except</w:t>
            </w:r>
          </w:p>
        </w:tc>
        <w:tc>
          <w:tcPr>
            <w:tcW w:w="2480" w:type="dxa"/>
            <w:vAlign w:val="bottom"/>
            <w:gridSpan w:val="5"/>
          </w:tcPr>
          <w:p>
            <w:pPr>
              <w:spacing w:after="0" w:line="191" w:lineRule="exact"/>
              <w:rPr>
                <w:sz w:val="20"/>
                <w:szCs w:val="20"/>
                <w:color w:val="auto"/>
              </w:rPr>
            </w:pPr>
            <w:r>
              <w:rPr>
                <w:rFonts w:ascii="Arial" w:cs="Arial" w:eastAsia="Arial" w:hAnsi="Arial"/>
                <w:sz w:val="18"/>
                <w:szCs w:val="18"/>
                <w:b w:val="1"/>
                <w:bCs w:val="1"/>
                <w:color w:val="auto"/>
                <w:w w:val="99"/>
              </w:rPr>
              <w:t>for share and per share data)</w:t>
            </w:r>
          </w:p>
        </w:tc>
      </w:tr>
      <w:tr>
        <w:trPr>
          <w:trHeight w:val="234"/>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(15,738)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(16,899)</w:t>
            </w: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(23,425)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46,674</w:t>
            </w:r>
          </w:p>
        </w:tc>
      </w:tr>
      <w:tr>
        <w:trPr>
          <w:trHeight w:val="20"/>
        </w:trPr>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112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1,847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1,146</w:t>
            </w:r>
          </w:p>
        </w:tc>
      </w:tr>
      <w:tr>
        <w:trPr>
          <w:trHeight w:val="216"/>
        </w:trPr>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513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r>
      <w:tr>
        <w:trPr>
          <w:trHeight w:val="216"/>
        </w:trPr>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364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1,355</w:t>
            </w:r>
          </w:p>
        </w:tc>
      </w:tr>
      <w:tr>
        <w:trPr>
          <w:trHeight w:val="230"/>
        </w:trPr>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(36)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(4,542)</w:t>
            </w:r>
          </w:p>
        </w:tc>
      </w:tr>
      <w:tr>
        <w:trPr>
          <w:trHeight w:val="20"/>
        </w:trPr>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(14,700)</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(15,497)</w:t>
            </w: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(21,080)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45,191</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-1019810</wp:posOffset>
            </wp:positionV>
            <wp:extent cx="713232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-736600</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-462280</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-179070</wp:posOffset>
            </wp:positionV>
            <wp:extent cx="7132320"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320" w:top="688" w:right="3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b w:val="1"/>
                <w:bCs w:val="1"/>
                <w:color w:val="auto"/>
              </w:rPr>
              <w:t>Earnings/(Loss) per share – basic</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r>
      <w:tr>
        <w:trPr>
          <w:trHeight w:val="20"/>
        </w:trPr>
        <w:tc>
          <w:tcPr>
            <w:tcW w:w="6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Earnings/(Loss) per share – diluted</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(0.22)</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(0.24)</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(0.33)</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0.67</w:t>
            </w:r>
          </w:p>
        </w:tc>
      </w:tr>
      <w:tr>
        <w:trPr>
          <w:trHeight w:val="20"/>
        </w:trPr>
        <w:tc>
          <w:tcPr>
            <w:tcW w:w="6320" w:type="dxa"/>
            <w:vAlign w:val="bottom"/>
            <w:shd w:val="clear" w:color="auto" w:fill="D5EA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D5EA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D5EA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b w:val="1"/>
                <w:bCs w:val="1"/>
                <w:color w:val="auto"/>
              </w:rPr>
              <w:t>Adjustment to earnings/(loss) per share – basic</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0"/>
        </w:trPr>
        <w:tc>
          <w:tcPr>
            <w:tcW w:w="6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Adjustment to earnings/(loss) per share – diluted</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0.02</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0.02</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0.04</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(0.02)</w:t>
            </w:r>
          </w:p>
        </w:tc>
      </w:tr>
      <w:tr>
        <w:trPr>
          <w:trHeight w:val="20"/>
        </w:trPr>
        <w:tc>
          <w:tcPr>
            <w:tcW w:w="6320" w:type="dxa"/>
            <w:vAlign w:val="bottom"/>
            <w:shd w:val="clear" w:color="auto" w:fill="D5EA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D5EA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D5EA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b w:val="1"/>
                <w:bCs w:val="1"/>
                <w:color w:val="auto"/>
              </w:rPr>
              <w:t>Adjusted earnings/(loss) per share – basic</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(0.20)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(0.29)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0.65</w:t>
            </w:r>
          </w:p>
        </w:tc>
      </w:tr>
      <w:tr>
        <w:trPr>
          <w:trHeight w:val="20"/>
        </w:trPr>
        <w:tc>
          <w:tcPr>
            <w:tcW w:w="6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Adjusted earnings/(loss) per share – diluted</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b w:val="1"/>
                <w:bCs w:val="1"/>
                <w:color w:val="auto"/>
              </w:rPr>
              <w:t>(0.20)</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b w:val="1"/>
                <w:bCs w:val="1"/>
                <w:color w:val="auto"/>
              </w:rPr>
              <w:t>(0.22)</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b w:val="1"/>
                <w:bCs w:val="1"/>
                <w:color w:val="auto"/>
              </w:rPr>
              <w:t>(0.29)</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b w:val="1"/>
                <w:bCs w:val="1"/>
                <w:color w:val="auto"/>
              </w:rPr>
              <w:t>0.65</w:t>
            </w:r>
          </w:p>
        </w:tc>
      </w:tr>
      <w:tr>
        <w:trPr>
          <w:trHeight w:val="20"/>
        </w:trPr>
        <w:tc>
          <w:tcPr>
            <w:tcW w:w="6320" w:type="dxa"/>
            <w:vAlign w:val="bottom"/>
            <w:shd w:val="clear" w:color="auto" w:fill="D5EA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D5EA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D5EA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w w:val="98"/>
              </w:rPr>
              <w:t>Weighted-average number of shares outstanding Adjusted earnings/(loss)–basic</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71,875,102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70,764,091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71,869,658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69,351,363</w:t>
            </w:r>
          </w:p>
        </w:tc>
      </w:tr>
      <w:tr>
        <w:trPr>
          <w:trHeight w:val="216"/>
        </w:trPr>
        <w:tc>
          <w:tcPr>
            <w:tcW w:w="6320" w:type="dxa"/>
            <w:vAlign w:val="bottom"/>
            <w:shd w:val="clear" w:color="auto" w:fill="D5EAEA"/>
          </w:tcPr>
          <w:p>
            <w:pPr>
              <w:spacing w:after="0"/>
              <w:rPr>
                <w:sz w:val="20"/>
                <w:szCs w:val="20"/>
                <w:color w:val="auto"/>
              </w:rPr>
            </w:pPr>
            <w:r>
              <w:rPr>
                <w:rFonts w:ascii="Arial" w:cs="Arial" w:eastAsia="Arial" w:hAnsi="Arial"/>
                <w:sz w:val="18"/>
                <w:szCs w:val="18"/>
                <w:color w:val="auto"/>
                <w:w w:val="96"/>
              </w:rPr>
              <w:t>Weighted-average number of shares outstanding Adjusted earnings/(loss)–diluted</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71,875,102</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70,764,091</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71,869,658</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69,845,858</w:t>
            </w:r>
          </w:p>
        </w:tc>
      </w:tr>
    </w:tbl>
    <w:p>
      <w:pPr>
        <w:spacing w:after="0" w:line="229" w:lineRule="exact"/>
        <w:rPr>
          <w:sz w:val="20"/>
          <w:szCs w:val="20"/>
          <w:color w:val="auto"/>
        </w:rPr>
      </w:pPr>
    </w:p>
    <w:p>
      <w:pPr>
        <w:ind w:left="660" w:right="22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50"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97"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interest expense for the period relates to the accretion of the Company’s convertible loan in accordance with the effective interest method.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in fair value of conversion feature that is bifurcated from the convertible loan host debt with Lilly.</w:t>
      </w:r>
    </w:p>
    <w:p>
      <w:pPr>
        <w:spacing w:after="0" w:line="25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Adjustments for the three and six months ended June 30, 2020, adjustments were CHF 1.0 million and CHF 2.3 million in net losses compared with a decrease to net loss and net income of CHF 1.4 million and CHF 1.5 million for the comparable periods in 2019, respectively. The Company recorded CHF 1.0 million and CHF 1.8 million for the three and six months, respectively, for share-based compensation expenses. There were foreign currency remeasurement losses of less than CHF 0.1 million and CHF 0.5 million, respectively, predominantly related to the movement in our forward contract settled in Q2. For the three and six months ended June 30, 2019, the Company recorded CHF 0.4 million and CHF 1.4 million for amortization of effective interest and recognized less than CHF 0.1 million and a CHF 4.5 million gain for the change in fair value of the liability related to the conversion feature. These were not repeated in the current periods.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5"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1" w:name="page32"/>
    <w:bookmarkEnd w:id="31"/>
    <w:p>
      <w:pPr>
        <w:spacing w:after="0" w:line="286" w:lineRule="auto"/>
        <w:rPr>
          <w:sz w:val="20"/>
          <w:szCs w:val="20"/>
          <w:color w:val="auto"/>
        </w:rPr>
      </w:pPr>
      <w:r>
        <w:rPr>
          <w:rFonts w:ascii="Arial" w:cs="Arial" w:eastAsia="Arial" w:hAnsi="Arial"/>
          <w:sz w:val="16"/>
          <w:szCs w:val="16"/>
          <w:color w:val="auto"/>
        </w:rPr>
        <w:t>“believe,”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including: the impact of Covid-19 on our business, suppliers, patients and employees and any other impact of Covid-19. These forward-looking statements speak only as of the date of this discussion and analysis and are subject to a number of risks, uncertainties and assumptions described under the sections in our annual report on Form 20-F entitled “Risk Factors” and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such as the global pandemic originating with Covid-19,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165735</wp:posOffset>
            </wp:positionV>
            <wp:extent cx="1568450" cy="3689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684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740"/>
        <w:spacing w:after="0"/>
        <w:rPr>
          <w:sz w:val="20"/>
          <w:szCs w:val="20"/>
          <w:color w:val="auto"/>
        </w:rPr>
      </w:pPr>
      <w:r>
        <w:rPr>
          <w:rFonts w:ascii="Arial" w:cs="Arial" w:eastAsia="Arial" w:hAnsi="Arial"/>
          <w:sz w:val="17"/>
          <w:szCs w:val="17"/>
          <w:b w:val="1"/>
          <w:bCs w:val="1"/>
          <w:color w:val="auto"/>
        </w:rPr>
        <w:t>PRESS RELEASE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Reports Q2 2020 Financial Results and Provides Business Update</w:t>
      </w:r>
    </w:p>
    <w:p>
      <w:pPr>
        <w:spacing w:after="0" w:line="336" w:lineRule="exact"/>
        <w:rPr>
          <w:sz w:val="20"/>
          <w:szCs w:val="20"/>
          <w:color w:val="auto"/>
        </w:rPr>
      </w:pPr>
    </w:p>
    <w:p>
      <w:pPr>
        <w:ind w:left="660" w:hanging="328"/>
        <w:spacing w:after="0" w:line="230" w:lineRule="auto"/>
        <w:tabs>
          <w:tab w:leader="none" w:pos="660" w:val="left"/>
        </w:tabs>
        <w:numPr>
          <w:ilvl w:val="0"/>
          <w:numId w:val="13"/>
        </w:numPr>
        <w:rPr>
          <w:rFonts w:ascii="Arial" w:cs="Arial" w:eastAsia="Arial" w:hAnsi="Arial"/>
          <w:sz w:val="20"/>
          <w:szCs w:val="20"/>
          <w:color w:val="C00000"/>
        </w:rPr>
      </w:pPr>
      <w:r>
        <w:rPr>
          <w:rFonts w:ascii="Arial" w:cs="Arial" w:eastAsia="Arial" w:hAnsi="Arial"/>
          <w:sz w:val="18"/>
          <w:szCs w:val="18"/>
          <w:color w:val="auto"/>
        </w:rPr>
        <w:t>Substantial progress achieved across three anti-Tau clinical development programs; all clinical and preclinical programs remain on track to generate value in the second half of 2020</w:t>
      </w:r>
    </w:p>
    <w:p>
      <w:pPr>
        <w:spacing w:after="0" w:line="189" w:lineRule="exact"/>
        <w:rPr>
          <w:rFonts w:ascii="Arial" w:cs="Arial" w:eastAsia="Arial" w:hAnsi="Arial"/>
          <w:sz w:val="20"/>
          <w:szCs w:val="20"/>
          <w:color w:val="C00000"/>
        </w:rPr>
      </w:pPr>
    </w:p>
    <w:p>
      <w:pPr>
        <w:ind w:left="660" w:hanging="328"/>
        <w:spacing w:after="0"/>
        <w:tabs>
          <w:tab w:leader="none" w:pos="660" w:val="left"/>
        </w:tabs>
        <w:numPr>
          <w:ilvl w:val="0"/>
          <w:numId w:val="13"/>
        </w:numPr>
        <w:rPr>
          <w:rFonts w:ascii="Arial" w:cs="Arial" w:eastAsia="Arial" w:hAnsi="Arial"/>
          <w:sz w:val="20"/>
          <w:szCs w:val="20"/>
          <w:color w:val="C00000"/>
        </w:rPr>
      </w:pPr>
      <w:r>
        <w:rPr>
          <w:rFonts w:ascii="Arial" w:cs="Arial" w:eastAsia="Arial" w:hAnsi="Arial"/>
          <w:sz w:val="18"/>
          <w:szCs w:val="18"/>
          <w:color w:val="auto"/>
        </w:rPr>
        <w:t>Top line Phase 2 data expected in the second half of 2020 for anti-Tau antibody semorinemab</w:t>
      </w:r>
    </w:p>
    <w:p>
      <w:pPr>
        <w:spacing w:after="0" w:line="215" w:lineRule="exact"/>
        <w:rPr>
          <w:rFonts w:ascii="Arial" w:cs="Arial" w:eastAsia="Arial" w:hAnsi="Arial"/>
          <w:sz w:val="20"/>
          <w:szCs w:val="20"/>
          <w:color w:val="C00000"/>
        </w:rPr>
      </w:pPr>
    </w:p>
    <w:p>
      <w:pPr>
        <w:ind w:left="660" w:hanging="328"/>
        <w:spacing w:after="0"/>
        <w:tabs>
          <w:tab w:leader="none" w:pos="660" w:val="left"/>
        </w:tabs>
        <w:numPr>
          <w:ilvl w:val="0"/>
          <w:numId w:val="13"/>
        </w:numPr>
        <w:rPr>
          <w:rFonts w:ascii="Arial" w:cs="Arial" w:eastAsia="Arial" w:hAnsi="Arial"/>
          <w:sz w:val="20"/>
          <w:szCs w:val="20"/>
          <w:color w:val="C00000"/>
        </w:rPr>
      </w:pPr>
      <w:r>
        <w:rPr>
          <w:rFonts w:ascii="Arial" w:cs="Arial" w:eastAsia="Arial" w:hAnsi="Arial"/>
          <w:sz w:val="18"/>
          <w:szCs w:val="18"/>
          <w:color w:val="auto"/>
        </w:rPr>
        <w:t>CHF 262.5 million in cash ensures operations are fully financed through Q1 2024</w:t>
      </w:r>
    </w:p>
    <w:p>
      <w:pPr>
        <w:spacing w:after="0" w:line="228" w:lineRule="exact"/>
        <w:rPr>
          <w:rFonts w:ascii="Arial" w:cs="Arial" w:eastAsia="Arial" w:hAnsi="Arial"/>
          <w:sz w:val="20"/>
          <w:szCs w:val="20"/>
          <w:color w:val="C00000"/>
        </w:rPr>
      </w:pPr>
    </w:p>
    <w:p>
      <w:pPr>
        <w:ind w:left="660" w:hanging="328"/>
        <w:spacing w:after="0" w:line="230" w:lineRule="auto"/>
        <w:tabs>
          <w:tab w:leader="none" w:pos="660" w:val="left"/>
        </w:tabs>
        <w:numPr>
          <w:ilvl w:val="0"/>
          <w:numId w:val="13"/>
        </w:numPr>
        <w:rPr>
          <w:rFonts w:ascii="Arial" w:cs="Arial" w:eastAsia="Arial" w:hAnsi="Arial"/>
          <w:sz w:val="20"/>
          <w:szCs w:val="20"/>
          <w:color w:val="C00000"/>
        </w:rPr>
      </w:pPr>
      <w:r>
        <w:rPr>
          <w:rFonts w:ascii="Arial" w:cs="Arial" w:eastAsia="Arial" w:hAnsi="Arial"/>
          <w:sz w:val="18"/>
          <w:szCs w:val="18"/>
          <w:color w:val="auto"/>
        </w:rPr>
        <w:t>Michael J. Fox Foundation (MJFF) award of USD 3.2 million (CHF 3.1 million) to support our alpha-synuclein positron emission tomography-(PET) tracer program for Parkinson’s disease (PD) diagnostics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Lausanne, Switzerland, August 5, 2020 </w:t>
      </w:r>
      <w:r>
        <w:rPr>
          <w:rFonts w:ascii="Arial" w:cs="Arial" w:eastAsia="Arial" w:hAnsi="Arial"/>
          <w:sz w:val="18"/>
          <w:szCs w:val="18"/>
          <w:color w:val="auto"/>
        </w:rPr>
        <w:t>– AC Immune SA (NASDAQ: ACIU), a Swiss-based, clinical-stage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a broad pipeline focused on neurodegenerative diseases, today announced financial results for the Q2 2020 and provided a business update. The Company ended the second quarter with CHF 262.5 million in cash, which ensures operations are fully financed through Q1 2024 with the potential to achieve multiple clinical milestones and create substantial value inflection.</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Prof. Andrea Pfeifer, CEO of AC Immune SA, commented</w:t>
      </w:r>
      <w:r>
        <w:rPr>
          <w:rFonts w:ascii="Arial" w:cs="Arial" w:eastAsia="Arial" w:hAnsi="Arial"/>
          <w:sz w:val="18"/>
          <w:szCs w:val="18"/>
          <w:color w:val="auto"/>
        </w:rPr>
        <w:t>: “AC Immune has delivered outstanding pipeline progress in Q2 2020, having</w:t>
      </w:r>
      <w:r>
        <w:rPr>
          <w:rFonts w:ascii="Arial" w:cs="Arial" w:eastAsia="Arial" w:hAnsi="Arial"/>
          <w:sz w:val="18"/>
          <w:szCs w:val="18"/>
          <w:b w:val="1"/>
          <w:bCs w:val="1"/>
          <w:color w:val="auto"/>
        </w:rPr>
        <w:t xml:space="preserve"> </w:t>
      </w:r>
      <w:r>
        <w:rPr>
          <w:rFonts w:ascii="Arial" w:cs="Arial" w:eastAsia="Arial" w:hAnsi="Arial"/>
          <w:sz w:val="18"/>
          <w:szCs w:val="18"/>
          <w:color w:val="auto"/>
        </w:rPr>
        <w:t>achieved meaningful milestones across all three of our anti -Tau therapeutic programs including initiation of the second highest dosing group in our Phase 1b/2a clinical trial evaluating ACI-35.030, our vaccine candidate for the treatment of Alzheimer’s disease (AD). In addition, we are proud to report that all of our programs continue to advance on schedule and additional substantial clinical data readouts continue to be anticipated in the second half of 2020, including top line Phase 2 data for our anti-Tau antibody semorinemab, from our partner Genentech, a member of the Roche group.</w:t>
      </w:r>
    </w:p>
    <w:p>
      <w:pPr>
        <w:spacing w:after="0" w:line="18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“This strong clinical execution is mirrored by the productivity of our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discovery platforms, which continue to enable us to advance additional novel candidates against high value therapeutic targets, such as TDP-43, alpha-synuclein, and neuroinflammation. To achieve multiple clinical and preclinical therapeutic and diagnostic milestones in the first half of this year as planned – during the global pandemic – is truly exceptional and it shines a light on the diligence and dedication of our team and collaborators as well as the cutting-edge science fueling our pipeline.</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“We continue to maintain our strong cash position as we advance our development pipeline and we are well positioned to capture additional value from the new projects out of the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platforms, as we are already doing with our partnered programs. Complementing our achievements this quarter, results published in </w:t>
      </w:r>
      <w:r>
        <w:rPr>
          <w:rFonts w:ascii="Arial" w:cs="Arial" w:eastAsia="Arial" w:hAnsi="Arial"/>
          <w:sz w:val="18"/>
          <w:szCs w:val="18"/>
          <w:i w:val="1"/>
          <w:iCs w:val="1"/>
          <w:color w:val="auto"/>
        </w:rPr>
        <w:t>JAMA Neurology</w:t>
      </w:r>
      <w:r>
        <w:rPr>
          <w:rFonts w:ascii="Arial" w:cs="Arial" w:eastAsia="Arial" w:hAnsi="Arial"/>
          <w:sz w:val="18"/>
          <w:szCs w:val="18"/>
          <w:color w:val="auto"/>
        </w:rPr>
        <w:t xml:space="preserve"> provide important clinical</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jc w:val="both"/>
        <w:spacing w:after="0" w:line="238" w:lineRule="auto"/>
        <w:rPr>
          <w:sz w:val="20"/>
          <w:szCs w:val="20"/>
          <w:color w:val="auto"/>
        </w:rPr>
      </w:pPr>
      <w:r>
        <w:rPr>
          <w:rFonts w:ascii="Arial" w:cs="Arial" w:eastAsia="Arial" w:hAnsi="Arial"/>
          <w:sz w:val="18"/>
          <w:szCs w:val="18"/>
          <w:color w:val="auto"/>
        </w:rPr>
        <w:t>validation of the unique diagnostic potential of our Tau-PET tracer PI-2620, which is being developed in collaboration with Life Molecular Imaging, for patients with progressive supranuclear palsy (PSP). We are especially proud that our alpha-synuclein-PET tracer program was awarded USD 3.2 million by the MJFF Ken Griffin Alpha-synuclein Imaging Competition. This tracer program is recognized as the most advanced in the field and could deliver the world’s first imaging agent capable of accurately detecting and monitoring progression of PD.”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2020 Research &amp; Development Highlights:</w:t>
      </w:r>
    </w:p>
    <w:p>
      <w:pPr>
        <w:spacing w:after="0" w:line="220" w:lineRule="exact"/>
        <w:rPr>
          <w:sz w:val="20"/>
          <w:szCs w:val="20"/>
          <w:color w:val="auto"/>
        </w:rPr>
      </w:pPr>
    </w:p>
    <w:p>
      <w:pPr>
        <w:jc w:val="both"/>
        <w:ind w:left="660" w:hanging="328"/>
        <w:spacing w:after="0" w:line="231" w:lineRule="auto"/>
        <w:tabs>
          <w:tab w:leader="none" w:pos="660" w:val="left"/>
        </w:tabs>
        <w:numPr>
          <w:ilvl w:val="1"/>
          <w:numId w:val="14"/>
        </w:numPr>
        <w:rPr>
          <w:rFonts w:ascii="Arial" w:cs="Arial" w:eastAsia="Arial" w:hAnsi="Arial"/>
          <w:sz w:val="20"/>
          <w:szCs w:val="20"/>
          <w:color w:val="C00000"/>
        </w:rPr>
      </w:pPr>
      <w:r>
        <w:rPr>
          <w:rFonts w:ascii="Arial" w:cs="Arial" w:eastAsia="Arial" w:hAnsi="Arial"/>
          <w:sz w:val="18"/>
          <w:szCs w:val="18"/>
          <w:color w:val="auto"/>
        </w:rPr>
        <w:t xml:space="preserve">Initiation of investigational new drug (IND)-enabling studies for the Company’s first-in-class therapeutic antibody targeting TDP-43. The anti-TDP-43 antibody is the first therapeutic candidate shown to mitigate TDP-43 neuropathology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the Company plans to develop the antibody for the treatment of NeuroOrphan indications</w:t>
      </w:r>
    </w:p>
    <w:p>
      <w:pPr>
        <w:spacing w:after="0" w:line="230" w:lineRule="exact"/>
        <w:rPr>
          <w:rFonts w:ascii="Arial" w:cs="Arial" w:eastAsia="Arial" w:hAnsi="Arial"/>
          <w:sz w:val="20"/>
          <w:szCs w:val="20"/>
          <w:color w:val="C00000"/>
        </w:rPr>
      </w:pPr>
    </w:p>
    <w:p>
      <w:pPr>
        <w:jc w:val="both"/>
        <w:ind w:left="660" w:hanging="328"/>
        <w:spacing w:after="0" w:line="232" w:lineRule="auto"/>
        <w:tabs>
          <w:tab w:leader="none" w:pos="660" w:val="left"/>
        </w:tabs>
        <w:numPr>
          <w:ilvl w:val="1"/>
          <w:numId w:val="14"/>
        </w:numPr>
        <w:rPr>
          <w:rFonts w:ascii="Arial" w:cs="Arial" w:eastAsia="Arial" w:hAnsi="Arial"/>
          <w:sz w:val="20"/>
          <w:szCs w:val="20"/>
          <w:color w:val="C00000"/>
        </w:rPr>
      </w:pPr>
      <w:r>
        <w:rPr>
          <w:rFonts w:ascii="Arial" w:cs="Arial" w:eastAsia="Arial" w:hAnsi="Arial"/>
          <w:sz w:val="18"/>
          <w:szCs w:val="18"/>
          <w:color w:val="auto"/>
        </w:rPr>
        <w:t xml:space="preserve">AC Immune is </w:t>
      </w:r>
      <w:r>
        <w:rPr>
          <w:rFonts w:ascii="Arial" w:cs="Arial" w:eastAsia="Arial" w:hAnsi="Arial"/>
          <w:sz w:val="18"/>
          <w:szCs w:val="18"/>
          <w:u w:val="single" w:color="auto"/>
          <w:color w:val="0000FF"/>
        </w:rPr>
        <w:t>one of three winners sharing USD 10 million</w:t>
      </w:r>
      <w:r>
        <w:rPr>
          <w:rFonts w:ascii="Arial" w:cs="Arial" w:eastAsia="Arial" w:hAnsi="Arial"/>
          <w:sz w:val="18"/>
          <w:szCs w:val="18"/>
          <w:color w:val="auto"/>
        </w:rPr>
        <w:t xml:space="preserve"> through The Michael J. Fox Foundation Ken Griffin Alpha-synuclein Imaging Competition. The funding will support the nonclinical and clinical investigation of the Company’s alpha-synuclein-PET tracers, which are the most advanced in the field and could deliver the world’s first imaging agent capable of accurately detecting and monitoring progression of PD</w:t>
      </w:r>
    </w:p>
    <w:p>
      <w:pPr>
        <w:spacing w:after="0" w:line="230" w:lineRule="exact"/>
        <w:rPr>
          <w:rFonts w:ascii="Arial" w:cs="Arial" w:eastAsia="Arial" w:hAnsi="Arial"/>
          <w:sz w:val="20"/>
          <w:szCs w:val="20"/>
          <w:color w:val="C00000"/>
        </w:rPr>
      </w:pPr>
    </w:p>
    <w:p>
      <w:pPr>
        <w:ind w:left="660" w:hanging="328"/>
        <w:spacing w:after="0" w:line="232" w:lineRule="auto"/>
        <w:tabs>
          <w:tab w:leader="none" w:pos="660" w:val="left"/>
        </w:tabs>
        <w:numPr>
          <w:ilvl w:val="1"/>
          <w:numId w:val="14"/>
        </w:numPr>
        <w:rPr>
          <w:rFonts w:ascii="Arial" w:cs="Arial" w:eastAsia="Arial" w:hAnsi="Arial"/>
          <w:sz w:val="20"/>
          <w:szCs w:val="20"/>
          <w:color w:val="C00000"/>
        </w:rPr>
      </w:pPr>
      <w:r>
        <w:rPr>
          <w:rFonts w:ascii="Arial" w:cs="Arial" w:eastAsia="Arial" w:hAnsi="Arial"/>
          <w:sz w:val="18"/>
          <w:szCs w:val="18"/>
          <w:color w:val="auto"/>
        </w:rPr>
        <w:t xml:space="preserve">New data presented at the Alzheimer’s Association International Conference (AAIC) on the </w:t>
      </w:r>
      <w:r>
        <w:rPr>
          <w:rFonts w:ascii="Arial" w:cs="Arial" w:eastAsia="Arial" w:hAnsi="Arial"/>
          <w:sz w:val="18"/>
          <w:szCs w:val="18"/>
          <w:u w:val="single" w:color="auto"/>
          <w:color w:val="0000FF"/>
        </w:rPr>
        <w:t>next generation alpha-synuclein-PET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tracer</w:t>
      </w:r>
      <w:r>
        <w:rPr>
          <w:rFonts w:ascii="Arial" w:cs="Arial" w:eastAsia="Arial" w:hAnsi="Arial"/>
          <w:sz w:val="18"/>
          <w:szCs w:val="18"/>
          <w:color w:val="0000FF"/>
        </w:rPr>
        <w:t xml:space="preserve"> </w:t>
      </w:r>
      <w:r>
        <w:rPr>
          <w:rFonts w:ascii="Arial" w:cs="Arial" w:eastAsia="Arial" w:hAnsi="Arial"/>
          <w:sz w:val="18"/>
          <w:szCs w:val="18"/>
          <w:color w:val="000000"/>
        </w:rPr>
        <w:t>shows enhanced contrast and alpha-synuclein target specificity, putting AC Immune’s tracer in a strong position to become a</w:t>
      </w:r>
      <w:r>
        <w:rPr>
          <w:rFonts w:ascii="Arial" w:cs="Arial" w:eastAsia="Arial" w:hAnsi="Arial"/>
          <w:sz w:val="18"/>
          <w:szCs w:val="18"/>
          <w:color w:val="0000FF"/>
        </w:rPr>
        <w:t xml:space="preserve"> </w:t>
      </w:r>
      <w:r>
        <w:rPr>
          <w:rFonts w:ascii="Arial" w:cs="Arial" w:eastAsia="Arial" w:hAnsi="Arial"/>
          <w:sz w:val="18"/>
          <w:szCs w:val="18"/>
          <w:color w:val="000000"/>
        </w:rPr>
        <w:t>first-in-class precision diagnostic tool for PD. AC Immune anticipates advancing its lead compound toward clinical stage development in Q4 2020</w:t>
      </w:r>
    </w:p>
    <w:p>
      <w:pPr>
        <w:spacing w:after="0" w:line="230" w:lineRule="exact"/>
        <w:rPr>
          <w:rFonts w:ascii="Arial" w:cs="Arial" w:eastAsia="Arial" w:hAnsi="Arial"/>
          <w:sz w:val="20"/>
          <w:szCs w:val="20"/>
          <w:color w:val="C00000"/>
        </w:rPr>
      </w:pPr>
    </w:p>
    <w:p>
      <w:pPr>
        <w:jc w:val="both"/>
        <w:ind w:left="620" w:hanging="302"/>
        <w:spacing w:after="0" w:line="232" w:lineRule="auto"/>
        <w:tabs>
          <w:tab w:leader="none" w:pos="620" w:val="left"/>
        </w:tabs>
        <w:numPr>
          <w:ilvl w:val="0"/>
          <w:numId w:val="14"/>
        </w:numPr>
        <w:rPr>
          <w:rFonts w:ascii="Arial" w:cs="Arial" w:eastAsia="Arial" w:hAnsi="Arial"/>
          <w:sz w:val="20"/>
          <w:szCs w:val="20"/>
          <w:color w:val="C00000"/>
        </w:rPr>
      </w:pPr>
      <w:r>
        <w:rPr>
          <w:rFonts w:ascii="Arial" w:cs="Arial" w:eastAsia="Arial" w:hAnsi="Arial"/>
          <w:sz w:val="18"/>
          <w:szCs w:val="18"/>
          <w:color w:val="auto"/>
        </w:rPr>
        <w:t xml:space="preserve">Announced the initiation of the second highest dosing group in the Company’s </w:t>
      </w:r>
      <w:r>
        <w:rPr>
          <w:rFonts w:ascii="Arial" w:cs="Arial" w:eastAsia="Arial" w:hAnsi="Arial"/>
          <w:sz w:val="18"/>
          <w:szCs w:val="18"/>
          <w:u w:val="single" w:color="auto"/>
          <w:color w:val="0000FF"/>
        </w:rPr>
        <w:t>Phase 1b/2a clinical trial evaluating ACI-35.030</w:t>
      </w:r>
      <w:r>
        <w:rPr>
          <w:rFonts w:ascii="Arial" w:cs="Arial" w:eastAsia="Arial" w:hAnsi="Arial"/>
          <w:sz w:val="18"/>
          <w:szCs w:val="18"/>
          <w:color w:val="auto"/>
        </w:rPr>
        <w:t>. The vaccine candidate, which is being developed in collaboration with Janssen Pharmaceuticals, Inc., is the first clinical candidate designed to generate a specific antibody response against pathological phospho-Tau (pTau) proteins in the brain. The decision to advance to the higher dosing group follows encouraging interim safety, tolerability and immunogenicity results from the initial dosing group</w:t>
      </w:r>
    </w:p>
    <w:p>
      <w:pPr>
        <w:spacing w:after="0" w:line="214" w:lineRule="exact"/>
        <w:rPr>
          <w:rFonts w:ascii="Arial" w:cs="Arial" w:eastAsia="Arial" w:hAnsi="Arial"/>
          <w:sz w:val="20"/>
          <w:szCs w:val="20"/>
          <w:color w:val="C00000"/>
        </w:rPr>
      </w:pPr>
    </w:p>
    <w:p>
      <w:pPr>
        <w:ind w:left="620" w:hanging="302"/>
        <w:spacing w:after="0"/>
        <w:tabs>
          <w:tab w:leader="none" w:pos="620" w:val="left"/>
        </w:tabs>
        <w:numPr>
          <w:ilvl w:val="0"/>
          <w:numId w:val="14"/>
        </w:numPr>
        <w:rPr>
          <w:rFonts w:ascii="Arial" w:cs="Arial" w:eastAsia="Arial" w:hAnsi="Arial"/>
          <w:sz w:val="20"/>
          <w:szCs w:val="20"/>
          <w:color w:val="C00000"/>
        </w:rPr>
      </w:pPr>
      <w:r>
        <w:rPr>
          <w:rFonts w:ascii="Arial" w:cs="Arial" w:eastAsia="Arial" w:hAnsi="Arial"/>
          <w:sz w:val="18"/>
          <w:szCs w:val="18"/>
          <w:color w:val="auto"/>
        </w:rPr>
        <w:t xml:space="preserve">Results of an observational clinical study published in </w:t>
      </w:r>
      <w:r>
        <w:rPr>
          <w:rFonts w:ascii="Arial" w:cs="Arial" w:eastAsia="Arial" w:hAnsi="Arial"/>
          <w:sz w:val="18"/>
          <w:szCs w:val="18"/>
          <w:i w:val="1"/>
          <w:iCs w:val="1"/>
          <w:u w:val="single" w:color="auto"/>
          <w:color w:val="0000FF"/>
        </w:rPr>
        <w:t>JAMA Neurology</w:t>
      </w:r>
      <w:r>
        <w:rPr>
          <w:rFonts w:ascii="Arial" w:cs="Arial" w:eastAsia="Arial" w:hAnsi="Arial"/>
          <w:sz w:val="18"/>
          <w:szCs w:val="18"/>
          <w:color w:val="auto"/>
        </w:rPr>
        <w:t xml:space="preserve"> showed that PI-2620, an investigational Tau-PET tracer, can facilitate an earlier and more reliable diagnosis of PSP</w:t>
      </w:r>
    </w:p>
    <w:p>
      <w:pPr>
        <w:spacing w:after="0" w:line="229" w:lineRule="exact"/>
        <w:rPr>
          <w:rFonts w:ascii="Arial" w:cs="Arial" w:eastAsia="Arial" w:hAnsi="Arial"/>
          <w:sz w:val="20"/>
          <w:szCs w:val="20"/>
          <w:color w:val="C00000"/>
        </w:rPr>
      </w:pPr>
    </w:p>
    <w:p>
      <w:pPr>
        <w:jc w:val="both"/>
        <w:ind w:left="620" w:hanging="302"/>
        <w:spacing w:after="0" w:line="231" w:lineRule="auto"/>
        <w:tabs>
          <w:tab w:leader="none" w:pos="620" w:val="left"/>
        </w:tabs>
        <w:numPr>
          <w:ilvl w:val="0"/>
          <w:numId w:val="14"/>
        </w:numPr>
        <w:rPr>
          <w:rFonts w:ascii="Arial" w:cs="Arial" w:eastAsia="Arial" w:hAnsi="Arial"/>
          <w:sz w:val="20"/>
          <w:szCs w:val="20"/>
          <w:color w:val="C00000"/>
        </w:rPr>
      </w:pPr>
      <w:r>
        <w:rPr>
          <w:rFonts w:ascii="Arial" w:cs="Arial" w:eastAsia="Arial" w:hAnsi="Arial"/>
          <w:sz w:val="18"/>
          <w:szCs w:val="18"/>
          <w:color w:val="auto"/>
        </w:rPr>
        <w:t xml:space="preserve">Presented the </w:t>
      </w:r>
      <w:r>
        <w:rPr>
          <w:rFonts w:ascii="Arial" w:cs="Arial" w:eastAsia="Arial" w:hAnsi="Arial"/>
          <w:sz w:val="18"/>
          <w:szCs w:val="18"/>
          <w:u w:val="single" w:color="auto"/>
          <w:color w:val="0000FF"/>
        </w:rPr>
        <w:t>cutting-edge science</w:t>
      </w:r>
      <w:r>
        <w:rPr>
          <w:rFonts w:ascii="Arial" w:cs="Arial" w:eastAsia="Arial" w:hAnsi="Arial"/>
          <w:sz w:val="18"/>
          <w:szCs w:val="18"/>
          <w:color w:val="auto"/>
        </w:rPr>
        <w:t xml:space="preserve"> behind AC Immune’s therapeutic and diagnostic programs in TDP-43 and alpha-synuclein, which are amongst the most comprehensive in the field, to investors at the UBS Virtual Healthcare Conference. Both targets are considered to be major pathologies in neurodegenerative diseases and are increasingly thought to be important co-pathologies in AD and PD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Covid-19</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Swiss Government’s management of Covid-19 has allowed businesses to be able to return to near normal working practices, with all AC Immune staff now back on site in Lausanne. AC Immune remains in continuous contact with its partners and other important stakeholders, including the Swiss government, trial investigators and contractors, and at this stage the Company is not modifying guidance with respect to the multiple clinical and preclinical data readouts anticipated</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ind w:right="240"/>
        <w:spacing w:after="0" w:line="459" w:lineRule="auto"/>
        <w:rPr>
          <w:sz w:val="20"/>
          <w:szCs w:val="20"/>
          <w:color w:val="auto"/>
        </w:rPr>
      </w:pPr>
      <w:r>
        <w:rPr>
          <w:rFonts w:ascii="Arial" w:cs="Arial" w:eastAsia="Arial" w:hAnsi="Arial"/>
          <w:sz w:val="18"/>
          <w:szCs w:val="18"/>
          <w:color w:val="auto"/>
        </w:rPr>
        <w:t xml:space="preserve">this year. AC Immune will continue to keep the market apprised of any new developments or information that may impact clinical timelines. </w:t>
      </w:r>
      <w:r>
        <w:rPr>
          <w:rFonts w:ascii="Arial" w:cs="Arial" w:eastAsia="Arial" w:hAnsi="Arial"/>
          <w:sz w:val="18"/>
          <w:szCs w:val="18"/>
          <w:b w:val="1"/>
          <w:bCs w:val="1"/>
          <w:color w:val="auto"/>
        </w:rPr>
        <w:t>Analysis of Financial Statements for the Three and Six Months Ended June 30, 2020</w:t>
      </w:r>
    </w:p>
    <w:p>
      <w:pPr>
        <w:spacing w:after="0" w:line="9" w:lineRule="exact"/>
        <w:rPr>
          <w:sz w:val="20"/>
          <w:szCs w:val="20"/>
          <w:color w:val="auto"/>
        </w:rPr>
      </w:pPr>
    </w:p>
    <w:p>
      <w:pPr>
        <w:ind w:left="660" w:hanging="328"/>
        <w:spacing w:after="0" w:line="250" w:lineRule="auto"/>
        <w:tabs>
          <w:tab w:leader="none" w:pos="484" w:val="left"/>
        </w:tabs>
        <w:numPr>
          <w:ilvl w:val="0"/>
          <w:numId w:val="15"/>
        </w:numPr>
        <w:rPr>
          <w:rFonts w:ascii="Arial" w:cs="Arial" w:eastAsia="Arial" w:hAnsi="Arial"/>
          <w:sz w:val="19"/>
          <w:szCs w:val="19"/>
          <w:color w:val="C00000"/>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Revenues for the three and six months ended June 30, 2020 totaled CHF 1.3 million and CHF 13.7 million, respectively.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This represents a decrease of CHF 0.2 million and CHF 62.9 million over the comparable periods in 2019. The decrease for the three months ended June 30, 2020 relates to a decrease of CHF 0.6 million in our collaboration with Janssen and other partners offset by a CHF 0.4 million increase with Eli Lilly and Company. The decrease for the six months ended June 30, 2020 predominantly relates to CHF 74.3 million recognized in the prior period associated with our license agreement with Lilly offset by a recognition of a CHF 10 million milestone payment and CHF 2.9 million for research and development activities performed in the current period</w:t>
      </w:r>
    </w:p>
    <w:p>
      <w:pPr>
        <w:spacing w:after="0" w:line="4" w:lineRule="exact"/>
        <w:rPr>
          <w:rFonts w:ascii="Arial" w:cs="Arial" w:eastAsia="Arial" w:hAnsi="Arial"/>
          <w:sz w:val="19"/>
          <w:szCs w:val="19"/>
          <w:color w:val="C00000"/>
        </w:rPr>
      </w:pPr>
    </w:p>
    <w:p>
      <w:pPr>
        <w:jc w:val="both"/>
        <w:ind w:left="660" w:hanging="328"/>
        <w:spacing w:after="0" w:line="229" w:lineRule="auto"/>
        <w:tabs>
          <w:tab w:leader="none" w:pos="660" w:val="left"/>
        </w:tabs>
        <w:numPr>
          <w:ilvl w:val="0"/>
          <w:numId w:val="15"/>
        </w:numPr>
        <w:rPr>
          <w:rFonts w:ascii="Arial" w:cs="Arial" w:eastAsia="Arial" w:hAnsi="Arial"/>
          <w:sz w:val="20"/>
          <w:szCs w:val="20"/>
          <w:color w:val="C00000"/>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For the three and six months ended June 30, 2020, R&amp;D expenses increased by CHF 0.1 million (+1%) and</w:t>
      </w:r>
      <w:r>
        <w:rPr>
          <w:rFonts w:ascii="Arial" w:cs="Arial" w:eastAsia="Arial" w:hAnsi="Arial"/>
          <w:sz w:val="18"/>
          <w:szCs w:val="18"/>
          <w:b w:val="1"/>
          <w:bCs w:val="1"/>
          <w:color w:val="auto"/>
        </w:rPr>
        <w:t xml:space="preserve"> </w:t>
      </w:r>
      <w:r>
        <w:rPr>
          <w:rFonts w:ascii="Arial" w:cs="Arial" w:eastAsia="Arial" w:hAnsi="Arial"/>
          <w:sz w:val="18"/>
          <w:szCs w:val="18"/>
          <w:color w:val="auto"/>
        </w:rPr>
        <w:t>CHF 3.7 million (+15%) to CHF 12.9 million and CHF 28 million, respectively. For R&amp;D expenses directly allocated to R&amp;D programs, the Company increased investments in its non-AD programs predominantly led by increases in ACI-24 in Down syndrome related to scaling up activities for a Phase 2 clinical study. For AD, the Company’s expenditures for ACI-24 in AD decreased due to the advanced status of the second generation vaccine technology</w:t>
      </w:r>
    </w:p>
    <w:p>
      <w:pPr>
        <w:spacing w:after="0" w:line="3" w:lineRule="exact"/>
        <w:rPr>
          <w:rFonts w:ascii="Arial" w:cs="Arial" w:eastAsia="Arial" w:hAnsi="Arial"/>
          <w:sz w:val="20"/>
          <w:szCs w:val="20"/>
          <w:color w:val="C00000"/>
        </w:rPr>
      </w:pPr>
    </w:p>
    <w:p>
      <w:pPr>
        <w:jc w:val="both"/>
        <w:ind w:left="660"/>
        <w:spacing w:after="0" w:line="234" w:lineRule="auto"/>
        <w:rPr>
          <w:rFonts w:ascii="Arial" w:cs="Arial" w:eastAsia="Arial" w:hAnsi="Arial"/>
          <w:sz w:val="20"/>
          <w:szCs w:val="20"/>
          <w:color w:val="C00000"/>
        </w:rPr>
      </w:pPr>
      <w:r>
        <w:rPr>
          <w:rFonts w:ascii="Arial" w:cs="Arial" w:eastAsia="Arial" w:hAnsi="Arial"/>
          <w:sz w:val="18"/>
          <w:szCs w:val="18"/>
          <w:color w:val="auto"/>
        </w:rPr>
        <w:t>Additionally, personnel costs in R&amp;D increased by CHF 0.7 million and CHF 1.3 million through an increase in total 15 FTEs for the three and six months ended June 30, 2020, respectively. The remaining increases of CHF 0.3 million and CHF 0.9 million relate to an increase in regulatory and quality assurance and other unallocated research and development costs</w:t>
      </w:r>
    </w:p>
    <w:p>
      <w:pPr>
        <w:spacing w:after="0" w:line="2" w:lineRule="exact"/>
        <w:rPr>
          <w:rFonts w:ascii="Arial" w:cs="Arial" w:eastAsia="Arial" w:hAnsi="Arial"/>
          <w:sz w:val="20"/>
          <w:szCs w:val="20"/>
          <w:color w:val="C00000"/>
        </w:rPr>
      </w:pPr>
    </w:p>
    <w:p>
      <w:pPr>
        <w:jc w:val="both"/>
        <w:ind w:left="660" w:hanging="328"/>
        <w:spacing w:after="0" w:line="226" w:lineRule="auto"/>
        <w:tabs>
          <w:tab w:leader="none" w:pos="660" w:val="left"/>
        </w:tabs>
        <w:numPr>
          <w:ilvl w:val="0"/>
          <w:numId w:val="15"/>
        </w:numPr>
        <w:rPr>
          <w:rFonts w:ascii="Arial" w:cs="Arial" w:eastAsia="Arial" w:hAnsi="Arial"/>
          <w:sz w:val="20"/>
          <w:szCs w:val="20"/>
          <w:color w:val="C00000"/>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For the three and six months ended June 30, 2020, G&amp;A increased CHF 0.6 million (+16%) and CHF 1.8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(+26%) to CHF 4.2 million and CHF 8.7 million, respectively. Increases were driven by an addition of seven FTEs as well as an increase in administrative and depreciation expenses</w:t>
      </w:r>
    </w:p>
    <w:p>
      <w:pPr>
        <w:spacing w:after="0" w:line="1" w:lineRule="exact"/>
        <w:rPr>
          <w:rFonts w:ascii="Arial" w:cs="Arial" w:eastAsia="Arial" w:hAnsi="Arial"/>
          <w:sz w:val="20"/>
          <w:szCs w:val="20"/>
          <w:color w:val="C00000"/>
        </w:rPr>
      </w:pPr>
    </w:p>
    <w:p>
      <w:pPr>
        <w:jc w:val="both"/>
        <w:ind w:left="660" w:hanging="328"/>
        <w:spacing w:after="0" w:line="228" w:lineRule="auto"/>
        <w:tabs>
          <w:tab w:leader="none" w:pos="660" w:val="left"/>
        </w:tabs>
        <w:numPr>
          <w:ilvl w:val="0"/>
          <w:numId w:val="15"/>
        </w:numPr>
        <w:rPr>
          <w:rFonts w:ascii="Arial" w:cs="Arial" w:eastAsia="Arial" w:hAnsi="Arial"/>
          <w:sz w:val="20"/>
          <w:szCs w:val="20"/>
          <w:color w:val="C00000"/>
        </w:rPr>
      </w:pPr>
      <w:r>
        <w:rPr>
          <w:rFonts w:ascii="Arial" w:cs="Arial" w:eastAsia="Arial" w:hAnsi="Arial"/>
          <w:sz w:val="18"/>
          <w:szCs w:val="18"/>
          <w:b w:val="1"/>
          <w:bCs w:val="1"/>
          <w:color w:val="auto"/>
        </w:rPr>
        <w:t xml:space="preserve">IFRS (Loss)/Income for the period: </w:t>
      </w:r>
      <w:r>
        <w:rPr>
          <w:rFonts w:ascii="Arial" w:cs="Arial" w:eastAsia="Arial" w:hAnsi="Arial"/>
          <w:sz w:val="18"/>
          <w:szCs w:val="18"/>
          <w:color w:val="auto"/>
        </w:rPr>
        <w:t>The Company incurred net loss after taxes of CHF 15.7 million and CHF 23.4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and six months ended June 30, 2020, respectively, compared with a net loss of CHF 16.9 million and net income of CHF 46.7 million for the comparable periods in 2019, predominantly as a result of the CHF 74.3 million of revenues recognized from our Lilly collaboration in 2019</w:t>
      </w:r>
    </w:p>
    <w:p>
      <w:pPr>
        <w:spacing w:after="0" w:line="1" w:lineRule="exact"/>
        <w:rPr>
          <w:rFonts w:ascii="Arial" w:cs="Arial" w:eastAsia="Arial" w:hAnsi="Arial"/>
          <w:sz w:val="20"/>
          <w:szCs w:val="20"/>
          <w:color w:val="C00000"/>
        </w:rPr>
      </w:pPr>
    </w:p>
    <w:p>
      <w:pPr>
        <w:jc w:val="both"/>
        <w:ind w:left="660" w:hanging="328"/>
        <w:spacing w:after="0" w:line="232" w:lineRule="auto"/>
        <w:tabs>
          <w:tab w:leader="none" w:pos="660" w:val="left"/>
        </w:tabs>
        <w:numPr>
          <w:ilvl w:val="0"/>
          <w:numId w:val="15"/>
        </w:numPr>
        <w:rPr>
          <w:rFonts w:ascii="Arial" w:cs="Arial" w:eastAsia="Arial" w:hAnsi="Arial"/>
          <w:sz w:val="20"/>
          <w:szCs w:val="20"/>
          <w:color w:val="C00000"/>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had a total cash balance of CHF 262.5 million, comprised of CHF 177.5 million in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CHF 85 million in short-term financial assets. This compares to a total cash balance of CHF 288.6 million as of December 31, 2019. This decrease of CHF 26.1 million is principally due to the factors noted above in the income statement which resulted in a CHF 23.4 million net loss for the period and changes in our working capital. Further details are available in our Statements of Cash Flows on the accompanying Form 6-K</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About AC Immune SA</w:t>
      </w:r>
    </w:p>
    <w:p>
      <w:pPr>
        <w:spacing w:after="0" w:line="219"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AC Immune SA is a Nasdaq-listed clinical-stage biopharmaceutical company, which aims to become a global leader in precision medicine for neurodegenerative diseases. The Company utilizes two proprietary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six currently in clinical trials. It has collaborations with major pharmaceutical companies including Genentech, a member of the Roche group, Eli Lilly and Company, and Janssen Pharmaceuticals.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Head of Investor Relations</w:t>
            </w:r>
          </w:p>
        </w:tc>
        <w:tc>
          <w:tcPr>
            <w:tcW w:w="4420" w:type="dxa"/>
            <w:vAlign w:val="bottom"/>
            <w:gridSpan w:val="2"/>
          </w:tcPr>
          <w:p>
            <w:pPr>
              <w:ind w:left="900"/>
              <w:spacing w:after="0"/>
              <w:rPr>
                <w:sz w:val="20"/>
                <w:szCs w:val="20"/>
                <w:color w:val="auto"/>
              </w:rPr>
            </w:pPr>
            <w:r>
              <w:rPr>
                <w:rFonts w:ascii="Arial" w:cs="Arial" w:eastAsia="Arial" w:hAnsi="Arial"/>
                <w:sz w:val="18"/>
                <w:szCs w:val="18"/>
                <w:b w:val="1"/>
                <w:bCs w:val="1"/>
                <w:color w:val="auto"/>
              </w:rPr>
              <w:t>US Media</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Joshua Drumm, Ph.D.</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Katie Gallagher</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LaVoieHealthScience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+1 917 809 0814</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+1 617 792 3937</w:t>
            </w:r>
          </w:p>
        </w:tc>
      </w:tr>
      <w:tr>
        <w:trPr>
          <w:trHeight w:val="176"/>
        </w:trPr>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joshua.drumm@acimmune.com</w:t>
            </w:r>
          </w:p>
        </w:tc>
        <w:tc>
          <w:tcPr>
            <w:tcW w:w="4420" w:type="dxa"/>
            <w:vAlign w:val="bottom"/>
            <w:gridSpan w:val="2"/>
          </w:tcPr>
          <w:p>
            <w:pPr>
              <w:ind w:left="90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kgallagher@lavoiehealthscience.com</w:t>
            </w:r>
          </w:p>
        </w:tc>
      </w:tr>
      <w:tr>
        <w:trPr>
          <w:trHeight w:val="20"/>
        </w:trPr>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Global Head of Communications</w:t>
            </w:r>
          </w:p>
        </w:tc>
        <w:tc>
          <w:tcPr>
            <w:tcW w:w="4860" w:type="dxa"/>
            <w:vAlign w:val="bottom"/>
            <w:gridSpan w:val="2"/>
          </w:tcPr>
          <w:p>
            <w:pPr>
              <w:ind w:left="2180"/>
              <w:spacing w:after="0"/>
              <w:rPr>
                <w:sz w:val="20"/>
                <w:szCs w:val="20"/>
                <w:color w:val="auto"/>
              </w:rPr>
            </w:pPr>
            <w:r>
              <w:rPr>
                <w:rFonts w:ascii="Arial" w:cs="Arial" w:eastAsia="Arial" w:hAnsi="Arial"/>
                <w:sz w:val="18"/>
                <w:szCs w:val="18"/>
                <w:b w:val="1"/>
                <w:bCs w:val="1"/>
                <w:color w:val="auto"/>
              </w:rPr>
              <w:t>European Investors &amp; Media</w:t>
            </w:r>
          </w:p>
        </w:tc>
      </w:tr>
      <w:tr>
        <w:trPr>
          <w:trHeight w:val="203"/>
        </w:trPr>
        <w:tc>
          <w:tcPr>
            <w:tcW w:w="3000" w:type="dxa"/>
            <w:vAlign w:val="bottom"/>
            <w:gridSpan w:val="2"/>
          </w:tcPr>
          <w:p>
            <w:pPr>
              <w:spacing w:after="0" w:line="202" w:lineRule="exact"/>
              <w:rPr>
                <w:sz w:val="20"/>
                <w:szCs w:val="20"/>
                <w:color w:val="auto"/>
              </w:rPr>
            </w:pPr>
            <w:r>
              <w:rPr>
                <w:rFonts w:ascii="Arial" w:cs="Arial" w:eastAsia="Arial" w:hAnsi="Arial"/>
                <w:sz w:val="18"/>
                <w:szCs w:val="18"/>
                <w:color w:val="auto"/>
              </w:rPr>
              <w:t>Judith Moore</w:t>
            </w:r>
          </w:p>
        </w:tc>
        <w:tc>
          <w:tcPr>
            <w:tcW w:w="4860" w:type="dxa"/>
            <w:vAlign w:val="bottom"/>
            <w:gridSpan w:val="2"/>
          </w:tcPr>
          <w:p>
            <w:pPr>
              <w:ind w:left="2180"/>
              <w:spacing w:after="0" w:line="202" w:lineRule="exact"/>
              <w:rPr>
                <w:sz w:val="20"/>
                <w:szCs w:val="20"/>
                <w:color w:val="auto"/>
              </w:rPr>
            </w:pPr>
            <w:r>
              <w:rPr>
                <w:rFonts w:ascii="Arial" w:cs="Arial" w:eastAsia="Arial" w:hAnsi="Arial"/>
                <w:sz w:val="18"/>
                <w:szCs w:val="18"/>
                <w:color w:val="auto"/>
              </w:rPr>
              <w:t>Chris Maggos</w:t>
            </w:r>
          </w:p>
        </w:tc>
      </w:tr>
      <w:tr>
        <w:trPr>
          <w:trHeight w:val="203"/>
        </w:trPr>
        <w:tc>
          <w:tcPr>
            <w:tcW w:w="3000" w:type="dxa"/>
            <w:vAlign w:val="bottom"/>
            <w:gridSpan w:val="2"/>
          </w:tcPr>
          <w:p>
            <w:pPr>
              <w:spacing w:after="0" w:line="202" w:lineRule="exact"/>
              <w:rPr>
                <w:sz w:val="20"/>
                <w:szCs w:val="20"/>
                <w:color w:val="auto"/>
              </w:rPr>
            </w:pPr>
            <w:r>
              <w:rPr>
                <w:rFonts w:ascii="Arial" w:cs="Arial" w:eastAsia="Arial" w:hAnsi="Arial"/>
                <w:sz w:val="18"/>
                <w:szCs w:val="18"/>
                <w:color w:val="auto"/>
              </w:rPr>
              <w:t>AC Immune</w:t>
            </w:r>
          </w:p>
        </w:tc>
        <w:tc>
          <w:tcPr>
            <w:tcW w:w="4860" w:type="dxa"/>
            <w:vAlign w:val="bottom"/>
            <w:gridSpan w:val="2"/>
          </w:tcPr>
          <w:p>
            <w:pPr>
              <w:ind w:left="2180"/>
              <w:spacing w:after="0" w:line="202" w:lineRule="exact"/>
              <w:rPr>
                <w:sz w:val="20"/>
                <w:szCs w:val="20"/>
                <w:color w:val="auto"/>
              </w:rPr>
            </w:pPr>
            <w:r>
              <w:rPr>
                <w:rFonts w:ascii="Arial" w:cs="Arial" w:eastAsia="Arial" w:hAnsi="Arial"/>
                <w:sz w:val="18"/>
                <w:szCs w:val="18"/>
                <w:color w:val="auto"/>
              </w:rPr>
              <w:t>LifeSci Advisors</w:t>
            </w:r>
          </w:p>
        </w:tc>
      </w:tr>
      <w:tr>
        <w:trPr>
          <w:trHeight w:val="202"/>
        </w:trPr>
        <w:tc>
          <w:tcPr>
            <w:tcW w:w="3000" w:type="dxa"/>
            <w:vAlign w:val="bottom"/>
            <w:gridSpan w:val="2"/>
          </w:tcPr>
          <w:p>
            <w:pPr>
              <w:spacing w:after="0" w:line="202" w:lineRule="exact"/>
              <w:rPr>
                <w:sz w:val="20"/>
                <w:szCs w:val="20"/>
                <w:color w:val="auto"/>
              </w:rPr>
            </w:pPr>
            <w:r>
              <w:rPr>
                <w:rFonts w:ascii="Arial" w:cs="Arial" w:eastAsia="Arial" w:hAnsi="Arial"/>
                <w:sz w:val="18"/>
                <w:szCs w:val="18"/>
                <w:color w:val="auto"/>
              </w:rPr>
              <w:t>Phone: +41 79 826 63 82</w:t>
            </w:r>
          </w:p>
        </w:tc>
        <w:tc>
          <w:tcPr>
            <w:tcW w:w="4860" w:type="dxa"/>
            <w:vAlign w:val="bottom"/>
            <w:gridSpan w:val="2"/>
          </w:tcPr>
          <w:p>
            <w:pPr>
              <w:ind w:left="2180"/>
              <w:spacing w:after="0" w:line="202" w:lineRule="exact"/>
              <w:rPr>
                <w:sz w:val="20"/>
                <w:szCs w:val="20"/>
                <w:color w:val="auto"/>
              </w:rPr>
            </w:pPr>
            <w:r>
              <w:rPr>
                <w:rFonts w:ascii="Arial" w:cs="Arial" w:eastAsia="Arial" w:hAnsi="Arial"/>
                <w:sz w:val="18"/>
                <w:szCs w:val="18"/>
                <w:color w:val="auto"/>
              </w:rPr>
              <w:t>Phone: +41 79 367 6254</w:t>
            </w:r>
          </w:p>
        </w:tc>
      </w:tr>
      <w:tr>
        <w:trPr>
          <w:trHeight w:val="176"/>
        </w:trPr>
        <w:tc>
          <w:tcPr>
            <w:tcW w:w="3000" w:type="dxa"/>
            <w:vAlign w:val="bottom"/>
            <w:gridSpan w:val="2"/>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judith.moore@acimmune.com</w:t>
            </w:r>
          </w:p>
        </w:tc>
        <w:tc>
          <w:tcPr>
            <w:tcW w:w="4860" w:type="dxa"/>
            <w:vAlign w:val="bottom"/>
            <w:gridSpan w:val="2"/>
          </w:tcPr>
          <w:p>
            <w:pPr>
              <w:ind w:left="218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chris@lifesciadvisors.com</w:t>
            </w:r>
          </w:p>
        </w:tc>
      </w:tr>
      <w:tr>
        <w:trPr>
          <w:trHeight w:val="20"/>
        </w:trPr>
        <w:tc>
          <w:tcPr>
            <w:tcW w:w="56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Balance Sheets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3100" w:type="dxa"/>
            <w:vAlign w:val="bottom"/>
            <w:gridSpan w:val="5"/>
          </w:tcPr>
          <w:p>
            <w:pPr>
              <w:jc w:val="right"/>
              <w:spacing w:after="0"/>
              <w:rPr>
                <w:sz w:val="20"/>
                <w:szCs w:val="20"/>
                <w:color w:val="auto"/>
              </w:rPr>
            </w:pPr>
            <w:r>
              <w:rPr>
                <w:rFonts w:ascii="Arial" w:cs="Arial" w:eastAsia="Arial" w:hAnsi="Arial"/>
                <w:sz w:val="18"/>
                <w:szCs w:val="18"/>
                <w:b w:val="1"/>
                <w:bCs w:val="1"/>
                <w:color w:val="auto"/>
              </w:rPr>
              <w:t>As of June 30,  As of December 31,</w:t>
            </w:r>
          </w:p>
        </w:tc>
        <w:tc>
          <w:tcPr>
            <w:tcW w:w="0" w:type="dxa"/>
            <w:vAlign w:val="bottom"/>
          </w:tcPr>
          <w:p>
            <w:pPr>
              <w:spacing w:after="0"/>
              <w:rPr>
                <w:sz w:val="1"/>
                <w:szCs w:val="1"/>
                <w:color w:val="auto"/>
              </w:rPr>
            </w:pPr>
          </w:p>
        </w:tc>
      </w:tr>
      <w:tr>
        <w:trPr>
          <w:trHeight w:val="225"/>
        </w:trPr>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14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1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34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3,770</w:t>
            </w:r>
          </w:p>
        </w:tc>
        <w:tc>
          <w:tcPr>
            <w:tcW w:w="100" w:type="dxa"/>
            <w:vAlign w:val="bottom"/>
            <w:shd w:val="clear" w:color="auto" w:fill="D5EAEA"/>
          </w:tcPr>
          <w:p>
            <w:pPr>
              <w:spacing w:after="0"/>
              <w:rPr>
                <w:sz w:val="17"/>
                <w:szCs w:val="17"/>
                <w:color w:val="auto"/>
              </w:rPr>
            </w:pPr>
          </w:p>
        </w:tc>
        <w:tc>
          <w:tcPr>
            <w:tcW w:w="1660" w:type="dxa"/>
            <w:vAlign w:val="bottom"/>
            <w:gridSpan w:val="2"/>
            <w:shd w:val="clear" w:color="auto" w:fill="D5EAEA"/>
          </w:tcPr>
          <w:p>
            <w:pPr>
              <w:jc w:val="right"/>
              <w:ind w:right="140"/>
              <w:spacing w:after="0" w:line="202" w:lineRule="exact"/>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2,040</w:t>
            </w:r>
          </w:p>
        </w:tc>
        <w:tc>
          <w:tcPr>
            <w:tcW w:w="100" w:type="dxa"/>
            <w:vAlign w:val="bottom"/>
          </w:tcPr>
          <w:p>
            <w:pPr>
              <w:spacing w:after="0"/>
              <w:rPr>
                <w:sz w:val="17"/>
                <w:szCs w:val="17"/>
                <w:color w:val="auto"/>
              </w:rPr>
            </w:pPr>
          </w:p>
        </w:tc>
        <w:tc>
          <w:tcPr>
            <w:tcW w:w="1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16"/>
        </w:trPr>
        <w:tc>
          <w:tcPr>
            <w:tcW w:w="8140" w:type="dxa"/>
            <w:vAlign w:val="bottom"/>
            <w:shd w:val="clear" w:color="auto" w:fill="D5EAEA"/>
          </w:tcPr>
          <w:p>
            <w:pPr>
              <w:spacing w:after="0"/>
              <w:rPr>
                <w:sz w:val="20"/>
                <w:szCs w:val="20"/>
                <w:color w:val="auto"/>
              </w:rPr>
            </w:pPr>
            <w:r>
              <w:rPr>
                <w:rFonts w:ascii="Arial" w:cs="Arial" w:eastAsia="Arial" w:hAnsi="Arial"/>
                <w:sz w:val="18"/>
                <w:szCs w:val="18"/>
                <w:color w:val="auto"/>
              </w:rPr>
              <w:t>Long-term financial assets</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D5EAEA"/>
          </w:tcPr>
          <w:p>
            <w:pPr>
              <w:spacing w:after="0"/>
              <w:rPr>
                <w:sz w:val="18"/>
                <w:szCs w:val="18"/>
                <w:color w:val="auto"/>
              </w:rPr>
            </w:pPr>
          </w:p>
        </w:tc>
        <w:tc>
          <w:tcPr>
            <w:tcW w:w="166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Total non-current assets</w:t>
            </w: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vMerge w:val="continue"/>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6,114</w:t>
            </w:r>
          </w:p>
        </w:tc>
        <w:tc>
          <w:tcPr>
            <w:tcW w:w="100" w:type="dxa"/>
            <w:vAlign w:val="bottom"/>
          </w:tcPr>
          <w:p>
            <w:pPr>
              <w:spacing w:after="0"/>
              <w:rPr>
                <w:sz w:val="21"/>
                <w:szCs w:val="21"/>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183"/>
        </w:trPr>
        <w:tc>
          <w:tcPr>
            <w:tcW w:w="8140" w:type="dxa"/>
            <w:vAlign w:val="bottom"/>
            <w:tcBorders>
              <w:top w:val="single" w:sz="8" w:color="D5EAEA"/>
            </w:tcBorders>
            <w:shd w:val="clear" w:color="auto" w:fill="D5EAEA"/>
          </w:tcPr>
          <w:p>
            <w:pPr>
              <w:spacing w:after="0"/>
              <w:rPr>
                <w:sz w:val="15"/>
                <w:szCs w:val="15"/>
                <w:color w:val="auto"/>
              </w:rPr>
            </w:pPr>
          </w:p>
        </w:tc>
        <w:tc>
          <w:tcPr>
            <w:tcW w:w="1220" w:type="dxa"/>
            <w:vAlign w:val="bottom"/>
            <w:tcBorders>
              <w:top w:val="single" w:sz="8" w:color="auto"/>
            </w:tcBorders>
            <w:shd w:val="clear" w:color="auto" w:fill="D5EAEA"/>
          </w:tcPr>
          <w:p>
            <w:pPr>
              <w:spacing w:after="0"/>
              <w:rPr>
                <w:sz w:val="15"/>
                <w:szCs w:val="15"/>
                <w:color w:val="auto"/>
              </w:rPr>
            </w:pPr>
          </w:p>
        </w:tc>
        <w:tc>
          <w:tcPr>
            <w:tcW w:w="120" w:type="dxa"/>
            <w:vAlign w:val="bottom"/>
            <w:tcBorders>
              <w:top w:val="single" w:sz="8" w:color="D5EAEA"/>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520" w:type="dxa"/>
            <w:vAlign w:val="bottom"/>
            <w:tcBorders>
              <w:top w:val="single" w:sz="8" w:color="auto"/>
            </w:tcBorders>
            <w:shd w:val="clear" w:color="auto" w:fill="D5EAEA"/>
          </w:tcPr>
          <w:p>
            <w:pPr>
              <w:spacing w:after="0"/>
              <w:rPr>
                <w:sz w:val="15"/>
                <w:szCs w:val="15"/>
                <w:color w:val="auto"/>
              </w:rPr>
            </w:pPr>
          </w:p>
        </w:tc>
        <w:tc>
          <w:tcPr>
            <w:tcW w:w="140" w:type="dxa"/>
            <w:vAlign w:val="bottom"/>
            <w:tcBorders>
              <w:top w:val="single" w:sz="8" w:color="D5EAEA"/>
            </w:tcBorders>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Prepaid expenses</w:t>
            </w:r>
          </w:p>
        </w:tc>
        <w:tc>
          <w:tcPr>
            <w:tcW w:w="134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3,689</w:t>
            </w:r>
          </w:p>
        </w:tc>
        <w:tc>
          <w:tcPr>
            <w:tcW w:w="100" w:type="dxa"/>
            <w:vAlign w:val="bottom"/>
            <w:shd w:val="clear" w:color="auto" w:fill="D5EAEA"/>
          </w:tcPr>
          <w:p>
            <w:pPr>
              <w:spacing w:after="0"/>
              <w:rPr>
                <w:sz w:val="17"/>
                <w:szCs w:val="17"/>
                <w:color w:val="auto"/>
              </w:rPr>
            </w:pPr>
          </w:p>
        </w:tc>
        <w:tc>
          <w:tcPr>
            <w:tcW w:w="1660" w:type="dxa"/>
            <w:vAlign w:val="bottom"/>
            <w:gridSpan w:val="2"/>
            <w:shd w:val="clear" w:color="auto" w:fill="D5EAEA"/>
          </w:tcPr>
          <w:p>
            <w:pPr>
              <w:jc w:val="right"/>
              <w:ind w:right="140"/>
              <w:spacing w:after="0" w:line="202" w:lineRule="exact"/>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Accrued income</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424</w:t>
            </w:r>
          </w:p>
        </w:tc>
        <w:tc>
          <w:tcPr>
            <w:tcW w:w="100" w:type="dxa"/>
            <w:vAlign w:val="bottom"/>
          </w:tcPr>
          <w:p>
            <w:pPr>
              <w:spacing w:after="0"/>
              <w:rPr>
                <w:sz w:val="17"/>
                <w:szCs w:val="17"/>
                <w:color w:val="auto"/>
              </w:rPr>
            </w:pPr>
          </w:p>
        </w:tc>
        <w:tc>
          <w:tcPr>
            <w:tcW w:w="1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Other current receivables</w:t>
            </w:r>
          </w:p>
        </w:tc>
        <w:tc>
          <w:tcPr>
            <w:tcW w:w="134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567</w:t>
            </w:r>
          </w:p>
        </w:tc>
        <w:tc>
          <w:tcPr>
            <w:tcW w:w="100" w:type="dxa"/>
            <w:vAlign w:val="bottom"/>
            <w:shd w:val="clear" w:color="auto" w:fill="D5EAEA"/>
          </w:tcPr>
          <w:p>
            <w:pPr>
              <w:spacing w:after="0"/>
              <w:rPr>
                <w:sz w:val="17"/>
                <w:szCs w:val="17"/>
                <w:color w:val="auto"/>
              </w:rPr>
            </w:pPr>
          </w:p>
        </w:tc>
        <w:tc>
          <w:tcPr>
            <w:tcW w:w="1660" w:type="dxa"/>
            <w:vAlign w:val="bottom"/>
            <w:gridSpan w:val="2"/>
            <w:shd w:val="clear" w:color="auto" w:fill="D5EAEA"/>
          </w:tcPr>
          <w:p>
            <w:pPr>
              <w:jc w:val="right"/>
              <w:ind w:right="140"/>
              <w:spacing w:after="0" w:line="202"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Short-term financial assets</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85,000</w:t>
            </w:r>
          </w:p>
        </w:tc>
        <w:tc>
          <w:tcPr>
            <w:tcW w:w="100" w:type="dxa"/>
            <w:vAlign w:val="bottom"/>
          </w:tcPr>
          <w:p>
            <w:pPr>
              <w:spacing w:after="0"/>
              <w:rPr>
                <w:sz w:val="17"/>
                <w:szCs w:val="17"/>
                <w:color w:val="auto"/>
              </w:rPr>
            </w:pPr>
          </w:p>
        </w:tc>
        <w:tc>
          <w:tcPr>
            <w:tcW w:w="1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814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177,464</w:t>
            </w:r>
          </w:p>
        </w:tc>
        <w:tc>
          <w:tcPr>
            <w:tcW w:w="100" w:type="dxa"/>
            <w:vAlign w:val="bottom"/>
            <w:shd w:val="clear" w:color="auto" w:fill="D5EAEA"/>
          </w:tcPr>
          <w:p>
            <w:pPr>
              <w:spacing w:after="0"/>
              <w:rPr>
                <w:sz w:val="18"/>
                <w:szCs w:val="18"/>
                <w:color w:val="auto"/>
              </w:rPr>
            </w:pPr>
          </w:p>
        </w:tc>
        <w:tc>
          <w:tcPr>
            <w:tcW w:w="166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193,587</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current assets</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267,144</w:t>
            </w:r>
          </w:p>
        </w:tc>
        <w:tc>
          <w:tcPr>
            <w:tcW w:w="120" w:type="dxa"/>
            <w:vAlign w:val="bottom"/>
            <w:tcBorders>
              <w:bottom w:val="single" w:sz="8" w:color="D5EAEA"/>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292,774</w:t>
            </w:r>
          </w:p>
        </w:tc>
        <w:tc>
          <w:tcPr>
            <w:tcW w:w="140" w:type="dxa"/>
            <w:vAlign w:val="bottom"/>
            <w:tcBorders>
              <w:bottom w:val="single" w:sz="8" w:color="D5EAEA"/>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273,258</w:t>
            </w:r>
          </w:p>
        </w:tc>
        <w:tc>
          <w:tcPr>
            <w:tcW w:w="100" w:type="dxa"/>
            <w:vAlign w:val="bottom"/>
            <w:shd w:val="clear" w:color="auto" w:fill="D5EAEA"/>
          </w:tcPr>
          <w:p>
            <w:pPr>
              <w:spacing w:after="0"/>
              <w:rPr>
                <w:sz w:val="18"/>
                <w:szCs w:val="18"/>
                <w:color w:val="auto"/>
              </w:rPr>
            </w:pPr>
          </w:p>
        </w:tc>
        <w:tc>
          <w:tcPr>
            <w:tcW w:w="166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299,250</w:t>
            </w:r>
          </w:p>
        </w:tc>
        <w:tc>
          <w:tcPr>
            <w:tcW w:w="0" w:type="dxa"/>
            <w:vAlign w:val="bottom"/>
          </w:tcPr>
          <w:p>
            <w:pPr>
              <w:spacing w:after="0"/>
              <w:rPr>
                <w:sz w:val="1"/>
                <w:szCs w:val="1"/>
                <w:color w:val="auto"/>
              </w:rPr>
            </w:pPr>
          </w:p>
        </w:tc>
      </w:tr>
      <w:tr>
        <w:trPr>
          <w:trHeight w:val="20"/>
        </w:trPr>
        <w:tc>
          <w:tcPr>
            <w:tcW w:w="8140" w:type="dxa"/>
            <w:vAlign w:val="bottom"/>
            <w:tcBorders>
              <w:top w:val="single" w:sz="8" w:color="D5EAEA"/>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SHAREHOLDERS’ EQUITY AND LIABILITIES</w:t>
            </w:r>
          </w:p>
        </w:tc>
        <w:tc>
          <w:tcPr>
            <w:tcW w:w="12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52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12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52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Share capital</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1,438</w:t>
            </w:r>
          </w:p>
        </w:tc>
        <w:tc>
          <w:tcPr>
            <w:tcW w:w="100" w:type="dxa"/>
            <w:vAlign w:val="bottom"/>
          </w:tcPr>
          <w:p>
            <w:pPr>
              <w:spacing w:after="0"/>
              <w:rPr>
                <w:sz w:val="17"/>
                <w:szCs w:val="17"/>
                <w:color w:val="auto"/>
              </w:rPr>
            </w:pPr>
          </w:p>
        </w:tc>
        <w:tc>
          <w:tcPr>
            <w:tcW w:w="1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Share premium</w:t>
            </w:r>
          </w:p>
        </w:tc>
        <w:tc>
          <w:tcPr>
            <w:tcW w:w="134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346,634</w:t>
            </w:r>
          </w:p>
        </w:tc>
        <w:tc>
          <w:tcPr>
            <w:tcW w:w="100" w:type="dxa"/>
            <w:vAlign w:val="bottom"/>
            <w:shd w:val="clear" w:color="auto" w:fill="D5EAEA"/>
          </w:tcPr>
          <w:p>
            <w:pPr>
              <w:spacing w:after="0"/>
              <w:rPr>
                <w:sz w:val="17"/>
                <w:szCs w:val="17"/>
                <w:color w:val="auto"/>
              </w:rPr>
            </w:pPr>
          </w:p>
        </w:tc>
        <w:tc>
          <w:tcPr>
            <w:tcW w:w="1660" w:type="dxa"/>
            <w:vAlign w:val="bottom"/>
            <w:gridSpan w:val="2"/>
            <w:shd w:val="clear" w:color="auto" w:fill="D5EAEA"/>
          </w:tcPr>
          <w:p>
            <w:pPr>
              <w:jc w:val="right"/>
              <w:ind w:right="140"/>
              <w:spacing w:after="0" w:line="202" w:lineRule="exact"/>
              <w:rPr>
                <w:sz w:val="20"/>
                <w:szCs w:val="20"/>
                <w:color w:val="auto"/>
              </w:rPr>
            </w:pPr>
            <w:r>
              <w:rPr>
                <w:rFonts w:ascii="Arial" w:cs="Arial" w:eastAsia="Arial" w:hAnsi="Arial"/>
                <w:sz w:val="18"/>
                <w:szCs w:val="18"/>
                <w:color w:val="auto"/>
              </w:rPr>
              <w:t>346,526</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Accumulated losses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(97,210)</w:t>
            </w:r>
          </w:p>
        </w:tc>
        <w:tc>
          <w:tcPr>
            <w:tcW w:w="10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0"/>
        </w:trPr>
        <w:tc>
          <w:tcPr>
            <w:tcW w:w="8140" w:type="dxa"/>
            <w:vAlign w:val="bottom"/>
            <w:vMerge w:val="restart"/>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D5EAEA"/>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shd w:val="clear" w:color="auto" w:fill="D5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vMerge w:val="continue"/>
            <w:shd w:val="clear" w:color="auto" w:fill="D5EAEA"/>
          </w:tcPr>
          <w:p>
            <w:pPr>
              <w:spacing w:after="0"/>
              <w:rPr>
                <w:sz w:val="18"/>
                <w:szCs w:val="18"/>
                <w:color w:val="auto"/>
              </w:rPr>
            </w:pP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250,862</w:t>
            </w:r>
          </w:p>
        </w:tc>
        <w:tc>
          <w:tcPr>
            <w:tcW w:w="100" w:type="dxa"/>
            <w:vAlign w:val="bottom"/>
            <w:shd w:val="clear" w:color="auto" w:fill="D5EAEA"/>
          </w:tcPr>
          <w:p>
            <w:pPr>
              <w:spacing w:after="0"/>
              <w:rPr>
                <w:sz w:val="18"/>
                <w:szCs w:val="18"/>
                <w:color w:val="auto"/>
              </w:rPr>
            </w:pPr>
          </w:p>
        </w:tc>
        <w:tc>
          <w:tcPr>
            <w:tcW w:w="166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272,442</w:t>
            </w:r>
          </w:p>
        </w:tc>
        <w:tc>
          <w:tcPr>
            <w:tcW w:w="0" w:type="dxa"/>
            <w:vAlign w:val="bottom"/>
          </w:tcPr>
          <w:p>
            <w:pPr>
              <w:spacing w:after="0"/>
              <w:rPr>
                <w:sz w:val="1"/>
                <w:szCs w:val="1"/>
                <w:color w:val="auto"/>
              </w:rPr>
            </w:pPr>
          </w:p>
        </w:tc>
      </w:tr>
      <w:tr>
        <w:trPr>
          <w:trHeight w:val="20"/>
        </w:trPr>
        <w:tc>
          <w:tcPr>
            <w:tcW w:w="8140" w:type="dxa"/>
            <w:vAlign w:val="bottom"/>
            <w:tcBorders>
              <w:top w:val="single" w:sz="8" w:color="D5EAEA"/>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2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52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40" w:type="dxa"/>
            <w:vAlign w:val="bottom"/>
          </w:tcPr>
          <w:p>
            <w:pPr>
              <w:spacing w:after="0" w:line="202" w:lineRule="exact"/>
              <w:rPr>
                <w:sz w:val="20"/>
                <w:szCs w:val="20"/>
                <w:color w:val="auto"/>
              </w:rPr>
            </w:pPr>
            <w:r>
              <w:rPr>
                <w:rFonts w:ascii="Arial" w:cs="Arial" w:eastAsia="Arial" w:hAnsi="Arial"/>
                <w:sz w:val="18"/>
                <w:szCs w:val="18"/>
                <w:color w:val="auto"/>
              </w:rPr>
              <w:t>Long-term lease liabilities</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1,602</w:t>
            </w:r>
          </w:p>
        </w:tc>
        <w:tc>
          <w:tcPr>
            <w:tcW w:w="100" w:type="dxa"/>
            <w:vAlign w:val="bottom"/>
          </w:tcPr>
          <w:p>
            <w:pPr>
              <w:spacing w:after="0"/>
              <w:rPr>
                <w:sz w:val="17"/>
                <w:szCs w:val="17"/>
                <w:color w:val="auto"/>
              </w:rPr>
            </w:pPr>
          </w:p>
        </w:tc>
        <w:tc>
          <w:tcPr>
            <w:tcW w:w="1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16"/>
        </w:trPr>
        <w:tc>
          <w:tcPr>
            <w:tcW w:w="8140" w:type="dxa"/>
            <w:vAlign w:val="bottom"/>
            <w:shd w:val="clear" w:color="auto" w:fill="D5EAEA"/>
          </w:tcPr>
          <w:p>
            <w:pPr>
              <w:spacing w:after="0"/>
              <w:rPr>
                <w:sz w:val="20"/>
                <w:szCs w:val="20"/>
                <w:color w:val="auto"/>
              </w:rPr>
            </w:pPr>
            <w:r>
              <w:rPr>
                <w:rFonts w:ascii="Arial" w:cs="Arial" w:eastAsia="Arial" w:hAnsi="Arial"/>
                <w:sz w:val="18"/>
                <w:szCs w:val="18"/>
                <w:color w:val="auto"/>
              </w:rPr>
              <w:t>Net employee defined benefit liabilities</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7,847</w:t>
            </w:r>
          </w:p>
        </w:tc>
        <w:tc>
          <w:tcPr>
            <w:tcW w:w="100" w:type="dxa"/>
            <w:vAlign w:val="bottom"/>
            <w:shd w:val="clear" w:color="auto" w:fill="D5EAEA"/>
          </w:tcPr>
          <w:p>
            <w:pPr>
              <w:spacing w:after="0"/>
              <w:rPr>
                <w:sz w:val="18"/>
                <w:szCs w:val="18"/>
                <w:color w:val="auto"/>
              </w:rPr>
            </w:pPr>
          </w:p>
        </w:tc>
        <w:tc>
          <w:tcPr>
            <w:tcW w:w="166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Total non-current liabilities</w:t>
            </w: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140" w:type="dxa"/>
            <w:vAlign w:val="bottom"/>
            <w:vMerge w:val="continue"/>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9,449</w:t>
            </w:r>
          </w:p>
        </w:tc>
        <w:tc>
          <w:tcPr>
            <w:tcW w:w="100" w:type="dxa"/>
            <w:vAlign w:val="bottom"/>
          </w:tcPr>
          <w:p>
            <w:pPr>
              <w:spacing w:after="0"/>
              <w:rPr>
                <w:sz w:val="21"/>
                <w:szCs w:val="21"/>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9,298</w:t>
            </w:r>
          </w:p>
        </w:tc>
        <w:tc>
          <w:tcPr>
            <w:tcW w:w="0" w:type="dxa"/>
            <w:vAlign w:val="bottom"/>
          </w:tcPr>
          <w:p>
            <w:pPr>
              <w:spacing w:after="0"/>
              <w:rPr>
                <w:sz w:val="1"/>
                <w:szCs w:val="1"/>
                <w:color w:val="auto"/>
              </w:rPr>
            </w:pPr>
          </w:p>
        </w:tc>
      </w:tr>
      <w:tr>
        <w:trPr>
          <w:trHeight w:val="183"/>
        </w:trPr>
        <w:tc>
          <w:tcPr>
            <w:tcW w:w="8140" w:type="dxa"/>
            <w:vAlign w:val="bottom"/>
            <w:tcBorders>
              <w:top w:val="single" w:sz="8" w:color="D5EAEA"/>
            </w:tcBorders>
            <w:shd w:val="clear" w:color="auto" w:fill="D5EAEA"/>
          </w:tcPr>
          <w:p>
            <w:pPr>
              <w:spacing w:after="0"/>
              <w:rPr>
                <w:sz w:val="15"/>
                <w:szCs w:val="15"/>
                <w:color w:val="auto"/>
              </w:rPr>
            </w:pPr>
          </w:p>
        </w:tc>
        <w:tc>
          <w:tcPr>
            <w:tcW w:w="1220" w:type="dxa"/>
            <w:vAlign w:val="bottom"/>
            <w:tcBorders>
              <w:top w:val="single" w:sz="8" w:color="auto"/>
            </w:tcBorders>
            <w:shd w:val="clear" w:color="auto" w:fill="D5EAEA"/>
          </w:tcPr>
          <w:p>
            <w:pPr>
              <w:spacing w:after="0"/>
              <w:rPr>
                <w:sz w:val="15"/>
                <w:szCs w:val="15"/>
                <w:color w:val="auto"/>
              </w:rPr>
            </w:pPr>
          </w:p>
        </w:tc>
        <w:tc>
          <w:tcPr>
            <w:tcW w:w="120" w:type="dxa"/>
            <w:vAlign w:val="bottom"/>
            <w:tcBorders>
              <w:top w:val="single" w:sz="8" w:color="D5EAEA"/>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520" w:type="dxa"/>
            <w:vAlign w:val="bottom"/>
            <w:tcBorders>
              <w:top w:val="single" w:sz="8" w:color="auto"/>
            </w:tcBorders>
            <w:shd w:val="clear" w:color="auto" w:fill="D5EAEA"/>
          </w:tcPr>
          <w:p>
            <w:pPr>
              <w:spacing w:after="0"/>
              <w:rPr>
                <w:sz w:val="15"/>
                <w:szCs w:val="15"/>
                <w:color w:val="auto"/>
              </w:rPr>
            </w:pPr>
          </w:p>
        </w:tc>
        <w:tc>
          <w:tcPr>
            <w:tcW w:w="140" w:type="dxa"/>
            <w:vAlign w:val="bottom"/>
            <w:tcBorders>
              <w:top w:val="single" w:sz="8" w:color="D5EAEA"/>
            </w:tcBorders>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Trade and other payables</w:t>
            </w:r>
          </w:p>
        </w:tc>
        <w:tc>
          <w:tcPr>
            <w:tcW w:w="134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1,442</w:t>
            </w:r>
          </w:p>
        </w:tc>
        <w:tc>
          <w:tcPr>
            <w:tcW w:w="100" w:type="dxa"/>
            <w:vAlign w:val="bottom"/>
            <w:shd w:val="clear" w:color="auto" w:fill="D5EAEA"/>
          </w:tcPr>
          <w:p>
            <w:pPr>
              <w:spacing w:after="0"/>
              <w:rPr>
                <w:sz w:val="17"/>
                <w:szCs w:val="17"/>
                <w:color w:val="auto"/>
              </w:rPr>
            </w:pPr>
          </w:p>
        </w:tc>
        <w:tc>
          <w:tcPr>
            <w:tcW w:w="1660" w:type="dxa"/>
            <w:vAlign w:val="bottom"/>
            <w:gridSpan w:val="2"/>
            <w:shd w:val="clear" w:color="auto" w:fill="D5EAEA"/>
          </w:tcPr>
          <w:p>
            <w:pPr>
              <w:jc w:val="right"/>
              <w:ind w:right="140"/>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9,339</w:t>
            </w:r>
          </w:p>
        </w:tc>
        <w:tc>
          <w:tcPr>
            <w:tcW w:w="100" w:type="dxa"/>
            <w:vAlign w:val="bottom"/>
          </w:tcPr>
          <w:p>
            <w:pPr>
              <w:spacing w:after="0"/>
              <w:rPr>
                <w:sz w:val="17"/>
                <w:szCs w:val="17"/>
                <w:color w:val="auto"/>
              </w:rPr>
            </w:pPr>
          </w:p>
        </w:tc>
        <w:tc>
          <w:tcPr>
            <w:tcW w:w="1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11,797</w:t>
            </w:r>
          </w:p>
        </w:tc>
        <w:tc>
          <w:tcPr>
            <w:tcW w:w="0" w:type="dxa"/>
            <w:vAlign w:val="bottom"/>
          </w:tcPr>
          <w:p>
            <w:pPr>
              <w:spacing w:after="0"/>
              <w:rPr>
                <w:sz w:val="1"/>
                <w:szCs w:val="1"/>
                <w:color w:val="auto"/>
              </w:rPr>
            </w:pPr>
          </w:p>
        </w:tc>
      </w:tr>
      <w:tr>
        <w:trPr>
          <w:trHeight w:val="203"/>
        </w:trPr>
        <w:tc>
          <w:tcPr>
            <w:tcW w:w="81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Short-term deferred income</w:t>
            </w:r>
          </w:p>
        </w:tc>
        <w:tc>
          <w:tcPr>
            <w:tcW w:w="134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1,407</w:t>
            </w:r>
          </w:p>
        </w:tc>
        <w:tc>
          <w:tcPr>
            <w:tcW w:w="100" w:type="dxa"/>
            <w:vAlign w:val="bottom"/>
            <w:shd w:val="clear" w:color="auto" w:fill="D5EAEA"/>
          </w:tcPr>
          <w:p>
            <w:pPr>
              <w:spacing w:after="0"/>
              <w:rPr>
                <w:sz w:val="17"/>
                <w:szCs w:val="17"/>
                <w:color w:val="auto"/>
              </w:rPr>
            </w:pPr>
          </w:p>
        </w:tc>
        <w:tc>
          <w:tcPr>
            <w:tcW w:w="1660" w:type="dxa"/>
            <w:vAlign w:val="bottom"/>
            <w:gridSpan w:val="2"/>
            <w:shd w:val="clear" w:color="auto" w:fill="D5EAEA"/>
          </w:tcPr>
          <w:p>
            <w:pPr>
              <w:jc w:val="right"/>
              <w:ind w:right="140"/>
              <w:spacing w:after="0" w:line="202" w:lineRule="exact"/>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Short-term financing obligation</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7"/>
                <w:szCs w:val="17"/>
                <w:color w:val="auto"/>
              </w:rPr>
            </w:pPr>
          </w:p>
        </w:tc>
        <w:tc>
          <w:tcPr>
            <w:tcW w:w="1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8140" w:type="dxa"/>
            <w:vAlign w:val="bottom"/>
            <w:shd w:val="clear" w:color="auto" w:fill="D5EAEA"/>
          </w:tcPr>
          <w:p>
            <w:pPr>
              <w:spacing w:after="0"/>
              <w:rPr>
                <w:sz w:val="20"/>
                <w:szCs w:val="20"/>
                <w:color w:val="auto"/>
              </w:rPr>
            </w:pPr>
            <w:r>
              <w:rPr>
                <w:rFonts w:ascii="Arial" w:cs="Arial" w:eastAsia="Arial" w:hAnsi="Arial"/>
                <w:sz w:val="18"/>
                <w:szCs w:val="18"/>
                <w:color w:val="auto"/>
              </w:rPr>
              <w:t>Short-term lease liabilities</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D5EAEA"/>
          </w:tcPr>
          <w:p>
            <w:pPr>
              <w:spacing w:after="0"/>
              <w:rPr>
                <w:sz w:val="18"/>
                <w:szCs w:val="18"/>
                <w:color w:val="auto"/>
              </w:rPr>
            </w:pPr>
          </w:p>
        </w:tc>
        <w:tc>
          <w:tcPr>
            <w:tcW w:w="166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12,947</w:t>
            </w:r>
          </w:p>
        </w:tc>
        <w:tc>
          <w:tcPr>
            <w:tcW w:w="120" w:type="dxa"/>
            <w:vAlign w:val="bottom"/>
            <w:tcBorders>
              <w:bottom w:val="single" w:sz="8" w:color="D5EAEA"/>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17,510</w:t>
            </w:r>
          </w:p>
        </w:tc>
        <w:tc>
          <w:tcPr>
            <w:tcW w:w="140" w:type="dxa"/>
            <w:vAlign w:val="bottom"/>
            <w:tcBorders>
              <w:bottom w:val="single" w:sz="8" w:color="D5EAE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4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liabilities</w:t>
            </w:r>
          </w:p>
        </w:tc>
        <w:tc>
          <w:tcPr>
            <w:tcW w:w="12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22,396</w:t>
            </w: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5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26,808</w:t>
            </w:r>
          </w:p>
        </w:tc>
        <w:tc>
          <w:tcPr>
            <w:tcW w:w="1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273,258</w:t>
            </w:r>
          </w:p>
        </w:tc>
        <w:tc>
          <w:tcPr>
            <w:tcW w:w="10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299,250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 / 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Statements of Income/(Loss)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for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Contract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Research &amp; development expenses</w:t>
      </w:r>
    </w:p>
    <w:p>
      <w:pPr>
        <w:spacing w:after="0"/>
        <w:rPr>
          <w:sz w:val="20"/>
          <w:szCs w:val="20"/>
          <w:color w:val="auto"/>
        </w:rPr>
      </w:pPr>
      <w:r>
        <w:rPr>
          <w:rFonts w:ascii="Arial" w:cs="Arial" w:eastAsia="Arial" w:hAnsi="Arial"/>
          <w:sz w:val="18"/>
          <w:szCs w:val="18"/>
          <w:color w:val="auto"/>
        </w:rPr>
        <w:t>General &amp;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expenses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Finance expense, net</w:t>
      </w:r>
    </w:p>
    <w:p>
      <w:pPr>
        <w:spacing w:after="0" w:line="234" w:lineRule="auto"/>
        <w:rPr>
          <w:sz w:val="20"/>
          <w:szCs w:val="20"/>
          <w:color w:val="auto"/>
        </w:rPr>
      </w:pPr>
      <w:r>
        <w:rPr>
          <w:rFonts w:ascii="Arial" w:cs="Arial" w:eastAsia="Arial" w:hAnsi="Arial"/>
          <w:sz w:val="18"/>
          <w:szCs w:val="18"/>
          <w:color w:val="auto"/>
        </w:rPr>
        <w:t>Change in fair value of conversion feature</w:t>
      </w:r>
    </w:p>
    <w:p>
      <w:pPr>
        <w:spacing w:after="0" w:line="235" w:lineRule="auto"/>
        <w:rPr>
          <w:sz w:val="20"/>
          <w:szCs w:val="20"/>
          <w:color w:val="auto"/>
        </w:rPr>
      </w:pPr>
      <w:r>
        <w:rPr>
          <w:rFonts w:ascii="Arial" w:cs="Arial" w:eastAsia="Arial" w:hAnsi="Arial"/>
          <w:sz w:val="18"/>
          <w:szCs w:val="18"/>
          <w:color w:val="auto"/>
        </w:rPr>
        <w:t>Interest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result, net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 before tax</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 for the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Earnings/(loss) per share (EPS):</w:t>
      </w:r>
    </w:p>
    <w:p>
      <w:pPr>
        <w:ind w:right="280"/>
        <w:spacing w:after="0" w:line="274" w:lineRule="auto"/>
        <w:rPr>
          <w:sz w:val="20"/>
          <w:szCs w:val="20"/>
          <w:color w:val="auto"/>
        </w:rPr>
      </w:pPr>
      <w:r>
        <w:rPr>
          <w:rFonts w:ascii="Arial" w:cs="Arial" w:eastAsia="Arial" w:hAnsi="Arial"/>
          <w:sz w:val="17"/>
          <w:szCs w:val="17"/>
          <w:color w:val="auto"/>
        </w:rPr>
        <w:t>Basic income/(loss) for the period attributable to equity holders Diluted income/(loss) for the period attributable to equity holders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Income/(loss) for the period</w:t>
      </w:r>
    </w:p>
    <w:p>
      <w:pPr>
        <w:spacing w:after="0" w:line="234" w:lineRule="auto"/>
        <w:rPr>
          <w:sz w:val="20"/>
          <w:szCs w:val="20"/>
          <w:color w:val="auto"/>
        </w:rPr>
      </w:pPr>
      <w:r>
        <w:rPr>
          <w:rFonts w:ascii="Arial" w:cs="Arial" w:eastAsia="Arial" w:hAnsi="Arial"/>
          <w:sz w:val="18"/>
          <w:szCs w:val="18"/>
          <w:color w:val="auto"/>
        </w:rPr>
        <w:t>Other comprehensive income/(loss) not to be reclassified to income or loss in subsequent periods (net of tax):</w:t>
      </w:r>
    </w:p>
    <w:p>
      <w:pPr>
        <w:spacing w:after="0" w:line="1" w:lineRule="exact"/>
        <w:rPr>
          <w:sz w:val="20"/>
          <w:szCs w:val="20"/>
          <w:color w:val="auto"/>
        </w:rPr>
      </w:pPr>
    </w:p>
    <w:p>
      <w:pPr>
        <w:ind w:right="1460"/>
        <w:spacing w:after="0" w:line="261" w:lineRule="auto"/>
        <w:rPr>
          <w:sz w:val="20"/>
          <w:szCs w:val="20"/>
          <w:color w:val="auto"/>
        </w:rPr>
      </w:pPr>
      <w:r>
        <w:rPr>
          <w:rFonts w:ascii="Arial" w:cs="Arial" w:eastAsia="Arial" w:hAnsi="Arial"/>
          <w:sz w:val="18"/>
          <w:szCs w:val="18"/>
          <w:color w:val="auto"/>
        </w:rPr>
        <w:t>Re-measurement losses on defined benefit plans Total comprehensive income/(loss), net of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center"/>
        <w:ind w:left="-59"/>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jc w:val="center"/>
        <w:ind w:left="-59"/>
        <w:spacing w:after="0"/>
        <w:rPr>
          <w:sz w:val="20"/>
          <w:szCs w:val="20"/>
          <w:color w:val="auto"/>
        </w:rPr>
      </w:pPr>
      <w:r>
        <w:rPr>
          <w:rFonts w:ascii="Arial" w:cs="Arial" w:eastAsia="Arial" w:hAnsi="Arial"/>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17913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ind w:left="500"/>
        <w:spacing w:after="0"/>
        <w:tabs>
          <w:tab w:leader="none" w:pos="19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142875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5715</wp:posOffset>
            </wp:positionV>
            <wp:extent cx="17913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18" w:lineRule="exact"/>
        <w:rPr>
          <w:sz w:val="20"/>
          <w:szCs w:val="20"/>
          <w:color w:val="auto"/>
        </w:rPr>
      </w:pPr>
    </w:p>
    <w:p>
      <w:pPr>
        <w:ind w:left="820"/>
        <w:spacing w:after="0"/>
        <w:tabs>
          <w:tab w:leader="none" w:pos="2260" w:val="left"/>
        </w:tabs>
        <w:rPr>
          <w:sz w:val="20"/>
          <w:szCs w:val="20"/>
          <w:color w:val="auto"/>
        </w:rPr>
      </w:pPr>
      <w:r>
        <w:rPr>
          <w:rFonts w:ascii="Arial" w:cs="Arial" w:eastAsia="Arial" w:hAnsi="Arial"/>
          <w:sz w:val="18"/>
          <w:szCs w:val="18"/>
          <w:color w:val="auto"/>
        </w:rPr>
        <w:t>1,278</w:t>
      </w:r>
      <w:r>
        <w:rPr>
          <w:sz w:val="20"/>
          <w:szCs w:val="20"/>
          <w:color w:val="auto"/>
        </w:rPr>
        <w:tab/>
      </w:r>
      <w:r>
        <w:rPr>
          <w:rFonts w:ascii="Arial" w:cs="Arial" w:eastAsia="Arial" w:hAnsi="Arial"/>
          <w:sz w:val="18"/>
          <w:szCs w:val="18"/>
          <w:color w:val="auto"/>
        </w:rPr>
        <w:t>1,511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17227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 w:lineRule="exact"/>
        <w:rPr>
          <w:sz w:val="20"/>
          <w:szCs w:val="20"/>
          <w:color w:val="auto"/>
        </w:rPr>
      </w:pPr>
    </w:p>
    <w:p>
      <w:pPr>
        <w:ind w:left="820"/>
        <w:spacing w:after="0"/>
        <w:tabs>
          <w:tab w:leader="none" w:pos="2260" w:val="left"/>
        </w:tabs>
        <w:rPr>
          <w:sz w:val="20"/>
          <w:szCs w:val="20"/>
          <w:color w:val="auto"/>
        </w:rPr>
      </w:pPr>
      <w:r>
        <w:rPr>
          <w:rFonts w:ascii="Arial" w:cs="Arial" w:eastAsia="Arial" w:hAnsi="Arial"/>
          <w:sz w:val="18"/>
          <w:szCs w:val="18"/>
          <w:color w:val="auto"/>
        </w:rPr>
        <w:t>1,278</w:t>
      </w:r>
      <w:r>
        <w:rPr>
          <w:sz w:val="20"/>
          <w:szCs w:val="20"/>
          <w:color w:val="auto"/>
        </w:rPr>
        <w:tab/>
      </w:r>
      <w:r>
        <w:rPr>
          <w:rFonts w:ascii="Arial" w:cs="Arial" w:eastAsia="Arial" w:hAnsi="Arial"/>
          <w:sz w:val="18"/>
          <w:szCs w:val="18"/>
          <w:color w:val="auto"/>
        </w:rPr>
        <w:t>1,511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-1905</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7"/>
          <w:szCs w:val="17"/>
          <w:color w:val="auto"/>
        </w:rPr>
        <w:t>(12,809)</w:t>
      </w:r>
      <w:r>
        <w:rPr>
          <w:sz w:val="20"/>
          <w:szCs w:val="20"/>
          <w:color w:val="auto"/>
        </w:rPr>
        <w:tab/>
      </w:r>
      <w:r>
        <w:rPr>
          <w:rFonts w:ascii="Arial" w:cs="Arial" w:eastAsia="Arial" w:hAnsi="Arial"/>
          <w:sz w:val="17"/>
          <w:szCs w:val="17"/>
          <w:color w:val="auto"/>
        </w:rPr>
        <w:t>(12,700)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-123190</wp:posOffset>
            </wp:positionV>
            <wp:extent cx="713232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jc w:val="right"/>
        <w:spacing w:after="0"/>
        <w:tabs>
          <w:tab w:leader="none" w:pos="540" w:val="left"/>
        </w:tabs>
        <w:rPr>
          <w:sz w:val="20"/>
          <w:szCs w:val="20"/>
          <w:color w:val="auto"/>
        </w:rPr>
      </w:pPr>
      <w:r>
        <w:rPr>
          <w:rFonts w:ascii="Arial" w:cs="Arial" w:eastAsia="Arial" w:hAnsi="Arial"/>
          <w:sz w:val="18"/>
          <w:szCs w:val="18"/>
          <w:color w:val="auto"/>
        </w:rPr>
        <w:t>(4,156)</w:t>
      </w:r>
      <w:r>
        <w:rPr>
          <w:sz w:val="20"/>
          <w:szCs w:val="20"/>
          <w:color w:val="auto"/>
        </w:rPr>
        <w:tab/>
      </w:r>
      <w:r>
        <w:rPr>
          <w:rFonts w:ascii="Arial" w:cs="Arial" w:eastAsia="Arial" w:hAnsi="Arial"/>
          <w:sz w:val="17"/>
          <w:szCs w:val="17"/>
          <w:color w:val="auto"/>
        </w:rPr>
        <w:t>(3,585)</w:t>
      </w:r>
    </w:p>
    <w:p>
      <w:pPr>
        <w:spacing w:after="0" w:line="9"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color w:val="auto"/>
        </w:rPr>
        <w:t>(16,965)</w:t>
      </w:r>
      <w:r>
        <w:rPr>
          <w:sz w:val="20"/>
          <w:szCs w:val="20"/>
          <w:color w:val="auto"/>
        </w:rPr>
        <w:tab/>
      </w:r>
      <w:r>
        <w:rPr>
          <w:rFonts w:ascii="Arial" w:cs="Arial" w:eastAsia="Arial" w:hAnsi="Arial"/>
          <w:sz w:val="17"/>
          <w:szCs w:val="17"/>
          <w:color w:val="auto"/>
        </w:rPr>
        <w:t>(16,285)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-130175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color w:val="auto"/>
        </w:rPr>
        <w:t>(15,687)</w:t>
      </w:r>
      <w:r>
        <w:rPr>
          <w:sz w:val="20"/>
          <w:szCs w:val="20"/>
          <w:color w:val="auto"/>
        </w:rPr>
        <w:tab/>
      </w:r>
      <w:r>
        <w:rPr>
          <w:rFonts w:ascii="Arial" w:cs="Arial" w:eastAsia="Arial" w:hAnsi="Arial"/>
          <w:sz w:val="17"/>
          <w:szCs w:val="17"/>
          <w:color w:val="auto"/>
        </w:rPr>
        <w:t>(14,774)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6350</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17227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5" w:lineRule="exact"/>
        <w:rPr>
          <w:sz w:val="20"/>
          <w:szCs w:val="20"/>
          <w:color w:val="auto"/>
        </w:rPr>
      </w:pPr>
    </w:p>
    <w:p>
      <w:pPr>
        <w:ind w:left="2220" w:hanging="1215"/>
        <w:spacing w:after="0"/>
        <w:tabs>
          <w:tab w:leader="none" w:pos="2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(1,732)</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17</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101"/>
              <w:spacing w:after="0"/>
              <w:rPr>
                <w:sz w:val="20"/>
                <w:szCs w:val="20"/>
                <w:color w:val="auto"/>
              </w:rPr>
            </w:pPr>
            <w:r>
              <w:rPr>
                <w:rFonts w:ascii="Arial" w:cs="Arial" w:eastAsia="Arial" w:hAnsi="Arial"/>
                <w:sz w:val="18"/>
                <w:szCs w:val="18"/>
                <w:color w:val="auto"/>
              </w:rPr>
              <w:t>(55)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197"/>
        </w:trPr>
        <w:tc>
          <w:tcPr>
            <w:tcW w:w="126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(51</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(2,125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12"/>
        </w:trPr>
        <w:tc>
          <w:tcPr>
            <w:tcW w:w="1500" w:type="dxa"/>
            <w:vAlign w:val="bottom"/>
            <w:gridSpan w:val="2"/>
          </w:tcPr>
          <w:p>
            <w:pPr>
              <w:jc w:val="right"/>
              <w:ind w:right="101"/>
              <w:spacing w:after="0"/>
              <w:rPr>
                <w:sz w:val="20"/>
                <w:szCs w:val="20"/>
                <w:color w:val="auto"/>
              </w:rPr>
            </w:pPr>
            <w:r>
              <w:rPr>
                <w:rFonts w:ascii="Arial" w:cs="Arial" w:eastAsia="Arial" w:hAnsi="Arial"/>
                <w:sz w:val="18"/>
                <w:szCs w:val="18"/>
                <w:color w:val="auto"/>
              </w:rPr>
              <w:t>(15,738)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(16,899)</w:t>
            </w:r>
          </w:p>
        </w:tc>
        <w:tc>
          <w:tcPr>
            <w:tcW w:w="0" w:type="dxa"/>
            <w:vAlign w:val="bottom"/>
          </w:tcPr>
          <w:p>
            <w:pPr>
              <w:spacing w:after="0"/>
              <w:rPr>
                <w:sz w:val="1"/>
                <w:szCs w:val="1"/>
                <w:color w:val="auto"/>
              </w:rPr>
            </w:pPr>
          </w:p>
        </w:tc>
      </w:tr>
      <w:tr>
        <w:trPr>
          <w:trHeight w:val="196"/>
        </w:trPr>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vMerge w:val="restart"/>
          </w:tcPr>
          <w:p>
            <w:pPr>
              <w:jc w:val="right"/>
              <w:ind w:right="10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(15,738</w:t>
            </w:r>
          </w:p>
        </w:tc>
        <w:tc>
          <w:tcPr>
            <w:tcW w:w="24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(16,899</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-1087755</wp:posOffset>
            </wp:positionV>
            <wp:extent cx="713232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-830580</wp:posOffset>
            </wp:positionV>
            <wp:extent cx="71323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-281940</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-7620</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-556895</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0"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8"/>
          <w:szCs w:val="18"/>
          <w:color w:val="auto"/>
        </w:rPr>
        <w:t>(0.22)</w:t>
      </w:r>
      <w:r>
        <w:rPr>
          <w:sz w:val="20"/>
          <w:szCs w:val="20"/>
          <w:color w:val="auto"/>
        </w:rPr>
        <w:tab/>
      </w:r>
      <w:r>
        <w:rPr>
          <w:rFonts w:ascii="Arial" w:cs="Arial" w:eastAsia="Arial" w:hAnsi="Arial"/>
          <w:sz w:val="17"/>
          <w:szCs w:val="17"/>
          <w:color w:val="auto"/>
        </w:rPr>
        <w:t>(0.24)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-127635</wp:posOffset>
            </wp:positionV>
            <wp:extent cx="713232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jc w:val="right"/>
        <w:spacing w:after="0"/>
        <w:tabs>
          <w:tab w:leader="none" w:pos="440" w:val="left"/>
        </w:tabs>
        <w:rPr>
          <w:sz w:val="20"/>
          <w:szCs w:val="20"/>
          <w:color w:val="auto"/>
        </w:rPr>
      </w:pPr>
      <w:r>
        <w:rPr>
          <w:rFonts w:ascii="Arial" w:cs="Arial" w:eastAsia="Arial" w:hAnsi="Arial"/>
          <w:sz w:val="18"/>
          <w:szCs w:val="18"/>
          <w:color w:val="auto"/>
        </w:rPr>
        <w:t>(0.22)</w:t>
      </w:r>
      <w:r>
        <w:rPr>
          <w:sz w:val="20"/>
          <w:szCs w:val="20"/>
          <w:color w:val="auto"/>
        </w:rPr>
        <w:tab/>
      </w:r>
      <w:r>
        <w:rPr>
          <w:rFonts w:ascii="Arial" w:cs="Arial" w:eastAsia="Arial" w:hAnsi="Arial"/>
          <w:sz w:val="17"/>
          <w:szCs w:val="17"/>
          <w:color w:val="auto"/>
        </w:rPr>
        <w:t>(0.24)</w:t>
      </w:r>
    </w:p>
    <w:p>
      <w:pPr>
        <w:spacing w:after="0" w:line="217" w:lineRule="exact"/>
        <w:rPr>
          <w:sz w:val="20"/>
          <w:szCs w:val="20"/>
          <w:color w:val="auto"/>
        </w:rPr>
      </w:pPr>
    </w:p>
    <w:p>
      <w:pPr>
        <w:ind w:left="780" w:right="460" w:hanging="294"/>
        <w:spacing w:after="0" w:line="270" w:lineRule="auto"/>
        <w:rPr>
          <w:sz w:val="20"/>
          <w:szCs w:val="20"/>
          <w:color w:val="auto"/>
        </w:rPr>
      </w:pPr>
      <w:r>
        <w:rPr>
          <w:rFonts w:ascii="Arial" w:cs="Arial" w:eastAsia="Arial" w:hAnsi="Arial"/>
          <w:sz w:val="17"/>
          <w:szCs w:val="17"/>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17913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ind w:left="500"/>
        <w:spacing w:after="0"/>
        <w:tabs>
          <w:tab w:leader="none" w:pos="19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17913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204"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7"/>
          <w:szCs w:val="17"/>
          <w:color w:val="auto"/>
        </w:rPr>
        <w:t>(15,738)</w:t>
      </w:r>
      <w:r>
        <w:rPr>
          <w:sz w:val="20"/>
          <w:szCs w:val="20"/>
          <w:color w:val="auto"/>
        </w:rPr>
        <w:tab/>
      </w:r>
      <w:r>
        <w:rPr>
          <w:rFonts w:ascii="Arial" w:cs="Arial" w:eastAsia="Arial" w:hAnsi="Arial"/>
          <w:sz w:val="17"/>
          <w:szCs w:val="17"/>
          <w:color w:val="auto"/>
        </w:rPr>
        <w:t>(16,899)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-123190</wp:posOffset>
            </wp:positionV>
            <wp:extent cx="7132320"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262255</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080"/>
        <w:spacing w:after="0"/>
        <w:tabs>
          <w:tab w:leader="none" w:pos="2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ind w:left="660"/>
        <w:spacing w:after="0"/>
        <w:tabs>
          <w:tab w:leader="none" w:pos="2100" w:val="left"/>
        </w:tabs>
        <w:rPr>
          <w:sz w:val="20"/>
          <w:szCs w:val="20"/>
          <w:color w:val="auto"/>
        </w:rPr>
      </w:pPr>
      <w:r>
        <w:rPr>
          <w:rFonts w:ascii="Arial" w:cs="Arial" w:eastAsia="Arial" w:hAnsi="Arial"/>
          <w:sz w:val="18"/>
          <w:szCs w:val="18"/>
          <w:color w:val="auto"/>
        </w:rPr>
        <w:t>(15,738)</w:t>
      </w:r>
      <w:r>
        <w:rPr>
          <w:sz w:val="20"/>
          <w:szCs w:val="20"/>
          <w:color w:val="auto"/>
        </w:rPr>
        <w:tab/>
      </w:r>
      <w:r>
        <w:rPr>
          <w:rFonts w:ascii="Arial" w:cs="Arial" w:eastAsia="Arial" w:hAnsi="Arial"/>
          <w:sz w:val="17"/>
          <w:szCs w:val="17"/>
          <w:color w:val="auto"/>
        </w:rPr>
        <w:t>(16,899)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72275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2275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1722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391795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7659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ind w:left="460"/>
        <w:spacing w:after="0"/>
        <w:tabs>
          <w:tab w:leader="none" w:pos="19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7659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18" w:lineRule="exact"/>
        <w:rPr>
          <w:sz w:val="20"/>
          <w:szCs w:val="20"/>
          <w:color w:val="auto"/>
        </w:rPr>
      </w:pPr>
    </w:p>
    <w:p>
      <w:pPr>
        <w:ind w:left="680"/>
        <w:spacing w:after="0"/>
        <w:tabs>
          <w:tab w:leader="none" w:pos="2100" w:val="left"/>
        </w:tabs>
        <w:rPr>
          <w:sz w:val="20"/>
          <w:szCs w:val="20"/>
          <w:color w:val="auto"/>
        </w:rPr>
      </w:pPr>
      <w:r>
        <w:rPr>
          <w:rFonts w:ascii="Arial" w:cs="Arial" w:eastAsia="Arial" w:hAnsi="Arial"/>
          <w:sz w:val="18"/>
          <w:szCs w:val="18"/>
          <w:color w:val="auto"/>
        </w:rPr>
        <w:t>13,689</w:t>
      </w:r>
      <w:r>
        <w:rPr>
          <w:sz w:val="20"/>
          <w:szCs w:val="20"/>
          <w:color w:val="auto"/>
        </w:rPr>
        <w:tab/>
      </w:r>
      <w:r>
        <w:rPr>
          <w:rFonts w:ascii="Arial" w:cs="Arial" w:eastAsia="Arial" w:hAnsi="Arial"/>
          <w:sz w:val="18"/>
          <w:szCs w:val="18"/>
          <w:color w:val="auto"/>
        </w:rPr>
        <w:t>76,553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6973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 w:lineRule="exact"/>
        <w:rPr>
          <w:sz w:val="20"/>
          <w:szCs w:val="20"/>
          <w:color w:val="auto"/>
        </w:rPr>
      </w:pPr>
    </w:p>
    <w:p>
      <w:pPr>
        <w:ind w:left="680"/>
        <w:spacing w:after="0"/>
        <w:tabs>
          <w:tab w:leader="none" w:pos="2100" w:val="left"/>
        </w:tabs>
        <w:rPr>
          <w:sz w:val="20"/>
          <w:szCs w:val="20"/>
          <w:color w:val="auto"/>
        </w:rPr>
      </w:pPr>
      <w:r>
        <w:rPr>
          <w:rFonts w:ascii="Arial" w:cs="Arial" w:eastAsia="Arial" w:hAnsi="Arial"/>
          <w:sz w:val="18"/>
          <w:szCs w:val="18"/>
          <w:color w:val="auto"/>
        </w:rPr>
        <w:t>13,689</w:t>
      </w:r>
      <w:r>
        <w:rPr>
          <w:sz w:val="20"/>
          <w:szCs w:val="20"/>
          <w:color w:val="auto"/>
        </w:rPr>
        <w:tab/>
      </w:r>
      <w:r>
        <w:rPr>
          <w:rFonts w:ascii="Arial" w:cs="Arial" w:eastAsia="Arial" w:hAnsi="Arial"/>
          <w:sz w:val="18"/>
          <w:szCs w:val="18"/>
          <w:color w:val="auto"/>
        </w:rPr>
        <w:t>76,553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6973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20"/>
        <w:spacing w:after="0"/>
        <w:tabs>
          <w:tab w:leader="none" w:pos="2040" w:val="left"/>
        </w:tabs>
        <w:rPr>
          <w:sz w:val="20"/>
          <w:szCs w:val="20"/>
          <w:color w:val="auto"/>
        </w:rPr>
      </w:pPr>
      <w:r>
        <w:rPr>
          <w:rFonts w:ascii="Arial" w:cs="Arial" w:eastAsia="Arial" w:hAnsi="Arial"/>
          <w:sz w:val="18"/>
          <w:szCs w:val="18"/>
          <w:color w:val="auto"/>
        </w:rPr>
        <w:t>(28,018)</w:t>
      </w:r>
      <w:r>
        <w:rPr>
          <w:sz w:val="20"/>
          <w:szCs w:val="20"/>
          <w:color w:val="auto"/>
        </w:rPr>
        <w:tab/>
      </w:r>
      <w:r>
        <w:rPr>
          <w:rFonts w:ascii="Arial" w:cs="Arial" w:eastAsia="Arial" w:hAnsi="Arial"/>
          <w:sz w:val="18"/>
          <w:szCs w:val="18"/>
          <w:color w:val="auto"/>
        </w:rPr>
        <w:t>(24,293)</w:t>
      </w:r>
    </w:p>
    <w:p>
      <w:pPr>
        <w:ind w:left="720"/>
        <w:spacing w:after="0"/>
        <w:tabs>
          <w:tab w:leader="none" w:pos="2140" w:val="left"/>
        </w:tabs>
        <w:rPr>
          <w:sz w:val="20"/>
          <w:szCs w:val="20"/>
          <w:color w:val="auto"/>
        </w:rPr>
      </w:pPr>
      <w:r>
        <w:rPr>
          <w:rFonts w:ascii="Arial" w:cs="Arial" w:eastAsia="Arial" w:hAnsi="Arial"/>
          <w:sz w:val="18"/>
          <w:szCs w:val="18"/>
          <w:color w:val="auto"/>
        </w:rPr>
        <w:t>(8,660)</w:t>
      </w:r>
      <w:r>
        <w:rPr>
          <w:sz w:val="20"/>
          <w:szCs w:val="20"/>
          <w:color w:val="auto"/>
        </w:rPr>
        <w:tab/>
      </w:r>
      <w:r>
        <w:rPr>
          <w:rFonts w:ascii="Arial" w:cs="Arial" w:eastAsia="Arial" w:hAnsi="Arial"/>
          <w:sz w:val="18"/>
          <w:szCs w:val="18"/>
          <w:color w:val="auto"/>
        </w:rPr>
        <w:t>(6,879)</w:t>
      </w:r>
    </w:p>
    <w:p>
      <w:pPr>
        <w:spacing w:after="0" w:line="9" w:lineRule="exact"/>
        <w:rPr>
          <w:sz w:val="20"/>
          <w:szCs w:val="20"/>
          <w:color w:val="auto"/>
        </w:rPr>
      </w:pPr>
    </w:p>
    <w:p>
      <w:pPr>
        <w:ind w:left="620"/>
        <w:spacing w:after="0"/>
        <w:tabs>
          <w:tab w:leader="none" w:pos="2040" w:val="left"/>
        </w:tabs>
        <w:rPr>
          <w:sz w:val="20"/>
          <w:szCs w:val="20"/>
          <w:color w:val="auto"/>
        </w:rPr>
      </w:pPr>
      <w:r>
        <w:rPr>
          <w:rFonts w:ascii="Arial" w:cs="Arial" w:eastAsia="Arial" w:hAnsi="Arial"/>
          <w:sz w:val="18"/>
          <w:szCs w:val="18"/>
          <w:color w:val="auto"/>
        </w:rPr>
        <w:t>(36,678)</w:t>
      </w:r>
      <w:r>
        <w:rPr>
          <w:sz w:val="20"/>
          <w:szCs w:val="20"/>
          <w:color w:val="auto"/>
        </w:rPr>
        <w:tab/>
      </w:r>
      <w:r>
        <w:rPr>
          <w:rFonts w:ascii="Arial" w:cs="Arial" w:eastAsia="Arial" w:hAnsi="Arial"/>
          <w:sz w:val="18"/>
          <w:szCs w:val="18"/>
          <w:color w:val="auto"/>
        </w:rPr>
        <w:t>(31,172)</w:t>
      </w:r>
    </w:p>
    <w:p>
      <w:pPr>
        <w:spacing w:after="0" w:line="50" w:lineRule="exact"/>
        <w:rPr>
          <w:sz w:val="20"/>
          <w:szCs w:val="20"/>
          <w:color w:val="auto"/>
        </w:rPr>
      </w:pPr>
    </w:p>
    <w:p>
      <w:pPr>
        <w:ind w:left="620"/>
        <w:spacing w:after="0"/>
        <w:tabs>
          <w:tab w:leader="none" w:pos="2100" w:val="left"/>
        </w:tabs>
        <w:rPr>
          <w:sz w:val="20"/>
          <w:szCs w:val="20"/>
          <w:color w:val="auto"/>
        </w:rPr>
      </w:pPr>
      <w:r>
        <w:rPr>
          <w:rFonts w:ascii="Arial" w:cs="Arial" w:eastAsia="Arial" w:hAnsi="Arial"/>
          <w:sz w:val="18"/>
          <w:szCs w:val="18"/>
          <w:color w:val="auto"/>
        </w:rPr>
        <w:t>(22,989)</w:t>
      </w:r>
      <w:r>
        <w:rPr>
          <w:sz w:val="20"/>
          <w:szCs w:val="20"/>
          <w:color w:val="auto"/>
        </w:rPr>
        <w:tab/>
      </w:r>
      <w:r>
        <w:rPr>
          <w:rFonts w:ascii="Arial" w:cs="Arial" w:eastAsia="Arial" w:hAnsi="Arial"/>
          <w:sz w:val="18"/>
          <w:szCs w:val="18"/>
          <w:color w:val="auto"/>
        </w:rPr>
        <w:t>45,381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16973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01" w:lineRule="exact"/>
        <w:rPr>
          <w:sz w:val="20"/>
          <w:szCs w:val="20"/>
          <w:color w:val="auto"/>
        </w:rPr>
      </w:pPr>
    </w:p>
    <w:p>
      <w:pPr>
        <w:ind w:left="2160" w:hanging="1293"/>
        <w:spacing w:after="0"/>
        <w:tabs>
          <w:tab w:leader="none" w:pos="2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(1,812)</w:t>
      </w:r>
    </w:p>
    <w:p>
      <w:pPr>
        <w:ind w:left="1040"/>
        <w:spacing w:after="0" w:line="234" w:lineRule="auto"/>
        <w:rPr>
          <w:rFonts w:ascii="Arial" w:cs="Arial" w:eastAsia="Arial" w:hAnsi="Arial"/>
          <w:sz w:val="18"/>
          <w:szCs w:val="18"/>
          <w:color w:val="auto"/>
        </w:rPr>
      </w:pPr>
      <w:r>
        <w:rPr>
          <w:rFonts w:ascii="Arial" w:cs="Arial" w:eastAsia="Arial" w:hAnsi="Arial"/>
          <w:sz w:val="18"/>
          <w:szCs w:val="18"/>
          <w:color w:val="auto"/>
        </w:rPr>
        <w:t>—4,542</w:t>
      </w:r>
    </w:p>
    <w:p>
      <w:pPr>
        <w:spacing w:after="0" w:line="1" w:lineRule="exact"/>
        <w:rPr>
          <w:sz w:val="20"/>
          <w:szCs w:val="20"/>
          <w:color w:val="auto"/>
        </w:rPr>
      </w:pPr>
    </w:p>
    <w:p>
      <w:pPr>
        <w:ind w:left="2380" w:hanging="1352"/>
        <w:spacing w:after="0"/>
        <w:tabs>
          <w:tab w:leader="none" w:pos="2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164</w:t>
      </w:r>
    </w:p>
    <w:p>
      <w:pPr>
        <w:spacing w:after="0" w:line="9"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(109)(1,601)</w:t>
      </w:r>
    </w:p>
    <w:p>
      <w:pPr>
        <w:spacing w:after="0" w:line="9"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(436)1,293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16973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(23,425)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46,674</w:t>
            </w:r>
          </w:p>
        </w:tc>
        <w:tc>
          <w:tcPr>
            <w:tcW w:w="0" w:type="dxa"/>
            <w:vAlign w:val="bottom"/>
          </w:tcPr>
          <w:p>
            <w:pPr>
              <w:spacing w:after="0"/>
              <w:rPr>
                <w:sz w:val="1"/>
                <w:szCs w:val="1"/>
                <w:color w:val="auto"/>
              </w:rPr>
            </w:pPr>
          </w:p>
        </w:tc>
      </w:tr>
      <w:tr>
        <w:trPr>
          <w:trHeight w:val="196"/>
        </w:trPr>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(23,425</w:t>
            </w:r>
          </w:p>
        </w:tc>
        <w:tc>
          <w:tcPr>
            <w:tcW w:w="22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0"/>
        </w:trPr>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(0.33)</w:t>
            </w:r>
          </w:p>
        </w:tc>
        <w:tc>
          <w:tcPr>
            <w:tcW w:w="1240" w:type="dxa"/>
            <w:vAlign w:val="bottom"/>
          </w:tcPr>
          <w:p>
            <w:pPr>
              <w:jc w:val="right"/>
              <w:spacing w:after="0"/>
              <w:rPr>
                <w:sz w:val="20"/>
                <w:szCs w:val="20"/>
                <w:color w:val="auto"/>
              </w:rPr>
            </w:pPr>
            <w:r>
              <w:rPr>
                <w:rFonts w:ascii="Arial" w:cs="Arial" w:eastAsia="Arial" w:hAnsi="Arial"/>
                <w:sz w:val="18"/>
                <w:szCs w:val="18"/>
                <w:color w:val="auto"/>
              </w:rPr>
              <w:t>0.67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(0.33)</w:t>
            </w:r>
          </w:p>
        </w:tc>
        <w:tc>
          <w:tcPr>
            <w:tcW w:w="1240" w:type="dxa"/>
            <w:vAlign w:val="bottom"/>
          </w:tcPr>
          <w:p>
            <w:pPr>
              <w:jc w:val="right"/>
              <w:spacing w:after="0"/>
              <w:rPr>
                <w:sz w:val="20"/>
                <w:szCs w:val="20"/>
                <w:color w:val="auto"/>
              </w:rPr>
            </w:pPr>
            <w:r>
              <w:rPr>
                <w:rFonts w:ascii="Arial" w:cs="Arial" w:eastAsia="Arial" w:hAnsi="Arial"/>
                <w:sz w:val="18"/>
                <w:szCs w:val="18"/>
                <w:color w:val="auto"/>
              </w:rPr>
              <w:t>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740" w:right="600" w:hanging="184"/>
        <w:spacing w:after="0" w:line="256" w:lineRule="auto"/>
        <w:rPr>
          <w:sz w:val="20"/>
          <w:szCs w:val="20"/>
          <w:color w:val="auto"/>
        </w:rPr>
      </w:pPr>
      <w:r>
        <w:rPr>
          <w:rFonts w:ascii="Arial" w:cs="Arial" w:eastAsia="Arial" w:hAnsi="Arial"/>
          <w:sz w:val="18"/>
          <w:szCs w:val="18"/>
          <w:b w:val="1"/>
          <w:bCs w:val="1"/>
          <w:color w:val="auto"/>
        </w:rPr>
        <w:t>For the Six Months ended June 30,</w:t>
      </w:r>
    </w:p>
    <w:tbl>
      <w:tblPr>
        <w:tblLayout w:type="fixed"/>
        <w:tblInd w:w="0" w:type="dxa"/>
        <w:tblCellMar>
          <w:top w:w="0" w:type="dxa"/>
          <w:left w:w="0" w:type="dxa"/>
          <w:bottom w:w="0" w:type="dxa"/>
          <w:right w:w="0" w:type="dxa"/>
        </w:tblCellMar>
      </w:tblPr>
      <w:tr>
        <w:trPr>
          <w:trHeight w:val="196"/>
        </w:trPr>
        <w:tc>
          <w:tcPr>
            <w:tcW w:w="122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7"/>
                <w:szCs w:val="17"/>
                <w:color w:val="auto"/>
              </w:rPr>
            </w:pPr>
          </w:p>
        </w:tc>
      </w:tr>
      <w:tr>
        <w:trPr>
          <w:trHeight w:val="412"/>
        </w:trPr>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(23,425)</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46,674</w:t>
            </w:r>
          </w:p>
        </w:tc>
        <w:tc>
          <w:tcPr>
            <w:tcW w:w="100" w:type="dxa"/>
            <w:vAlign w:val="bottom"/>
          </w:tcPr>
          <w:p>
            <w:pPr>
              <w:spacing w:after="0"/>
              <w:rPr>
                <w:sz w:val="24"/>
                <w:szCs w:val="24"/>
                <w:color w:val="auto"/>
              </w:rPr>
            </w:pPr>
          </w:p>
        </w:tc>
      </w:tr>
      <w:tr>
        <w:trPr>
          <w:trHeight w:val="607"/>
        </w:trPr>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10"/>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46,674</w:t>
            </w:r>
          </w:p>
        </w:tc>
        <w:tc>
          <w:tcPr>
            <w:tcW w:w="100" w:type="dxa"/>
            <w:vAlign w:val="bottom"/>
          </w:tcPr>
          <w:p>
            <w:pPr>
              <w:spacing w:after="0"/>
              <w:rPr>
                <w:sz w:val="18"/>
                <w:szCs w:val="18"/>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 / 7</w:t>
      </w:r>
    </w:p>
    <w:p>
      <w:pPr>
        <w:sectPr>
          <w:pgSz w:w="11900" w:h="16838" w:orient="portrait"/>
          <w:cols w:equalWidth="0" w:num="3">
            <w:col w:w="5380" w:space="140"/>
            <w:col w:w="2780" w:space="160"/>
            <w:col w:w="2780"/>
          </w:cols>
          <w:pgMar w:left="320" w:top="118"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Earnings/(Loss) Per Share to Adjusted Earnings/(Loss) Per Share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Non-cash share-based payments (a)</w:t>
      </w:r>
    </w:p>
    <w:p>
      <w:pPr>
        <w:spacing w:after="0" w:line="234" w:lineRule="auto"/>
        <w:rPr>
          <w:sz w:val="20"/>
          <w:szCs w:val="20"/>
          <w:color w:val="auto"/>
        </w:rPr>
      </w:pPr>
      <w:r>
        <w:rPr>
          <w:rFonts w:ascii="Arial" w:cs="Arial" w:eastAsia="Arial" w:hAnsi="Arial"/>
          <w:sz w:val="18"/>
          <w:szCs w:val="18"/>
          <w:color w:val="auto"/>
        </w:rPr>
        <w:t>Foreign currency losses (b)</w:t>
      </w:r>
    </w:p>
    <w:p>
      <w:pPr>
        <w:spacing w:after="0" w:line="235" w:lineRule="auto"/>
        <w:rPr>
          <w:sz w:val="20"/>
          <w:szCs w:val="20"/>
          <w:color w:val="auto"/>
        </w:rPr>
      </w:pPr>
      <w:r>
        <w:rPr>
          <w:rFonts w:ascii="Arial" w:cs="Arial" w:eastAsia="Arial" w:hAnsi="Arial"/>
          <w:sz w:val="18"/>
          <w:szCs w:val="18"/>
          <w:color w:val="auto"/>
        </w:rPr>
        <w:t>Effective interest expense (c)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conversion feature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Income/(Loss)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basic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basic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earnings/(loss) per share – basic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earnings/(loss) per share – diluted</w:t>
      </w:r>
    </w:p>
    <w:p>
      <w:pPr>
        <w:spacing w:after="0" w:line="9" w:lineRule="exact"/>
        <w:rPr>
          <w:sz w:val="20"/>
          <w:szCs w:val="20"/>
          <w:color w:val="auto"/>
        </w:rPr>
      </w:pPr>
    </w:p>
    <w:p>
      <w:pPr>
        <w:ind w:left="180" w:right="140" w:hanging="167"/>
        <w:spacing w:after="0" w:line="234" w:lineRule="auto"/>
        <w:rPr>
          <w:sz w:val="20"/>
          <w:szCs w:val="20"/>
          <w:color w:val="auto"/>
        </w:rPr>
      </w:pPr>
      <w:r>
        <w:rPr>
          <w:rFonts w:ascii="Arial" w:cs="Arial" w:eastAsia="Arial" w:hAnsi="Arial"/>
          <w:sz w:val="18"/>
          <w:szCs w:val="18"/>
          <w:color w:val="auto"/>
        </w:rPr>
        <w:t>Weighted-average number of shares outstanding Adjusted earnings/(loss)–basic</w:t>
      </w:r>
    </w:p>
    <w:p>
      <w:pPr>
        <w:spacing w:after="0" w:line="1" w:lineRule="exact"/>
        <w:rPr>
          <w:sz w:val="20"/>
          <w:szCs w:val="20"/>
          <w:color w:val="auto"/>
        </w:rPr>
      </w:pPr>
    </w:p>
    <w:p>
      <w:pPr>
        <w:ind w:left="180" w:right="140" w:hanging="167"/>
        <w:spacing w:after="0" w:line="246" w:lineRule="auto"/>
        <w:rPr>
          <w:sz w:val="20"/>
          <w:szCs w:val="20"/>
          <w:color w:val="auto"/>
        </w:rPr>
      </w:pPr>
      <w:r>
        <w:rPr>
          <w:rFonts w:ascii="Arial" w:cs="Arial" w:eastAsia="Arial" w:hAnsi="Arial"/>
          <w:sz w:val="18"/>
          <w:szCs w:val="18"/>
          <w:color w:val="auto"/>
        </w:rPr>
        <w:t>Weighted-average number of shares outstanding Adjusted earnings/(loss)–diluted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940" w:type="dxa"/>
            <w:vAlign w:val="bottom"/>
            <w:gridSpan w:val="3"/>
          </w:tcPr>
          <w:p>
            <w:pPr>
              <w:ind w:left="500"/>
              <w:spacing w:after="0"/>
              <w:rPr>
                <w:sz w:val="20"/>
                <w:szCs w:val="20"/>
                <w:color w:val="auto"/>
              </w:rPr>
            </w:pPr>
            <w:r>
              <w:rPr>
                <w:rFonts w:ascii="Arial" w:cs="Arial" w:eastAsia="Arial" w:hAnsi="Arial"/>
                <w:sz w:val="18"/>
                <w:szCs w:val="18"/>
                <w:b w:val="1"/>
                <w:bCs w:val="1"/>
                <w:color w:val="auto"/>
              </w:rPr>
              <w:t>For the Three Months</w:t>
            </w:r>
          </w:p>
        </w:tc>
        <w:tc>
          <w:tcPr>
            <w:tcW w:w="2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For the Six Months</w:t>
            </w:r>
          </w:p>
        </w:tc>
      </w:tr>
      <w:tr>
        <w:trPr>
          <w:trHeight w:val="225"/>
        </w:trPr>
        <w:tc>
          <w:tcPr>
            <w:tcW w:w="2940" w:type="dxa"/>
            <w:vAlign w:val="bottom"/>
            <w:gridSpan w:val="3"/>
          </w:tcPr>
          <w:p>
            <w:pPr>
              <w:ind w:left="760"/>
              <w:spacing w:after="0"/>
              <w:rPr>
                <w:sz w:val="20"/>
                <w:szCs w:val="20"/>
                <w:color w:val="auto"/>
              </w:rPr>
            </w:pPr>
            <w:r>
              <w:rPr>
                <w:rFonts w:ascii="Arial" w:cs="Arial" w:eastAsia="Arial" w:hAnsi="Arial"/>
                <w:sz w:val="18"/>
                <w:szCs w:val="18"/>
                <w:b w:val="1"/>
                <w:bCs w:val="1"/>
                <w:color w:val="auto"/>
              </w:rPr>
              <w:t>Ended June 30,</w:t>
            </w:r>
          </w:p>
        </w:tc>
        <w:tc>
          <w:tcPr>
            <w:tcW w:w="2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Ended June 30,</w:t>
            </w:r>
          </w:p>
        </w:tc>
      </w:tr>
      <w:tr>
        <w:trPr>
          <w:trHeight w:val="222"/>
        </w:trPr>
        <w:tc>
          <w:tcPr>
            <w:tcW w:w="144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2020</w:t>
            </w:r>
          </w:p>
        </w:tc>
        <w:tc>
          <w:tcPr>
            <w:tcW w:w="14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36258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ind w:left="500"/>
        <w:spacing w:after="0" w:line="234" w:lineRule="auto"/>
        <w:rPr>
          <w:sz w:val="20"/>
          <w:szCs w:val="20"/>
          <w:color w:val="auto"/>
        </w:rPr>
      </w:pPr>
      <w:r>
        <w:rPr>
          <w:rFonts w:ascii="Arial" w:cs="Arial" w:eastAsia="Arial" w:hAnsi="Arial"/>
          <w:sz w:val="18"/>
          <w:szCs w:val="18"/>
          <w:b w:val="1"/>
          <w:bCs w:val="1"/>
          <w:color w:val="auto"/>
        </w:rPr>
        <w:t>(in CHF thousands except for share and per share data)</w:t>
      </w:r>
    </w:p>
    <w:p>
      <w:pPr>
        <w:spacing w:after="0" w:line="1" w:lineRule="exact"/>
        <w:rPr>
          <w:sz w:val="20"/>
          <w:szCs w:val="20"/>
          <w:color w:val="auto"/>
        </w:rPr>
      </w:pPr>
    </w:p>
    <w:p>
      <w:pPr>
        <w:ind w:left="660"/>
        <w:spacing w:after="0"/>
        <w:tabs>
          <w:tab w:leader="none" w:pos="2100" w:val="left"/>
          <w:tab w:leader="none" w:pos="3540" w:val="left"/>
          <w:tab w:leader="none" w:pos="5040" w:val="left"/>
        </w:tabs>
        <w:rPr>
          <w:sz w:val="20"/>
          <w:szCs w:val="20"/>
          <w:color w:val="auto"/>
        </w:rPr>
      </w:pPr>
      <w:r>
        <w:rPr>
          <w:rFonts w:ascii="Arial" w:cs="Arial" w:eastAsia="Arial" w:hAnsi="Arial"/>
          <w:sz w:val="18"/>
          <w:szCs w:val="18"/>
          <w:b w:val="1"/>
          <w:bCs w:val="1"/>
          <w:color w:val="auto"/>
        </w:rPr>
        <w:t>(15,738)</w:t>
      </w:r>
      <w:r>
        <w:rPr>
          <w:sz w:val="20"/>
          <w:szCs w:val="20"/>
          <w:color w:val="auto"/>
        </w:rPr>
        <w:tab/>
      </w:r>
      <w:r>
        <w:rPr>
          <w:rFonts w:ascii="Arial" w:cs="Arial" w:eastAsia="Arial" w:hAnsi="Arial"/>
          <w:sz w:val="18"/>
          <w:szCs w:val="18"/>
          <w:b w:val="1"/>
          <w:bCs w:val="1"/>
          <w:color w:val="auto"/>
        </w:rPr>
        <w:t>(16,899)</w:t>
      </w:r>
      <w:r>
        <w:rPr>
          <w:sz w:val="20"/>
          <w:szCs w:val="20"/>
          <w:color w:val="auto"/>
        </w:rPr>
        <w:tab/>
      </w:r>
      <w:r>
        <w:rPr>
          <w:rFonts w:ascii="Arial" w:cs="Arial" w:eastAsia="Arial" w:hAnsi="Arial"/>
          <w:sz w:val="18"/>
          <w:szCs w:val="18"/>
          <w:b w:val="1"/>
          <w:bCs w:val="1"/>
          <w:color w:val="auto"/>
        </w:rPr>
        <w:t>(23,425)</w:t>
      </w:r>
      <w:r>
        <w:rPr>
          <w:sz w:val="20"/>
          <w:szCs w:val="20"/>
          <w:color w:val="auto"/>
        </w:rPr>
        <w:tab/>
      </w:r>
      <w:r>
        <w:rPr>
          <w:rFonts w:ascii="Arial" w:cs="Arial" w:eastAsia="Arial" w:hAnsi="Arial"/>
          <w:sz w:val="18"/>
          <w:szCs w:val="18"/>
          <w:b w:val="1"/>
          <w:bCs w:val="1"/>
          <w:color w:val="auto"/>
        </w:rPr>
        <w:t>46,674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35572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995</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561</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1,847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43</w:t>
            </w:r>
          </w:p>
        </w:tc>
        <w:tc>
          <w:tcPr>
            <w:tcW w:w="14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513</w:t>
            </w:r>
          </w:p>
        </w:tc>
        <w:tc>
          <w:tcPr>
            <w:tcW w:w="14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498</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364</w:t>
            </w:r>
          </w:p>
        </w:tc>
        <w:tc>
          <w:tcPr>
            <w:tcW w:w="14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500" w:type="dxa"/>
            <w:vAlign w:val="bottom"/>
            <w:gridSpan w:val="2"/>
          </w:tcPr>
          <w:p>
            <w:pPr>
              <w:jc w:val="right"/>
              <w:ind w:right="161"/>
              <w:spacing w:after="0" w:line="194"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1"/>
              <w:spacing w:after="0" w:line="194" w:lineRule="exact"/>
              <w:rPr>
                <w:sz w:val="20"/>
                <w:szCs w:val="20"/>
                <w:color w:val="auto"/>
              </w:rPr>
            </w:pPr>
            <w:r>
              <w:rPr>
                <w:rFonts w:ascii="Arial" w:cs="Arial" w:eastAsia="Arial" w:hAnsi="Arial"/>
                <w:sz w:val="18"/>
                <w:szCs w:val="18"/>
                <w:color w:val="auto"/>
              </w:rPr>
              <w:t>(36)</w:t>
            </w:r>
          </w:p>
        </w:tc>
        <w:tc>
          <w:tcPr>
            <w:tcW w:w="1440" w:type="dxa"/>
            <w:vAlign w:val="bottom"/>
            <w:gridSpan w:val="2"/>
          </w:tcPr>
          <w:p>
            <w:pPr>
              <w:jc w:val="right"/>
              <w:ind w:right="141"/>
              <w:spacing w:after="0" w:line="194"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(14,700</w:t>
            </w:r>
          </w:p>
        </w:tc>
        <w:tc>
          <w:tcPr>
            <w:tcW w:w="24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(15,497</w:t>
            </w:r>
          </w:p>
        </w:tc>
        <w:tc>
          <w:tcPr>
            <w:tcW w:w="22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(21,080</w:t>
            </w:r>
          </w:p>
        </w:tc>
        <w:tc>
          <w:tcPr>
            <w:tcW w:w="22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45,191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500" w:type="dxa"/>
            <w:vAlign w:val="bottom"/>
            <w:gridSpan w:val="2"/>
          </w:tcPr>
          <w:p>
            <w:pPr>
              <w:jc w:val="right"/>
              <w:ind w:right="101"/>
              <w:spacing w:after="0"/>
              <w:rPr>
                <w:sz w:val="20"/>
                <w:szCs w:val="20"/>
                <w:color w:val="auto"/>
              </w:rPr>
            </w:pPr>
            <w:r>
              <w:rPr>
                <w:rFonts w:ascii="Arial" w:cs="Arial" w:eastAsia="Arial" w:hAnsi="Arial"/>
                <w:sz w:val="18"/>
                <w:szCs w:val="18"/>
                <w:color w:val="auto"/>
              </w:rPr>
              <w:t>(0.22)</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(0.24)</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(0.33)</w:t>
            </w:r>
          </w:p>
        </w:tc>
        <w:tc>
          <w:tcPr>
            <w:tcW w:w="1240" w:type="dxa"/>
            <w:vAlign w:val="bottom"/>
          </w:tcPr>
          <w:p>
            <w:pPr>
              <w:jc w:val="right"/>
              <w:spacing w:after="0"/>
              <w:rPr>
                <w:sz w:val="20"/>
                <w:szCs w:val="20"/>
                <w:color w:val="auto"/>
              </w:rPr>
            </w:pPr>
            <w:r>
              <w:rPr>
                <w:rFonts w:ascii="Arial" w:cs="Arial" w:eastAsia="Arial" w:hAnsi="Arial"/>
                <w:sz w:val="18"/>
                <w:szCs w:val="18"/>
                <w:color w:val="auto"/>
              </w:rPr>
              <w:t>0.67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26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(0.22</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(0.24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(0.33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0.67</w:t>
            </w: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5"/>
        </w:trPr>
        <w:tc>
          <w:tcPr>
            <w:tcW w:w="12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0.02</w:t>
            </w:r>
          </w:p>
        </w:tc>
        <w:tc>
          <w:tcPr>
            <w:tcW w:w="240" w:type="dxa"/>
            <w:vAlign w:val="bottom"/>
          </w:tcPr>
          <w:p>
            <w:pPr>
              <w:spacing w:after="0"/>
              <w:rPr>
                <w:sz w:val="16"/>
                <w:szCs w:val="16"/>
                <w:color w:val="auto"/>
              </w:rPr>
            </w:pPr>
          </w:p>
        </w:tc>
        <w:tc>
          <w:tcPr>
            <w:tcW w:w="1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16"/>
                <w:szCs w:val="16"/>
                <w:color w:val="auto"/>
              </w:rPr>
            </w:pPr>
          </w:p>
        </w:tc>
        <w:tc>
          <w:tcPr>
            <w:tcW w:w="1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0.04</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(0.02</w:t>
            </w:r>
          </w:p>
        </w:tc>
        <w:tc>
          <w:tcPr>
            <w:tcW w:w="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26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0.02</w:t>
            </w:r>
          </w:p>
        </w:tc>
        <w:tc>
          <w:tcPr>
            <w:tcW w:w="24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0.02</w:t>
            </w: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0.04</w:t>
            </w: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(0.02</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3"/>
        </w:trPr>
        <w:tc>
          <w:tcPr>
            <w:tcW w:w="126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(0.20</w:t>
            </w:r>
          </w:p>
        </w:tc>
        <w:tc>
          <w:tcPr>
            <w:tcW w:w="240" w:type="dxa"/>
            <w:vAlign w:val="bottom"/>
            <w:vMerge w:val="continue"/>
          </w:tcPr>
          <w:p>
            <w:pPr>
              <w:spacing w:after="0"/>
              <w:rPr>
                <w:sz w:val="15"/>
                <w:szCs w:val="15"/>
                <w:color w:val="auto"/>
              </w:rPr>
            </w:pPr>
          </w:p>
        </w:tc>
        <w:tc>
          <w:tcPr>
            <w:tcW w:w="12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(0.22</w:t>
            </w:r>
          </w:p>
        </w:tc>
        <w:tc>
          <w:tcPr>
            <w:tcW w:w="220" w:type="dxa"/>
            <w:vAlign w:val="bottom"/>
            <w:vMerge w:val="continue"/>
          </w:tcPr>
          <w:p>
            <w:pPr>
              <w:spacing w:after="0"/>
              <w:rPr>
                <w:sz w:val="15"/>
                <w:szCs w:val="15"/>
                <w:color w:val="auto"/>
              </w:rPr>
            </w:pPr>
          </w:p>
        </w:tc>
        <w:tc>
          <w:tcPr>
            <w:tcW w:w="12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(0.29</w:t>
            </w:r>
          </w:p>
        </w:tc>
        <w:tc>
          <w:tcPr>
            <w:tcW w:w="220" w:type="dxa"/>
            <w:vAlign w:val="bottom"/>
            <w:vMerge w:val="continue"/>
          </w:tcPr>
          <w:p>
            <w:pPr>
              <w:spacing w:after="0"/>
              <w:rPr>
                <w:sz w:val="15"/>
                <w:szCs w:val="15"/>
                <w:color w:val="auto"/>
              </w:rPr>
            </w:pPr>
          </w:p>
        </w:tc>
        <w:tc>
          <w:tcPr>
            <w:tcW w:w="12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0.65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(0.20</w:t>
            </w:r>
          </w:p>
        </w:tc>
        <w:tc>
          <w:tcPr>
            <w:tcW w:w="24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(0.22</w:t>
            </w:r>
          </w:p>
        </w:tc>
        <w:tc>
          <w:tcPr>
            <w:tcW w:w="22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(0.29</w:t>
            </w:r>
          </w:p>
        </w:tc>
        <w:tc>
          <w:tcPr>
            <w:tcW w:w="22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0.65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71,875,102</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70,764,091</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71,869,658</w:t>
            </w:r>
          </w:p>
        </w:tc>
        <w:tc>
          <w:tcPr>
            <w:tcW w:w="1240" w:type="dxa"/>
            <w:vAlign w:val="bottom"/>
          </w:tcPr>
          <w:p>
            <w:pPr>
              <w:jc w:val="right"/>
              <w:spacing w:after="0"/>
              <w:rPr>
                <w:sz w:val="20"/>
                <w:szCs w:val="20"/>
                <w:color w:val="auto"/>
              </w:rPr>
            </w:pPr>
            <w:r>
              <w:rPr>
                <w:rFonts w:ascii="Arial" w:cs="Arial" w:eastAsia="Arial" w:hAnsi="Arial"/>
                <w:sz w:val="18"/>
                <w:szCs w:val="18"/>
                <w:color w:val="auto"/>
              </w:rPr>
              <w:t>69,351,363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71,875,102</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70,764,091</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71,869,658</w:t>
            </w:r>
          </w:p>
        </w:tc>
        <w:tc>
          <w:tcPr>
            <w:tcW w:w="1240" w:type="dxa"/>
            <w:vAlign w:val="bottom"/>
          </w:tcPr>
          <w:p>
            <w:pPr>
              <w:jc w:val="right"/>
              <w:spacing w:after="0"/>
              <w:rPr>
                <w:sz w:val="20"/>
                <w:szCs w:val="20"/>
                <w:color w:val="auto"/>
              </w:rPr>
            </w:pPr>
            <w:r>
              <w:rPr>
                <w:rFonts w:ascii="Arial" w:cs="Arial" w:eastAsia="Arial" w:hAnsi="Arial"/>
                <w:sz w:val="18"/>
                <w:szCs w:val="18"/>
                <w:color w:val="auto"/>
              </w:rPr>
              <w:t>69,845,858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-2142490</wp:posOffset>
            </wp:positionV>
            <wp:extent cx="713232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-1885315</wp:posOffset>
            </wp:positionV>
            <wp:extent cx="713232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-1619885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-1344930</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-1071245</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-796925</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-521970</wp:posOffset>
            </wp:positionV>
            <wp:extent cx="7132320" cy="2571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4800" w:space="720"/>
            <w:col w:w="5720"/>
          </w:cols>
          <w:pgMar w:left="320" w:top="118" w:right="339" w:bottom="1440" w:gutter="0" w:footer="0" w:header="0"/>
          <w:type w:val="continuous"/>
        </w:sectPr>
      </w:pPr>
    </w:p>
    <w:p>
      <w:pPr>
        <w:spacing w:after="0" w:line="24" w:lineRule="exact"/>
        <w:rPr>
          <w:sz w:val="20"/>
          <w:szCs w:val="20"/>
          <w:color w:val="auto"/>
        </w:rPr>
      </w:pPr>
    </w:p>
    <w:p>
      <w:pPr>
        <w:jc w:val="both"/>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22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22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interest expense for the period relates to the accretion of the Company’s convertible loan in accordance with the effective interest method.</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in fair value of conversion feature that is bifurcated from the convertible loan host debt with Lilly.</w:t>
      </w:r>
    </w:p>
    <w:p>
      <w:pPr>
        <w:spacing w:after="0" w:line="198"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Adjustments for the three and six months ended June 30, 2020, adjustments were CHF 1.0 million and CHF 2.3 million in net losses compared with a decrease to net loss and net income of CHF 1.4 million and CHF 1.5 million for the comparable periods in 2019, respectively. The Company recorded CHF 1.0 million and CHF 1.8 million for the three and six months, respectively, for share-based compensation expenses. There were foreign currency remeasurement losses of less than CHF 0.1 million and CHF 0.5 million, respectively, predominantly related to the movement in our forward contract settled in Q2. For the three and six months ended June 30, 2019, the Company recorded CHF 0.4 million and CHF 1.4 million for amortization of effective interest and recognized less than CHF 0.1 million and a CHF 4.5 million gain for the change in fair value of the liability related to the conversion feature. These were not repeated in the current periods.</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decimal"/>
      <w:start w:val="6"/>
    </w:lvl>
  </w:abstractNum>
  <w:abstractNum w:abstractNumId="5">
    <w:nsid w:val="140E0F76"/>
    <w:multiLevelType w:val="hybridMultilevel"/>
    <w:lvl w:ilvl="0">
      <w:lvlJc w:val="left"/>
      <w:lvlText w:val="%1."/>
      <w:numFmt w:val="decimal"/>
      <w:start w:val="8"/>
    </w:lvl>
  </w:abstractNum>
  <w:abstractNum w:abstractNumId="6">
    <w:nsid w:val="3352255A"/>
    <w:multiLevelType w:val="hybridMultilevel"/>
    <w:lvl w:ilvl="0">
      <w:lvlJc w:val="left"/>
      <w:lvlText w:val="%1."/>
      <w:numFmt w:val="decimal"/>
      <w:start w:val="9"/>
    </w:lvl>
  </w:abstractNum>
  <w:abstractNum w:abstractNumId="7">
    <w:nsid w:val="109CF92E"/>
    <w:multiLevelType w:val="hybridMultilevel"/>
    <w:lvl w:ilvl="0">
      <w:lvlJc w:val="left"/>
      <w:lvlText w:val="%1."/>
      <w:numFmt w:val="decimal"/>
      <w:start w:val="10"/>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lvl w:ilvl="1">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3"/>
    </w:lvl>
  </w:abstractNum>
  <w:abstractNum w:abstractNumId="16">
    <w:nsid w:val="431BD7B7"/>
    <w:multiLevelType w:val="hybridMultilevel"/>
    <w:lvl w:ilvl="0">
      <w:lvlJc w:val="left"/>
      <w:lvlText w:val="(%1)"/>
      <w:numFmt w:val="decimal"/>
      <w:start w:val="405"/>
    </w:lvl>
  </w:abstractNum>
  <w:abstractNum w:abstractNumId="17">
    <w:nsid w:val="3F2DBA31"/>
    <w:multiLevelType w:val="hybridMultilevel"/>
    <w:lvl w:ilvl="0">
      <w:lvlJc w:val="left"/>
      <w:lvlText w:val="%1"/>
      <w:numFmt w:val="decimal"/>
      <w:start w:val="78"/>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2020-08-05T06:32:02Z</dcterms:created>
  <dcterms:modified xsi:type="dcterms:W3CDTF">2020-08-05T06:32:02Z</dcterms:modified>
</cp:coreProperties>
</file>