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439" w:hanging="494"/>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November,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1961515</wp:posOffset>
            </wp:positionH>
            <wp:positionV relativeFrom="paragraph">
              <wp:posOffset>240030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2520"/>
        <w:spacing w:after="0" w:line="207" w:lineRule="exact"/>
        <w:tabs>
          <w:tab w:leader="none" w:pos="3800" w:val="left"/>
          <w:tab w:leader="none" w:pos="5120" w:val="left"/>
          <w:tab w:leader="none" w:pos="64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6" w:lineRule="exact"/>
        <w:rPr>
          <w:sz w:val="24"/>
          <w:szCs w:val="24"/>
          <w:color w:val="auto"/>
        </w:rPr>
      </w:pPr>
    </w:p>
    <w:p>
      <w:pPr>
        <w:ind w:left="2760"/>
        <w:spacing w:after="0" w:line="207" w:lineRule="exact"/>
        <w:tabs>
          <w:tab w:leader="none" w:pos="3820" w:val="left"/>
          <w:tab w:leader="none" w:pos="5400" w:val="left"/>
          <w:tab w:leader="none" w:pos="6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6" w:lineRule="exact"/>
        <w:rPr>
          <w:sz w:val="24"/>
          <w:szCs w:val="24"/>
          <w:color w:val="auto"/>
        </w:rPr>
      </w:pPr>
    </w:p>
    <w:p>
      <w:pPr>
        <w:ind w:left="2760"/>
        <w:spacing w:after="0" w:line="207" w:lineRule="exact"/>
        <w:tabs>
          <w:tab w:leader="none" w:pos="3820" w:val="left"/>
          <w:tab w:leader="none" w:pos="5400" w:val="left"/>
          <w:tab w:leader="none" w:pos="6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181610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233045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515620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George Pavey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George Pavey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688" w:right="105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Interim Condensed Financial Statements (IFRS) as at and for the Period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9"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Earnings Press Release dated November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3" w:name="page4"/>
    <w:bookmarkEnd w:id="3"/>
    <w:p>
      <w:pPr>
        <w:ind w:left="9220"/>
        <w:spacing w:after="0"/>
        <w:rPr>
          <w:sz w:val="20"/>
          <w:szCs w:val="20"/>
          <w:color w:val="auto"/>
        </w:rPr>
      </w:pPr>
      <w:r>
        <w:rPr>
          <w:rFonts w:ascii="Arial" w:cs="Arial" w:eastAsia="Arial" w:hAnsi="Arial"/>
          <w:sz w:val="17"/>
          <w:szCs w:val="17"/>
          <w:b w:val="1"/>
          <w:bCs w:val="1"/>
          <w:color w:val="auto"/>
        </w:rPr>
        <w:t>Exhibit 99.1</w:t>
      </w:r>
    </w:p>
    <w:p>
      <w:pPr>
        <w:spacing w:after="0" w:line="185" w:lineRule="exact"/>
        <w:rPr>
          <w:sz w:val="20"/>
          <w:szCs w:val="20"/>
          <w:color w:val="auto"/>
        </w:rPr>
      </w:pPr>
    </w:p>
    <w:p>
      <w:pPr>
        <w:ind w:left="1600"/>
        <w:spacing w:after="0"/>
        <w:rPr>
          <w:sz w:val="20"/>
          <w:szCs w:val="20"/>
          <w:color w:val="auto"/>
        </w:rPr>
      </w:pPr>
      <w:r>
        <w:rPr>
          <w:rFonts w:ascii="Arial" w:cs="Arial" w:eastAsia="Arial" w:hAnsi="Arial"/>
          <w:sz w:val="35"/>
          <w:szCs w:val="35"/>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349250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40640</wp:posOffset>
            </wp:positionV>
            <wp:extent cx="360045"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24892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675005</wp:posOffset>
            </wp:positionV>
            <wp:extent cx="234950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95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left="1520"/>
        <w:spacing w:after="0" w:line="262" w:lineRule="auto"/>
        <w:rPr>
          <w:sz w:val="20"/>
          <w:szCs w:val="20"/>
          <w:color w:val="auto"/>
        </w:rPr>
      </w:pPr>
      <w:r>
        <w:rPr>
          <w:rFonts w:ascii="Arial" w:cs="Arial" w:eastAsia="Arial" w:hAnsi="Arial"/>
          <w:sz w:val="43"/>
          <w:szCs w:val="43"/>
          <w:b w:val="1"/>
          <w:bCs w:val="1"/>
          <w:color w:val="auto"/>
        </w:rPr>
        <w:t>Unaudited interim condensed financial statements (IFRS) as at and for the period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jc w:val="right"/>
        <w:spacing w:after="0" w:line="234" w:lineRule="auto"/>
        <w:rPr>
          <w:sz w:val="20"/>
          <w:szCs w:val="20"/>
          <w:color w:val="auto"/>
        </w:rPr>
      </w:pPr>
      <w:r>
        <w:rPr>
          <w:rFonts w:ascii="Arial" w:cs="Arial" w:eastAsia="Arial" w:hAnsi="Arial"/>
          <w:sz w:val="18"/>
          <w:szCs w:val="18"/>
          <w:b w:val="1"/>
          <w:bCs w:val="1"/>
          <w:color w:val="auto"/>
        </w:rPr>
        <w:t>1015 Lausanne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1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20"/>
          </w:cols>
          <w:pgMar w:left="1440" w:top="603" w:right="239" w:bottom="1440" w:gutter="0" w:footer="0" w:header="0"/>
        </w:sectPr>
      </w:pPr>
    </w:p>
    <w:bookmarkStart w:id="4" w:name="page5"/>
    <w:bookmarkEnd w:id="4"/>
    <w:p>
      <w:pPr>
        <w:spacing w:after="0"/>
        <w:rPr>
          <w:sz w:val="20"/>
          <w:szCs w:val="20"/>
          <w:color w:val="auto"/>
        </w:rPr>
      </w:pPr>
      <w:r>
        <w:rPr>
          <w:sz w:val="1"/>
          <w:szCs w:val="1"/>
          <w:color w:val="auto"/>
        </w:rPr>
        <w:drawing>
          <wp:inline distT="0" distB="0" distL="0" distR="0">
            <wp:extent cx="360045" cy="2489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248920"/>
                    </a:xfrm>
                    <a:prstGeom prst="rect">
                      <a:avLst/>
                    </a:prstGeom>
                    <a:noFill/>
                    <a:ln>
                      <a:noFill/>
                    </a:ln>
                  </pic:spPr>
                </pic:pic>
              </a:graphicData>
            </a:graphic>
          </wp:inline>
        </w:drawing>
      </w:r>
      <w:r>
        <w:rPr>
          <w:rFonts w:ascii="Arial" w:cs="Arial" w:eastAsia="Arial" w:hAnsi="Arial"/>
          <w:sz w:val="36"/>
          <w:szCs w:val="36"/>
          <w:b w:val="1"/>
          <w:bCs w:val="1"/>
          <w:color w:val="auto"/>
        </w:rPr>
        <w:t xml:space="preserve"> 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gridSpan w:val="2"/>
          </w:tcPr>
          <w:p>
            <w:pPr>
              <w:spacing w:after="0"/>
              <w:rPr>
                <w:sz w:val="20"/>
                <w:szCs w:val="20"/>
                <w:color w:val="auto"/>
              </w:rPr>
            </w:pPr>
            <w:r>
              <w:rPr>
                <w:rFonts w:ascii="Arial" w:cs="Arial" w:eastAsia="Arial" w:hAnsi="Arial"/>
                <w:sz w:val="18"/>
                <w:szCs w:val="18"/>
                <w:color w:val="auto"/>
              </w:rPr>
              <w:t>Unaudited interim condensed financial statements</w:t>
            </w:r>
          </w:p>
        </w:tc>
        <w:tc>
          <w:tcPr>
            <w:tcW w:w="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As at September</w:t>
            </w: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As at December</w:t>
            </w:r>
          </w:p>
        </w:tc>
        <w:tc>
          <w:tcPr>
            <w:tcW w:w="0" w:type="dxa"/>
            <w:vAlign w:val="bottom"/>
          </w:tcPr>
          <w:p>
            <w:pPr>
              <w:spacing w:after="0"/>
              <w:rPr>
                <w:sz w:val="1"/>
                <w:szCs w:val="1"/>
                <w:color w:val="auto"/>
              </w:rPr>
            </w:pPr>
          </w:p>
        </w:tc>
      </w:tr>
      <w:tr>
        <w:trPr>
          <w:trHeight w:val="180"/>
        </w:trPr>
        <w:tc>
          <w:tcPr>
            <w:tcW w:w="240" w:type="dxa"/>
            <w:vAlign w:val="bottom"/>
            <w:shd w:val="clear" w:color="auto" w:fill="C0C0C0"/>
          </w:tcPr>
          <w:p>
            <w:pPr>
              <w:spacing w:after="0"/>
              <w:rPr>
                <w:sz w:val="15"/>
                <w:szCs w:val="15"/>
                <w:color w:val="auto"/>
              </w:rPr>
            </w:pPr>
          </w:p>
        </w:tc>
        <w:tc>
          <w:tcPr>
            <w:tcW w:w="6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40" w:type="dxa"/>
            <w:vAlign w:val="bottom"/>
            <w:shd w:val="clear" w:color="auto" w:fill="C0C0C0"/>
          </w:tcPr>
          <w:p>
            <w:pPr>
              <w:spacing w:after="0"/>
              <w:rPr>
                <w:sz w:val="20"/>
                <w:szCs w:val="20"/>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in CHF thousands</w:t>
            </w:r>
          </w:p>
        </w:tc>
        <w:tc>
          <w:tcPr>
            <w:tcW w:w="880" w:type="dxa"/>
            <w:vAlign w:val="bottom"/>
          </w:tcPr>
          <w:p>
            <w:pPr>
              <w:spacing w:after="0"/>
              <w:rPr>
                <w:sz w:val="20"/>
                <w:szCs w:val="20"/>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b w:val="1"/>
                <w:bCs w:val="1"/>
                <w:color w:val="auto"/>
              </w:rPr>
              <w:t>30,</w:t>
            </w: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0C0C0"/>
            </w:tcBorders>
            <w:shd w:val="clear" w:color="auto" w:fill="C0C0C0"/>
          </w:tcPr>
          <w:p>
            <w:pPr>
              <w:spacing w:after="0"/>
              <w:rPr>
                <w:sz w:val="19"/>
                <w:szCs w:val="19"/>
                <w:color w:val="auto"/>
              </w:rPr>
            </w:pPr>
          </w:p>
        </w:tc>
        <w:tc>
          <w:tcPr>
            <w:tcW w:w="68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Notes</w:t>
            </w: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93"/>
        </w:trPr>
        <w:tc>
          <w:tcPr>
            <w:tcW w:w="240" w:type="dxa"/>
            <w:vAlign w:val="bottom"/>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40" w:type="dxa"/>
            <w:vAlign w:val="bottom"/>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Non-current assets</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8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915</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0C0C0"/>
            </w:tcBorders>
            <w:shd w:val="clear" w:color="auto" w:fill="C0C0C0"/>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Financial assets</w:t>
            </w:r>
          </w:p>
        </w:tc>
        <w:tc>
          <w:tcPr>
            <w:tcW w:w="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shd w:val="clear" w:color="auto" w:fill="C0C0C0"/>
          </w:tcPr>
          <w:p>
            <w:pPr>
              <w:spacing w:after="0"/>
              <w:rPr>
                <w:sz w:val="20"/>
                <w:szCs w:val="20"/>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non-current assets</w:t>
            </w: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1,000</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480"/>
        </w:trPr>
        <w:tc>
          <w:tcPr>
            <w:tcW w:w="240" w:type="dxa"/>
            <w:vAlign w:val="bottom"/>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8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832</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43"/>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Accrued income</w:t>
            </w:r>
          </w:p>
        </w:tc>
        <w:tc>
          <w:tcPr>
            <w:tcW w:w="8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Other current receivables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872</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0C0C0"/>
            </w:tcBorders>
            <w:shd w:val="clear" w:color="auto" w:fill="C0C0C0"/>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157,592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shd w:val="clear" w:color="auto" w:fill="C0C0C0"/>
          </w:tcPr>
          <w:p>
            <w:pPr>
              <w:spacing w:after="0"/>
              <w:rPr>
                <w:sz w:val="20"/>
                <w:szCs w:val="20"/>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current assets</w:t>
            </w: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159,683</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466"/>
        </w:trPr>
        <w:tc>
          <w:tcPr>
            <w:tcW w:w="240" w:type="dxa"/>
            <w:vAlign w:val="bottom"/>
            <w:tcBorders>
              <w:bottom w:val="single" w:sz="8" w:color="C0C0C0"/>
            </w:tcBorders>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160,683</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79,931</w:t>
            </w:r>
          </w:p>
        </w:tc>
        <w:tc>
          <w:tcPr>
            <w:tcW w:w="0" w:type="dxa"/>
            <w:vAlign w:val="bottom"/>
          </w:tcPr>
          <w:p>
            <w:pPr>
              <w:spacing w:after="0"/>
              <w:rPr>
                <w:sz w:val="1"/>
                <w:szCs w:val="1"/>
                <w:color w:val="auto"/>
              </w:rPr>
            </w:pPr>
          </w:p>
        </w:tc>
      </w:tr>
      <w:tr>
        <w:trPr>
          <w:trHeight w:val="20"/>
        </w:trPr>
        <w:tc>
          <w:tcPr>
            <w:tcW w:w="240" w:type="dxa"/>
            <w:vAlign w:val="bottom"/>
            <w:tcBorders>
              <w:bottom w:val="single" w:sz="8" w:color="C0C0C0"/>
            </w:tcBorders>
            <w:shd w:val="clear" w:color="auto" w:fill="C0C0C0"/>
          </w:tcPr>
          <w:p>
            <w:pPr>
              <w:spacing w:after="0" w:line="20" w:lineRule="exact"/>
              <w:rPr>
                <w:sz w:val="1"/>
                <w:szCs w:val="1"/>
                <w:color w:val="auto"/>
              </w:rPr>
            </w:pPr>
          </w:p>
        </w:tc>
        <w:tc>
          <w:tcPr>
            <w:tcW w:w="68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SHAREHOLDERS' EQUITY AND LIABILITIES</w:t>
            </w:r>
          </w:p>
        </w:tc>
        <w:tc>
          <w:tcPr>
            <w:tcW w:w="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40" w:type="dxa"/>
            <w:vAlign w:val="bottom"/>
            <w:shd w:val="clear" w:color="auto" w:fill="C0C0C0"/>
          </w:tcPr>
          <w:p>
            <w:pPr>
              <w:spacing w:after="0"/>
              <w:rPr>
                <w:sz w:val="24"/>
                <w:szCs w:val="24"/>
                <w:color w:val="auto"/>
              </w:rPr>
            </w:pPr>
          </w:p>
        </w:tc>
        <w:tc>
          <w:tcPr>
            <w:tcW w:w="6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40" w:type="dxa"/>
            <w:vAlign w:val="bottom"/>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Shareholders' equity</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Share capital</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1,126</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3"/>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Share premium</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187,995</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0C0C0"/>
            </w:tcBorders>
            <w:shd w:val="clear" w:color="auto" w:fill="C0C0C0"/>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Accumulated losses</w:t>
            </w:r>
          </w:p>
        </w:tc>
        <w:tc>
          <w:tcPr>
            <w:tcW w:w="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(42,912)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shd w:val="clear" w:color="auto" w:fill="C0C0C0"/>
          </w:tcPr>
          <w:p>
            <w:pPr>
              <w:spacing w:after="0"/>
              <w:rPr>
                <w:sz w:val="20"/>
                <w:szCs w:val="20"/>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shareholders' equity</w:t>
            </w: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146,209</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71,043</w:t>
            </w:r>
          </w:p>
        </w:tc>
        <w:tc>
          <w:tcPr>
            <w:tcW w:w="0" w:type="dxa"/>
            <w:vAlign w:val="bottom"/>
          </w:tcPr>
          <w:p>
            <w:pPr>
              <w:spacing w:after="0"/>
              <w:rPr>
                <w:sz w:val="1"/>
                <w:szCs w:val="1"/>
                <w:color w:val="auto"/>
              </w:rPr>
            </w:pPr>
          </w:p>
        </w:tc>
      </w:tr>
      <w:tr>
        <w:trPr>
          <w:trHeight w:val="480"/>
        </w:trPr>
        <w:tc>
          <w:tcPr>
            <w:tcW w:w="240" w:type="dxa"/>
            <w:vAlign w:val="bottom"/>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Non-current liabilities</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bottom w:val="single" w:sz="8" w:color="C0C0C0"/>
            </w:tcBorders>
            <w:shd w:val="clear" w:color="auto" w:fill="C0C0C0"/>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Net employee defined benefit liabilities</w:t>
            </w:r>
          </w:p>
        </w:tc>
        <w:tc>
          <w:tcPr>
            <w:tcW w:w="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3,462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shd w:val="clear" w:color="auto" w:fill="C0C0C0"/>
          </w:tcPr>
          <w:p>
            <w:pPr>
              <w:spacing w:after="0"/>
              <w:rPr>
                <w:sz w:val="20"/>
                <w:szCs w:val="20"/>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non-current liabilities</w:t>
            </w: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3,462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480"/>
        </w:trPr>
        <w:tc>
          <w:tcPr>
            <w:tcW w:w="240" w:type="dxa"/>
            <w:vAlign w:val="bottom"/>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Current liabilities</w:t>
            </w:r>
          </w:p>
        </w:tc>
        <w:tc>
          <w:tcPr>
            <w:tcW w:w="880" w:type="dxa"/>
            <w:vAlign w:val="bottom"/>
          </w:tcPr>
          <w:p>
            <w:pPr>
              <w:spacing w:after="0"/>
              <w:rPr>
                <w:sz w:val="24"/>
                <w:szCs w:val="24"/>
                <w:color w:val="auto"/>
              </w:rPr>
            </w:pPr>
          </w:p>
        </w:tc>
        <w:tc>
          <w:tcPr>
            <w:tcW w:w="1800" w:type="dxa"/>
            <w:vAlign w:val="bottom"/>
            <w:vMerge w:val="restart"/>
          </w:tcPr>
          <w:p>
            <w:pPr>
              <w:jc w:val="right"/>
              <w:ind w:right="70"/>
              <w:spacing w:after="0"/>
              <w:rPr>
                <w:sz w:val="20"/>
                <w:szCs w:val="20"/>
                <w:color w:val="auto"/>
              </w:rPr>
            </w:pPr>
            <w:r>
              <w:rPr>
                <w:rFonts w:ascii="Arial" w:cs="Arial" w:eastAsia="Arial" w:hAnsi="Arial"/>
                <w:sz w:val="18"/>
                <w:szCs w:val="18"/>
                <w:color w:val="auto"/>
              </w:rPr>
              <w:t>2,832</w:t>
            </w: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2"/>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Trade payables and other payables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6,768</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43"/>
        </w:trPr>
        <w:tc>
          <w:tcPr>
            <w:tcW w:w="240" w:type="dxa"/>
            <w:vAlign w:val="bottom"/>
            <w:shd w:val="clear" w:color="auto" w:fill="C0C0C0"/>
          </w:tcPr>
          <w:p>
            <w:pPr>
              <w:spacing w:after="0"/>
              <w:rPr>
                <w:sz w:val="21"/>
                <w:szCs w:val="21"/>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Deferred income</w:t>
            </w:r>
          </w:p>
        </w:tc>
        <w:tc>
          <w:tcPr>
            <w:tcW w:w="8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1,306</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0C0C0"/>
            </w:tcBorders>
            <w:shd w:val="clear" w:color="auto" w:fill="C0C0C0"/>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106</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0C0C0"/>
            </w:tcBorders>
            <w:shd w:val="clear" w:color="auto" w:fill="C0C0C0"/>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11,012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6,101</w:t>
            </w: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shd w:val="clear" w:color="auto" w:fill="C0C0C0"/>
          </w:tcPr>
          <w:p>
            <w:pPr>
              <w:spacing w:after="0"/>
              <w:rPr>
                <w:sz w:val="20"/>
                <w:szCs w:val="20"/>
                <w:color w:val="auto"/>
              </w:rPr>
            </w:pPr>
          </w:p>
        </w:tc>
        <w:tc>
          <w:tcPr>
            <w:tcW w:w="68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shd w:val="clear" w:color="auto" w:fill="C0C0C0"/>
          </w:tcPr>
          <w:p>
            <w:pPr>
              <w:spacing w:after="0"/>
              <w:rPr>
                <w:sz w:val="20"/>
                <w:szCs w:val="20"/>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14,474</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8,888</w:t>
            </w:r>
          </w:p>
        </w:tc>
        <w:tc>
          <w:tcPr>
            <w:tcW w:w="0" w:type="dxa"/>
            <w:vAlign w:val="bottom"/>
          </w:tcPr>
          <w:p>
            <w:pPr>
              <w:spacing w:after="0"/>
              <w:rPr>
                <w:sz w:val="1"/>
                <w:szCs w:val="1"/>
                <w:color w:val="auto"/>
              </w:rPr>
            </w:pPr>
          </w:p>
        </w:tc>
      </w:tr>
      <w:tr>
        <w:trPr>
          <w:trHeight w:val="466"/>
        </w:trPr>
        <w:tc>
          <w:tcPr>
            <w:tcW w:w="240" w:type="dxa"/>
            <w:vAlign w:val="bottom"/>
            <w:tcBorders>
              <w:bottom w:val="single" w:sz="8" w:color="C0C0C0"/>
            </w:tcBorders>
            <w:shd w:val="clear" w:color="auto" w:fill="C0C0C0"/>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 shareholders' equity and liabilities</w:t>
            </w: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160,683</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79,931</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form an integral part of these financial statements.</w:t>
            </w:r>
          </w:p>
        </w:tc>
        <w:tc>
          <w:tcPr>
            <w:tcW w:w="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59" w:right="239" w:bottom="1440" w:gutter="0" w:footer="0" w:header="0"/>
        </w:sectPr>
      </w:pPr>
    </w:p>
    <w:bookmarkStart w:id="5" w:name="page6"/>
    <w:bookmarkEnd w:id="5"/>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shd w:val="clear" w:color="auto" w:fill="C0C0C0"/>
          </w:tcPr>
          <w:p>
            <w:pPr>
              <w:spacing w:after="0"/>
              <w:rPr>
                <w:sz w:val="14"/>
                <w:szCs w:val="14"/>
                <w:color w:val="auto"/>
              </w:rPr>
            </w:pPr>
          </w:p>
        </w:tc>
        <w:tc>
          <w:tcPr>
            <w:tcW w:w="4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gridSpan w:val="4"/>
          </w:tcPr>
          <w:p>
            <w:pPr>
              <w:ind w:left="320"/>
              <w:spacing w:after="0"/>
              <w:rPr>
                <w:sz w:val="20"/>
                <w:szCs w:val="20"/>
                <w:color w:val="auto"/>
              </w:rPr>
            </w:pPr>
            <w:r>
              <w:rPr>
                <w:rFonts w:ascii="Arial" w:cs="Arial" w:eastAsia="Arial" w:hAnsi="Arial"/>
                <w:sz w:val="14"/>
                <w:szCs w:val="14"/>
                <w:b w:val="1"/>
                <w:bCs w:val="1"/>
                <w:color w:val="auto"/>
              </w:rPr>
              <w:t>For the Three Months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5"/>
        </w:trPr>
        <w:tc>
          <w:tcPr>
            <w:tcW w:w="220" w:type="dxa"/>
            <w:vAlign w:val="bottom"/>
            <w:tcBorders>
              <w:bottom w:val="single" w:sz="8" w:color="C0C0C0"/>
            </w:tcBorders>
            <w:shd w:val="clear" w:color="auto" w:fill="C0C0C0"/>
          </w:tcPr>
          <w:p>
            <w:pPr>
              <w:spacing w:after="0"/>
              <w:rPr>
                <w:sz w:val="15"/>
                <w:szCs w:val="15"/>
                <w:color w:val="auto"/>
              </w:rPr>
            </w:pPr>
          </w:p>
        </w:tc>
        <w:tc>
          <w:tcPr>
            <w:tcW w:w="4400" w:type="dxa"/>
            <w:vAlign w:val="bottom"/>
          </w:tcPr>
          <w:p>
            <w:pPr>
              <w:ind w:left="200"/>
              <w:spacing w:after="0"/>
              <w:rPr>
                <w:sz w:val="20"/>
                <w:szCs w:val="20"/>
                <w:color w:val="auto"/>
              </w:rPr>
            </w:pPr>
            <w:r>
              <w:rPr>
                <w:rFonts w:ascii="Arial" w:cs="Arial" w:eastAsia="Arial" w:hAnsi="Arial"/>
                <w:sz w:val="14"/>
                <w:szCs w:val="14"/>
                <w:b w:val="1"/>
                <w:bCs w:val="1"/>
                <w:color w:val="auto"/>
              </w:rPr>
              <w:t>in CHF thousands except for</w:t>
            </w:r>
          </w:p>
        </w:tc>
        <w:tc>
          <w:tcPr>
            <w:tcW w:w="8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Ended September 30,</w:t>
            </w: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share and per share data</w:t>
            </w:r>
          </w:p>
        </w:tc>
        <w:tc>
          <w:tcPr>
            <w:tcW w:w="8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Notes</w:t>
            </w:r>
          </w:p>
        </w:tc>
        <w:tc>
          <w:tcPr>
            <w:tcW w:w="15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5"/>
        </w:trPr>
        <w:tc>
          <w:tcPr>
            <w:tcW w:w="220" w:type="dxa"/>
            <w:vAlign w:val="bottom"/>
            <w:shd w:val="clear" w:color="auto" w:fill="C0C0C0"/>
          </w:tcPr>
          <w:p>
            <w:pPr>
              <w:spacing w:after="0"/>
              <w:rPr>
                <w:sz w:val="24"/>
                <w:szCs w:val="24"/>
                <w:color w:val="auto"/>
              </w:rPr>
            </w:pPr>
          </w:p>
        </w:tc>
        <w:tc>
          <w:tcPr>
            <w:tcW w:w="4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Revenue</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7"/>
              </w:rPr>
              <w:t>Restated</w:t>
            </w:r>
            <w:r>
              <w:rPr>
                <w:rFonts w:ascii="Arial" w:cs="Arial" w:eastAsia="Arial" w:hAnsi="Arial"/>
                <w:sz w:val="23"/>
                <w:szCs w:val="23"/>
                <w:b w:val="1"/>
                <w:bCs w:val="1"/>
                <w:color w:val="auto"/>
                <w:w w:val="97"/>
                <w:vertAlign w:val="superscript"/>
              </w:rPr>
              <w:t>(1)</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Restated</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35"/>
        </w:trPr>
        <w:tc>
          <w:tcPr>
            <w:tcW w:w="220" w:type="dxa"/>
            <w:vAlign w:val="bottom"/>
            <w:shd w:val="clear" w:color="auto" w:fill="C0C0C0"/>
          </w:tcPr>
          <w:p>
            <w:pPr>
              <w:spacing w:after="0"/>
              <w:rPr>
                <w:sz w:val="3"/>
                <w:szCs w:val="3"/>
                <w:color w:val="auto"/>
              </w:rPr>
            </w:pPr>
          </w:p>
        </w:tc>
        <w:tc>
          <w:tcPr>
            <w:tcW w:w="44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4"/>
                <w:szCs w:val="14"/>
                <w:color w:val="auto"/>
              </w:rPr>
              <w:t>Contract revenue</w:t>
            </w:r>
          </w:p>
        </w:tc>
        <w:tc>
          <w:tcPr>
            <w:tcW w:w="8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3</w:t>
            </w:r>
          </w:p>
        </w:tc>
        <w:tc>
          <w:tcPr>
            <w:tcW w:w="15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1,333</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24,374</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21,784</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38,775</w:t>
            </w:r>
          </w:p>
        </w:tc>
        <w:tc>
          <w:tcPr>
            <w:tcW w:w="0" w:type="dxa"/>
            <w:vAlign w:val="bottom"/>
          </w:tcPr>
          <w:p>
            <w:pPr>
              <w:spacing w:after="0"/>
              <w:rPr>
                <w:sz w:val="1"/>
                <w:szCs w:val="1"/>
                <w:color w:val="auto"/>
              </w:rPr>
            </w:pPr>
          </w:p>
        </w:tc>
      </w:tr>
      <w:tr>
        <w:trPr>
          <w:trHeight w:val="156"/>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revenue</w:t>
            </w: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1,333</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24,374</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21,784</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38,775</w:t>
            </w:r>
          </w:p>
        </w:tc>
        <w:tc>
          <w:tcPr>
            <w:tcW w:w="0" w:type="dxa"/>
            <w:vAlign w:val="bottom"/>
          </w:tcPr>
          <w:p>
            <w:pPr>
              <w:spacing w:after="0"/>
              <w:rPr>
                <w:sz w:val="1"/>
                <w:szCs w:val="1"/>
                <w:color w:val="auto"/>
              </w:rPr>
            </w:pPr>
          </w:p>
        </w:tc>
      </w:tr>
      <w:tr>
        <w:trPr>
          <w:trHeight w:val="322"/>
        </w:trPr>
        <w:tc>
          <w:tcPr>
            <w:tcW w:w="220" w:type="dxa"/>
            <w:vAlign w:val="bottom"/>
            <w:shd w:val="clear" w:color="auto" w:fill="C0C0C0"/>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Research &amp; development expenses</w:t>
            </w:r>
          </w:p>
        </w:tc>
        <w:tc>
          <w:tcPr>
            <w:tcW w:w="8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(7,696)</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(4,156)</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(18,714)</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(11,346)</w:t>
            </w:r>
          </w:p>
        </w:tc>
        <w:tc>
          <w:tcPr>
            <w:tcW w:w="0" w:type="dxa"/>
            <w:vAlign w:val="bottom"/>
          </w:tcPr>
          <w:p>
            <w:pPr>
              <w:spacing w:after="0"/>
              <w:rPr>
                <w:sz w:val="1"/>
                <w:szCs w:val="1"/>
                <w:color w:val="auto"/>
              </w:rPr>
            </w:pPr>
          </w:p>
        </w:tc>
      </w:tr>
      <w:tr>
        <w:trPr>
          <w:trHeight w:val="157"/>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4"/>
                <w:szCs w:val="14"/>
                <w:color w:val="auto"/>
              </w:rPr>
              <w:t>General &amp; administrative expenses</w:t>
            </w: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(1,713)</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(890)</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(4,464)</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56"/>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operating expenses</w:t>
            </w: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(9,409)</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(5,046)</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(23,178)</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(13,845)</w:t>
            </w:r>
          </w:p>
        </w:tc>
        <w:tc>
          <w:tcPr>
            <w:tcW w:w="0" w:type="dxa"/>
            <w:vAlign w:val="bottom"/>
          </w:tcPr>
          <w:p>
            <w:pPr>
              <w:spacing w:after="0"/>
              <w:rPr>
                <w:sz w:val="1"/>
                <w:szCs w:val="1"/>
                <w:color w:val="auto"/>
              </w:rPr>
            </w:pPr>
          </w:p>
        </w:tc>
      </w:tr>
      <w:tr>
        <w:trPr>
          <w:trHeight w:val="318"/>
        </w:trPr>
        <w:tc>
          <w:tcPr>
            <w:tcW w:w="220" w:type="dxa"/>
            <w:vAlign w:val="bottom"/>
            <w:tcBorders>
              <w:bottom w:val="single" w:sz="8" w:color="C0C0C0"/>
            </w:tcBorders>
            <w:shd w:val="clear" w:color="auto" w:fill="C0C0C0"/>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4"/>
                <w:szCs w:val="14"/>
                <w:b w:val="1"/>
                <w:bCs w:val="1"/>
                <w:color w:val="auto"/>
              </w:rPr>
              <w:t>Operating income / (loss)</w:t>
            </w:r>
          </w:p>
        </w:tc>
        <w:tc>
          <w:tcPr>
            <w:tcW w:w="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(8,076)</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19,328</w:t>
            </w: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(1,394)</w:t>
            </w: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24,930</w:t>
            </w:r>
          </w:p>
        </w:tc>
        <w:tc>
          <w:tcPr>
            <w:tcW w:w="0" w:type="dxa"/>
            <w:vAlign w:val="bottom"/>
          </w:tcPr>
          <w:p>
            <w:pPr>
              <w:spacing w:after="0"/>
              <w:rPr>
                <w:sz w:val="1"/>
                <w:szCs w:val="1"/>
                <w:color w:val="auto"/>
              </w:rPr>
            </w:pPr>
          </w:p>
        </w:tc>
      </w:tr>
      <w:tr>
        <w:trPr>
          <w:trHeight w:val="322"/>
        </w:trPr>
        <w:tc>
          <w:tcPr>
            <w:tcW w:w="220" w:type="dxa"/>
            <w:vAlign w:val="bottom"/>
            <w:shd w:val="clear" w:color="auto" w:fill="C0C0C0"/>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Finance income</w:t>
            </w:r>
          </w:p>
        </w:tc>
        <w:tc>
          <w:tcPr>
            <w:tcW w:w="800" w:type="dxa"/>
            <w:vAlign w:val="bottom"/>
          </w:tcPr>
          <w:p>
            <w:pPr>
              <w:spacing w:after="0"/>
              <w:rPr>
                <w:sz w:val="24"/>
                <w:szCs w:val="2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817</w:t>
            </w:r>
          </w:p>
        </w:tc>
        <w:tc>
          <w:tcPr>
            <w:tcW w:w="140" w:type="dxa"/>
            <w:vAlign w:val="bottom"/>
          </w:tcPr>
          <w:p>
            <w:pPr>
              <w:spacing w:after="0"/>
              <w:rPr>
                <w:sz w:val="24"/>
                <w:szCs w:val="2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24"/>
                <w:szCs w:val="2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Interest income</w:t>
            </w:r>
          </w:p>
        </w:tc>
        <w:tc>
          <w:tcPr>
            <w:tcW w:w="8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7"/>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4"/>
                <w:szCs w:val="14"/>
                <w:color w:val="auto"/>
              </w:rPr>
              <w:t>Finance costs</w:t>
            </w: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(1,061)</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(53)</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(971)</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Finance result, net</w:t>
            </w: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(1,026)</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771</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(935)</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924</w:t>
            </w:r>
          </w:p>
        </w:tc>
        <w:tc>
          <w:tcPr>
            <w:tcW w:w="0" w:type="dxa"/>
            <w:vAlign w:val="bottom"/>
          </w:tcPr>
          <w:p>
            <w:pPr>
              <w:spacing w:after="0"/>
              <w:rPr>
                <w:sz w:val="1"/>
                <w:szCs w:val="1"/>
                <w:color w:val="auto"/>
              </w:rPr>
            </w:pPr>
          </w:p>
        </w:tc>
      </w:tr>
      <w:tr>
        <w:trPr>
          <w:trHeight w:val="318"/>
        </w:trPr>
        <w:tc>
          <w:tcPr>
            <w:tcW w:w="220" w:type="dxa"/>
            <w:vAlign w:val="bottom"/>
            <w:tcBorders>
              <w:bottom w:val="single" w:sz="8" w:color="C0C0C0"/>
            </w:tcBorders>
            <w:shd w:val="clear" w:color="auto" w:fill="C0C0C0"/>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4"/>
                <w:szCs w:val="14"/>
                <w:b w:val="1"/>
                <w:bCs w:val="1"/>
                <w:color w:val="auto"/>
              </w:rPr>
              <w:t>Income / (loss) before tax</w:t>
            </w:r>
          </w:p>
        </w:tc>
        <w:tc>
          <w:tcPr>
            <w:tcW w:w="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(9,102)</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20,099</w:t>
            </w: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(2,329)</w:t>
            </w: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25,854</w:t>
            </w:r>
          </w:p>
        </w:tc>
        <w:tc>
          <w:tcPr>
            <w:tcW w:w="0" w:type="dxa"/>
            <w:vAlign w:val="bottom"/>
          </w:tcPr>
          <w:p>
            <w:pPr>
              <w:spacing w:after="0"/>
              <w:rPr>
                <w:sz w:val="1"/>
                <w:szCs w:val="1"/>
                <w:color w:val="auto"/>
              </w:rPr>
            </w:pPr>
          </w:p>
        </w:tc>
      </w:tr>
      <w:tr>
        <w:trPr>
          <w:trHeight w:val="156"/>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Income / (loss) for the period</w:t>
            </w:r>
          </w:p>
        </w:tc>
        <w:tc>
          <w:tcPr>
            <w:tcW w:w="8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(9,102)</w:t>
            </w: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20,099</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(2,329)</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25,854</w:t>
            </w:r>
          </w:p>
        </w:tc>
        <w:tc>
          <w:tcPr>
            <w:tcW w:w="0" w:type="dxa"/>
            <w:vAlign w:val="bottom"/>
          </w:tcPr>
          <w:p>
            <w:pPr>
              <w:spacing w:after="0"/>
              <w:rPr>
                <w:sz w:val="1"/>
                <w:szCs w:val="1"/>
                <w:color w:val="auto"/>
              </w:rPr>
            </w:pPr>
          </w:p>
        </w:tc>
      </w:tr>
      <w:tr>
        <w:trPr>
          <w:trHeight w:val="322"/>
        </w:trPr>
        <w:tc>
          <w:tcPr>
            <w:tcW w:w="220" w:type="dxa"/>
            <w:vAlign w:val="bottom"/>
            <w:shd w:val="clear" w:color="auto" w:fill="C0C0C0"/>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Earnings per share (EPS):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Basic, income / (loss) for the period attributable to equity holders</w:t>
            </w:r>
          </w:p>
        </w:tc>
        <w:tc>
          <w:tcPr>
            <w:tcW w:w="8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(0.18)</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0.47</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Diluted, income / (loss) for the period attributable to equity</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holders</w:t>
            </w:r>
          </w:p>
        </w:tc>
        <w:tc>
          <w:tcPr>
            <w:tcW w:w="8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(0.18)</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0.43</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Weighted-average number of shares used to compute EPS</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basic</w:t>
            </w:r>
          </w:p>
        </w:tc>
        <w:tc>
          <w:tcPr>
            <w:tcW w:w="8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49,543,058</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42,769,342</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47,993,347</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42,740,500</w:t>
            </w:r>
          </w:p>
        </w:tc>
        <w:tc>
          <w:tcPr>
            <w:tcW w:w="0" w:type="dxa"/>
            <w:vAlign w:val="bottom"/>
          </w:tcPr>
          <w:p>
            <w:pPr>
              <w:spacing w:after="0"/>
              <w:rPr>
                <w:sz w:val="1"/>
                <w:szCs w:val="1"/>
                <w:color w:val="auto"/>
              </w:rPr>
            </w:pPr>
          </w:p>
        </w:tc>
      </w:tr>
      <w:tr>
        <w:trPr>
          <w:trHeight w:val="162"/>
        </w:trPr>
        <w:tc>
          <w:tcPr>
            <w:tcW w:w="220" w:type="dxa"/>
            <w:vAlign w:val="bottom"/>
            <w:shd w:val="clear" w:color="auto" w:fill="C0C0C0"/>
          </w:tcPr>
          <w:p>
            <w:pPr>
              <w:spacing w:after="0"/>
              <w:rPr>
                <w:sz w:val="14"/>
                <w:szCs w:val="14"/>
                <w:color w:val="auto"/>
              </w:rPr>
            </w:pPr>
          </w:p>
        </w:tc>
        <w:tc>
          <w:tcPr>
            <w:tcW w:w="4400" w:type="dxa"/>
            <w:vAlign w:val="bottom"/>
          </w:tcPr>
          <w:p>
            <w:pPr>
              <w:ind w:left="200"/>
              <w:spacing w:after="0"/>
              <w:rPr>
                <w:sz w:val="20"/>
                <w:szCs w:val="20"/>
                <w:color w:val="auto"/>
              </w:rPr>
            </w:pPr>
            <w:r>
              <w:rPr>
                <w:rFonts w:ascii="Arial" w:cs="Arial" w:eastAsia="Arial" w:hAnsi="Arial"/>
                <w:sz w:val="14"/>
                <w:szCs w:val="14"/>
                <w:color w:val="auto"/>
              </w:rPr>
              <w:t>Weighted-average number of shares used to compute EPS</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 w:type="dxa"/>
            <w:vAlign w:val="bottom"/>
            <w:shd w:val="clear" w:color="auto" w:fill="C0C0C0"/>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4"/>
                <w:szCs w:val="14"/>
                <w:color w:val="auto"/>
              </w:rPr>
              <w:t>diluted</w:t>
            </w:r>
          </w:p>
        </w:tc>
        <w:tc>
          <w:tcPr>
            <w:tcW w:w="800" w:type="dxa"/>
            <w:vAlign w:val="bottom"/>
          </w:tcPr>
          <w:p>
            <w:pPr>
              <w:spacing w:after="0"/>
              <w:rPr>
                <w:sz w:val="13"/>
                <w:szCs w:val="13"/>
                <w:color w:val="auto"/>
              </w:rPr>
            </w:pPr>
          </w:p>
        </w:tc>
        <w:tc>
          <w:tcPr>
            <w:tcW w:w="15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51,478,810</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46,315,986</w:t>
            </w:r>
          </w:p>
        </w:tc>
        <w:tc>
          <w:tcPr>
            <w:tcW w:w="140" w:type="dxa"/>
            <w:vAlign w:val="bottom"/>
          </w:tcPr>
          <w:p>
            <w:pPr>
              <w:spacing w:after="0"/>
              <w:rPr>
                <w:sz w:val="13"/>
                <w:szCs w:val="13"/>
                <w:color w:val="auto"/>
              </w:rPr>
            </w:pP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49,914,357</w:t>
            </w:r>
          </w:p>
        </w:tc>
        <w:tc>
          <w:tcPr>
            <w:tcW w:w="140" w:type="dxa"/>
            <w:vAlign w:val="bottom"/>
          </w:tcPr>
          <w:p>
            <w:pPr>
              <w:spacing w:after="0"/>
              <w:rPr>
                <w:sz w:val="13"/>
                <w:szCs w:val="13"/>
                <w:color w:val="auto"/>
              </w:rPr>
            </w:pP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46,079,779</w:t>
            </w:r>
          </w:p>
        </w:tc>
        <w:tc>
          <w:tcPr>
            <w:tcW w:w="0" w:type="dxa"/>
            <w:vAlign w:val="bottom"/>
          </w:tcPr>
          <w:p>
            <w:pPr>
              <w:spacing w:after="0"/>
              <w:rPr>
                <w:sz w:val="1"/>
                <w:szCs w:val="1"/>
                <w:color w:val="auto"/>
              </w:rPr>
            </w:pPr>
          </w:p>
        </w:tc>
      </w:tr>
      <w:tr>
        <w:trPr>
          <w:trHeight w:val="41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For the Three Months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3"/>
            <w:vMerge w:val="restart"/>
          </w:tcPr>
          <w:p>
            <w:pPr>
              <w:jc w:val="center"/>
              <w:ind w:right="28"/>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49"/>
        </w:trPr>
        <w:tc>
          <w:tcPr>
            <w:tcW w:w="220" w:type="dxa"/>
            <w:vAlign w:val="bottom"/>
            <w:shd w:val="clear" w:color="auto" w:fill="C0C0C0"/>
          </w:tcPr>
          <w:p>
            <w:pPr>
              <w:spacing w:after="0"/>
              <w:rPr>
                <w:sz w:val="12"/>
                <w:szCs w:val="12"/>
                <w:color w:val="auto"/>
              </w:rPr>
            </w:pPr>
          </w:p>
        </w:tc>
        <w:tc>
          <w:tcPr>
            <w:tcW w:w="4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0" w:type="dxa"/>
            <w:vAlign w:val="bottom"/>
            <w:tcBorders>
              <w:bottom w:val="single" w:sz="8" w:color="C0C0C0"/>
            </w:tcBorders>
            <w:shd w:val="clear" w:color="auto" w:fill="C0C0C0"/>
          </w:tcPr>
          <w:p>
            <w:pPr>
              <w:spacing w:after="0"/>
              <w:rPr>
                <w:sz w:val="15"/>
                <w:szCs w:val="15"/>
                <w:color w:val="auto"/>
              </w:rPr>
            </w:pPr>
          </w:p>
        </w:tc>
        <w:tc>
          <w:tcPr>
            <w:tcW w:w="4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 CHF thousands</w:t>
            </w:r>
          </w:p>
        </w:tc>
        <w:tc>
          <w:tcPr>
            <w:tcW w:w="800" w:type="dxa"/>
            <w:vAlign w:val="bottom"/>
          </w:tcPr>
          <w:p>
            <w:pPr>
              <w:spacing w:after="0"/>
              <w:rPr>
                <w:sz w:val="15"/>
                <w:szCs w:val="15"/>
                <w:color w:val="auto"/>
              </w:rPr>
            </w:pPr>
          </w:p>
        </w:tc>
        <w:tc>
          <w:tcPr>
            <w:tcW w:w="21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Ended September 30,</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5"/>
        </w:trPr>
        <w:tc>
          <w:tcPr>
            <w:tcW w:w="220" w:type="dxa"/>
            <w:vAlign w:val="bottom"/>
            <w:shd w:val="clear" w:color="auto" w:fill="C0C0C0"/>
          </w:tcPr>
          <w:p>
            <w:pPr>
              <w:spacing w:after="0"/>
              <w:rPr>
                <w:sz w:val="24"/>
                <w:szCs w:val="24"/>
                <w:color w:val="auto"/>
              </w:rPr>
            </w:pPr>
          </w:p>
        </w:tc>
        <w:tc>
          <w:tcPr>
            <w:tcW w:w="4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Restated</w:t>
            </w:r>
            <w:r>
              <w:rPr>
                <w:rFonts w:ascii="Arial" w:cs="Arial" w:eastAsia="Arial" w:hAnsi="Arial"/>
                <w:sz w:val="23"/>
                <w:szCs w:val="23"/>
                <w:b w:val="1"/>
                <w:bCs w:val="1"/>
                <w:color w:val="auto"/>
                <w:vertAlign w:val="superscript"/>
              </w:rPr>
              <w:t>(1)</w:t>
            </w:r>
          </w:p>
        </w:tc>
        <w:tc>
          <w:tcPr>
            <w:tcW w:w="28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Restated</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07"/>
        </w:trPr>
        <w:tc>
          <w:tcPr>
            <w:tcW w:w="220" w:type="dxa"/>
            <w:vAlign w:val="bottom"/>
            <w:shd w:val="clear" w:color="auto" w:fill="C0C0C0"/>
          </w:tcPr>
          <w:p>
            <w:pPr>
              <w:spacing w:after="0"/>
              <w:rPr>
                <w:sz w:val="17"/>
                <w:szCs w:val="17"/>
                <w:color w:val="auto"/>
              </w:rPr>
            </w:pPr>
          </w:p>
        </w:tc>
        <w:tc>
          <w:tcPr>
            <w:tcW w:w="4400" w:type="dxa"/>
            <w:vAlign w:val="bottom"/>
          </w:tcPr>
          <w:p>
            <w:pPr>
              <w:ind w:left="200"/>
              <w:spacing w:after="0"/>
              <w:rPr>
                <w:sz w:val="20"/>
                <w:szCs w:val="20"/>
                <w:color w:val="auto"/>
              </w:rPr>
            </w:pPr>
            <w:r>
              <w:rPr>
                <w:rFonts w:ascii="Arial" w:cs="Arial" w:eastAsia="Arial" w:hAnsi="Arial"/>
                <w:sz w:val="14"/>
                <w:szCs w:val="14"/>
                <w:b w:val="1"/>
                <w:bCs w:val="1"/>
                <w:color w:val="auto"/>
              </w:rPr>
              <w:t>Income / (loss) for the period</w:t>
            </w:r>
          </w:p>
        </w:tc>
        <w:tc>
          <w:tcPr>
            <w:tcW w:w="8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(9,102)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20,099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(2,329)</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25,854</w:t>
            </w:r>
          </w:p>
        </w:tc>
        <w:tc>
          <w:tcPr>
            <w:tcW w:w="0" w:type="dxa"/>
            <w:vAlign w:val="bottom"/>
          </w:tcPr>
          <w:p>
            <w:pPr>
              <w:spacing w:after="0"/>
              <w:rPr>
                <w:sz w:val="1"/>
                <w:szCs w:val="1"/>
                <w:color w:val="auto"/>
              </w:rPr>
            </w:pPr>
          </w:p>
        </w:tc>
      </w:tr>
      <w:tr>
        <w:trPr>
          <w:trHeight w:val="296"/>
        </w:trPr>
        <w:tc>
          <w:tcPr>
            <w:tcW w:w="220" w:type="dxa"/>
            <w:vAlign w:val="bottom"/>
            <w:shd w:val="clear" w:color="auto" w:fill="C0C0C0"/>
          </w:tcPr>
          <w:p>
            <w:pPr>
              <w:spacing w:after="0"/>
              <w:rPr>
                <w:sz w:val="24"/>
                <w:szCs w:val="24"/>
                <w:color w:val="auto"/>
              </w:rPr>
            </w:pPr>
          </w:p>
        </w:tc>
        <w:tc>
          <w:tcPr>
            <w:tcW w:w="520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 comprehensive income not to be reclassified to income or loss in</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0C0C0"/>
          </w:tcPr>
          <w:p>
            <w:pPr>
              <w:spacing w:after="0"/>
              <w:rPr>
                <w:sz w:val="15"/>
                <w:szCs w:val="15"/>
                <w:color w:val="auto"/>
              </w:rPr>
            </w:pPr>
          </w:p>
        </w:tc>
        <w:tc>
          <w:tcPr>
            <w:tcW w:w="4400" w:type="dxa"/>
            <w:vAlign w:val="bottom"/>
          </w:tcPr>
          <w:p>
            <w:pPr>
              <w:ind w:left="200"/>
              <w:spacing w:after="0"/>
              <w:rPr>
                <w:sz w:val="20"/>
                <w:szCs w:val="20"/>
                <w:color w:val="auto"/>
              </w:rPr>
            </w:pPr>
            <w:r>
              <w:rPr>
                <w:rFonts w:ascii="Arial" w:cs="Arial" w:eastAsia="Arial" w:hAnsi="Arial"/>
                <w:sz w:val="14"/>
                <w:szCs w:val="14"/>
                <w:b w:val="1"/>
                <w:bCs w:val="1"/>
                <w:color w:val="auto"/>
              </w:rPr>
              <w:t>subsequent periods (net of tax)</w:t>
            </w:r>
          </w:p>
        </w:tc>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20" w:type="dxa"/>
            <w:vAlign w:val="bottom"/>
            <w:shd w:val="clear" w:color="auto" w:fill="C0C0C0"/>
          </w:tcPr>
          <w:p>
            <w:pPr>
              <w:spacing w:after="0"/>
              <w:rPr>
                <w:sz w:val="14"/>
                <w:szCs w:val="14"/>
                <w:color w:val="auto"/>
              </w:rPr>
            </w:pPr>
          </w:p>
        </w:tc>
        <w:tc>
          <w:tcPr>
            <w:tcW w:w="4400" w:type="dxa"/>
            <w:vAlign w:val="bottom"/>
          </w:tcPr>
          <w:p>
            <w:pPr>
              <w:ind w:left="240"/>
              <w:spacing w:after="0"/>
              <w:rPr>
                <w:sz w:val="20"/>
                <w:szCs w:val="20"/>
                <w:color w:val="auto"/>
              </w:rPr>
            </w:pPr>
            <w:r>
              <w:rPr>
                <w:rFonts w:ascii="Arial" w:cs="Arial" w:eastAsia="Arial" w:hAnsi="Arial"/>
                <w:sz w:val="14"/>
                <w:szCs w:val="14"/>
                <w:color w:val="auto"/>
              </w:rPr>
              <w:t>- Re-measurement losses on defined benefit plans</w:t>
            </w:r>
          </w:p>
        </w:tc>
        <w:tc>
          <w:tcPr>
            <w:tcW w:w="80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(552)</w:t>
            </w:r>
          </w:p>
        </w:tc>
        <w:tc>
          <w:tcPr>
            <w:tcW w:w="1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47"/>
        </w:trPr>
        <w:tc>
          <w:tcPr>
            <w:tcW w:w="220" w:type="dxa"/>
            <w:vAlign w:val="bottom"/>
            <w:tcBorders>
              <w:bottom w:val="single" w:sz="8" w:color="C0C0C0"/>
            </w:tcBorders>
            <w:shd w:val="clear" w:color="auto" w:fill="C0C0C0"/>
          </w:tcPr>
          <w:p>
            <w:pPr>
              <w:spacing w:after="0"/>
              <w:rPr>
                <w:sz w:val="12"/>
                <w:szCs w:val="12"/>
                <w:color w:val="auto"/>
              </w:rPr>
            </w:pPr>
          </w:p>
        </w:tc>
        <w:tc>
          <w:tcPr>
            <w:tcW w:w="4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 comprehensive income / (loss), net of tax</w:t>
            </w:r>
          </w:p>
        </w:tc>
        <w:tc>
          <w:tcPr>
            <w:tcW w:w="80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 w:type="dxa"/>
            <w:vAlign w:val="bottom"/>
            <w:tcBorders>
              <w:bottom w:val="single" w:sz="8" w:color="C0C0C0"/>
            </w:tcBorders>
            <w:shd w:val="clear" w:color="auto" w:fill="C0C0C0"/>
          </w:tcPr>
          <w:p>
            <w:pPr>
              <w:spacing w:after="0"/>
              <w:rPr>
                <w:sz w:val="13"/>
                <w:szCs w:val="13"/>
                <w:color w:val="auto"/>
              </w:rPr>
            </w:pPr>
          </w:p>
        </w:tc>
        <w:tc>
          <w:tcPr>
            <w:tcW w:w="44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(9,286)</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19,893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(2,881)</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25,146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rPr>
          <w:sz w:val="20"/>
          <w:szCs w:val="20"/>
          <w:color w:val="auto"/>
        </w:rPr>
      </w:pPr>
      <w:r>
        <w:rPr>
          <w:rFonts w:ascii="Arial" w:cs="Arial" w:eastAsia="Arial" w:hAnsi="Arial"/>
          <w:sz w:val="18"/>
          <w:szCs w:val="18"/>
          <w:color w:val="auto"/>
        </w:rPr>
        <w:t>(1) See Note 8 for restatement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59" w:right="239" w:bottom="1440" w:gutter="0" w:footer="0" w:header="0"/>
        </w:sectPr>
      </w:pPr>
    </w:p>
    <w:bookmarkStart w:id="6" w:name="page7"/>
    <w:bookmarkEnd w:id="6"/>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Unaudited interim condensed financial statements</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9"/>
        </w:trPr>
        <w:tc>
          <w:tcPr>
            <w:tcW w:w="5960" w:type="dxa"/>
            <w:vAlign w:val="bottom"/>
          </w:tcPr>
          <w:p>
            <w:pPr>
              <w:spacing w:after="0"/>
              <w:rPr>
                <w:sz w:val="24"/>
                <w:szCs w:val="24"/>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w:t>
            </w:r>
          </w:p>
        </w:tc>
        <w:tc>
          <w:tcPr>
            <w:tcW w:w="1660" w:type="dxa"/>
            <w:vAlign w:val="bottom"/>
          </w:tcPr>
          <w:p>
            <w:pPr>
              <w:jc w:val="right"/>
              <w:ind w:right="331"/>
              <w:spacing w:after="0"/>
              <w:rPr>
                <w:sz w:val="20"/>
                <w:szCs w:val="20"/>
                <w:color w:val="auto"/>
              </w:rPr>
            </w:pPr>
            <w:r>
              <w:rPr>
                <w:rFonts w:ascii="Arial" w:cs="Arial" w:eastAsia="Arial" w:hAnsi="Arial"/>
                <w:sz w:val="18"/>
                <w:szCs w:val="18"/>
                <w:b w:val="1"/>
                <w:bCs w:val="1"/>
                <w:color w:val="auto"/>
              </w:rPr>
              <w:t>Accumulated</w:t>
            </w:r>
          </w:p>
        </w:tc>
        <w:tc>
          <w:tcPr>
            <w:tcW w:w="1040" w:type="dxa"/>
            <w:vAlign w:val="bottom"/>
          </w:tcPr>
          <w:p>
            <w:pPr>
              <w:spacing w:after="0"/>
              <w:rPr>
                <w:sz w:val="24"/>
                <w:szCs w:val="24"/>
                <w:color w:val="auto"/>
              </w:rPr>
            </w:pPr>
          </w:p>
        </w:tc>
      </w:tr>
      <w:tr>
        <w:trPr>
          <w:trHeight w:val="207"/>
        </w:trPr>
        <w:tc>
          <w:tcPr>
            <w:tcW w:w="5960" w:type="dxa"/>
            <w:vAlign w:val="bottom"/>
          </w:tcPr>
          <w:p>
            <w:pPr>
              <w:ind w:left="460"/>
              <w:spacing w:after="0"/>
              <w:rPr>
                <w:sz w:val="20"/>
                <w:szCs w:val="20"/>
                <w:color w:val="auto"/>
              </w:rPr>
            </w:pPr>
            <w:r>
              <w:rPr>
                <w:rFonts w:ascii="Arial" w:cs="Arial" w:eastAsia="Arial" w:hAnsi="Arial"/>
                <w:sz w:val="18"/>
                <w:szCs w:val="18"/>
                <w:b w:val="1"/>
                <w:bCs w:val="1"/>
                <w:color w:val="auto"/>
              </w:rPr>
              <w:t>in CHF thousands</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premium</w:t>
            </w:r>
          </w:p>
        </w:tc>
        <w:tc>
          <w:tcPr>
            <w:tcW w:w="1660" w:type="dxa"/>
            <w:vAlign w:val="bottom"/>
          </w:tcPr>
          <w:p>
            <w:pPr>
              <w:jc w:val="right"/>
              <w:ind w:right="331"/>
              <w:spacing w:after="0"/>
              <w:rPr>
                <w:sz w:val="20"/>
                <w:szCs w:val="20"/>
                <w:color w:val="auto"/>
              </w:rPr>
            </w:pPr>
            <w:r>
              <w:rPr>
                <w:rFonts w:ascii="Arial" w:cs="Arial" w:eastAsia="Arial" w:hAnsi="Arial"/>
                <w:sz w:val="18"/>
                <w:szCs w:val="18"/>
                <w:b w:val="1"/>
                <w:bCs w:val="1"/>
                <w:color w:val="auto"/>
              </w:rPr>
              <w:t>losses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9"/>
        </w:trPr>
        <w:tc>
          <w:tcPr>
            <w:tcW w:w="5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60" w:type="dxa"/>
            <w:vAlign w:val="bottom"/>
          </w:tcPr>
          <w:p>
            <w:pPr>
              <w:jc w:val="right"/>
              <w:ind w:right="331"/>
              <w:spacing w:after="0" w:line="239" w:lineRule="exact"/>
              <w:rPr>
                <w:sz w:val="20"/>
                <w:szCs w:val="20"/>
                <w:color w:val="auto"/>
              </w:rPr>
            </w:pPr>
            <w:r>
              <w:rPr>
                <w:rFonts w:ascii="Arial" w:cs="Arial" w:eastAsia="Arial" w:hAnsi="Arial"/>
                <w:sz w:val="17"/>
                <w:szCs w:val="17"/>
                <w:b w:val="1"/>
                <w:bCs w:val="1"/>
                <w:color w:val="auto"/>
              </w:rPr>
              <w:t>Restated</w:t>
            </w:r>
            <w:r>
              <w:rPr>
                <w:rFonts w:ascii="Arial" w:cs="Arial" w:eastAsia="Arial" w:hAnsi="Arial"/>
                <w:sz w:val="27"/>
                <w:szCs w:val="27"/>
                <w:b w:val="1"/>
                <w:bCs w:val="1"/>
                <w:color w:val="auto"/>
                <w:vertAlign w:val="superscript"/>
              </w:rPr>
              <w:t>(1)</w:t>
            </w:r>
          </w:p>
        </w:tc>
        <w:tc>
          <w:tcPr>
            <w:tcW w:w="1040" w:type="dxa"/>
            <w:vAlign w:val="bottom"/>
          </w:tcPr>
          <w:p>
            <w:pPr>
              <w:spacing w:after="0"/>
              <w:rPr>
                <w:sz w:val="20"/>
                <w:szCs w:val="20"/>
                <w:color w:val="auto"/>
              </w:rPr>
            </w:pPr>
          </w:p>
        </w:tc>
      </w:tr>
      <w:tr>
        <w:trPr>
          <w:trHeight w:val="225"/>
        </w:trPr>
        <w:tc>
          <w:tcPr>
            <w:tcW w:w="5960" w:type="dxa"/>
            <w:vAlign w:val="bottom"/>
          </w:tcPr>
          <w:p>
            <w:pPr>
              <w:ind w:left="460"/>
              <w:spacing w:after="0"/>
              <w:rPr>
                <w:sz w:val="20"/>
                <w:szCs w:val="20"/>
                <w:color w:val="auto"/>
              </w:rPr>
            </w:pPr>
            <w:r>
              <w:rPr>
                <w:rFonts w:ascii="Arial" w:cs="Arial" w:eastAsia="Arial" w:hAnsi="Arial"/>
                <w:sz w:val="18"/>
                <w:szCs w:val="18"/>
                <w:b w:val="1"/>
                <w:bCs w:val="1"/>
                <w:color w:val="auto"/>
              </w:rPr>
              <w:t>Balance at January 1, 2015</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854</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83,068</w:t>
            </w:r>
          </w:p>
        </w:tc>
        <w:tc>
          <w:tcPr>
            <w:tcW w:w="16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(60,455)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r>
      <w:tr>
        <w:trPr>
          <w:trHeight w:val="195"/>
        </w:trPr>
        <w:tc>
          <w:tcPr>
            <w:tcW w:w="5960" w:type="dxa"/>
            <w:vAlign w:val="bottom"/>
          </w:tcPr>
          <w:p>
            <w:pPr>
              <w:ind w:left="460"/>
              <w:spacing w:after="0" w:line="195" w:lineRule="exact"/>
              <w:rPr>
                <w:sz w:val="20"/>
                <w:szCs w:val="20"/>
                <w:color w:val="auto"/>
              </w:rPr>
            </w:pPr>
            <w:r>
              <w:rPr>
                <w:rFonts w:ascii="Arial" w:cs="Arial" w:eastAsia="Arial" w:hAnsi="Arial"/>
                <w:sz w:val="18"/>
                <w:szCs w:val="18"/>
                <w:color w:val="auto"/>
              </w:rPr>
              <w:t>Income for the period</w:t>
            </w:r>
          </w:p>
        </w:tc>
        <w:tc>
          <w:tcPr>
            <w:tcW w:w="15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31"/>
              <w:spacing w:after="0" w:line="195" w:lineRule="exact"/>
              <w:rPr>
                <w:sz w:val="20"/>
                <w:szCs w:val="20"/>
                <w:color w:val="auto"/>
              </w:rPr>
            </w:pPr>
            <w:r>
              <w:rPr>
                <w:rFonts w:ascii="Arial" w:cs="Arial" w:eastAsia="Arial" w:hAnsi="Arial"/>
                <w:sz w:val="18"/>
                <w:szCs w:val="18"/>
                <w:color w:val="auto"/>
              </w:rPr>
              <w:t>25,854</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25,854</w:t>
            </w:r>
          </w:p>
        </w:tc>
      </w:tr>
      <w:tr>
        <w:trPr>
          <w:trHeight w:val="203"/>
        </w:trPr>
        <w:tc>
          <w:tcPr>
            <w:tcW w:w="5960" w:type="dxa"/>
            <w:vAlign w:val="bottom"/>
          </w:tcPr>
          <w:p>
            <w:pPr>
              <w:ind w:left="460"/>
              <w:spacing w:after="0" w:line="203" w:lineRule="exact"/>
              <w:rPr>
                <w:sz w:val="20"/>
                <w:szCs w:val="20"/>
                <w:color w:val="auto"/>
              </w:rPr>
            </w:pPr>
            <w:r>
              <w:rPr>
                <w:rFonts w:ascii="Arial" w:cs="Arial" w:eastAsia="Arial" w:hAnsi="Arial"/>
                <w:sz w:val="18"/>
                <w:szCs w:val="18"/>
                <w:color w:val="auto"/>
              </w:rPr>
              <w:t>Other comprehensive (loss)</w:t>
            </w:r>
          </w:p>
        </w:tc>
        <w:tc>
          <w:tcPr>
            <w:tcW w:w="15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31"/>
              <w:spacing w:after="0" w:line="203" w:lineRule="exact"/>
              <w:rPr>
                <w:sz w:val="20"/>
                <w:szCs w:val="20"/>
                <w:color w:val="auto"/>
              </w:rPr>
            </w:pPr>
            <w:r>
              <w:rPr>
                <w:rFonts w:ascii="Arial" w:cs="Arial" w:eastAsia="Arial" w:hAnsi="Arial"/>
                <w:sz w:val="18"/>
                <w:szCs w:val="18"/>
                <w:color w:val="auto"/>
              </w:rPr>
              <w:t>(708)</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w:t>
            </w:r>
          </w:p>
        </w:tc>
      </w:tr>
      <w:tr>
        <w:trPr>
          <w:trHeight w:val="196"/>
        </w:trPr>
        <w:tc>
          <w:tcPr>
            <w:tcW w:w="5960" w:type="dxa"/>
            <w:vAlign w:val="bottom"/>
          </w:tcPr>
          <w:p>
            <w:pPr>
              <w:ind w:left="460"/>
              <w:spacing w:after="0" w:line="196" w:lineRule="exact"/>
              <w:rPr>
                <w:sz w:val="20"/>
                <w:szCs w:val="20"/>
                <w:color w:val="auto"/>
              </w:rPr>
            </w:pPr>
            <w:r>
              <w:rPr>
                <w:rFonts w:ascii="Arial" w:cs="Arial" w:eastAsia="Arial" w:hAnsi="Arial"/>
                <w:sz w:val="18"/>
                <w:szCs w:val="18"/>
                <w:i w:val="1"/>
                <w:iCs w:val="1"/>
                <w:color w:val="auto"/>
              </w:rPr>
              <w:t>Total comprehensive income</w:t>
            </w:r>
          </w:p>
        </w:tc>
        <w:tc>
          <w:tcPr>
            <w:tcW w:w="15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w:t>
            </w:r>
          </w:p>
        </w:tc>
        <w:tc>
          <w:tcPr>
            <w:tcW w:w="1660" w:type="dxa"/>
            <w:vAlign w:val="bottom"/>
            <w:tcBorders>
              <w:bottom w:val="single" w:sz="8" w:color="auto"/>
            </w:tcBorders>
          </w:tcPr>
          <w:p>
            <w:pPr>
              <w:jc w:val="right"/>
              <w:ind w:right="331"/>
              <w:spacing w:after="0" w:line="196" w:lineRule="exact"/>
              <w:rPr>
                <w:sz w:val="20"/>
                <w:szCs w:val="20"/>
                <w:color w:val="auto"/>
              </w:rPr>
            </w:pPr>
            <w:r>
              <w:rPr>
                <w:rFonts w:ascii="Arial" w:cs="Arial" w:eastAsia="Arial" w:hAnsi="Arial"/>
                <w:sz w:val="18"/>
                <w:szCs w:val="18"/>
                <w:i w:val="1"/>
                <w:iCs w:val="1"/>
                <w:color w:val="auto"/>
              </w:rPr>
              <w:t>25,146</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25,146</w:t>
            </w:r>
          </w:p>
        </w:tc>
      </w:tr>
      <w:tr>
        <w:trPr>
          <w:trHeight w:val="398"/>
        </w:trPr>
        <w:tc>
          <w:tcPr>
            <w:tcW w:w="5960" w:type="dxa"/>
            <w:vAlign w:val="bottom"/>
          </w:tcPr>
          <w:p>
            <w:pPr>
              <w:ind w:left="460"/>
              <w:spacing w:after="0"/>
              <w:rPr>
                <w:sz w:val="20"/>
                <w:szCs w:val="20"/>
                <w:color w:val="auto"/>
              </w:rPr>
            </w:pPr>
            <w:r>
              <w:rPr>
                <w:rFonts w:ascii="Arial" w:cs="Arial" w:eastAsia="Arial" w:hAnsi="Arial"/>
                <w:sz w:val="18"/>
                <w:szCs w:val="18"/>
                <w:color w:val="auto"/>
              </w:rPr>
              <w:t>Share-based payments</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31"/>
              <w:spacing w:after="0"/>
              <w:rPr>
                <w:sz w:val="20"/>
                <w:szCs w:val="20"/>
                <w:color w:val="auto"/>
              </w:rPr>
            </w:pPr>
            <w:r>
              <w:rPr>
                <w:rFonts w:ascii="Arial" w:cs="Arial" w:eastAsia="Arial" w:hAnsi="Arial"/>
                <w:sz w:val="18"/>
                <w:szCs w:val="18"/>
                <w:color w:val="auto"/>
              </w:rPr>
              <w:t>483</w:t>
            </w:r>
          </w:p>
        </w:tc>
        <w:tc>
          <w:tcPr>
            <w:tcW w:w="104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03"/>
        </w:trPr>
        <w:tc>
          <w:tcPr>
            <w:tcW w:w="5960" w:type="dxa"/>
            <w:vAlign w:val="bottom"/>
          </w:tcPr>
          <w:p>
            <w:pPr>
              <w:ind w:left="460"/>
              <w:spacing w:after="0" w:line="202" w:lineRule="exact"/>
              <w:rPr>
                <w:sz w:val="20"/>
                <w:szCs w:val="20"/>
                <w:color w:val="auto"/>
              </w:rPr>
            </w:pPr>
            <w:r>
              <w:rPr>
                <w:rFonts w:ascii="Arial" w:cs="Arial" w:eastAsia="Arial" w:hAnsi="Arial"/>
                <w:sz w:val="18"/>
                <w:szCs w:val="18"/>
                <w:color w:val="auto"/>
              </w:rPr>
              <w:t>Issue of capital, net of transaction costs</w:t>
            </w:r>
          </w:p>
        </w:tc>
        <w:tc>
          <w:tcPr>
            <w:tcW w:w="15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166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5960" w:type="dxa"/>
            <w:vAlign w:val="bottom"/>
          </w:tcPr>
          <w:p>
            <w:pPr>
              <w:ind w:left="560"/>
              <w:spacing w:after="0" w:line="202" w:lineRule="exact"/>
              <w:rPr>
                <w:sz w:val="20"/>
                <w:szCs w:val="20"/>
                <w:color w:val="auto"/>
              </w:rPr>
            </w:pPr>
            <w:r>
              <w:rPr>
                <w:rFonts w:ascii="Arial" w:cs="Arial" w:eastAsia="Arial" w:hAnsi="Arial"/>
                <w:sz w:val="18"/>
                <w:szCs w:val="18"/>
                <w:color w:val="auto"/>
              </w:rPr>
              <w:t>Preferred Series D shares</w:t>
            </w:r>
          </w:p>
        </w:tc>
        <w:tc>
          <w:tcPr>
            <w:tcW w:w="15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560"/>
              <w:spacing w:after="0"/>
              <w:rPr>
                <w:sz w:val="20"/>
                <w:szCs w:val="20"/>
                <w:color w:val="auto"/>
              </w:rPr>
            </w:pPr>
            <w:r>
              <w:rPr>
                <w:rFonts w:ascii="Arial" w:cs="Arial" w:eastAsia="Arial" w:hAnsi="Arial"/>
                <w:sz w:val="18"/>
                <w:szCs w:val="18"/>
                <w:color w:val="auto"/>
              </w:rPr>
              <w:t>Exercise of options</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6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-1602740</wp:posOffset>
            </wp:positionV>
            <wp:extent cx="146050" cy="2015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050" cy="20154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-7620</wp:posOffset>
            </wp:positionV>
            <wp:extent cx="3473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p>
      <w:pPr>
        <w:ind w:left="460"/>
        <w:spacing w:after="0"/>
        <w:rPr>
          <w:sz w:val="20"/>
          <w:szCs w:val="20"/>
          <w:color w:val="auto"/>
        </w:rPr>
      </w:pPr>
      <w:r>
        <w:rPr>
          <w:rFonts w:ascii="Arial" w:cs="Arial" w:eastAsia="Arial" w:hAnsi="Arial"/>
          <w:sz w:val="18"/>
          <w:szCs w:val="18"/>
          <w:b w:val="1"/>
          <w:bCs w:val="1"/>
          <w:color w:val="auto"/>
        </w:rPr>
        <w:t>Balance at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146050" cy="182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CHF thousands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at January 1, 2016</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 (loss) for the period</w:t>
      </w:r>
    </w:p>
    <w:p>
      <w:pPr>
        <w:ind w:left="460"/>
        <w:spacing w:after="0" w:line="234" w:lineRule="auto"/>
        <w:rPr>
          <w:sz w:val="20"/>
          <w:szCs w:val="20"/>
          <w:color w:val="auto"/>
        </w:rPr>
      </w:pPr>
      <w:r>
        <w:rPr>
          <w:rFonts w:ascii="Arial" w:cs="Arial" w:eastAsia="Arial" w:hAnsi="Arial"/>
          <w:sz w:val="18"/>
          <w:szCs w:val="18"/>
          <w:color w:val="auto"/>
        </w:rPr>
        <w:t>Other comprehensive (loss)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comprehensive income / (loss)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Share-based payments</w:t>
      </w:r>
    </w:p>
    <w:p>
      <w:pPr>
        <w:ind w:left="460"/>
        <w:spacing w:after="0" w:line="234" w:lineRule="auto"/>
        <w:rPr>
          <w:sz w:val="20"/>
          <w:szCs w:val="20"/>
          <w:color w:val="auto"/>
        </w:rPr>
      </w:pPr>
      <w:r>
        <w:rPr>
          <w:rFonts w:ascii="Arial" w:cs="Arial" w:eastAsia="Arial" w:hAnsi="Arial"/>
          <w:sz w:val="18"/>
          <w:szCs w:val="18"/>
          <w:color w:val="auto"/>
        </w:rPr>
        <w:t>Preferred Series E extension shares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proceeds from IPO before transaction costs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options</w:t>
      </w:r>
    </w:p>
    <w:p>
      <w:pPr>
        <w:ind w:left="460"/>
        <w:spacing w:after="0" w:line="235" w:lineRule="auto"/>
        <w:rPr>
          <w:sz w:val="20"/>
          <w:szCs w:val="20"/>
          <w:color w:val="auto"/>
        </w:rPr>
      </w:pPr>
      <w:r>
        <w:rPr>
          <w:rFonts w:ascii="Arial" w:cs="Arial" w:eastAsia="Arial" w:hAnsi="Arial"/>
          <w:sz w:val="18"/>
          <w:szCs w:val="18"/>
          <w:color w:val="auto"/>
        </w:rPr>
        <w:t>Transaction costs</w:t>
      </w:r>
    </w:p>
    <w:p>
      <w:pPr>
        <w:spacing w:after="0" w:line="20" w:lineRule="exact"/>
        <w:rPr>
          <w:sz w:val="20"/>
          <w:szCs w:val="20"/>
          <w:color w:val="auto"/>
        </w:rPr>
      </w:pPr>
      <w:r>
        <w:rPr>
          <w:sz w:val="20"/>
          <w:szCs w:val="20"/>
          <w:color w:val="auto"/>
        </w:rPr>
        <w:br w:type="column"/>
      </w:r>
    </w:p>
    <w:p>
      <w:pPr>
        <w:ind w:left="980"/>
        <w:spacing w:after="0"/>
        <w:tabs>
          <w:tab w:leader="none" w:pos="2080" w:val="left"/>
          <w:tab w:leader="none" w:pos="3320" w:val="left"/>
          <w:tab w:leader="none" w:pos="4800" w:val="left"/>
        </w:tabs>
        <w:rPr>
          <w:sz w:val="20"/>
          <w:szCs w:val="20"/>
          <w:color w:val="auto"/>
        </w:rPr>
      </w:pPr>
      <w:r>
        <w:rPr>
          <w:rFonts w:ascii="Arial" w:cs="Arial" w:eastAsia="Arial" w:hAnsi="Arial"/>
          <w:sz w:val="18"/>
          <w:szCs w:val="18"/>
          <w:b w:val="1"/>
          <w:bCs w:val="1"/>
          <w:color w:val="auto"/>
        </w:rPr>
        <w:t>856</w:t>
      </w:r>
      <w:r>
        <w:rPr>
          <w:sz w:val="20"/>
          <w:szCs w:val="20"/>
          <w:color w:val="auto"/>
        </w:rPr>
        <w:tab/>
      </w:r>
      <w:r>
        <w:rPr>
          <w:rFonts w:ascii="Arial" w:cs="Arial" w:eastAsia="Arial" w:hAnsi="Arial"/>
          <w:sz w:val="18"/>
          <w:szCs w:val="18"/>
          <w:b w:val="1"/>
          <w:bCs w:val="1"/>
          <w:color w:val="auto"/>
        </w:rPr>
        <w:t>83,112</w:t>
      </w:r>
      <w:r>
        <w:rPr>
          <w:sz w:val="20"/>
          <w:szCs w:val="20"/>
          <w:color w:val="auto"/>
        </w:rPr>
        <w:tab/>
      </w:r>
      <w:r>
        <w:rPr>
          <w:rFonts w:ascii="Arial" w:cs="Arial" w:eastAsia="Arial" w:hAnsi="Arial"/>
          <w:sz w:val="18"/>
          <w:szCs w:val="18"/>
          <w:b w:val="1"/>
          <w:bCs w:val="1"/>
          <w:color w:val="auto"/>
        </w:rPr>
        <w:t>(34,826)</w:t>
      </w:r>
      <w:r>
        <w:rPr>
          <w:sz w:val="20"/>
          <w:szCs w:val="20"/>
          <w:color w:val="auto"/>
        </w:rPr>
        <w:tab/>
      </w:r>
      <w:r>
        <w:rPr>
          <w:rFonts w:ascii="Arial" w:cs="Arial" w:eastAsia="Arial" w:hAnsi="Arial"/>
          <w:sz w:val="18"/>
          <w:szCs w:val="18"/>
          <w:b w:val="1"/>
          <w:bCs w:val="1"/>
          <w:color w:val="auto"/>
        </w:rPr>
        <w:t>49,142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w:t>
            </w: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Accumulated</w:t>
            </w:r>
          </w:p>
        </w:tc>
        <w:tc>
          <w:tcPr>
            <w:tcW w:w="1060" w:type="dxa"/>
            <w:vAlign w:val="bottom"/>
          </w:tcPr>
          <w:p>
            <w:pPr>
              <w:spacing w:after="0"/>
              <w:rPr>
                <w:sz w:val="17"/>
                <w:szCs w:val="17"/>
                <w:color w:val="auto"/>
              </w:rPr>
            </w:pPr>
          </w:p>
        </w:tc>
      </w:tr>
      <w:tr>
        <w:trPr>
          <w:trHeight w:val="239"/>
        </w:trPr>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premium</w:t>
            </w: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392"/>
        </w:trPr>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928</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110,496</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(40,381)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r>
      <w:tr>
        <w:trPr>
          <w:trHeight w:val="195"/>
        </w:trPr>
        <w:tc>
          <w:tcPr>
            <w:tcW w:w="15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(2,329)</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(2,329)</w:t>
            </w:r>
          </w:p>
        </w:tc>
      </w:tr>
      <w:tr>
        <w:trPr>
          <w:trHeight w:val="185"/>
        </w:trPr>
        <w:tc>
          <w:tcPr>
            <w:tcW w:w="158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85"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10"/>
              <w:spacing w:after="0" w:line="185" w:lineRule="exact"/>
              <w:rPr>
                <w:sz w:val="20"/>
                <w:szCs w:val="20"/>
                <w:color w:val="auto"/>
              </w:rPr>
            </w:pPr>
            <w:r>
              <w:rPr>
                <w:rFonts w:ascii="Arial" w:cs="Arial" w:eastAsia="Arial" w:hAnsi="Arial"/>
                <w:sz w:val="18"/>
                <w:szCs w:val="18"/>
                <w:color w:val="auto"/>
              </w:rPr>
              <w:t>(552)</w:t>
            </w:r>
          </w:p>
        </w:tc>
        <w:tc>
          <w:tcPr>
            <w:tcW w:w="1060" w:type="dxa"/>
            <w:vAlign w:val="bottom"/>
          </w:tcPr>
          <w:p>
            <w:pPr>
              <w:jc w:val="right"/>
              <w:spacing w:after="0" w:line="185" w:lineRule="exact"/>
              <w:rPr>
                <w:sz w:val="20"/>
                <w:szCs w:val="20"/>
                <w:color w:val="auto"/>
              </w:rPr>
            </w:pPr>
            <w:r>
              <w:rPr>
                <w:rFonts w:ascii="Arial" w:cs="Arial" w:eastAsia="Arial" w:hAnsi="Arial"/>
                <w:sz w:val="18"/>
                <w:szCs w:val="18"/>
                <w:color w:val="auto"/>
              </w:rPr>
              <w:t>(552)</w:t>
            </w:r>
          </w:p>
        </w:tc>
      </w:tr>
      <w:tr>
        <w:trPr>
          <w:trHeight w:val="221"/>
        </w:trPr>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i w:val="1"/>
                <w:iCs w:val="1"/>
                <w:color w:val="auto"/>
              </w:rPr>
              <w:t>(2,881)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(2,881)</w:t>
            </w:r>
          </w:p>
        </w:tc>
      </w:tr>
      <w:tr>
        <w:trPr>
          <w:trHeight w:val="398"/>
        </w:trPr>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350</w:t>
            </w:r>
          </w:p>
        </w:tc>
        <w:tc>
          <w:tcPr>
            <w:tcW w:w="10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03"/>
        </w:trPr>
        <w:tc>
          <w:tcPr>
            <w:tcW w:w="15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28</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13,177</w:t>
            </w: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13,205</w:t>
            </w:r>
          </w:p>
        </w:tc>
      </w:tr>
      <w:tr>
        <w:trPr>
          <w:trHeight w:val="203"/>
        </w:trPr>
        <w:tc>
          <w:tcPr>
            <w:tcW w:w="15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138</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69,144</w:t>
            </w: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69,282</w:t>
            </w:r>
          </w:p>
        </w:tc>
      </w:tr>
      <w:tr>
        <w:trPr>
          <w:trHeight w:val="203"/>
        </w:trPr>
        <w:tc>
          <w:tcPr>
            <w:tcW w:w="15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32</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200</w:t>
            </w: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r>
      <w:tr>
        <w:trPr>
          <w:trHeight w:val="203"/>
        </w:trPr>
        <w:tc>
          <w:tcPr>
            <w:tcW w:w="15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(5,022)</w:t>
            </w:r>
          </w:p>
        </w:tc>
        <w:tc>
          <w:tcPr>
            <w:tcW w:w="164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(5,022)</w:t>
            </w:r>
          </w:p>
        </w:tc>
      </w:tr>
    </w:tbl>
    <w:p>
      <w:pPr>
        <w:spacing w:after="0" w:line="1" w:lineRule="exact"/>
        <w:rPr>
          <w:sz w:val="20"/>
          <w:szCs w:val="20"/>
          <w:color w:val="auto"/>
        </w:rPr>
      </w:pPr>
    </w:p>
    <w:p>
      <w:pPr>
        <w:sectPr>
          <w:pgSz w:w="11900" w:h="16838" w:orient="portrait"/>
          <w:cols w:equalWidth="0" w:num="2">
            <w:col w:w="5240" w:space="720"/>
            <w:col w:w="5460"/>
          </w:cols>
          <w:pgMar w:left="240" w:top="659" w:right="239" w:bottom="1440" w:gutter="0" w:footer="0" w:header="0"/>
          <w:type w:val="continuous"/>
        </w:sectPr>
      </w:pPr>
    </w:p>
    <w:tbl>
      <w:tblPr>
        <w:tblLayout w:type="fixed"/>
        <w:tblInd w:w="460" w:type="dxa"/>
        <w:tblCellMar>
          <w:top w:w="0" w:type="dxa"/>
          <w:left w:w="0" w:type="dxa"/>
          <w:bottom w:w="0" w:type="dxa"/>
          <w:right w:w="0" w:type="dxa"/>
        </w:tblCellMar>
      </w:tblPr>
      <w:tr>
        <w:trPr>
          <w:trHeight w:val="196"/>
        </w:trPr>
        <w:tc>
          <w:tcPr>
            <w:tcW w:w="550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September 30, 2016</w:t>
            </w:r>
          </w:p>
        </w:tc>
        <w:tc>
          <w:tcPr>
            <w:tcW w:w="16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1,126</w:t>
            </w:r>
          </w:p>
        </w:tc>
        <w:tc>
          <w:tcPr>
            <w:tcW w:w="13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187,995</w:t>
            </w:r>
          </w:p>
        </w:tc>
        <w:tc>
          <w:tcPr>
            <w:tcW w:w="13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(42,912)</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146,209</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rPr>
          <w:sz w:val="20"/>
          <w:szCs w:val="20"/>
          <w:color w:val="auto"/>
        </w:rPr>
      </w:pPr>
      <w:r>
        <w:rPr>
          <w:rFonts w:ascii="Arial" w:cs="Arial" w:eastAsia="Arial" w:hAnsi="Arial"/>
          <w:sz w:val="18"/>
          <w:szCs w:val="18"/>
          <w:color w:val="auto"/>
        </w:rPr>
        <w:t>(1) See Note 8 for restatement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59"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40" w:type="dxa"/>
            <w:vAlign w:val="bottom"/>
            <w:gridSpan w:val="2"/>
          </w:tcPr>
          <w:p>
            <w:pPr>
              <w:spacing w:after="0"/>
              <w:rPr>
                <w:sz w:val="20"/>
                <w:szCs w:val="20"/>
                <w:color w:val="auto"/>
              </w:rPr>
            </w:pPr>
            <w:r>
              <w:rPr>
                <w:rFonts w:ascii="Arial" w:cs="Arial" w:eastAsia="Arial" w:hAnsi="Arial"/>
                <w:sz w:val="18"/>
                <w:szCs w:val="18"/>
                <w:color w:val="auto"/>
              </w:rPr>
              <w:t>Unaudited interim condensed financial statements</w:t>
            </w: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in CHF thousands</w:t>
            </w:r>
          </w:p>
        </w:tc>
        <w:tc>
          <w:tcPr>
            <w:tcW w:w="39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03"/>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vMerge w:val="continue"/>
          </w:tcPr>
          <w:p>
            <w:pPr>
              <w:spacing w:after="0"/>
              <w:rPr>
                <w:sz w:val="17"/>
                <w:szCs w:val="17"/>
                <w:color w:val="auto"/>
              </w:rPr>
            </w:pPr>
          </w:p>
        </w:tc>
        <w:tc>
          <w:tcPr>
            <w:tcW w:w="39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5"/>
        </w:trPr>
        <w:tc>
          <w:tcPr>
            <w:tcW w:w="240" w:type="dxa"/>
            <w:vAlign w:val="bottom"/>
            <w:shd w:val="clear" w:color="auto" w:fill="C0C0C0"/>
          </w:tcPr>
          <w:p>
            <w:pPr>
              <w:spacing w:after="0"/>
              <w:rPr>
                <w:sz w:val="24"/>
                <w:szCs w:val="24"/>
                <w:color w:val="auto"/>
              </w:rPr>
            </w:pPr>
          </w:p>
        </w:tc>
        <w:tc>
          <w:tcPr>
            <w:tcW w:w="7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Operating activities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Restated</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43"/>
        </w:trPr>
        <w:tc>
          <w:tcPr>
            <w:tcW w:w="240" w:type="dxa"/>
            <w:vAlign w:val="bottom"/>
            <w:shd w:val="clear" w:color="auto" w:fill="C0C0C0"/>
          </w:tcPr>
          <w:p>
            <w:pPr>
              <w:spacing w:after="0"/>
              <w:rPr>
                <w:sz w:val="3"/>
                <w:szCs w:val="3"/>
                <w:color w:val="auto"/>
              </w:rPr>
            </w:pPr>
          </w:p>
        </w:tc>
        <w:tc>
          <w:tcPr>
            <w:tcW w:w="720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40" w:type="dxa"/>
            <w:vAlign w:val="bottom"/>
            <w:shd w:val="clear" w:color="auto" w:fill="C0C0C0"/>
          </w:tcPr>
          <w:p>
            <w:pPr>
              <w:spacing w:after="0"/>
              <w:rPr>
                <w:sz w:val="15"/>
                <w:szCs w:val="15"/>
                <w:color w:val="auto"/>
              </w:rPr>
            </w:pPr>
          </w:p>
        </w:tc>
        <w:tc>
          <w:tcPr>
            <w:tcW w:w="7200" w:type="dxa"/>
            <w:vAlign w:val="bottom"/>
          </w:tcPr>
          <w:p>
            <w:pPr>
              <w:ind w:left="80"/>
              <w:spacing w:after="0" w:line="181" w:lineRule="exact"/>
              <w:rPr>
                <w:sz w:val="20"/>
                <w:szCs w:val="20"/>
                <w:color w:val="auto"/>
              </w:rPr>
            </w:pPr>
            <w:r>
              <w:rPr>
                <w:rFonts w:ascii="Arial" w:cs="Arial" w:eastAsia="Arial" w:hAnsi="Arial"/>
                <w:sz w:val="18"/>
                <w:szCs w:val="18"/>
                <w:color w:val="auto"/>
              </w:rPr>
              <w:t>Income / (loss) for the period</w:t>
            </w:r>
          </w:p>
        </w:tc>
        <w:tc>
          <w:tcPr>
            <w:tcW w:w="17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(2,329)</w:t>
            </w:r>
          </w:p>
        </w:tc>
        <w:tc>
          <w:tcPr>
            <w:tcW w:w="560" w:type="dxa"/>
            <w:vAlign w:val="bottom"/>
          </w:tcPr>
          <w:p>
            <w:pPr>
              <w:spacing w:after="0"/>
              <w:rPr>
                <w:sz w:val="15"/>
                <w:szCs w:val="15"/>
                <w:color w:val="auto"/>
              </w:rPr>
            </w:pPr>
          </w:p>
        </w:tc>
        <w:tc>
          <w:tcPr>
            <w:tcW w:w="1700" w:type="dxa"/>
            <w:vAlign w:val="bottom"/>
          </w:tcPr>
          <w:p>
            <w:pPr>
              <w:jc w:val="right"/>
              <w:spacing w:after="0" w:line="181" w:lineRule="exact"/>
              <w:rPr>
                <w:sz w:val="20"/>
                <w:szCs w:val="20"/>
                <w:color w:val="auto"/>
              </w:rPr>
            </w:pPr>
            <w:r>
              <w:rPr>
                <w:rFonts w:ascii="Arial" w:cs="Arial" w:eastAsia="Arial" w:hAnsi="Arial"/>
                <w:sz w:val="18"/>
                <w:szCs w:val="18"/>
                <w:color w:val="auto"/>
              </w:rPr>
              <w:t>25,854</w:t>
            </w:r>
          </w:p>
        </w:tc>
        <w:tc>
          <w:tcPr>
            <w:tcW w:w="0" w:type="dxa"/>
            <w:vAlign w:val="bottom"/>
          </w:tcPr>
          <w:p>
            <w:pPr>
              <w:spacing w:after="0"/>
              <w:rPr>
                <w:sz w:val="1"/>
                <w:szCs w:val="1"/>
                <w:color w:val="auto"/>
              </w:rPr>
            </w:pPr>
          </w:p>
        </w:tc>
      </w:tr>
      <w:tr>
        <w:trPr>
          <w:trHeight w:val="225"/>
        </w:trPr>
        <w:tc>
          <w:tcPr>
            <w:tcW w:w="240" w:type="dxa"/>
            <w:vAlign w:val="bottom"/>
            <w:shd w:val="clear" w:color="auto" w:fill="C0C0C0"/>
          </w:tcPr>
          <w:p>
            <w:pPr>
              <w:spacing w:after="0"/>
              <w:rPr>
                <w:sz w:val="19"/>
                <w:szCs w:val="19"/>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Adjustments to reconcile income for the period to net cash flows :</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198</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Finance result, net</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935</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Share-based compensation expense</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350</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81"/>
        </w:trPr>
        <w:tc>
          <w:tcPr>
            <w:tcW w:w="240" w:type="dxa"/>
            <w:vAlign w:val="bottom"/>
            <w:shd w:val="clear" w:color="auto" w:fill="C0C0C0"/>
          </w:tcPr>
          <w:p>
            <w:pPr>
              <w:spacing w:after="0"/>
              <w:rPr>
                <w:sz w:val="15"/>
                <w:szCs w:val="15"/>
                <w:color w:val="auto"/>
              </w:rPr>
            </w:pPr>
          </w:p>
        </w:tc>
        <w:tc>
          <w:tcPr>
            <w:tcW w:w="7200" w:type="dxa"/>
            <w:vAlign w:val="bottom"/>
          </w:tcPr>
          <w:p>
            <w:pPr>
              <w:ind w:left="280"/>
              <w:spacing w:after="0" w:line="181" w:lineRule="exact"/>
              <w:rPr>
                <w:sz w:val="20"/>
                <w:szCs w:val="20"/>
                <w:color w:val="auto"/>
              </w:rPr>
            </w:pPr>
            <w:r>
              <w:rPr>
                <w:rFonts w:ascii="Arial" w:cs="Arial" w:eastAsia="Arial" w:hAnsi="Arial"/>
                <w:sz w:val="18"/>
                <w:szCs w:val="18"/>
                <w:color w:val="auto"/>
              </w:rPr>
              <w:t>Changes in pensions</w:t>
            </w:r>
          </w:p>
        </w:tc>
        <w:tc>
          <w:tcPr>
            <w:tcW w:w="17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123</w:t>
            </w:r>
          </w:p>
        </w:tc>
        <w:tc>
          <w:tcPr>
            <w:tcW w:w="560" w:type="dxa"/>
            <w:vAlign w:val="bottom"/>
          </w:tcPr>
          <w:p>
            <w:pPr>
              <w:spacing w:after="0"/>
              <w:rPr>
                <w:sz w:val="15"/>
                <w:szCs w:val="15"/>
                <w:color w:val="auto"/>
              </w:rPr>
            </w:pPr>
          </w:p>
        </w:tc>
        <w:tc>
          <w:tcPr>
            <w:tcW w:w="1700" w:type="dxa"/>
            <w:vAlign w:val="bottom"/>
          </w:tcPr>
          <w:p>
            <w:pPr>
              <w:jc w:val="right"/>
              <w:spacing w:after="0" w:line="181"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5"/>
        </w:trPr>
        <w:tc>
          <w:tcPr>
            <w:tcW w:w="240" w:type="dxa"/>
            <w:vAlign w:val="bottom"/>
            <w:shd w:val="clear" w:color="auto" w:fill="C0C0C0"/>
          </w:tcPr>
          <w:p>
            <w:pPr>
              <w:spacing w:after="0"/>
              <w:rPr>
                <w:sz w:val="19"/>
                <w:szCs w:val="19"/>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Changes in working capital:</w:t>
            </w: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(493)</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Accrued income</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(340)</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Other current receivables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(603)</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25,759</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Other current liabilities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1,144</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Deferral of unearned revenue (current)</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1,261</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tcPr>
          <w:p>
            <w:pPr>
              <w:ind w:left="280"/>
              <w:spacing w:after="0" w:line="203" w:lineRule="exact"/>
              <w:rPr>
                <w:sz w:val="20"/>
                <w:szCs w:val="20"/>
                <w:color w:val="auto"/>
              </w:rPr>
            </w:pPr>
            <w:r>
              <w:rPr>
                <w:rFonts w:ascii="Arial" w:cs="Arial" w:eastAsia="Arial" w:hAnsi="Arial"/>
                <w:sz w:val="18"/>
                <w:szCs w:val="18"/>
                <w:color w:val="auto"/>
              </w:rPr>
              <w:t>Accounts payable</w:t>
            </w:r>
          </w:p>
        </w:tc>
        <w:tc>
          <w:tcPr>
            <w:tcW w:w="17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1,113</w:t>
            </w:r>
          </w:p>
        </w:tc>
        <w:tc>
          <w:tcPr>
            <w:tcW w:w="5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95"/>
        </w:trPr>
        <w:tc>
          <w:tcPr>
            <w:tcW w:w="240" w:type="dxa"/>
            <w:vAlign w:val="bottom"/>
            <w:shd w:val="clear" w:color="auto" w:fill="C0C0C0"/>
          </w:tcPr>
          <w:p>
            <w:pPr>
              <w:spacing w:after="0"/>
              <w:rPr>
                <w:sz w:val="16"/>
                <w:szCs w:val="16"/>
                <w:color w:val="auto"/>
              </w:rPr>
            </w:pPr>
          </w:p>
        </w:tc>
        <w:tc>
          <w:tcPr>
            <w:tcW w:w="720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Cash provided by operating activities</w:t>
            </w:r>
          </w:p>
        </w:tc>
        <w:tc>
          <w:tcPr>
            <w:tcW w:w="17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1,359</w:t>
            </w:r>
          </w:p>
        </w:tc>
        <w:tc>
          <w:tcPr>
            <w:tcW w:w="560" w:type="dxa"/>
            <w:vAlign w:val="bottom"/>
          </w:tcPr>
          <w:p>
            <w:pPr>
              <w:spacing w:after="0"/>
              <w:rPr>
                <w:sz w:val="16"/>
                <w:szCs w:val="16"/>
                <w:color w:val="auto"/>
              </w:rPr>
            </w:pPr>
          </w:p>
        </w:tc>
        <w:tc>
          <w:tcPr>
            <w:tcW w:w="17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49,652</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Financial costs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Exchange differences - gain, on payables / receivables</w:t>
            </w:r>
          </w:p>
        </w:tc>
        <w:tc>
          <w:tcPr>
            <w:tcW w:w="17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36</w:t>
            </w:r>
          </w:p>
        </w:tc>
        <w:tc>
          <w:tcPr>
            <w:tcW w:w="5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2"/>
        </w:trPr>
        <w:tc>
          <w:tcPr>
            <w:tcW w:w="240" w:type="dxa"/>
            <w:vAlign w:val="bottom"/>
            <w:shd w:val="clear" w:color="auto" w:fill="C0C0C0"/>
          </w:tcPr>
          <w:p>
            <w:pPr>
              <w:spacing w:after="0"/>
              <w:rPr>
                <w:sz w:val="20"/>
                <w:szCs w:val="20"/>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Net cash flows provided by operating activities</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1,272</w:t>
            </w:r>
          </w:p>
        </w:tc>
        <w:tc>
          <w:tcPr>
            <w:tcW w:w="5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49,659</w:t>
            </w:r>
          </w:p>
        </w:tc>
        <w:tc>
          <w:tcPr>
            <w:tcW w:w="0" w:type="dxa"/>
            <w:vAlign w:val="bottom"/>
          </w:tcPr>
          <w:p>
            <w:pPr>
              <w:spacing w:after="0"/>
              <w:rPr>
                <w:sz w:val="1"/>
                <w:szCs w:val="1"/>
                <w:color w:val="auto"/>
              </w:rPr>
            </w:pPr>
          </w:p>
        </w:tc>
      </w:tr>
      <w:tr>
        <w:trPr>
          <w:trHeight w:val="368"/>
        </w:trPr>
        <w:tc>
          <w:tcPr>
            <w:tcW w:w="240" w:type="dxa"/>
            <w:vAlign w:val="bottom"/>
            <w:shd w:val="clear" w:color="auto" w:fill="C0C0C0"/>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Investing activities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Purchases of property, plant and equipment</w:t>
            </w:r>
          </w:p>
        </w:tc>
        <w:tc>
          <w:tcPr>
            <w:tcW w:w="17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(613)</w:t>
            </w:r>
          </w:p>
        </w:tc>
        <w:tc>
          <w:tcPr>
            <w:tcW w:w="5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2"/>
        </w:trPr>
        <w:tc>
          <w:tcPr>
            <w:tcW w:w="240" w:type="dxa"/>
            <w:vAlign w:val="bottom"/>
            <w:shd w:val="clear" w:color="auto" w:fill="C0C0C0"/>
          </w:tcPr>
          <w:p>
            <w:pPr>
              <w:spacing w:after="0"/>
              <w:rPr>
                <w:sz w:val="20"/>
                <w:szCs w:val="20"/>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Net cash flows used in investing activities</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(613)</w:t>
            </w:r>
          </w:p>
        </w:tc>
        <w:tc>
          <w:tcPr>
            <w:tcW w:w="5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368"/>
        </w:trPr>
        <w:tc>
          <w:tcPr>
            <w:tcW w:w="240" w:type="dxa"/>
            <w:vAlign w:val="bottom"/>
            <w:shd w:val="clear" w:color="auto" w:fill="C0C0C0"/>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common shares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69,388</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Transaction costs of issue of shares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shares - option plan</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232</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Cost on issue of shares - option plan</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preferred Series E shares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13,205</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Proceeds from employee loan repayments</w:t>
            </w:r>
          </w:p>
        </w:tc>
        <w:tc>
          <w:tcPr>
            <w:tcW w:w="17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2"/>
        </w:trPr>
        <w:tc>
          <w:tcPr>
            <w:tcW w:w="240" w:type="dxa"/>
            <w:vAlign w:val="bottom"/>
            <w:shd w:val="clear" w:color="auto" w:fill="C0C0C0"/>
          </w:tcPr>
          <w:p>
            <w:pPr>
              <w:spacing w:after="0"/>
              <w:rPr>
                <w:sz w:val="20"/>
                <w:szCs w:val="20"/>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81,259</w:t>
            </w:r>
          </w:p>
        </w:tc>
        <w:tc>
          <w:tcPr>
            <w:tcW w:w="5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369"/>
        </w:trPr>
        <w:tc>
          <w:tcPr>
            <w:tcW w:w="240" w:type="dxa"/>
            <w:vAlign w:val="bottom"/>
            <w:tcBorders>
              <w:bottom w:val="single" w:sz="8" w:color="C0C0C0"/>
            </w:tcBorders>
            <w:shd w:val="clear" w:color="auto" w:fill="C0C0C0"/>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b w:val="1"/>
                <w:bCs w:val="1"/>
                <w:color w:val="auto"/>
              </w:rPr>
              <w:t>Net increase in cash and cash equivalents</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81,918</w:t>
            </w:r>
          </w:p>
        </w:tc>
        <w:tc>
          <w:tcPr>
            <w:tcW w:w="56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49,462</w:t>
            </w:r>
          </w:p>
        </w:tc>
        <w:tc>
          <w:tcPr>
            <w:tcW w:w="0" w:type="dxa"/>
            <w:vAlign w:val="bottom"/>
          </w:tcPr>
          <w:p>
            <w:pPr>
              <w:spacing w:after="0"/>
              <w:rPr>
                <w:sz w:val="1"/>
                <w:szCs w:val="1"/>
                <w:color w:val="auto"/>
              </w:rPr>
            </w:pPr>
          </w:p>
        </w:tc>
      </w:tr>
      <w:tr>
        <w:trPr>
          <w:trHeight w:val="398"/>
        </w:trPr>
        <w:tc>
          <w:tcPr>
            <w:tcW w:w="240" w:type="dxa"/>
            <w:vAlign w:val="bottom"/>
            <w:shd w:val="clear" w:color="auto" w:fill="C0C0C0"/>
          </w:tcPr>
          <w:p>
            <w:pPr>
              <w:spacing w:after="0"/>
              <w:rPr>
                <w:sz w:val="24"/>
                <w:szCs w:val="24"/>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Cash and cash equivalents at January 1</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76,522</w:t>
            </w:r>
          </w:p>
        </w:tc>
        <w:tc>
          <w:tcPr>
            <w:tcW w:w="5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3"/>
        </w:trPr>
        <w:tc>
          <w:tcPr>
            <w:tcW w:w="240" w:type="dxa"/>
            <w:vAlign w:val="bottom"/>
            <w:shd w:val="clear" w:color="auto" w:fill="C0C0C0"/>
          </w:tcPr>
          <w:p>
            <w:pPr>
              <w:spacing w:after="0"/>
              <w:rPr>
                <w:sz w:val="17"/>
                <w:szCs w:val="17"/>
                <w:color w:val="auto"/>
              </w:rPr>
            </w:pPr>
          </w:p>
        </w:tc>
        <w:tc>
          <w:tcPr>
            <w:tcW w:w="7200" w:type="dxa"/>
            <w:vAlign w:val="bottom"/>
          </w:tcPr>
          <w:p>
            <w:pPr>
              <w:ind w:left="80"/>
              <w:spacing w:after="0" w:line="202" w:lineRule="exact"/>
              <w:rPr>
                <w:sz w:val="20"/>
                <w:szCs w:val="20"/>
                <w:color w:val="auto"/>
              </w:rPr>
            </w:pPr>
            <w:r>
              <w:rPr>
                <w:rFonts w:ascii="Arial" w:cs="Arial" w:eastAsia="Arial" w:hAnsi="Arial"/>
                <w:sz w:val="18"/>
                <w:szCs w:val="18"/>
                <w:color w:val="auto"/>
              </w:rPr>
              <w:t>Exchange gain / (loss) on cash and cash equivalents</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(848)</w:t>
            </w:r>
          </w:p>
        </w:tc>
        <w:tc>
          <w:tcPr>
            <w:tcW w:w="5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3"/>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tcPr>
          <w:p>
            <w:pPr>
              <w:ind w:left="80"/>
              <w:spacing w:after="0" w:line="203" w:lineRule="exact"/>
              <w:rPr>
                <w:sz w:val="20"/>
                <w:szCs w:val="20"/>
                <w:color w:val="auto"/>
              </w:rPr>
            </w:pPr>
            <w:r>
              <w:rPr>
                <w:rFonts w:ascii="Arial" w:cs="Arial" w:eastAsia="Arial" w:hAnsi="Arial"/>
                <w:sz w:val="18"/>
                <w:szCs w:val="18"/>
                <w:color w:val="auto"/>
              </w:rPr>
              <w:t>Cash and cash equivalents at September 30</w:t>
            </w:r>
          </w:p>
        </w:tc>
        <w:tc>
          <w:tcPr>
            <w:tcW w:w="17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157,592</w:t>
            </w:r>
          </w:p>
        </w:tc>
        <w:tc>
          <w:tcPr>
            <w:tcW w:w="5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53,685</w:t>
            </w:r>
          </w:p>
        </w:tc>
        <w:tc>
          <w:tcPr>
            <w:tcW w:w="0" w:type="dxa"/>
            <w:vAlign w:val="bottom"/>
          </w:tcPr>
          <w:p>
            <w:pPr>
              <w:spacing w:after="0"/>
              <w:rPr>
                <w:sz w:val="1"/>
                <w:szCs w:val="1"/>
                <w:color w:val="auto"/>
              </w:rPr>
            </w:pPr>
          </w:p>
        </w:tc>
      </w:tr>
      <w:tr>
        <w:trPr>
          <w:trHeight w:val="196"/>
        </w:trPr>
        <w:tc>
          <w:tcPr>
            <w:tcW w:w="240" w:type="dxa"/>
            <w:vAlign w:val="bottom"/>
            <w:tcBorders>
              <w:bottom w:val="single" w:sz="8" w:color="C0C0C0"/>
            </w:tcBorders>
            <w:shd w:val="clear" w:color="auto" w:fill="C0C0C0"/>
          </w:tcPr>
          <w:p>
            <w:pPr>
              <w:spacing w:after="0"/>
              <w:rPr>
                <w:sz w:val="17"/>
                <w:szCs w:val="17"/>
                <w:color w:val="auto"/>
              </w:rPr>
            </w:pPr>
          </w:p>
        </w:tc>
        <w:tc>
          <w:tcPr>
            <w:tcW w:w="720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Net increase in cash and cash equivalents</w:t>
            </w:r>
          </w:p>
        </w:tc>
        <w:tc>
          <w:tcPr>
            <w:tcW w:w="1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81,918</w:t>
            </w:r>
          </w:p>
        </w:tc>
        <w:tc>
          <w:tcPr>
            <w:tcW w:w="5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rPr>
          <w:sz w:val="20"/>
          <w:szCs w:val="20"/>
          <w:color w:val="auto"/>
        </w:rPr>
      </w:pPr>
      <w:r>
        <w:rPr>
          <w:rFonts w:ascii="Arial" w:cs="Arial" w:eastAsia="Arial" w:hAnsi="Arial"/>
          <w:sz w:val="18"/>
          <w:szCs w:val="18"/>
          <w:color w:val="auto"/>
        </w:rPr>
        <w:t>(1) See Note 8 for restatement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9" w:right="239" w:bottom="1440" w:gutter="0" w:footer="0" w:header="0"/>
        </w:sectPr>
      </w:pPr>
    </w:p>
    <w:bookmarkStart w:id="8" w:name="page9"/>
    <w:bookmarkEnd w:id="8"/>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Notes to the interim condensed financial statements</w:t>
      </w:r>
    </w:p>
    <w:p>
      <w:pPr>
        <w:spacing w:after="0"/>
        <w:rPr>
          <w:sz w:val="20"/>
          <w:szCs w:val="20"/>
          <w:color w:val="auto"/>
        </w:rPr>
      </w:pPr>
      <w:r>
        <w:rPr>
          <w:rFonts w:ascii="Arial" w:cs="Arial" w:eastAsia="Arial" w:hAnsi="Arial"/>
          <w:sz w:val="18"/>
          <w:szCs w:val="18"/>
          <w:color w:val="auto"/>
        </w:rPr>
        <w:t>(CHF thousands, except share and per share amounts)</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Corporate information</w:t>
      </w:r>
    </w:p>
    <w:p>
      <w:pPr>
        <w:spacing w:after="0" w:line="2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Phase 3 clinical studies for crenezumab were commenced in early 2016. We use our two unique proprietary platform technologies, SupraAntigen (conformation-specific biologics) and Morphomer (conformation-specific small molecules); to discover, design and develop medicines and diagnostics to target misfolded proteins.</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interim condensed financial statements of AC Immune SA for the three and nine-months periods ended September 30, 2016 were authorized for issue in accordance with a resolution of the Board of Directors on November 10, 2016.</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15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Basis of preparation and changes to the Company’s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157.6 million as of September 30, 2016 which includes the $75.9 million (CHF 74.5 million) in gross proceeds raised in the initial public offering (“IPO”) in September 2016, the $13.5 million (CHF 13.2 million) the Company raised in the Series E Extension financing in April 2016, the clinical milestone payment of CHF 14 million in July 2016 related to the collaboration with Genentech on the anti-tau antibody program and the CHF 4.9 million clinical milestone payment related to ACI-35 that the Company received in May 2016 pursuant to its collaboration with Janssen.</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interim condensed financial statements for the three and nine-month periods ended September 30,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59" w:right="239" w:bottom="1440" w:gutter="0" w:footer="0" w:header="0"/>
        </w:sectPr>
      </w:pPr>
    </w:p>
    <w:bookmarkStart w:id="9" w:name="page10"/>
    <w:bookmarkEnd w:id="9"/>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disclosed in Note 5, the Company has tax losses.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1"/>
          <w:szCs w:val="21"/>
          <w:b w:val="1"/>
          <w:bCs w:val="1"/>
          <w:color w:val="auto"/>
        </w:rPr>
        <w:t>Revenues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32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For the Three Months Ended</w:t>
            </w:r>
          </w:p>
        </w:tc>
        <w:tc>
          <w:tcPr>
            <w:tcW w:w="29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25"/>
        </w:trPr>
        <w:tc>
          <w:tcPr>
            <w:tcW w:w="5320" w:type="dxa"/>
            <w:vAlign w:val="bottom"/>
            <w:vMerge w:val="restart"/>
          </w:tcPr>
          <w:p>
            <w:pPr>
              <w:spacing w:after="0"/>
              <w:rPr>
                <w:sz w:val="20"/>
                <w:szCs w:val="20"/>
                <w:color w:val="auto"/>
              </w:rPr>
            </w:pPr>
            <w:r>
              <w:rPr>
                <w:rFonts w:ascii="Arial" w:cs="Arial" w:eastAsia="Arial" w:hAnsi="Arial"/>
                <w:sz w:val="18"/>
                <w:szCs w:val="18"/>
                <w:color w:val="auto"/>
              </w:rPr>
              <w:t>in CHF thousands</w:t>
            </w:r>
          </w:p>
        </w:tc>
        <w:tc>
          <w:tcPr>
            <w:tcW w:w="21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7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9"/>
              </w:rPr>
              <w:t>September 30</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line="195" w:lineRule="exact"/>
              <w:rPr>
                <w:sz w:val="20"/>
                <w:szCs w:val="20"/>
                <w:color w:val="auto"/>
              </w:rPr>
            </w:pPr>
            <w:r>
              <w:rPr>
                <w:rFonts w:ascii="Arial" w:cs="Arial" w:eastAsia="Arial" w:hAnsi="Arial"/>
                <w:sz w:val="18"/>
                <w:szCs w:val="18"/>
                <w:color w:val="auto"/>
              </w:rPr>
              <w:t>Collaboration and license revenue</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1'230</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24'328</w:t>
            </w:r>
          </w:p>
        </w:tc>
        <w:tc>
          <w:tcPr>
            <w:tcW w:w="34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21'365</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38'575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Grant revenue</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1'333</w:t>
            </w: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24'374</w:t>
            </w:r>
          </w:p>
        </w:tc>
        <w:tc>
          <w:tcPr>
            <w:tcW w:w="34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21'784</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9" w:right="239" w:bottom="1440" w:gutter="0" w:footer="0" w:header="0"/>
        </w:sectPr>
      </w:pPr>
    </w:p>
    <w:bookmarkStart w:id="10" w:name="page11"/>
    <w:bookmarkEnd w:id="10"/>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21"/>
          <w:szCs w:val="21"/>
          <w:b w:val="1"/>
          <w:bCs w:val="1"/>
          <w:color w:val="auto"/>
        </w:rPr>
        <w:t>Licensing and collaboration agreements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4.1 Research Collaboration and license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4.2 Milestones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Tau Vaccine in AD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Collaboration agreement of 2014 with Janssen Pharmaceuticals</w:t>
      </w:r>
    </w:p>
    <w:p>
      <w:pPr>
        <w:spacing w:after="0" w:line="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2016, we received payments of CHF 1.5 million for pre-payment of research and external research costs we are expected to incur during 2016. Pursuant to the terms of the collaboration agreement, there is a performance obligation until the end of the year. As a result, we are recognizing the proceeds from the milestone payment over a 12-month period on a straight-line basis. In May 2016, we received a CHF 4.9 million payment for reaching a clinical milestone in the phase 1b study. As we met all performance obligations on reaching the milestone, we have recognized this income as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2012, we entered into an exclusive global license agreement and research collaboration with Genentech, Inc.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59" w:right="239" w:bottom="1440" w:gutter="0" w:footer="0" w:header="0"/>
        </w:sectPr>
      </w:pPr>
    </w:p>
    <w:bookmarkStart w:id="11" w:name="page12"/>
    <w:bookmarkEnd w:id="11"/>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Until September 30, 2016 we have received payments totalling CHF 45 million including a CHF 14 million milestone payment we received in July 2016 related to the start of phase 1 clinical trials for this program. Pursuant to the exclusive global license agreement, there was no further performance obligation attached to this payment, therefore we recognized the full amount as collaboration and license revenue which we recognized in Q2 of 2016.</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Genentech may terminate the agreement at any time by providing three months’ notice to us. In such event all costs incurred are still refundable.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we will be entitled to receive royalties that are tied to annual sales volumes with different royalty rates applicable in the U.S. and Europe. These percentage rates range from the high single digits to the mid-teens.</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To date, we have received payments of $65 million (CHF 70.1 million) including $25 million (CHF 24.7 million) received in July 2015.</w:t>
      </w:r>
    </w:p>
    <w:p>
      <w:pPr>
        <w:spacing w:after="0" w:line="15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21"/>
          <w:szCs w:val="21"/>
          <w:b w:val="1"/>
          <w:bCs w:val="1"/>
          <w:color w:val="auto"/>
        </w:rPr>
        <w:t>Income tax</w:t>
      </w:r>
    </w:p>
    <w:p>
      <w:pPr>
        <w:spacing w:after="0" w:line="3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estimated tax expense for the three and nine-month periods ended September 30, 2016 is zero. The estimated tax expense is based on the best estimate of the weighted average annual income tax rate expected for the full financial year to December 31, 2016. As we expect to incur a loss for the full year, we do not anticipate any income tax expense.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accordance with IAS 34 and consistent with prior years, the Company has not recognized any deferred tax assets relating to tax losses available but offset against future profits as the recognition criteria have not been met at the balance sheet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356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43"/>
        </w:trPr>
        <w:tc>
          <w:tcPr>
            <w:tcW w:w="7860" w:type="dxa"/>
            <w:vAlign w:val="bottom"/>
          </w:tcPr>
          <w:p>
            <w:pPr>
              <w:spacing w:after="0"/>
              <w:rPr>
                <w:sz w:val="21"/>
                <w:szCs w:val="21"/>
                <w:color w:val="auto"/>
              </w:rPr>
            </w:pPr>
          </w:p>
        </w:tc>
        <w:tc>
          <w:tcPr>
            <w:tcW w:w="2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Pr>
          <w:p>
            <w:pPr>
              <w:spacing w:after="0"/>
              <w:rPr>
                <w:sz w:val="21"/>
                <w:szCs w:val="2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(in CHF thousands)</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Accounting income before income tax</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25,854</w:t>
            </w:r>
          </w:p>
        </w:tc>
      </w:tr>
      <w:tr>
        <w:trPr>
          <w:trHeight w:val="493"/>
        </w:trPr>
        <w:tc>
          <w:tcPr>
            <w:tcW w:w="7860" w:type="dxa"/>
            <w:vAlign w:val="bottom"/>
          </w:tcPr>
          <w:p>
            <w:pPr>
              <w:spacing w:after="0"/>
              <w:rPr>
                <w:sz w:val="20"/>
                <w:szCs w:val="20"/>
                <w:color w:val="auto"/>
              </w:rPr>
            </w:pPr>
            <w:r>
              <w:rPr>
                <w:rFonts w:ascii="Arial" w:cs="Arial" w:eastAsia="Arial" w:hAnsi="Arial"/>
                <w:sz w:val="18"/>
                <w:szCs w:val="18"/>
                <w:color w:val="auto"/>
              </w:rPr>
              <w:t>Tax expense calculated at the statutory rate of 22.5%</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(5,817)</w:t>
            </w: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auto"/>
              </w:rPr>
              <w:t>Effect of expected tax rate for full year (2016)</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Effect of unrecognized carry forward tax loss (2015)</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w:t>
            </w:r>
          </w:p>
        </w:tc>
      </w:tr>
      <w:tr>
        <w:trPr>
          <w:trHeight w:val="210"/>
        </w:trPr>
        <w:tc>
          <w:tcPr>
            <w:tcW w:w="7860" w:type="dxa"/>
            <w:vAlign w:val="bottom"/>
          </w:tcPr>
          <w:p>
            <w:pPr>
              <w:spacing w:after="0"/>
              <w:rPr>
                <w:sz w:val="20"/>
                <w:szCs w:val="20"/>
                <w:color w:val="auto"/>
              </w:rPr>
            </w:pPr>
            <w:r>
              <w:rPr>
                <w:rFonts w:ascii="Arial" w:cs="Arial" w:eastAsia="Arial" w:hAnsi="Arial"/>
                <w:sz w:val="18"/>
                <w:szCs w:val="18"/>
                <w:b w:val="1"/>
                <w:bCs w:val="1"/>
                <w:color w:val="auto"/>
              </w:rPr>
              <w:t>Effective income tax rate benefit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7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Due to the fact that AC Immune is expected to report a loss for the full year 2016, no tax on income was payable for the nine month period ended September 30, 2016. In same period in 2015, no income tax was payable due to the fact that AC Immune could offset taxable income with tax loss carry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59" w:right="239" w:bottom="1440" w:gutter="0" w:footer="0" w:header="0"/>
        </w:sectPr>
      </w:pPr>
    </w:p>
    <w:bookmarkStart w:id="12" w:name="page13"/>
    <w:bookmarkEnd w:id="12"/>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21"/>
          <w:szCs w:val="21"/>
          <w:b w:val="1"/>
          <w:bCs w:val="1"/>
          <w:color w:val="auto"/>
        </w:rPr>
        <w:t>Financial instruments</w:t>
      </w:r>
    </w:p>
    <w:p>
      <w:pPr>
        <w:spacing w:after="0" w:line="31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shows the carrying amounts of financial assets and financial liabilities which are a reasonable approximation of the fair value of financial assets and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7160" cy="1981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981200"/>
                    </a:xfrm>
                    <a:prstGeom prst="rect">
                      <a:avLst/>
                    </a:prstGeom>
                    <a:noFill/>
                  </pic:spPr>
                </pic:pic>
              </a:graphicData>
            </a:graphic>
          </wp:anchor>
        </w:drawing>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225"/>
        </w:trPr>
        <w:tc>
          <w:tcPr>
            <w:tcW w:w="6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600" w:type="dxa"/>
            <w:vAlign w:val="bottom"/>
            <w:tcBorders>
              <w:bottom w:val="single" w:sz="8" w:color="auto"/>
            </w:tcBorders>
            <w:gridSpan w:val="3"/>
          </w:tcPr>
          <w:p>
            <w:pPr>
              <w:ind w:left="1980"/>
              <w:spacing w:after="0"/>
              <w:rPr>
                <w:sz w:val="20"/>
                <w:szCs w:val="20"/>
                <w:color w:val="auto"/>
              </w:rPr>
            </w:pPr>
            <w:r>
              <w:rPr>
                <w:rFonts w:ascii="Arial" w:cs="Arial" w:eastAsia="Arial" w:hAnsi="Arial"/>
                <w:sz w:val="18"/>
                <w:szCs w:val="18"/>
                <w:b w:val="1"/>
                <w:bCs w:val="1"/>
                <w:color w:val="auto"/>
              </w:rPr>
              <w:t>As at</w:t>
            </w: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500" w:type="dxa"/>
            <w:vAlign w:val="bottom"/>
            <w:gridSpan w:val="3"/>
            <w:vMerge w:val="continue"/>
          </w:tcPr>
          <w:p>
            <w:pPr>
              <w:spacing w:after="0"/>
              <w:rPr>
                <w:sz w:val="20"/>
                <w:szCs w:val="20"/>
                <w:color w:val="auto"/>
              </w:rPr>
            </w:pPr>
          </w:p>
        </w:tc>
        <w:tc>
          <w:tcPr>
            <w:tcW w:w="2600" w:type="dxa"/>
            <w:vAlign w:val="bottom"/>
            <w:gridSpan w:val="3"/>
          </w:tcPr>
          <w:p>
            <w:pPr>
              <w:ind w:left="380"/>
              <w:spacing w:after="0"/>
              <w:rPr>
                <w:sz w:val="20"/>
                <w:szCs w:val="20"/>
                <w:color w:val="auto"/>
              </w:rPr>
            </w:pPr>
            <w:r>
              <w:rPr>
                <w:rFonts w:ascii="Arial" w:cs="Arial" w:eastAsia="Arial" w:hAnsi="Arial"/>
                <w:sz w:val="18"/>
                <w:szCs w:val="18"/>
                <w:b w:val="1"/>
                <w:bCs w:val="1"/>
                <w:color w:val="auto"/>
              </w:rPr>
              <w:t>September 30, 2016</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457"/>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Financial assets</w:t>
            </w:r>
          </w:p>
        </w:tc>
        <w:tc>
          <w:tcPr>
            <w:tcW w:w="5100" w:type="dxa"/>
            <w:vAlign w:val="bottom"/>
            <w:gridSpan w:val="2"/>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157'592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color w:val="auto"/>
              </w:rPr>
              <w:t>Other current receivables</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Total financial assets</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158'464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76'791</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2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00" w:type="dxa"/>
            <w:vAlign w:val="bottom"/>
            <w:gridSpan w:val="3"/>
            <w:vMerge w:val="continue"/>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gridSpan w:val="3"/>
          </w:tcPr>
          <w:p>
            <w:pPr>
              <w:spacing w:after="0"/>
              <w:rPr>
                <w:sz w:val="20"/>
                <w:szCs w:val="20"/>
                <w:color w:val="auto"/>
              </w:rPr>
            </w:pPr>
            <w:r>
              <w:rPr>
                <w:rFonts w:ascii="Arial" w:cs="Arial" w:eastAsia="Arial" w:hAnsi="Arial"/>
                <w:sz w:val="18"/>
                <w:szCs w:val="18"/>
                <w:color w:val="auto"/>
              </w:rPr>
              <w:t>Trade payables and other payable</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3"/>
        </w:trPr>
        <w:tc>
          <w:tcPr>
            <w:tcW w:w="650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6'768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50"/>
        </w:trPr>
        <w:tc>
          <w:tcPr>
            <w:tcW w:w="65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Total financial liabilities</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Pursuant to regulations in Switzerland, the Company is responsible for paying all social charges to the authorities and then obtains reimbursement for the employees’ share of the social charges. Normally, the social charges payable by employees are deducted at the time the employees obtain income. However, as the exercise of options does not generate income for employees and therefore, the Company cannot make deductions at the time of the option exercise, the Company has a receivable outstanding vis a vis an employee. As at September 30, 2016, AC Immune had receivables from related parties totalling CHF 339 thousand which are related to the social charges the Company has to withhold for employees and related parties and pay to authorities in connection with the exercise of Plan B options.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restricted cash totalling CHF 106 thousand related to the CS AG Capital Increase which AC Immune had on its balance sheet as at June 30, 2016 was extinguished upon the successful completion of the Company’s IPO on September 28, 2016. However, AC Immune owes the underwriters CHF 106 thousand in connection with the settlement of the 5.3 million shares that Credit Suisse AG subscribed to as part of the CS AG Capital increase in May 2016 and which were allocated to investors in the IPO in September 2016.</w:t>
      </w:r>
    </w:p>
    <w:p>
      <w:pPr>
        <w:spacing w:after="0" w:line="15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tab/>
        <w:t>IPO</w:t>
      </w:r>
    </w:p>
    <w:p>
      <w:pPr>
        <w:spacing w:after="0" w:line="3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September 22, 2016, AC Immune successfully priced a 6.0 million common share IPO at $ 11.00 per share. On the same day, the underwriters exercised the overallotment option which resulted in a further 900,000 shares being placed in the market and took the total number of shares offered to investors to 6.9 million common shares. The gross proceeds received were $75.9 million (CHF 74.5 million) while the proceeds net of underwriting fees amounted to $70.6 million (CHF 69.4 million).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issuance of 6.9 million shares increased the nominal share capital of AC Immune by CHF 138 thousand which together with the nominal capital increases of CHF 28 thousand and CHF 32 thousand arising from the Preferred Shares Series E Extension and option exercises, respectively brings the total nominal capital to CHF 1,126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59" w:right="239" w:bottom="1440" w:gutter="0" w:footer="0" w:header="0"/>
        </w:sectPr>
      </w:pPr>
    </w:p>
    <w:bookmarkStart w:id="13" w:name="page14"/>
    <w:bookmarkEnd w:id="13"/>
    <w:p>
      <w:pPr>
        <w:spacing w:after="0"/>
        <w:rPr>
          <w:sz w:val="20"/>
          <w:szCs w:val="20"/>
          <w:color w:val="auto"/>
        </w:rPr>
      </w:pPr>
      <w:r>
        <w:rPr>
          <w:rFonts w:ascii="Arial" w:cs="Arial" w:eastAsia="Arial" w:hAnsi="Arial"/>
          <w:sz w:val="36"/>
          <w:szCs w:val="36"/>
          <w:b w:val="1"/>
          <w:bCs w:val="1"/>
          <w:color w:val="auto"/>
        </w:rPr>
        <w:t>Unaudited interim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IPO also resulted in an increase of CHF 64.1 million in the share premium of AC Immune excluding the transaction costs associated with the IPO related to the issuance of new shares. Under IFRS, transaction costs associated with the IPO and related to the issuance of new shares, are charged directly against the share premium account thereby reducing the total equity reported. The IPO transaction costs related to the issuance of new shares are not booked through the income statement of AC Immune.</w:t>
      </w:r>
    </w:p>
    <w:p>
      <w:pPr>
        <w:spacing w:after="0" w:line="15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IAS 8 - Disclosure of Prior Period Adjustments</w:t>
      </w:r>
    </w:p>
    <w:p>
      <w:pPr>
        <w:spacing w:after="0" w:line="3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 months and nine months ended September, 30, 2015, AC Immune incurred IPO costs of CHF 859 thousand and CHF 990 thousand, respectively. Due to the uncertainty regarding the IPO at the time, these expenses were originally expensed rather than capitalized within prepaid expenses as is permitted under IFRS standards.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2015, it was determined that the IPO would proceed with certainty and therefore the amounts previously expensed for the three and nine months periods ended September 30, 2015 were adjusted in December 31, 2015 year end accounts to reflect this change. As such, the September 30, 2015 comparative financial statements for the three and nine months periods ended September 30, 2015 have been adjusted to properly reflect this change. The effect of the change is CHF 859 thousand and CHF 990 thousand for the three and nine months periods ended September 30, 2015. The basic and diluted earnings per share for the three months and nine months ended September 30, 2015 increased by CHF 0.02 per share.</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presents the impact of the prior period adjustments for the three months and nine months periods ended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 the Three Months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 the Nine Months</w:t>
            </w:r>
          </w:p>
        </w:tc>
        <w:tc>
          <w:tcPr>
            <w:tcW w:w="0" w:type="dxa"/>
            <w:vAlign w:val="bottom"/>
          </w:tcPr>
          <w:p>
            <w:pPr>
              <w:spacing w:after="0"/>
              <w:rPr>
                <w:sz w:val="1"/>
                <w:szCs w:val="1"/>
                <w:color w:val="auto"/>
              </w:rPr>
            </w:pPr>
          </w:p>
        </w:tc>
      </w:tr>
      <w:tr>
        <w:trPr>
          <w:trHeight w:val="225"/>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Income for the period</w:t>
            </w:r>
          </w:p>
        </w:tc>
        <w:tc>
          <w:tcPr>
            <w:tcW w:w="2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Ended September 30, 2015</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Ended September 30, 2015</w:t>
            </w: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238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b w:val="1"/>
                <w:bCs w:val="1"/>
                <w:color w:val="auto"/>
                <w:w w:val="99"/>
              </w:rPr>
              <w:t>Restated</w:t>
            </w:r>
          </w:p>
        </w:tc>
        <w:tc>
          <w:tcPr>
            <w:tcW w:w="140" w:type="dxa"/>
            <w:vAlign w:val="bottom"/>
          </w:tcPr>
          <w:p>
            <w:pPr>
              <w:spacing w:after="0"/>
              <w:rPr>
                <w:sz w:val="16"/>
                <w:szCs w:val="16"/>
                <w:color w:val="auto"/>
              </w:rPr>
            </w:pP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9"/>
              </w:rPr>
              <w:t>Restated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Income for the period before correction of the prior period adjustment</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19,240</w:t>
            </w:r>
          </w:p>
        </w:tc>
        <w:tc>
          <w:tcPr>
            <w:tcW w:w="1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24,864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60"/>
              <w:spacing w:after="0" w:line="181" w:lineRule="exact"/>
              <w:rPr>
                <w:sz w:val="20"/>
                <w:szCs w:val="20"/>
                <w:color w:val="auto"/>
              </w:rPr>
            </w:pPr>
            <w:r>
              <w:rPr>
                <w:rFonts w:ascii="Arial" w:cs="Arial" w:eastAsia="Arial" w:hAnsi="Arial"/>
                <w:sz w:val="18"/>
                <w:szCs w:val="18"/>
                <w:color w:val="auto"/>
              </w:rPr>
              <w:t>- effect of the correction of the prior period adjustment</w:t>
            </w:r>
          </w:p>
        </w:tc>
        <w:tc>
          <w:tcPr>
            <w:tcW w:w="2380" w:type="dxa"/>
            <w:vAlign w:val="bottom"/>
          </w:tcPr>
          <w:p>
            <w:pPr>
              <w:jc w:val="right"/>
              <w:spacing w:after="0" w:line="181" w:lineRule="exact"/>
              <w:rPr>
                <w:sz w:val="20"/>
                <w:szCs w:val="20"/>
                <w:color w:val="auto"/>
              </w:rPr>
            </w:pPr>
            <w:r>
              <w:rPr>
                <w:rFonts w:ascii="Arial" w:cs="Arial" w:eastAsia="Arial" w:hAnsi="Arial"/>
                <w:sz w:val="18"/>
                <w:szCs w:val="18"/>
                <w:color w:val="auto"/>
              </w:rPr>
              <w:t>859</w:t>
            </w:r>
          </w:p>
        </w:tc>
        <w:tc>
          <w:tcPr>
            <w:tcW w:w="140" w:type="dxa"/>
            <w:vAlign w:val="bottom"/>
          </w:tcPr>
          <w:p>
            <w:pPr>
              <w:spacing w:after="0"/>
              <w:rPr>
                <w:sz w:val="15"/>
                <w:szCs w:val="15"/>
                <w:color w:val="auto"/>
              </w:rPr>
            </w:pPr>
          </w:p>
        </w:tc>
        <w:tc>
          <w:tcPr>
            <w:tcW w:w="2400" w:type="dxa"/>
            <w:vAlign w:val="bottom"/>
          </w:tcPr>
          <w:p>
            <w:pPr>
              <w:jc w:val="right"/>
              <w:spacing w:after="0" w:line="181" w:lineRule="exact"/>
              <w:rPr>
                <w:sz w:val="20"/>
                <w:szCs w:val="20"/>
                <w:color w:val="auto"/>
              </w:rPr>
            </w:pPr>
            <w:r>
              <w:rPr>
                <w:rFonts w:ascii="Arial" w:cs="Arial" w:eastAsia="Arial" w:hAnsi="Arial"/>
                <w:sz w:val="18"/>
                <w:szCs w:val="18"/>
                <w:color w:val="auto"/>
              </w:rPr>
              <w:t>990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18"/>
                <w:szCs w:val="18"/>
                <w:b w:val="1"/>
                <w:bCs w:val="1"/>
                <w:color w:val="auto"/>
              </w:rPr>
              <w:t>Income for the period after the correction for the prior period adjustment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20,099</w:t>
            </w:r>
          </w:p>
        </w:tc>
        <w:tc>
          <w:tcPr>
            <w:tcW w:w="1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25,854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00" w:type="dxa"/>
            <w:vAlign w:val="bottom"/>
          </w:tcPr>
          <w:p>
            <w:pPr>
              <w:spacing w:after="0"/>
              <w:rPr>
                <w:sz w:val="20"/>
                <w:szCs w:val="20"/>
                <w:color w:val="auto"/>
              </w:rPr>
            </w:pPr>
            <w:r>
              <w:rPr>
                <w:rFonts w:ascii="Arial" w:cs="Arial" w:eastAsia="Arial" w:hAnsi="Arial"/>
                <w:sz w:val="18"/>
                <w:szCs w:val="18"/>
                <w:color w:val="auto"/>
              </w:rPr>
              <w:t>Earnings per share (EPS):</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Basic, income for the period attributable to equity holders before correction of</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the prior period adjustment</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0.45</w:t>
            </w:r>
          </w:p>
        </w:tc>
        <w:tc>
          <w:tcPr>
            <w:tcW w:w="1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60"/>
              <w:spacing w:after="0" w:line="181" w:lineRule="exact"/>
              <w:rPr>
                <w:sz w:val="20"/>
                <w:szCs w:val="20"/>
                <w:color w:val="auto"/>
              </w:rPr>
            </w:pPr>
            <w:r>
              <w:rPr>
                <w:rFonts w:ascii="Arial" w:cs="Arial" w:eastAsia="Arial" w:hAnsi="Arial"/>
                <w:sz w:val="18"/>
                <w:szCs w:val="18"/>
                <w:color w:val="auto"/>
              </w:rPr>
              <w:t>- effect of the correction of the prior period error</w:t>
            </w:r>
          </w:p>
        </w:tc>
        <w:tc>
          <w:tcPr>
            <w:tcW w:w="2380" w:type="dxa"/>
            <w:vAlign w:val="bottom"/>
          </w:tcPr>
          <w:p>
            <w:pPr>
              <w:jc w:val="right"/>
              <w:spacing w:after="0" w:line="181" w:lineRule="exact"/>
              <w:rPr>
                <w:sz w:val="20"/>
                <w:szCs w:val="20"/>
                <w:color w:val="auto"/>
              </w:rPr>
            </w:pPr>
            <w:r>
              <w:rPr>
                <w:rFonts w:ascii="Arial" w:cs="Arial" w:eastAsia="Arial" w:hAnsi="Arial"/>
                <w:sz w:val="18"/>
                <w:szCs w:val="18"/>
                <w:color w:val="auto"/>
              </w:rPr>
              <w:t>0.02</w:t>
            </w:r>
          </w:p>
        </w:tc>
        <w:tc>
          <w:tcPr>
            <w:tcW w:w="140" w:type="dxa"/>
            <w:vAlign w:val="bottom"/>
          </w:tcPr>
          <w:p>
            <w:pPr>
              <w:spacing w:after="0"/>
              <w:rPr>
                <w:sz w:val="15"/>
                <w:szCs w:val="15"/>
                <w:color w:val="auto"/>
              </w:rPr>
            </w:pPr>
          </w:p>
        </w:tc>
        <w:tc>
          <w:tcPr>
            <w:tcW w:w="2400" w:type="dxa"/>
            <w:vAlign w:val="bottom"/>
          </w:tcPr>
          <w:p>
            <w:pPr>
              <w:jc w:val="right"/>
              <w:spacing w:after="0" w:line="181"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Basic, income for the period attributable to equity holders after correction</w:t>
            </w: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500" w:type="dxa"/>
            <w:vAlign w:val="bottom"/>
            <w:vMerge w:val="continue"/>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500" w:type="dxa"/>
            <w:vAlign w:val="bottom"/>
          </w:tcPr>
          <w:p>
            <w:pPr>
              <w:spacing w:after="0"/>
              <w:rPr>
                <w:sz w:val="20"/>
                <w:szCs w:val="20"/>
                <w:color w:val="auto"/>
              </w:rPr>
            </w:pPr>
            <w:r>
              <w:rPr>
                <w:rFonts w:ascii="Arial" w:cs="Arial" w:eastAsia="Arial" w:hAnsi="Arial"/>
                <w:sz w:val="18"/>
                <w:szCs w:val="18"/>
                <w:b w:val="1"/>
                <w:bCs w:val="1"/>
                <w:color w:val="auto"/>
              </w:rPr>
              <w:t>of the prior period adjustment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0.47</w:t>
            </w:r>
          </w:p>
        </w:tc>
        <w:tc>
          <w:tcPr>
            <w:tcW w:w="1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Diluted, income for the period attributable to equity holders before correction of</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the prior period adjustment</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1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0.54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60"/>
              <w:spacing w:after="0" w:line="181" w:lineRule="exact"/>
              <w:rPr>
                <w:sz w:val="20"/>
                <w:szCs w:val="20"/>
                <w:color w:val="auto"/>
              </w:rPr>
            </w:pPr>
            <w:r>
              <w:rPr>
                <w:rFonts w:ascii="Arial" w:cs="Arial" w:eastAsia="Arial" w:hAnsi="Arial"/>
                <w:sz w:val="18"/>
                <w:szCs w:val="18"/>
                <w:color w:val="auto"/>
              </w:rPr>
              <w:t>- effect of the correction of the prior period adjustment</w:t>
            </w:r>
          </w:p>
        </w:tc>
        <w:tc>
          <w:tcPr>
            <w:tcW w:w="2380" w:type="dxa"/>
            <w:vAlign w:val="bottom"/>
          </w:tcPr>
          <w:p>
            <w:pPr>
              <w:jc w:val="right"/>
              <w:spacing w:after="0" w:line="181" w:lineRule="exact"/>
              <w:rPr>
                <w:sz w:val="20"/>
                <w:szCs w:val="20"/>
                <w:color w:val="auto"/>
              </w:rPr>
            </w:pPr>
            <w:r>
              <w:rPr>
                <w:rFonts w:ascii="Arial" w:cs="Arial" w:eastAsia="Arial" w:hAnsi="Arial"/>
                <w:sz w:val="18"/>
                <w:szCs w:val="18"/>
                <w:color w:val="auto"/>
              </w:rPr>
              <w:t>0.02</w:t>
            </w:r>
          </w:p>
        </w:tc>
        <w:tc>
          <w:tcPr>
            <w:tcW w:w="140" w:type="dxa"/>
            <w:vAlign w:val="bottom"/>
          </w:tcPr>
          <w:p>
            <w:pPr>
              <w:spacing w:after="0"/>
              <w:rPr>
                <w:sz w:val="15"/>
                <w:szCs w:val="15"/>
                <w:color w:val="auto"/>
              </w:rPr>
            </w:pPr>
          </w:p>
        </w:tc>
        <w:tc>
          <w:tcPr>
            <w:tcW w:w="2400" w:type="dxa"/>
            <w:vAlign w:val="bottom"/>
          </w:tcPr>
          <w:p>
            <w:pPr>
              <w:jc w:val="right"/>
              <w:spacing w:after="0" w:line="181"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Diluted, income for the period attributable to equity holders after</w:t>
            </w: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500" w:type="dxa"/>
            <w:vAlign w:val="bottom"/>
            <w:vMerge w:val="continue"/>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18"/>
                <w:szCs w:val="18"/>
                <w:b w:val="1"/>
                <w:bCs w:val="1"/>
                <w:color w:val="auto"/>
              </w:rPr>
              <w:t>correction of the prior period adjustment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1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9"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99.2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condensed consolidated interim financial information as at and for the nine months ended September 31, 2016 included as Exhibit 99.1 to this Report on Form 6-K. We also recommend that you read our management’s discussion and analysis and our audited consolidated financial statements and unaudited condensed consolidated interim financial statements, and the notes thereto, which appear in our prospectus (our “Final Prospectus”) relating to our Registration Statement on Form F-1, as amended (Registration No. 333- 211714), filed with the U.S. Securities and Exchange Commission (the “SEC”) pursuant to Rule 424(b) under the U.S. Securities Act of 1933, as amended.</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We prepare and report our consolidated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discussions and analysis are in Swiss Francs.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discussion and analysis is dated as of November 10,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2016 and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 Immune generated revenues of CHF 1.3 million in the three months ended September 30, 2016 compared with CHF 24.4 million in the three months ended September 30, 2015 a decline of CHF 23.1 million. The following table summarizes our revenues during the three months ended September 30,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8"/>
                <w:szCs w:val="18"/>
                <w:color w:val="auto"/>
              </w:rPr>
            </w:pPr>
          </w:p>
        </w:tc>
        <w:tc>
          <w:tcPr>
            <w:tcW w:w="34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Collaboration and license revenue</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1,230</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24,328</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Grant revenue</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1,333</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24,374</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(23,041)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decline in revenues was principally due to not receiving any major clinical milestone payments in the three months ended September 30, 2016, while in the same period in 2015 we received a $25 million (CHF 24.3 million) clinical milestone payment for crenezumab under our collaboration agreement with Genentech. Revenues in the third quarter of 2016 included the recognition of a portion of the research contribution for ACI-35 related to our collaboration with Janssen, which is being recognized over a 12 months period, recognition of a portion of the $1.5 million (CHF 1.5 million) upfront payment received from Biogen pursuant to our collaboration on the alpha-synuclein and TDP-43 PET imaging programs and research and development cost reimbursements related to this collaboration, both being recognized over a 12 months period. Revenues also included grant revenues from the Michael J. Fox Foundation and LuMind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three months ended September 30, 2016, research and development expenses totaled CHF 7.7 million compared with CHF 4.2 million in the same period in 2015, an increase of CHF 3.5 million. The following table presents the research and development expenses during the three months ended September 30,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5,180</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2,576</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43"/>
        </w:trPr>
        <w:tc>
          <w:tcPr>
            <w:tcW w:w="6340" w:type="dxa"/>
            <w:vAlign w:val="bottom"/>
          </w:tcPr>
          <w:p>
            <w:pPr>
              <w:spacing w:after="0" w:line="243"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8"/>
                <w:szCs w:val="28"/>
                <w:color w:val="auto"/>
                <w:vertAlign w:val="superscript"/>
              </w:rPr>
              <w:t>(1)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2,457</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Depreciation of tangible fixed assets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59</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74</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7,696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4,156</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(1) Includes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-127635</wp:posOffset>
            </wp:positionV>
            <wp:extent cx="3224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research and development expenses is primarily related to (i) a CHF 2.6 million increase in direct operating expenses related to increased research and development spending on ACI-35, the two ACI-24 programs and new discovery programs, and, (ii) a CHF 1.0 million increase in compensation costs due to the addition of 9 scientists between the third quarter of 2015 and the end of September 2016 as well as accruals being made in 2016 related to potential bonus payments at year end. The following table presents the research and development expenses by major development program during the three months ended September 30,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5"/>
        </w:trPr>
        <w:tc>
          <w:tcPr>
            <w:tcW w:w="6340" w:type="dxa"/>
            <w:vAlign w:val="bottom"/>
            <w:vMerge w:val="continue"/>
          </w:tcPr>
          <w:p>
            <w:pPr>
              <w:spacing w:after="0"/>
              <w:rPr>
                <w:sz w:val="16"/>
                <w:szCs w:val="16"/>
                <w:color w:val="auto"/>
              </w:rPr>
            </w:pPr>
          </w:p>
        </w:tc>
        <w:tc>
          <w:tcPr>
            <w:tcW w:w="1600" w:type="dxa"/>
            <w:vAlign w:val="bottom"/>
            <w:tcBorders>
              <w:bottom w:val="single" w:sz="8" w:color="auto"/>
            </w:tcBorders>
          </w:tcPr>
          <w:p>
            <w:pPr>
              <w:jc w:val="right"/>
              <w:ind w:right="550"/>
              <w:spacing w:after="0" w:line="195"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0"/>
              <w:spacing w:after="0" w:line="195"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line="223" w:lineRule="exact"/>
              <w:rPr>
                <w:sz w:val="20"/>
                <w:szCs w:val="20"/>
                <w:color w:val="auto"/>
              </w:rPr>
            </w:pPr>
            <w:r>
              <w:rPr>
                <w:rFonts w:ascii="Arial" w:cs="Arial" w:eastAsia="Arial" w:hAnsi="Arial"/>
                <w:sz w:val="16"/>
                <w:szCs w:val="16"/>
                <w:color w:val="auto"/>
              </w:rPr>
              <w:t>Programs subject to collaboration agreements</w:t>
            </w:r>
            <w:r>
              <w:rPr>
                <w:rFonts w:ascii="Arial" w:cs="Arial" w:eastAsia="Arial" w:hAnsi="Arial"/>
                <w:sz w:val="25"/>
                <w:szCs w:val="25"/>
                <w:color w:val="auto"/>
                <w:vertAlign w:val="superscript"/>
              </w:rPr>
              <w:t>(1)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ACI-35</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1,126</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1,045</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ACI-24 (for AD and Down syndrome)</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1,352</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308</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PD (therapeutics and diagnostics)</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New discovery programs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1,381</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406</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Total</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4,548</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2,143</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bl>
    <w:p>
      <w:pPr>
        <w:ind w:left="340" w:right="620" w:hanging="332"/>
        <w:spacing w:after="0" w:line="24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research and development expenditures for crenezumab, anti-tau antibodies and tau PET imaging tracer. Does not include research and development expenditures for ACI-35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General and administrative expenses amounted to CHF 1.7 million in the three months ended September 30, 2016 compared with CHF 0.9 million in the same period in 2015, an increase of CHF 0.8 million. Operating expenses increased CHF 0.1 million in the three months ended September 30, 2016 compared with the same period in 2015 due to higher costs associated with becoming a public company. Salaries for administrative personnel which includes management increased by CHF 0.7 million principally due to accruals being made in 2016 related to potential bonus payments at year end.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general and administrative expenses during the three months period ended September 30,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1840" w:type="dxa"/>
            <w:vAlign w:val="bottom"/>
          </w:tcPr>
          <w:p>
            <w:pPr>
              <w:spacing w:after="0"/>
              <w:rPr>
                <w:sz w:val="19"/>
                <w:szCs w:val="19"/>
                <w:color w:val="auto"/>
              </w:rPr>
            </w:pP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45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6"/>
                <w:szCs w:val="16"/>
                <w:color w:val="auto"/>
              </w:rPr>
            </w:pP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505</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401</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color w:val="auto"/>
              </w:rPr>
              <w:t>Salaries and related costs</w:t>
            </w:r>
          </w:p>
        </w:tc>
        <w:tc>
          <w:tcPr>
            <w:tcW w:w="344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1,208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489</w:t>
            </w:r>
          </w:p>
        </w:tc>
        <w:tc>
          <w:tcPr>
            <w:tcW w:w="14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Total general and administrative expenses</w:t>
            </w:r>
          </w:p>
        </w:tc>
        <w:tc>
          <w:tcPr>
            <w:tcW w:w="184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1,713</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890</w:t>
            </w:r>
          </w:p>
        </w:tc>
        <w:tc>
          <w:tcPr>
            <w:tcW w:w="14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40" w:type="dxa"/>
            <w:vAlign w:val="bottom"/>
            <w:vMerge w:val="restart"/>
          </w:tcPr>
          <w:p>
            <w:pPr>
              <w:jc w:val="right"/>
              <w:ind w:right="51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Net Financial Income and Expenses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three months ended September 30, 2016, the Company reported a CHF 1.0 million net financials loss compared with net financial income of CHF 0.8 million in the same period in 2015, a difference of CHF 1.8 million. The key driver for the higher financial costs during the three months ended September 30, 2016 were unrealized losses of CHF 1.0 million on foreign currency cash balances incurred in Q3 2016 due to a weakening of the USD relative to the CHF at the end of the third quarter compared with foreign exchange gains in the same period in 2015 associated with a strengthening of the USD.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financial income and expenses during the three months ended September 30,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For the Three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Finance income</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817</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Finance costs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(1,061)</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Total financial (expense) / income</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771</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5540"/>
        <w:spacing w:after="0" w:line="365" w:lineRule="auto"/>
        <w:rPr>
          <w:sz w:val="20"/>
          <w:szCs w:val="20"/>
          <w:color w:val="auto"/>
        </w:rPr>
      </w:pPr>
      <w:r>
        <w:rPr>
          <w:rFonts w:ascii="Arial" w:cs="Arial" w:eastAsia="Arial" w:hAnsi="Arial"/>
          <w:sz w:val="18"/>
          <w:szCs w:val="18"/>
          <w:b w:val="1"/>
          <w:bCs w:val="1"/>
          <w:i w:val="1"/>
          <w:iCs w:val="1"/>
          <w:color w:val="auto"/>
        </w:rPr>
        <w:t xml:space="preserve">Comparison of the Nine Months Ended September 30, 2016 and 2015 </w:t>
      </w:r>
      <w:r>
        <w:rPr>
          <w:rFonts w:ascii="Arial" w:cs="Arial" w:eastAsia="Arial" w:hAnsi="Arial"/>
          <w:sz w:val="18"/>
          <w:szCs w:val="18"/>
          <w:i w:val="1"/>
          <w:iCs w:val="1"/>
          <w:color w:val="auto"/>
        </w:rPr>
        <w:t>Revenues</w:t>
      </w:r>
    </w:p>
    <w:p>
      <w:pPr>
        <w:jc w:val="both"/>
        <w:spacing w:after="0"/>
        <w:rPr>
          <w:sz w:val="20"/>
          <w:szCs w:val="20"/>
          <w:color w:val="auto"/>
        </w:rPr>
      </w:pPr>
      <w:r>
        <w:rPr>
          <w:rFonts w:ascii="Arial" w:cs="Arial" w:eastAsia="Arial" w:hAnsi="Arial"/>
          <w:sz w:val="18"/>
          <w:szCs w:val="18"/>
          <w:color w:val="auto"/>
        </w:rPr>
        <w:t>In the nine months ended September 30, 2016 revenues totaled CHF 21.8 million compared with revenues of CHF 38.8 million in the same period in 2015, a decrease of CHF 17.0 million. The following table summarizes the revenues during the nine months period ended September 30,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Nine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Collaboration and license revenue</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21,365</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38,575</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Grant revenue</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21,784</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38,775</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(16,991)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revenues experience fluctuations as a result of securing new collaboration agreements, the timing of milestone achievements and the size of each milestone payment. The decline in revenues in the first nine months of 2016 compared to the same period in 2015 is primarily related to the timing and size of clinical milestones recognized in each of those periods. Revenues in the first nine months of 2016 resulted from the recognition of the CHF 4.9 million clinical milestone and the recognition of a share of the research contributions received related to ACI-35 pursuant to our collaboration agreement with Janssen, which we are recognizing over a 12 months period, the recognition of the CHF 14 million milestone payment for commencement of phase 1 clinical studies for the anti-tau antibody under collaboration with Genentech, the recognition of a share of the Biogen upfront payment which we are recognizing over a 12 months period and research contribution payments related to the Biogen collaboration. In addition, we also recognized grant revenue from the Michael J. Fox Foundation and the LuMind Foundation. In the first nine months of 2015, AC Immune recognized a $25 million (CHF 24.3 million) and CHF 14 million clinical milestone payment related to crenezumab and the anti-tau antibody program, both of which are partnered with Genentech. In addition, the Company recognized revenues during this period from grants including the Michael J. Fox Foundation.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Research and development expenses for the nine month period ended September 30, 2016 rose to CHF 18.7 million from CHF 11.3 million in the same period in 2015, an increase of CHF 7.4 million. The following table presents the research and development expenses during the nine months period ended September 30,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Nine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12,787</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6,587</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43"/>
        </w:trPr>
        <w:tc>
          <w:tcPr>
            <w:tcW w:w="6340" w:type="dxa"/>
            <w:vAlign w:val="bottom"/>
          </w:tcPr>
          <w:p>
            <w:pPr>
              <w:spacing w:after="0" w:line="243"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8"/>
                <w:szCs w:val="28"/>
                <w:color w:val="auto"/>
                <w:vertAlign w:val="superscript"/>
              </w:rPr>
              <w:t>(1)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5,729</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4,544</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Depreciation of tangible fixed assets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198</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215</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18,714</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11,346</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(1) Includes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-127635</wp:posOffset>
            </wp:positionV>
            <wp:extent cx="32245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research and development spending in the nine months ended September 30, 2016 was driven by a CHF 1.5 million increase for research and development expenses related to ACI-35, a CHF 2.4 million increase in the outlays related to the two ACI-24 programs driven principally by investment in manufacturing, a CHF 0.6 million increase in Parkinson’s disease focused program including the alpha-synuclein PET imaging collaboration with Biogen and a CHF 1.7 million increase in total research and development expenses for new discovery projects that we believe will help us to maintain a scientific leadership position in neurodegenerative diseases.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expenses by major development program during the nine months period ended</w:t>
      </w:r>
    </w:p>
    <w:p>
      <w:pPr>
        <w:spacing w:after="0"/>
        <w:rPr>
          <w:sz w:val="20"/>
          <w:szCs w:val="20"/>
          <w:color w:val="auto"/>
        </w:rPr>
      </w:pPr>
      <w:r>
        <w:rPr>
          <w:rFonts w:ascii="Arial" w:cs="Arial" w:eastAsia="Arial" w:hAnsi="Arial"/>
          <w:sz w:val="18"/>
          <w:szCs w:val="18"/>
          <w:color w:val="auto"/>
        </w:rPr>
        <w:t>September 30,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Nine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5"/>
        </w:trPr>
        <w:tc>
          <w:tcPr>
            <w:tcW w:w="6340" w:type="dxa"/>
            <w:vAlign w:val="bottom"/>
            <w:vMerge w:val="continue"/>
          </w:tcPr>
          <w:p>
            <w:pPr>
              <w:spacing w:after="0"/>
              <w:rPr>
                <w:sz w:val="16"/>
                <w:szCs w:val="16"/>
                <w:color w:val="auto"/>
              </w:rPr>
            </w:pPr>
          </w:p>
        </w:tc>
        <w:tc>
          <w:tcPr>
            <w:tcW w:w="1600" w:type="dxa"/>
            <w:vAlign w:val="bottom"/>
            <w:tcBorders>
              <w:bottom w:val="single" w:sz="8" w:color="auto"/>
            </w:tcBorders>
          </w:tcPr>
          <w:p>
            <w:pPr>
              <w:jc w:val="right"/>
              <w:ind w:right="550"/>
              <w:spacing w:after="0" w:line="195"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0"/>
              <w:spacing w:after="0" w:line="195"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line="223" w:lineRule="exact"/>
              <w:rPr>
                <w:sz w:val="20"/>
                <w:szCs w:val="20"/>
                <w:color w:val="auto"/>
              </w:rPr>
            </w:pPr>
            <w:r>
              <w:rPr>
                <w:rFonts w:ascii="Arial" w:cs="Arial" w:eastAsia="Arial" w:hAnsi="Arial"/>
                <w:sz w:val="16"/>
                <w:szCs w:val="16"/>
                <w:color w:val="auto"/>
              </w:rPr>
              <w:t>Programs subject to collaboration agreements</w:t>
            </w:r>
            <w:r>
              <w:rPr>
                <w:rFonts w:ascii="Arial" w:cs="Arial" w:eastAsia="Arial" w:hAnsi="Arial"/>
                <w:sz w:val="25"/>
                <w:szCs w:val="25"/>
                <w:color w:val="auto"/>
                <w:vertAlign w:val="superscript"/>
              </w:rPr>
              <w:t>(1)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ACI-35</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3,758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2,241</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ACI-24 (for AD and Down syndrome)</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3,271</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845</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PD (therapeutics and diagnostics)</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1,003</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440</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New discovery programs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2,516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847</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Total</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11,656</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5,357</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bl>
    <w:p>
      <w:pPr>
        <w:ind w:left="660" w:right="280" w:hanging="328"/>
        <w:spacing w:after="0" w:line="246"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research and development expenditures for crenezumab, anti-tau antibodies and tau PET imaging tracer. Does not include research and development expenditures for ACI-35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nine months period ended September 30, 2016, general and administrative expenses rose to CHF 4.5 million from CHF 2.5 million in the same period in 2015, a CHF 1.9 million increase. The increase in General and Administrative expenses in the first nine months of 2016 is primarily due to a CHF 1.1 million increase in operating expenses driven by higher legal costs related to the Company becoming a public company as well as intellectual property. Salary costs in the nine months period ended September 30, 2016 rose CHF 0.8 million to CHF 2.3 million from the same period in 2015. The increase is primarily due to the Company making accruals for bonus payments in 2016 and higher costs related to options activity prior to the commencement of the black-out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presents the general and administrative expenses during the nine months period ended September 30, 2016 and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ind w:left="500"/>
              <w:spacing w:after="0"/>
              <w:rPr>
                <w:sz w:val="20"/>
                <w:szCs w:val="20"/>
                <w:color w:val="auto"/>
              </w:rPr>
            </w:pPr>
            <w:r>
              <w:rPr>
                <w:rFonts w:ascii="Arial" w:cs="Arial" w:eastAsia="Arial" w:hAnsi="Arial"/>
                <w:sz w:val="18"/>
                <w:szCs w:val="18"/>
                <w:b w:val="1"/>
                <w:bCs w:val="1"/>
                <w:color w:val="auto"/>
              </w:rPr>
              <w:t>For the Nine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1600" w:type="dxa"/>
            <w:vAlign w:val="bottom"/>
          </w:tcPr>
          <w:p>
            <w:pPr>
              <w:ind w:left="1060"/>
              <w:spacing w:after="0" w:line="195" w:lineRule="exact"/>
              <w:rPr>
                <w:sz w:val="20"/>
                <w:szCs w:val="20"/>
                <w:color w:val="auto"/>
              </w:rPr>
            </w:pPr>
            <w:r>
              <w:rPr>
                <w:rFonts w:ascii="Arial" w:cs="Arial" w:eastAsia="Arial" w:hAnsi="Arial"/>
                <w:sz w:val="18"/>
                <w:szCs w:val="18"/>
                <w:color w:val="auto"/>
              </w:rPr>
              <w:t>2,195</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1,025</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Salaries and related costs</w:t>
            </w:r>
          </w:p>
        </w:tc>
        <w:tc>
          <w:tcPr>
            <w:tcW w:w="1600" w:type="dxa"/>
            <w:vAlign w:val="bottom"/>
            <w:tcBorders>
              <w:bottom w:val="single" w:sz="8" w:color="auto"/>
            </w:tcBorders>
          </w:tcPr>
          <w:p>
            <w:pPr>
              <w:ind w:left="1060"/>
              <w:spacing w:after="0" w:line="203" w:lineRule="exact"/>
              <w:rPr>
                <w:sz w:val="20"/>
                <w:szCs w:val="20"/>
                <w:color w:val="auto"/>
              </w:rPr>
            </w:pPr>
            <w:r>
              <w:rPr>
                <w:rFonts w:ascii="Arial" w:cs="Arial" w:eastAsia="Arial" w:hAnsi="Arial"/>
                <w:sz w:val="18"/>
                <w:szCs w:val="18"/>
                <w:color w:val="auto"/>
              </w:rPr>
              <w:t>2,269</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1,474</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Total general and administrative expenses</w:t>
            </w:r>
          </w:p>
        </w:tc>
        <w:tc>
          <w:tcPr>
            <w:tcW w:w="1600" w:type="dxa"/>
            <w:vAlign w:val="bottom"/>
            <w:tcBorders>
              <w:bottom w:val="single" w:sz="8" w:color="auto"/>
            </w:tcBorders>
          </w:tcPr>
          <w:p>
            <w:pPr>
              <w:ind w:left="1060"/>
              <w:spacing w:after="0" w:line="196" w:lineRule="exact"/>
              <w:rPr>
                <w:sz w:val="20"/>
                <w:szCs w:val="20"/>
                <w:color w:val="auto"/>
              </w:rPr>
            </w:pPr>
            <w:r>
              <w:rPr>
                <w:rFonts w:ascii="Arial" w:cs="Arial" w:eastAsia="Arial" w:hAnsi="Arial"/>
                <w:sz w:val="18"/>
                <w:szCs w:val="18"/>
                <w:color w:val="auto"/>
              </w:rPr>
              <w:t>4,464</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2,499</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income and expenses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nine months period ended September 30, 2016, AC Immune had a CHF 0.9 million net financial loss compared with a CHF 0.9 million profit for the same period in 2015. The decrease of CHF 1.8 million is principally attributable to unfavorable fluctuations in the value of the US dollar relative to the Swiss franc in the first nine months of 2016 which resulted in unrealized losses on foreign currency balances compared with a weakening US dollar relative to the Swiss franc in the same period in 2015 which resulted in unrealized gains on foreign currency balances.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financial income and expenses during the nine months period ended September 30,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4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Nine Months Ended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 unaudited)</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Finance income</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36</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891</w:t>
            </w:r>
          </w:p>
        </w:tc>
        <w:tc>
          <w:tcPr>
            <w:tcW w:w="140" w:type="dxa"/>
            <w:vAlign w:val="bottom"/>
          </w:tcPr>
          <w:p>
            <w:pPr>
              <w:spacing w:after="0"/>
              <w:rPr>
                <w:sz w:val="16"/>
                <w:szCs w:val="16"/>
                <w:color w:val="auto"/>
              </w:rPr>
            </w:pPr>
          </w:p>
        </w:tc>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Finance costs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(971)</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Total financial (expense) / income</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(935)</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924</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common shares and preferred shares including the $70.6 million (CHF 69.3 million) in net proceeds raised in the initial public offering (“IPO”). At September 30, 2016, we had cash and cash equivalents of CHF 157.6 million.</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9"/>
        </w:trPr>
        <w:tc>
          <w:tcPr>
            <w:tcW w:w="63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340" w:type="dxa"/>
            <w:vAlign w:val="bottom"/>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340" w:type="dxa"/>
            <w:vAlign w:val="bottom"/>
          </w:tcPr>
          <w:p>
            <w:pPr>
              <w:spacing w:after="0"/>
              <w:rPr>
                <w:sz w:val="24"/>
                <w:szCs w:val="24"/>
                <w:color w:val="auto"/>
              </w:rPr>
            </w:pPr>
          </w:p>
        </w:tc>
        <w:tc>
          <w:tcPr>
            <w:tcW w:w="34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For the Nine Months Ended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(in CHF thousands)</w:t>
            </w:r>
          </w:p>
        </w:tc>
        <w:tc>
          <w:tcPr>
            <w:tcW w:w="22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Net cash provided by (used in):</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1,272</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49,659</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(48,387)</w:t>
            </w:r>
          </w:p>
        </w:tc>
        <w:tc>
          <w:tcPr>
            <w:tcW w:w="0" w:type="dxa"/>
            <w:vAlign w:val="bottom"/>
          </w:tcPr>
          <w:p>
            <w:pPr>
              <w:spacing w:after="0"/>
              <w:rPr>
                <w:sz w:val="1"/>
                <w:szCs w:val="1"/>
                <w:color w:val="auto"/>
              </w:rPr>
            </w:pPr>
          </w:p>
        </w:tc>
      </w:tr>
      <w:tr>
        <w:trPr>
          <w:trHeight w:val="203"/>
        </w:trPr>
        <w:tc>
          <w:tcPr>
            <w:tcW w:w="6340" w:type="dxa"/>
            <w:vAlign w:val="bottom"/>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(613)</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(239)</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3"/>
        </w:trPr>
        <w:tc>
          <w:tcPr>
            <w:tcW w:w="6340" w:type="dxa"/>
            <w:vAlign w:val="bottom"/>
          </w:tcPr>
          <w:p>
            <w:pPr>
              <w:ind w:left="160"/>
              <w:spacing w:after="0" w:line="203" w:lineRule="exact"/>
              <w:rPr>
                <w:sz w:val="20"/>
                <w:szCs w:val="20"/>
                <w:color w:val="auto"/>
              </w:rPr>
            </w:pPr>
            <w:r>
              <w:rPr>
                <w:rFonts w:ascii="Arial" w:cs="Arial" w:eastAsia="Arial" w:hAnsi="Arial"/>
                <w:sz w:val="18"/>
                <w:szCs w:val="18"/>
                <w:color w:val="auto"/>
              </w:rPr>
              <w:t>Financing activities</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81,259</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81,217</w:t>
            </w: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81,918</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49,462</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32,456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provided by operating activities was CHF 1.3 million for the nine months ended September 30, 2016 compared with net cash provided by operating activities of CHF 49.7 million for the nine months ended September 30, 2015. The reduction in change in cash provided by operating activities in the first nine months of 2016 was due to (i) us reporting a net loss of CHF 2.3 million for the nine months ended September 30, 2016 compared with a CHF 25.8 million profit for the same period in 2015 driven principally by the crenezumab and anti-tau antibody milestone payments, (ii) no material changes in receivables balances in the first nine months of 2016 while in the same period in 2015 we received the CHF 25.9 million upfront payment from Janssen in connection with the ACI-35 collaboration which resulted in outstanding receivables balances declining by nearly CHF 25 million, and (iii) the change in accounts payable positively impacted our cash position between September 30, 2015 and September 30, 2016 by CHF 1.8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cash used in investing activities rose to CHF 0.6 million for the nine months ended September 30, 2016 compared with net cash used in investing activities of CHF 0.2 million in the nine months ended September 30, 2015 due to increased capital expenditures to strengthen our manufacturing and research infrastructure.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provided by financing activities was CHF 81.3 million for the nine months ended September 30, 2016 compared with net cash from financing activities of CHF42 thousand for the nine months ended September 30, 2015. The increase is principally due to the completion of the Series E Extension (CHF 13.3 million) in April 2016 and proceeds net of underwriting fees from issuance of common shares in our IPO of $70.6 million (CHF 69.3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commercialize our current or any future product candidates. At September 30, 2016 we had cash balances totaling CHF 157.6 million. The increase relative to December 31, 2015 is due to the CHF 13.3 million in proceeds we received from the Series E Extension in April 2016, the CHF 14 million milestone payment we received from Genentech in connection with the anti-tau antibody moving into phase 1 clinical studies, CHF 69.3 million in proceeds from the IPO which were partially offset by a significant rise in total operating expenses including an increase of CHF 7.4 million spent on research and development.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up to the fourth quarter of 2018.</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0" w:name="page21"/>
    <w:bookmarkEnd w:id="20"/>
    <w:p>
      <w:pPr>
        <w:jc w:val="both"/>
        <w:spacing w:after="0" w:line="23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9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nine months ended September 30, 2016, there were no significant changes to our quantitative and qualitative disclosures about market risk described under the heading “Management’s Discussion and Analysis of Financial Condition and Results of Operations— Quantitative and Qualitative Disclosures About Market Risk” in the Final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have been no material changes to the significant accounting policies and estimates described under the heading “Management’s Discussion and Analysis of Financial Condition and Results of Operations—Critical Judgments and Accounting Estimates” in the Final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has not yet determined the impact of IFRS 9 (Financial Instruments), IFRS 15 (Revenue from Contracts with Customers) and IFRS 16 (Leases) which have been issued by the IASB but not yet adopted on our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Exemption</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cease to be an emerging growth company if we have more than $1.0 billion in annual revenue, have more than $700 million in market value of our common shares held by non-affiliates or issue more than $1.0 billion of non-convertible debt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the Final Prospectus. These forward-looking statements speak only as of the date of this discussion and analysis and are subject to a number of risks, uncertainties and assumptions described under the sections in the Final Prospectus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97990" cy="531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Reports Third Quarter 2016 Results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Successfully Completed Initial Public Offering on NASDAQ, Net Proceeds of $ 70.5 million (CHF 69.4 million)*</w:t>
      </w:r>
    </w:p>
    <w:p>
      <w:pPr>
        <w:spacing w:after="0" w:line="200" w:lineRule="exact"/>
        <w:rPr>
          <w:sz w:val="20"/>
          <w:szCs w:val="20"/>
          <w:color w:val="auto"/>
        </w:rPr>
      </w:pP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Lausanne, Switzerland, November 11, 2016 – AC Immune SA (NASDAQ: ACIU), a Swiss-based, clinical stage biopharmaceutical company focused on neurodegenerative diseases, today announced financial results for the third quarter ended September 30, 2016.</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Prof. Andrea Pfeifer, CEO of AC Immune </w:t>
      </w:r>
      <w:r>
        <w:rPr>
          <w:rFonts w:ascii="Arial" w:cs="Arial" w:eastAsia="Arial" w:hAnsi="Arial"/>
          <w:sz w:val="18"/>
          <w:szCs w:val="18"/>
          <w:color w:val="auto"/>
        </w:rPr>
        <w:t>said: “The success of our initial public offering on NASDAQ is testament to the quality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and of our people. The IPO marks a wider international recognition of the company and a broadening of our shareholder base to support the next phase of growth. With cash on hand of CHF 157.6 million, we have the resources to further advance our pipeline of seven therapeutic and three diagnostic candidates, leveraging our expertise in addressing the diseases caused by misfolding of proteins.”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Data – Unaudited (CHF million)</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75565</wp:posOffset>
            </wp:positionV>
            <wp:extent cx="8890" cy="1500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500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8890" cy="1500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50050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Borders>
              <w:top w:val="single" w:sz="8" w:color="auto"/>
              <w:right w:val="single" w:sz="8" w:color="auto"/>
            </w:tcBorders>
          </w:tcPr>
          <w:p>
            <w:pPr>
              <w:spacing w:after="0"/>
              <w:rPr>
                <w:sz w:val="16"/>
                <w:szCs w:val="16"/>
                <w:color w:val="auto"/>
              </w:rPr>
            </w:pPr>
          </w:p>
        </w:tc>
        <w:tc>
          <w:tcPr>
            <w:tcW w:w="3640" w:type="dxa"/>
            <w:vAlign w:val="bottom"/>
            <w:tcBorders>
              <w:top w:val="single" w:sz="8" w:color="auto"/>
              <w:right w:val="single" w:sz="8" w:color="auto"/>
            </w:tcBorders>
            <w:gridSpan w:val="4"/>
          </w:tcPr>
          <w:p>
            <w:pPr>
              <w:jc w:val="center"/>
              <w:spacing w:after="0" w:line="194" w:lineRule="exact"/>
              <w:rPr>
                <w:sz w:val="20"/>
                <w:szCs w:val="20"/>
                <w:color w:val="auto"/>
              </w:rPr>
            </w:pPr>
            <w:r>
              <w:rPr>
                <w:rFonts w:ascii="Arial" w:cs="Arial" w:eastAsia="Arial" w:hAnsi="Arial"/>
                <w:sz w:val="18"/>
                <w:szCs w:val="18"/>
                <w:b w:val="1"/>
                <w:bCs w:val="1"/>
                <w:color w:val="auto"/>
              </w:rPr>
              <w:t>For the Three months Ended September</w:t>
            </w:r>
          </w:p>
        </w:tc>
        <w:tc>
          <w:tcPr>
            <w:tcW w:w="3640" w:type="dxa"/>
            <w:vAlign w:val="bottom"/>
            <w:tcBorders>
              <w:top w:val="single" w:sz="8" w:color="auto"/>
            </w:tcBorders>
            <w:gridSpan w:val="2"/>
          </w:tcPr>
          <w:p>
            <w:pPr>
              <w:jc w:val="right"/>
              <w:ind w:right="890"/>
              <w:spacing w:after="0" w:line="194" w:lineRule="exact"/>
              <w:rPr>
                <w:sz w:val="20"/>
                <w:szCs w:val="20"/>
                <w:color w:val="auto"/>
              </w:rPr>
            </w:pPr>
            <w:r>
              <w:rPr>
                <w:rFonts w:ascii="Arial" w:cs="Arial" w:eastAsia="Arial" w:hAnsi="Arial"/>
                <w:sz w:val="18"/>
                <w:szCs w:val="18"/>
                <w:b w:val="1"/>
                <w:bCs w:val="1"/>
                <w:color w:val="auto"/>
              </w:rPr>
              <w:t>For the Nine months</w:t>
            </w:r>
          </w:p>
        </w:tc>
      </w:tr>
      <w:tr>
        <w:trPr>
          <w:trHeight w:val="225"/>
        </w:trPr>
        <w:tc>
          <w:tcPr>
            <w:tcW w:w="4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144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Ended September 30</w:t>
            </w:r>
          </w:p>
        </w:tc>
      </w:tr>
      <w:tr>
        <w:trPr>
          <w:trHeight w:val="196"/>
        </w:trPr>
        <w:tc>
          <w:tcPr>
            <w:tcW w:w="41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2015</w:t>
            </w:r>
          </w:p>
        </w:tc>
        <w:tc>
          <w:tcPr>
            <w:tcW w:w="1820" w:type="dxa"/>
            <w:vAlign w:val="bottom"/>
            <w:tcBorders>
              <w:bottom w:val="single" w:sz="8" w:color="auto"/>
              <w:right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2016</w:t>
            </w:r>
          </w:p>
        </w:tc>
        <w:tc>
          <w:tcPr>
            <w:tcW w:w="18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2015</w:t>
            </w:r>
          </w:p>
        </w:tc>
      </w:tr>
      <w:tr>
        <w:trPr>
          <w:trHeight w:val="196"/>
        </w:trPr>
        <w:tc>
          <w:tcPr>
            <w:tcW w:w="41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2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21.8</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w:t>
            </w:r>
          </w:p>
        </w:tc>
      </w:tr>
      <w:tr>
        <w:trPr>
          <w:trHeight w:val="196"/>
        </w:trPr>
        <w:tc>
          <w:tcPr>
            <w:tcW w:w="41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R&amp;D expenses</w:t>
            </w:r>
          </w:p>
        </w:tc>
        <w:tc>
          <w:tcPr>
            <w:tcW w:w="12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41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G&amp;A expenses</w:t>
            </w:r>
          </w:p>
        </w:tc>
        <w:tc>
          <w:tcPr>
            <w:tcW w:w="12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0.9</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1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Income / (loss) for the period</w:t>
            </w:r>
          </w:p>
        </w:tc>
        <w:tc>
          <w:tcPr>
            <w:tcW w:w="12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spacing w:after="0"/>
              <w:rPr>
                <w:sz w:val="16"/>
                <w:szCs w:val="16"/>
                <w:color w:val="auto"/>
              </w:rPr>
            </w:pPr>
          </w:p>
        </w:tc>
        <w:tc>
          <w:tcPr>
            <w:tcW w:w="2100" w:type="dxa"/>
            <w:vAlign w:val="bottom"/>
            <w:tcBorders>
              <w:top w:val="single" w:sz="8" w:color="auto"/>
            </w:tcBorders>
            <w:gridSpan w:val="3"/>
          </w:tcPr>
          <w:p>
            <w:pPr>
              <w:ind w:left="1580"/>
              <w:spacing w:after="0" w:line="194" w:lineRule="exact"/>
              <w:rPr>
                <w:sz w:val="20"/>
                <w:szCs w:val="20"/>
                <w:color w:val="auto"/>
              </w:rPr>
            </w:pPr>
            <w:r>
              <w:rPr>
                <w:rFonts w:ascii="Arial" w:cs="Arial" w:eastAsia="Arial" w:hAnsi="Arial"/>
                <w:sz w:val="18"/>
                <w:szCs w:val="18"/>
                <w:b w:val="1"/>
                <w:bCs w:val="1"/>
                <w:color w:val="auto"/>
              </w:rPr>
              <w:t>As of</w:t>
            </w: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Borders>
              <w:right w:val="single" w:sz="8" w:color="auto"/>
            </w:tcBorders>
            <w:vMerge w:val="restart"/>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Sept 30, 2016</w:t>
            </w:r>
          </w:p>
        </w:tc>
        <w:tc>
          <w:tcPr>
            <w:tcW w:w="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5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Dec 31, 2015</w:t>
            </w:r>
          </w:p>
        </w:tc>
        <w:tc>
          <w:tcPr>
            <w:tcW w:w="0" w:type="dxa"/>
            <w:vAlign w:val="bottom"/>
          </w:tcPr>
          <w:p>
            <w:pPr>
              <w:spacing w:after="0" w:line="20" w:lineRule="exact"/>
              <w:rPr>
                <w:sz w:val="1"/>
                <w:szCs w:val="1"/>
                <w:color w:val="auto"/>
              </w:rPr>
            </w:pPr>
          </w:p>
        </w:tc>
      </w:tr>
      <w:tr>
        <w:trPr>
          <w:trHeight w:val="203"/>
        </w:trPr>
        <w:tc>
          <w:tcPr>
            <w:tcW w:w="4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vMerge w:val="continue"/>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8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157.6</w:t>
            </w:r>
          </w:p>
        </w:tc>
        <w:tc>
          <w:tcPr>
            <w:tcW w:w="20" w:type="dxa"/>
            <w:vAlign w:val="bottom"/>
            <w:tcBorders>
              <w:bottom w:val="single" w:sz="8" w:color="auto"/>
            </w:tcBorders>
            <w:shd w:val="clear" w:color="auto" w:fill="000000"/>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50" w:lineRule="exact"/>
        <w:rPr>
          <w:sz w:val="20"/>
          <w:szCs w:val="20"/>
          <w:color w:val="auto"/>
        </w:rPr>
      </w:pPr>
    </w:p>
    <w:p>
      <w:pPr>
        <w:jc w:val="both"/>
        <w:ind w:right="20"/>
        <w:spacing w:after="0" w:line="209"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This summary table should be read in conjunction with our unaudited condensed financial statements as at and for the period ended September 30, 2016, including the accompanying notes which form an integral part of the interim financial statements. These financial statements are available on our website under the tab labelled “Investors - Financial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*Exchange rate </w:t>
            </w:r>
            <w:r>
              <w:rPr>
                <w:rFonts w:ascii="Arial" w:cs="Arial" w:eastAsia="Arial" w:hAnsi="Arial"/>
                <w:sz w:val="16"/>
                <w:szCs w:val="16"/>
                <w:b w:val="1"/>
                <w:bCs w:val="1"/>
                <w:color w:val="auto"/>
              </w:rPr>
              <w:t>$</w:t>
            </w:r>
            <w:r>
              <w:rPr>
                <w:rFonts w:ascii="Arial" w:cs="Arial" w:eastAsia="Arial" w:hAnsi="Arial"/>
                <w:sz w:val="16"/>
                <w:szCs w:val="16"/>
                <w:color w:val="auto"/>
              </w:rPr>
              <w:t>/CHF as of September 22, 2016</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 4</w:t>
            </w: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Revenues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revenues experience significant fluctuations as a result of securing new collaboration agreements, the timing of milestone achievements and the size of each milestone payment.</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 generated revenues of CHF 1.3 million in the three months ended September 30, 2016 compared with CHF 24.4 million in the three months ended September 30, 2015. The decline in revenues was principally due to the fact that we did not receive any major clinical milestone payments in the three months period ended September 30, 2016 while in the same period in 2015, AC Immune received a $25 million (CHF 24.3 million) clinical milestone payment for crenezumab under our collaboration with Genentech.</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nine months ended September 30, 2016 revenues were CHF 21.8 million compared with revenues of CHF 38.8 million in the same period in 2015. The decline in revenues between the nine months ended September 30, 2016 and the same period the year earlier is primarily related to the timing and size of milestones in the respective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 months ended September 30, 2016, the Company incurred R&amp;D expenses of CHF 7.7 million compared with CHF 4.2 million in the same period in 2015. For the nine months ended September 30, 2016, total R&amp;D expenses were CHF 18.7 million compared with CHF 11.3 million in the first nine months of 2015.</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increase is primarily attributable to the increased spending on ACI-35, the two ACI-24 programs, new discovery areas and the alpha-synuclein and TDP-43 PET imaging programs. The R&amp;D investment reflects the growth of the Company's research and development organization to accelerate the development of its proprietary and partnered pipeline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G&amp;A expenses amounted to CHF 1.7 million in the three months ended September 30, 2016 compared with CHF 0.9 million in the same period in 2015. For the nine months ended September 30, 2016, G&amp;A expenses rose to CHF 4.5 million from CHF 2.5 million in the same period in 2015. The increase in G&amp;A expenses is largely related to increased legal costs associated with the Company preparing to become a public company, intellectual property costs as well as remuneration expenses. G&amp;A expenses do not include the costs related to the IPO and Series E Preferred Share financings completed during these periods.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Income / (loss) for the period</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three months period ended September 30, 2016, the Company had a net loss after taxes of CHF 9.1 million compared with a CHF 20.1 million profit for the same period in 2015. For the nine months ended September 30, 2016, AC Immune had a net loss of CHF 2.3 million compared with a profit of CHF 25.9 million in the nine months period ended September 30, 2015. The decline in profitability is attributable to the decline in revenues and increased R&amp;D and G&amp;A expenses as outlined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at September 30, 2016 AC Immune had total cash of CHF 157.6 million which includes CHF 69.4 million in net proceeds, prior to transaction costs, received from the sale of 6.9 million shares at $11.00 per share in the Company’s IPO on NASDAQ in September 2016.</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a more detailed review of our financial performance, please refer to the “Management’s Discussion and Analysis of Financial Condition and Results of Operations” attached as an exhibit to our Current Report on Form 6-K filed today with the U.S. Securities and Exchange Commission and on our website under the tab labelled “Investors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 Immune is a clinical stage Swiss-based biopharmaceutical company focused on neurodegenerative diseases with four product candidates in clinical trials. The Company designs, discovers and develops therapeutic and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The Company’s pipeline features seven therapeutic and three diagnostic product candidates. The most advanced of these is crenezumab, an anti-Abeta antibody in phase 3 clinical studies that is being advanced by the collaboration partner Genentech, Inc., a wholly owned subsidiary of Roche. Other business partners include Biogen, Janssen Pharmaceuticals, Nestlé Institute of Health Sciences and Piramal Imaging.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may contain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but are not limited to, the timing and conduct of clinical trials of AC Immune’s product candidates, the clinical utility of AC Immune’s product candidates, the timing or likelihood of regulatory filings and approvals, AC Immune’s intellectual property position and AC Immune’s financial position. These risks and uncertainties also include those described under the captions “Risk Factors” and “Management’s Discussion and Analysis of Financial Condition and Results of Operations” referred to above and future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9"/>
        </w:trPr>
        <w:tc>
          <w:tcPr>
            <w:tcW w:w="4300" w:type="dxa"/>
            <w:vAlign w:val="bottom"/>
            <w:gridSpan w:val="6"/>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80"/>
        </w:trPr>
        <w:tc>
          <w:tcPr>
            <w:tcW w:w="4300" w:type="dxa"/>
            <w:vAlign w:val="bottom"/>
            <w:gridSpan w:val="6"/>
          </w:tcPr>
          <w:p>
            <w:pPr>
              <w:ind w:left="20"/>
              <w:spacing w:after="0"/>
              <w:rPr>
                <w:sz w:val="20"/>
                <w:szCs w:val="20"/>
                <w:color w:val="auto"/>
              </w:rPr>
            </w:pPr>
            <w:r>
              <w:rPr>
                <w:rFonts w:ascii="Arial" w:cs="Arial" w:eastAsia="Arial" w:hAnsi="Arial"/>
                <w:sz w:val="18"/>
                <w:szCs w:val="18"/>
                <w:color w:val="auto"/>
              </w:rPr>
              <w:t>Prof. Andrea Pfeifer</w:t>
            </w:r>
          </w:p>
        </w:tc>
        <w:tc>
          <w:tcPr>
            <w:tcW w:w="4280" w:type="dxa"/>
            <w:vAlign w:val="bottom"/>
            <w:gridSpan w:val="4"/>
          </w:tcPr>
          <w:p>
            <w:pPr>
              <w:ind w:left="980"/>
              <w:spacing w:after="0"/>
              <w:rPr>
                <w:sz w:val="20"/>
                <w:szCs w:val="20"/>
                <w:color w:val="auto"/>
              </w:rPr>
            </w:pPr>
            <w:r>
              <w:rPr>
                <w:rFonts w:ascii="Arial" w:cs="Arial" w:eastAsia="Arial" w:hAnsi="Arial"/>
                <w:sz w:val="18"/>
                <w:szCs w:val="18"/>
                <w:color w:val="auto"/>
              </w:rPr>
              <w:t>Eva Schier</w:t>
            </w:r>
          </w:p>
        </w:tc>
      </w:tr>
      <w:tr>
        <w:trPr>
          <w:trHeight w:val="203"/>
        </w:trPr>
        <w:tc>
          <w:tcPr>
            <w:tcW w:w="430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Chief Executive Officer</w:t>
            </w:r>
          </w:p>
        </w:tc>
        <w:tc>
          <w:tcPr>
            <w:tcW w:w="4280" w:type="dxa"/>
            <w:vAlign w:val="bottom"/>
            <w:gridSpan w:val="4"/>
          </w:tcPr>
          <w:p>
            <w:pPr>
              <w:ind w:left="980"/>
              <w:spacing w:after="0" w:line="202" w:lineRule="exact"/>
              <w:rPr>
                <w:sz w:val="20"/>
                <w:szCs w:val="20"/>
                <w:color w:val="auto"/>
              </w:rPr>
            </w:pPr>
            <w:r>
              <w:rPr>
                <w:rFonts w:ascii="Arial" w:cs="Arial" w:eastAsia="Arial" w:hAnsi="Arial"/>
                <w:sz w:val="18"/>
                <w:szCs w:val="18"/>
                <w:color w:val="auto"/>
              </w:rPr>
              <w:t>Corporate Communications Manager</w:t>
            </w:r>
          </w:p>
        </w:tc>
      </w:tr>
      <w:tr>
        <w:trPr>
          <w:trHeight w:val="203"/>
        </w:trPr>
        <w:tc>
          <w:tcPr>
            <w:tcW w:w="430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Phone: +41-21-345 91 21</w:t>
            </w:r>
          </w:p>
        </w:tc>
        <w:tc>
          <w:tcPr>
            <w:tcW w:w="4280" w:type="dxa"/>
            <w:vAlign w:val="bottom"/>
            <w:gridSpan w:val="4"/>
          </w:tcPr>
          <w:p>
            <w:pPr>
              <w:ind w:left="980"/>
              <w:spacing w:after="0" w:line="202" w:lineRule="exact"/>
              <w:rPr>
                <w:sz w:val="20"/>
                <w:szCs w:val="20"/>
                <w:color w:val="auto"/>
              </w:rPr>
            </w:pPr>
            <w:r>
              <w:rPr>
                <w:rFonts w:ascii="Arial" w:cs="Arial" w:eastAsia="Arial" w:hAnsi="Arial"/>
                <w:sz w:val="18"/>
                <w:szCs w:val="18"/>
                <w:color w:val="auto"/>
              </w:rPr>
              <w:t>Phone: +41-21-345 91 34</w:t>
            </w:r>
          </w:p>
        </w:tc>
      </w:tr>
      <w:tr>
        <w:trPr>
          <w:trHeight w:val="176"/>
        </w:trPr>
        <w:tc>
          <w:tcPr>
            <w:tcW w:w="4300" w:type="dxa"/>
            <w:vAlign w:val="bottom"/>
            <w:gridSpan w:val="6"/>
          </w:tcPr>
          <w:p>
            <w:pPr>
              <w:ind w:left="20"/>
              <w:spacing w:after="0" w:line="176" w:lineRule="exact"/>
              <w:rPr>
                <w:sz w:val="20"/>
                <w:szCs w:val="20"/>
                <w:color w:val="auto"/>
              </w:rPr>
            </w:pPr>
            <w:r>
              <w:rPr>
                <w:rFonts w:ascii="Arial" w:cs="Arial" w:eastAsia="Arial" w:hAnsi="Arial"/>
                <w:sz w:val="18"/>
                <w:szCs w:val="18"/>
                <w:color w:val="auto"/>
              </w:rPr>
              <w:t>E-mail:</w:t>
            </w:r>
            <w:r>
              <w:rPr>
                <w:rFonts w:ascii="Arial" w:cs="Arial" w:eastAsia="Arial" w:hAnsi="Arial"/>
                <w:sz w:val="18"/>
                <w:szCs w:val="18"/>
                <w:color w:val="0000FF"/>
              </w:rPr>
              <w:t>andrea.pfeifer@acimmune.com</w:t>
            </w:r>
          </w:p>
        </w:tc>
        <w:tc>
          <w:tcPr>
            <w:tcW w:w="4280" w:type="dxa"/>
            <w:vAlign w:val="bottom"/>
            <w:gridSpan w:val="4"/>
          </w:tcPr>
          <w:p>
            <w:pPr>
              <w:ind w:left="980"/>
              <w:spacing w:after="0" w:line="176" w:lineRule="exact"/>
              <w:rPr>
                <w:sz w:val="20"/>
                <w:szCs w:val="20"/>
                <w:color w:val="auto"/>
              </w:rPr>
            </w:pPr>
            <w:r>
              <w:rPr>
                <w:rFonts w:ascii="Arial" w:cs="Arial" w:eastAsia="Arial" w:hAnsi="Arial"/>
                <w:sz w:val="18"/>
                <w:szCs w:val="18"/>
                <w:color w:val="auto"/>
              </w:rPr>
              <w:t>Mobile: +41 79 926 66 03</w:t>
            </w:r>
          </w:p>
        </w:tc>
      </w:tr>
      <w:tr>
        <w:trPr>
          <w:trHeight w:val="183"/>
        </w:trPr>
        <w:tc>
          <w:tcPr>
            <w:tcW w:w="5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200" w:type="dxa"/>
            <w:vAlign w:val="bottom"/>
          </w:tcPr>
          <w:p>
            <w:pPr>
              <w:spacing w:after="0"/>
              <w:rPr>
                <w:sz w:val="15"/>
                <w:szCs w:val="15"/>
                <w:color w:val="auto"/>
              </w:rPr>
            </w:pPr>
          </w:p>
        </w:tc>
        <w:tc>
          <w:tcPr>
            <w:tcW w:w="4280" w:type="dxa"/>
            <w:vAlign w:val="bottom"/>
            <w:gridSpan w:val="4"/>
          </w:tcPr>
          <w:p>
            <w:pPr>
              <w:ind w:left="980"/>
              <w:spacing w:after="0" w:line="182"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eva.schier@acimmune.com</w:t>
            </w:r>
          </w:p>
        </w:tc>
      </w:tr>
      <w:tr>
        <w:trPr>
          <w:trHeight w:val="20"/>
        </w:trPr>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4300" w:type="dxa"/>
            <w:vAlign w:val="bottom"/>
            <w:gridSpan w:val="6"/>
          </w:tcPr>
          <w:p>
            <w:pPr>
              <w:ind w:left="20"/>
              <w:spacing w:after="0"/>
              <w:rPr>
                <w:sz w:val="20"/>
                <w:szCs w:val="20"/>
                <w:color w:val="auto"/>
              </w:rPr>
            </w:pPr>
            <w:r>
              <w:rPr>
                <w:rFonts w:ascii="Arial" w:cs="Arial" w:eastAsia="Arial" w:hAnsi="Arial"/>
                <w:sz w:val="18"/>
                <w:szCs w:val="18"/>
                <w:color w:val="auto"/>
              </w:rPr>
              <w:t>Nick Miles/ Toomas Kull</w:t>
            </w:r>
          </w:p>
        </w:tc>
        <w:tc>
          <w:tcPr>
            <w:tcW w:w="4280" w:type="dxa"/>
            <w:vAlign w:val="bottom"/>
            <w:gridSpan w:val="4"/>
          </w:tcPr>
          <w:p>
            <w:pPr>
              <w:ind w:left="98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430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Cabinet Privé de Conseils s.a.</w:t>
            </w:r>
          </w:p>
        </w:tc>
        <w:tc>
          <w:tcPr>
            <w:tcW w:w="4280" w:type="dxa"/>
            <w:vAlign w:val="bottom"/>
            <w:gridSpan w:val="4"/>
          </w:tcPr>
          <w:p>
            <w:pPr>
              <w:ind w:left="980"/>
              <w:spacing w:after="0" w:line="202" w:lineRule="exact"/>
              <w:rPr>
                <w:sz w:val="20"/>
                <w:szCs w:val="20"/>
                <w:color w:val="auto"/>
              </w:rPr>
            </w:pPr>
            <w:r>
              <w:rPr>
                <w:rFonts w:ascii="Arial" w:cs="Arial" w:eastAsia="Arial" w:hAnsi="Arial"/>
                <w:sz w:val="18"/>
                <w:szCs w:val="18"/>
                <w:color w:val="auto"/>
              </w:rPr>
              <w:t>Ted Agne</w:t>
            </w:r>
          </w:p>
        </w:tc>
      </w:tr>
      <w:tr>
        <w:trPr>
          <w:trHeight w:val="203"/>
        </w:trPr>
        <w:tc>
          <w:tcPr>
            <w:tcW w:w="430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Phone : +41 22 321 45 40</w:t>
            </w:r>
          </w:p>
        </w:tc>
        <w:tc>
          <w:tcPr>
            <w:tcW w:w="4280" w:type="dxa"/>
            <w:vAlign w:val="bottom"/>
            <w:gridSpan w:val="4"/>
          </w:tcPr>
          <w:p>
            <w:pPr>
              <w:ind w:left="980"/>
              <w:spacing w:after="0" w:line="202" w:lineRule="exact"/>
              <w:rPr>
                <w:sz w:val="20"/>
                <w:szCs w:val="20"/>
                <w:color w:val="auto"/>
              </w:rPr>
            </w:pPr>
            <w:r>
              <w:rPr>
                <w:rFonts w:ascii="Arial" w:cs="Arial" w:eastAsia="Arial" w:hAnsi="Arial"/>
                <w:sz w:val="18"/>
                <w:szCs w:val="18"/>
                <w:color w:val="auto"/>
                <w:w w:val="99"/>
              </w:rPr>
              <w:t>The Communications Strategy Group Inc.</w:t>
            </w:r>
          </w:p>
        </w:tc>
      </w:tr>
      <w:tr>
        <w:trPr>
          <w:trHeight w:val="176"/>
        </w:trPr>
        <w:tc>
          <w:tcPr>
            <w:tcW w:w="4300" w:type="dxa"/>
            <w:vAlign w:val="bottom"/>
            <w:gridSpan w:val="6"/>
          </w:tcPr>
          <w:p>
            <w:pPr>
              <w:ind w:left="20"/>
              <w:spacing w:after="0" w:line="176" w:lineRule="exact"/>
              <w:rPr>
                <w:sz w:val="20"/>
                <w:szCs w:val="20"/>
                <w:color w:val="auto"/>
              </w:rPr>
            </w:pPr>
            <w:r>
              <w:rPr>
                <w:rFonts w:ascii="Arial" w:cs="Arial" w:eastAsia="Arial" w:hAnsi="Arial"/>
                <w:sz w:val="18"/>
                <w:szCs w:val="18"/>
                <w:color w:val="auto"/>
              </w:rPr>
              <w:t xml:space="preserve">E-mail : </w:t>
            </w:r>
            <w:r>
              <w:rPr>
                <w:rFonts w:ascii="Arial" w:cs="Arial" w:eastAsia="Arial" w:hAnsi="Arial"/>
                <w:sz w:val="18"/>
                <w:szCs w:val="18"/>
                <w:color w:val="0000FF"/>
              </w:rPr>
              <w:t>miles@cpc-pr.com</w:t>
            </w:r>
          </w:p>
        </w:tc>
        <w:tc>
          <w:tcPr>
            <w:tcW w:w="4280" w:type="dxa"/>
            <w:vAlign w:val="bottom"/>
            <w:gridSpan w:val="4"/>
          </w:tcPr>
          <w:p>
            <w:pPr>
              <w:ind w:left="980"/>
              <w:spacing w:after="0" w:line="176" w:lineRule="exact"/>
              <w:rPr>
                <w:sz w:val="20"/>
                <w:szCs w:val="20"/>
                <w:color w:val="auto"/>
              </w:rPr>
            </w:pPr>
            <w:r>
              <w:rPr>
                <w:rFonts w:ascii="Arial" w:cs="Arial" w:eastAsia="Arial" w:hAnsi="Arial"/>
                <w:sz w:val="18"/>
                <w:szCs w:val="18"/>
                <w:color w:val="auto"/>
              </w:rPr>
              <w:t>Phone: +1 781 631 3117</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line="182" w:lineRule="exact"/>
              <w:rPr>
                <w:sz w:val="20"/>
                <w:szCs w:val="20"/>
                <w:color w:val="auto"/>
              </w:rPr>
            </w:pPr>
            <w:r>
              <w:rPr>
                <w:rFonts w:ascii="Arial" w:cs="Arial" w:eastAsia="Arial" w:hAnsi="Arial"/>
                <w:sz w:val="18"/>
                <w:szCs w:val="18"/>
                <w:color w:val="0000FF"/>
                <w:w w:val="93"/>
              </w:rPr>
              <w:t>kull@cpc-pr.com</w:t>
            </w:r>
          </w:p>
        </w:tc>
        <w:tc>
          <w:tcPr>
            <w:tcW w:w="2340" w:type="dxa"/>
            <w:vAlign w:val="bottom"/>
            <w:gridSpan w:val="3"/>
          </w:tcPr>
          <w:p>
            <w:pPr>
              <w:spacing w:after="0"/>
              <w:rPr>
                <w:sz w:val="15"/>
                <w:szCs w:val="15"/>
                <w:color w:val="auto"/>
              </w:rPr>
            </w:pPr>
          </w:p>
        </w:tc>
        <w:tc>
          <w:tcPr>
            <w:tcW w:w="4280" w:type="dxa"/>
            <w:vAlign w:val="bottom"/>
            <w:gridSpan w:val="4"/>
          </w:tcPr>
          <w:p>
            <w:pPr>
              <w:ind w:left="980"/>
              <w:spacing w:after="0" w:line="182"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edagne@comstratgroup.com</w:t>
            </w:r>
          </w:p>
        </w:tc>
      </w:tr>
      <w:tr>
        <w:trPr>
          <w:trHeight w:val="20"/>
        </w:trPr>
        <w:tc>
          <w:tcPr>
            <w:tcW w:w="5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440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4081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2019-12-09T03:33:49Z</dcterms:created>
  <dcterms:modified xsi:type="dcterms:W3CDTF">2019-12-09T03:33:49Z</dcterms:modified>
</cp:coreProperties>
</file>