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INFORMATION TO BE INCLUDED IN STATEMENTS FILED PURSUANT TO RULES 13d-1 (b),</w:t>
      </w:r>
    </w:p>
    <w:p>
      <w:pPr>
        <w:spacing w:after="0" w:line="27" w:lineRule="exact"/>
        <w:rPr>
          <w:sz w:val="24"/>
          <w:szCs w:val="24"/>
          <w:color w:val="auto"/>
        </w:rPr>
      </w:pPr>
    </w:p>
    <w:p>
      <w:pPr>
        <w:ind w:left="4840" w:right="2080" w:hanging="2360"/>
        <w:spacing w:after="0" w:line="260" w:lineRule="auto"/>
        <w:tabs>
          <w:tab w:leader="none" w:pos="27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AND (d) AND AMENDMENTS THERETO FILED PURSUANT TO 13d-2 (b) (Amendment No. 4)</w:t>
      </w:r>
    </w:p>
    <w:p>
      <w:pPr>
        <w:spacing w:after="0" w:line="181"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H00263105</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December 31, 2022</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98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Rule 13d-1(d)</w:t>
      </w:r>
    </w:p>
    <w:p>
      <w:pPr>
        <w:spacing w:after="0" w:line="257" w:lineRule="exact"/>
        <w:rPr>
          <w:sz w:val="24"/>
          <w:szCs w:val="24"/>
          <w:color w:val="auto"/>
        </w:rPr>
      </w:pPr>
    </w:p>
    <w:p>
      <w:pPr>
        <w:ind w:left="980" w:right="120" w:hanging="324"/>
        <w:spacing w:after="0" w:line="342" w:lineRule="auto"/>
        <w:rPr>
          <w:sz w:val="24"/>
          <w:szCs w:val="24"/>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4"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513" w:right="7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2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90"/>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dievini Hopp BioTech holding GmbH &amp; Co. KG</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2"/>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3"/>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1420" w:type="dxa"/>
            <w:vAlign w:val="bottom"/>
            <w:vMerge w:val="continue"/>
          </w:tcPr>
          <w:p>
            <w:pPr>
              <w:spacing w:after="0"/>
              <w:rPr>
                <w:sz w:val="9"/>
                <w:szCs w:val="9"/>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1"/>
                <w:szCs w:val="11"/>
                <w:color w:val="auto"/>
              </w:rPr>
            </w:pPr>
          </w:p>
        </w:tc>
        <w:tc>
          <w:tcPr>
            <w:tcW w:w="8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0"/>
        </w:trPr>
        <w:tc>
          <w:tcPr>
            <w:tcW w:w="1420" w:type="dxa"/>
            <w:vAlign w:val="bottom"/>
          </w:tcPr>
          <w:p>
            <w:pPr>
              <w:jc w:val="center"/>
              <w:ind w:right="450"/>
              <w:spacing w:after="0" w:line="203" w:lineRule="exact"/>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jc w:val="center"/>
              <w:ind w:right="450"/>
              <w:spacing w:after="0" w:line="201"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75"/>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20" w:type="dxa"/>
            <w:vAlign w:val="bottom"/>
            <w:vMerge w:val="continue"/>
          </w:tcPr>
          <w:p>
            <w:pPr>
              <w:spacing w:after="0"/>
              <w:rPr>
                <w:sz w:val="11"/>
                <w:szCs w:val="11"/>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920" w:hanging="568"/>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19.5% </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3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90"/>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DH-Capital GmbH &amp; Co. KG</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2"/>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3"/>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19.5% </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4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90"/>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OH Beteiligungen GmbH &amp; Co. KG</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2"/>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3"/>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380" w:type="dxa"/>
            <w:vAlign w:val="bottom"/>
            <w:gridSpan w:val="2"/>
            <w:vMerge w:val="restart"/>
          </w:tcPr>
          <w:p>
            <w:pPr>
              <w:jc w:val="center"/>
              <w:ind w:right="49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6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380" w:type="dxa"/>
            <w:vAlign w:val="bottom"/>
            <w:gridSpan w:val="2"/>
            <w:vMerge w:val="restart"/>
          </w:tcPr>
          <w:p>
            <w:pPr>
              <w:jc w:val="center"/>
              <w:ind w:right="49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0" w:type="dxa"/>
            <w:vAlign w:val="bottom"/>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1380" w:type="dxa"/>
            <w:vAlign w:val="bottom"/>
            <w:gridSpan w:val="2"/>
          </w:tcPr>
          <w:p>
            <w:pPr>
              <w:jc w:val="center"/>
              <w:ind w:right="49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71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1380" w:type="dxa"/>
            <w:vAlign w:val="bottom"/>
            <w:gridSpan w:val="2"/>
          </w:tcPr>
          <w:p>
            <w:pPr>
              <w:jc w:val="center"/>
              <w:ind w:right="49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380" w:type="dxa"/>
            <w:vAlign w:val="bottom"/>
            <w:gridSpan w:val="2"/>
          </w:tcPr>
          <w:p>
            <w:pPr>
              <w:jc w:val="center"/>
              <w:ind w:right="49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62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6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6"/>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43"/>
        </w:trPr>
        <w:tc>
          <w:tcPr>
            <w:tcW w:w="620" w:type="dxa"/>
            <w:vAlign w:val="bottom"/>
          </w:tcPr>
          <w:p>
            <w:pPr>
              <w:jc w:val="center"/>
              <w:ind w:left="133"/>
              <w:spacing w:after="0"/>
              <w:rPr>
                <w:sz w:val="20"/>
                <w:szCs w:val="20"/>
                <w:color w:val="auto"/>
              </w:rPr>
            </w:pPr>
            <w:r>
              <w:rPr>
                <w:rFonts w:ascii="Arial" w:cs="Arial" w:eastAsia="Arial" w:hAnsi="Arial"/>
                <w:sz w:val="18"/>
                <w:szCs w:val="18"/>
                <w:color w:val="auto"/>
                <w:w w:val="79"/>
              </w:rPr>
              <w:t>9.</w:t>
            </w:r>
          </w:p>
        </w:tc>
        <w:tc>
          <w:tcPr>
            <w:tcW w:w="220" w:type="dxa"/>
            <w:vAlign w:val="bottom"/>
            <w:tcBorders>
              <w:right w:val="single" w:sz="8" w:color="auto"/>
            </w:tcBorders>
          </w:tcPr>
          <w:p>
            <w:pPr>
              <w:spacing w:after="0"/>
              <w:rPr>
                <w:sz w:val="21"/>
                <w:szCs w:val="21"/>
                <w:color w:val="auto"/>
              </w:rPr>
            </w:pPr>
          </w:p>
        </w:tc>
        <w:tc>
          <w:tcPr>
            <w:tcW w:w="104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506"/>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20" w:type="dxa"/>
            <w:vAlign w:val="bottom"/>
          </w:tcPr>
          <w:p>
            <w:pPr>
              <w:jc w:val="center"/>
              <w:ind w:left="133"/>
              <w:spacing w:after="0"/>
              <w:rPr>
                <w:sz w:val="20"/>
                <w:szCs w:val="20"/>
                <w:color w:val="auto"/>
              </w:rPr>
            </w:pPr>
            <w:r>
              <w:rPr>
                <w:rFonts w:ascii="Arial" w:cs="Arial" w:eastAsia="Arial" w:hAnsi="Arial"/>
                <w:sz w:val="18"/>
                <w:szCs w:val="18"/>
                <w:color w:val="auto"/>
                <w:w w:val="95"/>
              </w:rPr>
              <w:t>10.</w:t>
            </w:r>
          </w:p>
        </w:tc>
        <w:tc>
          <w:tcPr>
            <w:tcW w:w="220" w:type="dxa"/>
            <w:vAlign w:val="bottom"/>
            <w:tcBorders>
              <w:right w:val="single" w:sz="8" w:color="auto"/>
            </w:tcBorders>
          </w:tcPr>
          <w:p>
            <w:pPr>
              <w:spacing w:after="0"/>
              <w:rPr>
                <w:sz w:val="24"/>
                <w:szCs w:val="24"/>
                <w:color w:val="auto"/>
              </w:rPr>
            </w:pPr>
          </w:p>
        </w:tc>
        <w:tc>
          <w:tcPr>
            <w:tcW w:w="1040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040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 w:type="dxa"/>
            <w:vAlign w:val="bottom"/>
          </w:tcPr>
          <w:p>
            <w:pPr>
              <w:jc w:val="center"/>
              <w:ind w:left="133"/>
              <w:spacing w:after="0"/>
              <w:rPr>
                <w:sz w:val="20"/>
                <w:szCs w:val="20"/>
                <w:color w:val="auto"/>
              </w:rPr>
            </w:pPr>
            <w:r>
              <w:rPr>
                <w:rFonts w:ascii="Arial" w:cs="Arial" w:eastAsia="Arial" w:hAnsi="Arial"/>
                <w:sz w:val="18"/>
                <w:szCs w:val="18"/>
                <w:color w:val="auto"/>
                <w:w w:val="79"/>
              </w:rPr>
              <w:t>11.</w:t>
            </w:r>
          </w:p>
        </w:tc>
        <w:tc>
          <w:tcPr>
            <w:tcW w:w="220" w:type="dxa"/>
            <w:vAlign w:val="bottom"/>
            <w:tcBorders>
              <w:right w:val="single" w:sz="8" w:color="auto"/>
            </w:tcBorders>
          </w:tcPr>
          <w:p>
            <w:pPr>
              <w:spacing w:after="0"/>
              <w:rPr>
                <w:sz w:val="21"/>
                <w:szCs w:val="21"/>
                <w:color w:val="auto"/>
              </w:rPr>
            </w:pPr>
          </w:p>
        </w:tc>
        <w:tc>
          <w:tcPr>
            <w:tcW w:w="104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506"/>
        </w:trPr>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29"/>
                <w:szCs w:val="29"/>
                <w:color w:val="auto"/>
                <w:vertAlign w:val="superscript"/>
              </w:rPr>
              <w:t>(3)</w:t>
            </w:r>
          </w:p>
        </w:tc>
        <w:tc>
          <w:tcPr>
            <w:tcW w:w="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0" w:type="dxa"/>
            <w:vAlign w:val="bottom"/>
          </w:tcPr>
          <w:p>
            <w:pPr>
              <w:jc w:val="center"/>
              <w:ind w:left="133"/>
              <w:spacing w:after="0"/>
              <w:rPr>
                <w:sz w:val="20"/>
                <w:szCs w:val="20"/>
                <w:color w:val="auto"/>
              </w:rPr>
            </w:pPr>
            <w:r>
              <w:rPr>
                <w:rFonts w:ascii="Arial" w:cs="Arial" w:eastAsia="Arial" w:hAnsi="Arial"/>
                <w:sz w:val="15"/>
                <w:szCs w:val="15"/>
                <w:color w:val="auto"/>
                <w:w w:val="78"/>
              </w:rPr>
              <w:t>(2)</w:t>
            </w:r>
            <w:r>
              <w:rPr>
                <w:rFonts w:ascii="Arial" w:cs="Arial" w:eastAsia="Arial" w:hAnsi="Arial"/>
                <w:sz w:val="35"/>
                <w:szCs w:val="35"/>
                <w:color w:val="auto"/>
                <w:w w:val="78"/>
                <w:vertAlign w:val="subscript"/>
              </w:rPr>
              <w:t>12.</w:t>
            </w:r>
          </w:p>
        </w:tc>
        <w:tc>
          <w:tcPr>
            <w:tcW w:w="220" w:type="dxa"/>
            <w:vAlign w:val="bottom"/>
            <w:tcBorders>
              <w:right w:val="single" w:sz="8" w:color="auto"/>
            </w:tcBorders>
          </w:tcPr>
          <w:p>
            <w:pPr>
              <w:spacing w:after="0"/>
              <w:rPr>
                <w:sz w:val="24"/>
                <w:szCs w:val="24"/>
                <w:color w:val="auto"/>
              </w:rPr>
            </w:pPr>
          </w:p>
        </w:tc>
        <w:tc>
          <w:tcPr>
            <w:tcW w:w="104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OO</w:t>
            </w:r>
          </w:p>
        </w:tc>
        <w:tc>
          <w:tcPr>
            <w:tcW w:w="76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5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90"/>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Dietmar Hopp</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2"/>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3"/>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19.5% </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6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90"/>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Oliver Hopp</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2"/>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3"/>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19.5 </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7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6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Daniel Hopp</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16,316,742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19.5 </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8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6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Prof. Dr. Friedrich von Bohlen und Halbach</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687,128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687,128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687,128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0.8%</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held of record by Bohlini invest GmbH, a company wholly owned and controlled by Dr. von Bohlen.</w:t>
      </w:r>
    </w:p>
    <w:p>
      <w:pPr>
        <w:spacing w:after="0" w:line="9" w:lineRule="exact"/>
        <w:rPr>
          <w:rFonts w:ascii="Arial" w:cs="Arial" w:eastAsia="Arial" w:hAnsi="Arial"/>
          <w:sz w:val="18"/>
          <w:szCs w:val="18"/>
          <w:color w:val="auto"/>
        </w:rPr>
      </w:pPr>
    </w:p>
    <w:p>
      <w:pPr>
        <w:ind w:left="460" w:right="2660" w:hanging="452"/>
        <w:spacing w:after="0" w:line="32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Page 9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6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Prof. Dr. Christof Hettich</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470,779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470,779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470,779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0.6% </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held of record by 4H invest GmbH, a company wholly owned and controlled by Dr. Hettich.</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Page 10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426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pacing w:after="0" w:line="236" w:lineRule="exact"/>
        <w:rPr>
          <w:sz w:val="20"/>
          <w:szCs w:val="20"/>
          <w:color w:val="auto"/>
        </w:rPr>
      </w:pPr>
    </w:p>
    <w:p>
      <w:pPr>
        <w:ind w:left="920" w:hanging="56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Dr. Mathias Hothum</w:t>
      </w:r>
    </w:p>
    <w:p>
      <w:pPr>
        <w:spacing w:after="0" w:line="94" w:lineRule="exact"/>
        <w:rPr>
          <w:rFonts w:ascii="Arial" w:cs="Arial" w:eastAsia="Arial" w:hAnsi="Arial"/>
          <w:sz w:val="18"/>
          <w:szCs w:val="18"/>
          <w:color w:val="auto"/>
        </w:rPr>
      </w:pPr>
    </w:p>
    <w:p>
      <w:pPr>
        <w:ind w:left="920" w:hanging="56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8" w:lineRule="exact"/>
        <w:rPr>
          <w:rFonts w:ascii="Arial" w:cs="Arial" w:eastAsia="Arial" w:hAnsi="Arial"/>
          <w:sz w:val="18"/>
          <w:szCs w:val="18"/>
          <w:color w:val="auto"/>
        </w:rPr>
      </w:pPr>
    </w:p>
    <w:p>
      <w:pPr>
        <w:ind w:left="1220" w:hanging="299"/>
        <w:spacing w:after="0" w:line="299" w:lineRule="exact"/>
        <w:tabs>
          <w:tab w:leader="none" w:pos="1220"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(b)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(1)</w:t>
      </w:r>
    </w:p>
    <w:p>
      <w:pPr>
        <w:spacing w:after="0" w:line="50" w:lineRule="exact"/>
        <w:rPr>
          <w:rFonts w:ascii="Arial" w:cs="Arial" w:eastAsia="Arial" w:hAnsi="Arial"/>
          <w:sz w:val="18"/>
          <w:szCs w:val="18"/>
          <w:color w:val="auto"/>
        </w:rPr>
      </w:pPr>
    </w:p>
    <w:p>
      <w:pPr>
        <w:ind w:left="920" w:hanging="568"/>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0" w:lineRule="exact"/>
        <w:rPr>
          <w:rFonts w:ascii="Arial" w:cs="Arial" w:eastAsia="Arial" w:hAnsi="Arial"/>
          <w:sz w:val="18"/>
          <w:szCs w:val="18"/>
          <w:color w:val="auto"/>
        </w:rPr>
      </w:pPr>
    </w:p>
    <w:p>
      <w:pPr>
        <w:ind w:left="920" w:right="7700" w:hanging="568"/>
        <w:spacing w:after="0" w:line="422"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Germany</w:t>
      </w:r>
    </w:p>
    <w:p>
      <w:pPr>
        <w:spacing w:after="0" w:line="1" w:lineRule="exact"/>
        <w:rPr>
          <w:rFonts w:ascii="Arial" w:cs="Arial" w:eastAsia="Arial" w:hAnsi="Arial"/>
          <w:sz w:val="18"/>
          <w:szCs w:val="18"/>
          <w:color w:val="auto"/>
        </w:rPr>
      </w:pPr>
    </w:p>
    <w:p>
      <w:pPr>
        <w:ind w:left="2980" w:hanging="576"/>
        <w:spacing w:after="0"/>
        <w:tabs>
          <w:tab w:leader="none" w:pos="2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5"/>
              </w:rPr>
              <w:t>Number of</w:t>
            </w:r>
          </w:p>
        </w:tc>
        <w:tc>
          <w:tcPr>
            <w:tcW w:w="760" w:type="dxa"/>
            <w:vAlign w:val="bottom"/>
          </w:tcPr>
          <w:p>
            <w:pPr>
              <w:spacing w:after="0"/>
              <w:rPr>
                <w:sz w:val="20"/>
                <w:szCs w:val="20"/>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34"/>
        </w:trPr>
        <w:tc>
          <w:tcPr>
            <w:tcW w:w="142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420" w:type="dxa"/>
            <w:vAlign w:val="bottom"/>
            <w:vMerge w:val="continue"/>
          </w:tcPr>
          <w:p>
            <w:pPr>
              <w:spacing w:after="0"/>
              <w:rPr>
                <w:sz w:val="8"/>
                <w:szCs w:val="8"/>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76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760" w:type="dxa"/>
            <w:vAlign w:val="bottom"/>
          </w:tcPr>
          <w:p>
            <w:pPr>
              <w:spacing w:after="0"/>
              <w:rPr>
                <w:sz w:val="18"/>
                <w:szCs w:val="18"/>
                <w:color w:val="auto"/>
              </w:rPr>
            </w:pP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 xml:space="preserve">360,820 common shares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3"/>
              </w:rPr>
              <w:t>Owned by</w:t>
            </w:r>
          </w:p>
        </w:tc>
        <w:tc>
          <w:tcPr>
            <w:tcW w:w="76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20" w:type="dxa"/>
            <w:vAlign w:val="bottom"/>
          </w:tcPr>
          <w:p>
            <w:pPr>
              <w:jc w:val="center"/>
              <w:ind w:right="450"/>
              <w:spacing w:after="0" w:line="189" w:lineRule="exact"/>
              <w:rPr>
                <w:sz w:val="20"/>
                <w:szCs w:val="20"/>
                <w:color w:val="auto"/>
              </w:rPr>
            </w:pPr>
            <w:r>
              <w:rPr>
                <w:rFonts w:ascii="Arial" w:cs="Arial" w:eastAsia="Arial" w:hAnsi="Arial"/>
                <w:sz w:val="18"/>
                <w:szCs w:val="18"/>
                <w:color w:val="auto"/>
                <w:w w:val="87"/>
              </w:rPr>
              <w:t>Each</w:t>
            </w:r>
          </w:p>
        </w:tc>
        <w:tc>
          <w:tcPr>
            <w:tcW w:w="76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7.</w:t>
            </w:r>
          </w:p>
        </w:tc>
        <w:tc>
          <w:tcPr>
            <w:tcW w:w="848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76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84"/>
              </w:rPr>
              <w:t>Person</w:t>
            </w:r>
          </w:p>
        </w:tc>
        <w:tc>
          <w:tcPr>
            <w:tcW w:w="760" w:type="dxa"/>
            <w:vAlign w:val="bottom"/>
          </w:tcPr>
          <w:p>
            <w:pPr>
              <w:spacing w:after="0"/>
              <w:rPr>
                <w:sz w:val="18"/>
                <w:szCs w:val="18"/>
                <w:color w:val="auto"/>
              </w:rPr>
            </w:pPr>
          </w:p>
        </w:tc>
        <w:tc>
          <w:tcPr>
            <w:tcW w:w="8480" w:type="dxa"/>
            <w:vAlign w:val="bottom"/>
          </w:tcPr>
          <w:p>
            <w:pPr>
              <w:ind w:left="220"/>
              <w:spacing w:after="0"/>
              <w:rPr>
                <w:sz w:val="20"/>
                <w:szCs w:val="20"/>
                <w:color w:val="auto"/>
              </w:rPr>
            </w:pPr>
            <w:r>
              <w:rPr>
                <w:rFonts w:ascii="Arial" w:cs="Arial" w:eastAsia="Arial" w:hAnsi="Arial"/>
                <w:sz w:val="18"/>
                <w:szCs w:val="18"/>
                <w:color w:val="auto"/>
              </w:rPr>
              <w:t>0 common shares</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97"/>
              </w:rPr>
              <w:t>With:</w:t>
            </w:r>
          </w:p>
        </w:tc>
        <w:tc>
          <w:tcPr>
            <w:tcW w:w="760" w:type="dxa"/>
            <w:vAlign w:val="bottom"/>
            <w:tcBorders>
              <w:bottom w:val="single" w:sz="8" w:color="auto"/>
            </w:tcBorders>
          </w:tcPr>
          <w:p>
            <w:pPr>
              <w:spacing w:after="0"/>
              <w:rPr>
                <w:sz w:val="7"/>
                <w:szCs w:val="7"/>
                <w:color w:val="auto"/>
              </w:rPr>
            </w:pPr>
          </w:p>
        </w:tc>
        <w:tc>
          <w:tcPr>
            <w:tcW w:w="8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xml:space="preserve">360,820 common shares </w:t>
      </w:r>
      <w:r>
        <w:rPr>
          <w:rFonts w:ascii="Arial" w:cs="Arial" w:eastAsia="Arial" w:hAnsi="Arial"/>
          <w:sz w:val="29"/>
          <w:szCs w:val="29"/>
          <w:color w:val="auto"/>
          <w:vertAlign w:val="superscript"/>
        </w:rPr>
        <w:t>(2)</w:t>
      </w:r>
    </w:p>
    <w:p>
      <w:pPr>
        <w:spacing w:after="0" w:line="1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360,820 common shares </w:t>
      </w:r>
      <w:r>
        <w:rPr>
          <w:rFonts w:ascii="Arial" w:cs="Arial" w:eastAsia="Arial" w:hAnsi="Arial"/>
          <w:sz w:val="29"/>
          <w:szCs w:val="29"/>
          <w:color w:val="auto"/>
          <w:vertAlign w:val="superscript"/>
        </w:rPr>
        <w:t>(2)</w:t>
      </w:r>
    </w:p>
    <w:p>
      <w:pPr>
        <w:spacing w:after="0" w:line="10" w:lineRule="exact"/>
        <w:rPr>
          <w:sz w:val="20"/>
          <w:szCs w:val="20"/>
          <w:color w:val="auto"/>
        </w:rPr>
      </w:pPr>
    </w:p>
    <w:p>
      <w:pPr>
        <w:ind w:left="920" w:hanging="613"/>
        <w:spacing w:after="0" w:line="207" w:lineRule="exact"/>
        <w:tabs>
          <w:tab w:leader="none" w:pos="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96" w:lineRule="exact"/>
        <w:rPr>
          <w:rFonts w:ascii="Arial" w:cs="Arial" w:eastAsia="Arial" w:hAnsi="Arial"/>
          <w:sz w:val="18"/>
          <w:szCs w:val="18"/>
          <w:color w:val="auto"/>
        </w:rPr>
      </w:pPr>
    </w:p>
    <w:p>
      <w:pPr>
        <w:ind w:left="920" w:hanging="609"/>
        <w:spacing w:after="0"/>
        <w:tabs>
          <w:tab w:leader="none" w:pos="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0.4 </w:t>
      </w:r>
      <w:r>
        <w:rPr>
          <w:rFonts w:ascii="Arial" w:cs="Arial" w:eastAsia="Arial" w:hAnsi="Arial"/>
          <w:sz w:val="29"/>
          <w:szCs w:val="29"/>
          <w:color w:val="auto"/>
          <w:vertAlign w:val="superscript"/>
        </w:rPr>
        <w:t>(3)</w:t>
      </w:r>
    </w:p>
    <w:p>
      <w:pPr>
        <w:spacing w:after="0" w:line="16" w:lineRule="exact"/>
        <w:rPr>
          <w:rFonts w:ascii="Arial" w:cs="Arial" w:eastAsia="Arial" w:hAnsi="Arial"/>
          <w:sz w:val="18"/>
          <w:szCs w:val="18"/>
          <w:color w:val="auto"/>
        </w:rPr>
      </w:pPr>
    </w:p>
    <w:p>
      <w:pPr>
        <w:ind w:left="920" w:hanging="613"/>
        <w:spacing w:after="0"/>
        <w:tabs>
          <w:tab w:leader="none" w:pos="9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shares held of record by MH-LT-Investments GmbH, a company wholly owned and controlled by Dr. Hothum.</w:t>
      </w:r>
    </w:p>
    <w:p>
      <w:pPr>
        <w:spacing w:after="0" w:line="9"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percentage is calculated based on 83,590,948 shares of the Issuer’s common shares reported to be issued by the Issuer as of September 30, 2022, as reported on the Issuer’s Form 6-K filed on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Page 11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This Amendment No. 4 to Schedule 13G (this “Amendment”) amends the Schedule 13G filed with the Securities and Exchange Commission on May 5, 2022 by the Reporting Persons (the “Statement”) with respect to common shares, nominal value CHF 0.02 per share (the “Shares”) of AC Immune SA, a Swiss stock corporation (the “Issuer”).</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 Immune SA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Switzerland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Items 2(a)</w:t>
      </w:r>
      <w:r>
        <w:rPr>
          <w:sz w:val="20"/>
          <w:szCs w:val="20"/>
          <w:color w:val="auto"/>
        </w:rPr>
        <w:tab/>
      </w:r>
      <w:r>
        <w:rPr>
          <w:rFonts w:ascii="Arial" w:cs="Arial" w:eastAsia="Arial" w:hAnsi="Arial"/>
          <w:sz w:val="16"/>
          <w:szCs w:val="16"/>
          <w:b w:val="1"/>
          <w:bCs w:val="1"/>
          <w:color w:val="auto"/>
        </w:rPr>
        <w:t>Name of Reporting Persons filing: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dievini Hopp BioTech holding GmbH &amp; Co. KG (“dievini”)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DH-Capital GmbH &amp; Co. KG (“DH-Capital”)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OH Beteiligungen GmbH &amp; Co. KG (“OH Beteiligungen”)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Dietmar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Oliver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Daniel Hopp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Prof. Dr. Friedrich von Bohlen und Halbach (“Dr. von Bohlen”)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Prof. Dr. Christof Hettich (“Dr. Hettich”)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Dr. Mathias Hothum (“Dr. Hothum”)</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ind w:left="980" w:right="560"/>
        <w:spacing w:after="0" w:line="277" w:lineRule="auto"/>
        <w:rPr>
          <w:sz w:val="20"/>
          <w:szCs w:val="20"/>
          <w:color w:val="auto"/>
        </w:rPr>
      </w:pPr>
      <w:r>
        <w:rPr>
          <w:rFonts w:ascii="Arial" w:cs="Arial" w:eastAsia="Arial" w:hAnsi="Arial"/>
          <w:sz w:val="18"/>
          <w:szCs w:val="18"/>
          <w:color w:val="auto"/>
        </w:rPr>
        <w:t>The address of the principal business office of dievini, Dietmar Hopp, Dr. von Bohlen, Dr. Hettich and Dr. Hothum is c/o dievini Hopp BioTech holding GmbH &amp; Co. KG, Johann-Jakob-Astor Straße 57, 69190 Walldorf, Germany.</w:t>
      </w:r>
    </w:p>
    <w:p>
      <w:pPr>
        <w:spacing w:after="0" w:line="170" w:lineRule="exact"/>
        <w:rPr>
          <w:sz w:val="20"/>
          <w:szCs w:val="20"/>
          <w:color w:val="auto"/>
        </w:rPr>
      </w:pPr>
    </w:p>
    <w:p>
      <w:pPr>
        <w:ind w:left="980" w:right="480"/>
        <w:spacing w:after="0" w:line="277" w:lineRule="auto"/>
        <w:rPr>
          <w:sz w:val="20"/>
          <w:szCs w:val="20"/>
          <w:color w:val="auto"/>
        </w:rPr>
      </w:pPr>
      <w:r>
        <w:rPr>
          <w:rFonts w:ascii="Arial" w:cs="Arial" w:eastAsia="Arial" w:hAnsi="Arial"/>
          <w:sz w:val="18"/>
          <w:szCs w:val="18"/>
          <w:color w:val="auto"/>
        </w:rPr>
        <w:t>The address of the principal business office of DH-Capital GmbH &amp; Co. KG and OH Beteiligungen GmbH &amp; Co. KG is Opelstraße 28, 68789 St. Leon-Rot, Germany.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Oliver Hopp is Johann-Jakob-Astor-Straße 59, 69190 Walldorf, Germany.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Daniel Hopp is Johann-Jakob-Astor-Straße 57, 69190 Walldorf, Germany.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Dr. Hettich is Silcherstraße 6, 68723 Schwetzingen, Germany.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Dr Hothum is Bürgermeister-Willinger-Straße 3, 69190 Walldorf, Germany.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Dr von Bohlen is Neuenheimer Landstraße 4, 69120 Heidelberg, Germany.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420" w:type="dxa"/>
            <w:vAlign w:val="bottom"/>
          </w:tcPr>
          <w:p>
            <w:pPr>
              <w:spacing w:after="0"/>
              <w:rPr>
                <w:sz w:val="20"/>
                <w:szCs w:val="20"/>
                <w:color w:val="auto"/>
              </w:rPr>
            </w:pPr>
            <w:r>
              <w:rPr>
                <w:rFonts w:ascii="Arial" w:cs="Arial" w:eastAsia="Arial" w:hAnsi="Arial"/>
                <w:sz w:val="18"/>
                <w:szCs w:val="18"/>
                <w:b w:val="1"/>
                <w:bCs w:val="1"/>
                <w:color w:val="auto"/>
              </w:rPr>
              <w:t>Citizenship or Place of Organization</w:t>
            </w:r>
          </w:p>
        </w:tc>
      </w:tr>
      <w:tr>
        <w:trPr>
          <w:trHeight w:val="216"/>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Dievini</w:t>
            </w:r>
          </w:p>
        </w:tc>
        <w:tc>
          <w:tcPr>
            <w:tcW w:w="120" w:type="dxa"/>
            <w:vAlign w:val="bottom"/>
            <w:tcBorders>
              <w:top w:val="single" w:sz="8" w:color="CCEEFF"/>
            </w:tcBorders>
            <w:shd w:val="clear" w:color="auto" w:fill="CCEEFF"/>
          </w:tcPr>
          <w:p>
            <w:pPr>
              <w:spacing w:after="0"/>
              <w:rPr>
                <w:sz w:val="18"/>
                <w:szCs w:val="18"/>
                <w:color w:val="auto"/>
              </w:rPr>
            </w:pPr>
          </w:p>
        </w:tc>
        <w:tc>
          <w:tcPr>
            <w:tcW w:w="9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DH-Capital</w:t>
            </w:r>
          </w:p>
        </w:tc>
        <w:tc>
          <w:tcPr>
            <w:tcW w:w="9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 Beteiligungen</w:t>
            </w: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Dietmar Hopp</w:t>
            </w:r>
          </w:p>
        </w:tc>
        <w:tc>
          <w:tcPr>
            <w:tcW w:w="9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Hopp</w:t>
            </w: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Daniel Hopp</w:t>
            </w:r>
          </w:p>
        </w:tc>
        <w:tc>
          <w:tcPr>
            <w:tcW w:w="9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von Bohlen</w:t>
            </w: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Dr. Hettich</w:t>
            </w:r>
          </w:p>
        </w:tc>
        <w:tc>
          <w:tcPr>
            <w:tcW w:w="94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Hothum</w:t>
            </w: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68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1" w:name="page12"/>
    <w:bookmarkEnd w:id="11"/>
    <w:p>
      <w:pPr>
        <w:ind w:left="120"/>
        <w:spacing w:after="0"/>
        <w:tabs>
          <w:tab w:leader="none" w:pos="5420" w:val="left"/>
          <w:tab w:leader="none" w:pos="8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12 of 15 Pages</w:t>
      </w:r>
    </w:p>
    <w:p>
      <w:pPr>
        <w:sectPr>
          <w:pgSz w:w="11900" w:h="16838" w:orient="portrait"/>
          <w:cols w:equalWidth="0" w:num="1">
            <w:col w:w="11180"/>
          </w:cols>
          <w:pgMar w:left="320" w:top="949" w:right="399" w:bottom="1440" w:gutter="0" w:footer="0" w:header="0"/>
        </w:sectPr>
      </w:pPr>
    </w:p>
    <w:p>
      <w:pPr>
        <w:spacing w:after="0" w:line="2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shares, nominal value CHF 0.02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No.:</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H00263105</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filings is a:</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With respect to the beneficial ownership of each Reporting Person, see Items 5 through 11 of the cover pages to this Schedule 13G, which are incorporated herein by reference. These items reflect the beneficial ownership of each Reporting Person as of December 31, 2022.</w:t>
      </w:r>
    </w:p>
    <w:p>
      <w:pPr>
        <w:spacing w:after="0" w:line="124"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color w:val="auto"/>
        </w:rPr>
        <w:t>DH-Capital and OH Beteiligungen are collectively the holders of 100% of the limited partner interest in dievini and therefore, control the voting and dispositive decisions of dievini together and may be deemed to beneficially own the shares held by dievini. Dietmar Hopp, Oliver Hopp and Daniel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type w:val="continuous"/>
        </w:sectPr>
      </w:pPr>
    </w:p>
    <w:bookmarkStart w:id="12" w:name="page13"/>
    <w:bookmarkEnd w:id="12"/>
    <w:p>
      <w:pPr>
        <w:ind w:left="120"/>
        <w:spacing w:after="0"/>
        <w:tabs>
          <w:tab w:leader="none" w:pos="5420" w:val="left"/>
          <w:tab w:leader="none" w:pos="8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H00263105</w:t>
      </w:r>
      <w:r>
        <w:rPr>
          <w:sz w:val="20"/>
          <w:szCs w:val="20"/>
          <w:color w:val="auto"/>
        </w:rPr>
        <w:tab/>
      </w:r>
      <w:r>
        <w:rPr>
          <w:rFonts w:ascii="Arial" w:cs="Arial" w:eastAsia="Arial" w:hAnsi="Arial"/>
          <w:sz w:val="18"/>
          <w:szCs w:val="18"/>
          <w:color w:val="auto"/>
        </w:rPr>
        <w:t>13 G</w:t>
      </w:r>
      <w:r>
        <w:rPr>
          <w:sz w:val="20"/>
          <w:szCs w:val="20"/>
          <w:color w:val="auto"/>
        </w:rPr>
        <w:tab/>
      </w:r>
      <w:r>
        <w:rPr>
          <w:rFonts w:ascii="Arial" w:cs="Arial" w:eastAsia="Arial" w:hAnsi="Arial"/>
          <w:sz w:val="15"/>
          <w:szCs w:val="15"/>
          <w:color w:val="auto"/>
        </w:rPr>
        <w:t>Page 13 of 15 Pages</w:t>
      </w:r>
    </w:p>
    <w:p>
      <w:pPr>
        <w:sectPr>
          <w:pgSz w:w="11900" w:h="16838" w:orient="portrait"/>
          <w:cols w:equalWidth="0" w:num="1">
            <w:col w:w="11100"/>
          </w:cols>
          <w:pgMar w:left="320" w:top="949" w:right="479" w:bottom="1440" w:gutter="0" w:footer="0" w:header="0"/>
        </w:sectPr>
      </w:pPr>
    </w:p>
    <w:p>
      <w:pPr>
        <w:spacing w:after="0" w:line="2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49" w:right="47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70"/>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H00263105</w:t>
            </w:r>
          </w:p>
        </w:tc>
        <w:tc>
          <w:tcPr>
            <w:tcW w:w="22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Page 14 of 15 Pages</w:t>
            </w:r>
          </w:p>
        </w:tc>
      </w:tr>
      <w:tr>
        <w:trPr>
          <w:trHeight w:val="34"/>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10, 2023</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DIEVINI HOPP BIOTECH HOLDING GMBH &amp; CO.</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KG</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dievini Verwaltungs GmbH</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4605" cy="2603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Dr. Marc Hauser</w:t>
      </w:r>
    </w:p>
    <w:p>
      <w:pPr>
        <w:spacing w:after="0" w:line="23" w:lineRule="exact"/>
        <w:rPr>
          <w:sz w:val="20"/>
          <w:szCs w:val="20"/>
          <w:color w:val="auto"/>
        </w:rPr>
      </w:pPr>
    </w:p>
    <w:p>
      <w:pPr>
        <w:jc w:val="center"/>
        <w:ind w:left="49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DH-CAPITAL GMBH &amp; CO. KG</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DH Verwaltungs GmbH</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4605" cy="2603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Dr. Marc Hauser</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OH BETEILIGUNGEN GMBH &amp; CO. KG</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OH Verwaltungs GmbH</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4605" cy="2603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Dr. Marc Hauser</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DIETMAR HOPP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OLIVER HOPP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DANIEL HOPP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FRIEDRICH VON BOHLEN UND HALBACH</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CHRISTOF HETTICH</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MATHIAS HOTHUM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tcBorders>
          </w:tcPr>
          <w:p>
            <w:pPr>
              <w:spacing w:after="0"/>
              <w:rPr>
                <w:sz w:val="23"/>
                <w:szCs w:val="23"/>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CUSIP NO. H00263105</w:t>
            </w:r>
          </w:p>
        </w:tc>
        <w:tc>
          <w:tcPr>
            <w:tcW w:w="2140" w:type="dxa"/>
            <w:vAlign w:val="bottom"/>
            <w:tcBorders>
              <w:top w:val="single" w:sz="8" w:color="auto"/>
              <w:right w:val="single" w:sz="8" w:color="auto"/>
            </w:tcBorders>
          </w:tcPr>
          <w:p>
            <w:pPr>
              <w:spacing w:after="0"/>
              <w:rPr>
                <w:sz w:val="23"/>
                <w:szCs w:val="23"/>
                <w:color w:val="auto"/>
              </w:rPr>
            </w:pPr>
          </w:p>
        </w:tc>
        <w:tc>
          <w:tcPr>
            <w:tcW w:w="224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13 G</w:t>
            </w:r>
          </w:p>
        </w:tc>
        <w:tc>
          <w:tcPr>
            <w:tcW w:w="4480" w:type="dxa"/>
            <w:vAlign w:val="bottom"/>
            <w:tcBorders>
              <w:top w:val="single" w:sz="8" w:color="auto"/>
              <w:right w:val="single" w:sz="8" w:color="auto"/>
            </w:tcBorders>
            <w:gridSpan w:val="2"/>
          </w:tcPr>
          <w:p>
            <w:pPr>
              <w:ind w:left="1500"/>
              <w:spacing w:after="0"/>
              <w:rPr>
                <w:sz w:val="20"/>
                <w:szCs w:val="20"/>
                <w:color w:val="auto"/>
              </w:rPr>
            </w:pPr>
            <w:r>
              <w:rPr>
                <w:rFonts w:ascii="Arial" w:cs="Arial" w:eastAsia="Arial" w:hAnsi="Arial"/>
                <w:sz w:val="18"/>
                <w:szCs w:val="18"/>
                <w:color w:val="auto"/>
              </w:rPr>
              <w:t>Page 15 of 15 Pages</w:t>
            </w:r>
          </w:p>
        </w:tc>
      </w:tr>
      <w:tr>
        <w:trPr>
          <w:trHeight w:val="34"/>
        </w:trPr>
        <w:tc>
          <w:tcPr>
            <w:tcW w:w="2380" w:type="dxa"/>
            <w:vAlign w:val="bottom"/>
            <w:tcBorders>
              <w:left w:val="single" w:sz="8" w:color="auto"/>
              <w:bottom w:val="single" w:sz="8" w:color="auto"/>
            </w:tcBorders>
            <w:gridSpan w:val="2"/>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432"/>
        </w:trPr>
        <w:tc>
          <w:tcPr>
            <w:tcW w:w="23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5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r>
      <w:tr>
        <w:trPr>
          <w:trHeight w:val="176"/>
        </w:trPr>
        <w:tc>
          <w:tcPr>
            <w:tcW w:w="120" w:type="dxa"/>
            <w:vAlign w:val="bottom"/>
            <w:tcBorders>
              <w:lef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1</w:t>
            </w:r>
          </w:p>
        </w:tc>
        <w:tc>
          <w:tcPr>
            <w:tcW w:w="2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Power of Attorney</w:t>
            </w:r>
          </w:p>
        </w:tc>
        <w:tc>
          <w:tcPr>
            <w:tcW w:w="8860" w:type="dxa"/>
            <w:vAlign w:val="bottom"/>
            <w:tcBorders>
              <w:right w:val="single" w:sz="8" w:color="CCEEFF"/>
            </w:tcBorders>
            <w:gridSpan w:val="5"/>
            <w:shd w:val="clear" w:color="auto" w:fill="CCEEFF"/>
          </w:tcPr>
          <w:p>
            <w:pPr>
              <w:spacing w:after="0" w:line="17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Incorporated by reference to Exhibit 99.1 to the Schedule 13G filed by the Reporting Persons on February 14, 2017 with</w:t>
              </w:r>
            </w:hyperlink>
          </w:p>
        </w:tc>
      </w:tr>
      <w:tr>
        <w:trPr>
          <w:trHeight w:val="217"/>
        </w:trPr>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0000EE"/>
              <w:right w:val="single" w:sz="8" w:color="CCEEFF"/>
            </w:tcBorders>
            <w:gridSpan w:val="3"/>
            <w:shd w:val="clear" w:color="auto" w:fill="CCEEFF"/>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respect to the common shares of the Issuer.</w:t>
              </w:r>
            </w:hyperlink>
          </w:p>
        </w:tc>
        <w:tc>
          <w:tcPr>
            <w:tcW w:w="42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r>
      <w:tr>
        <w:trPr>
          <w:trHeight w:val="216"/>
        </w:trPr>
        <w:tc>
          <w:tcPr>
            <w:tcW w:w="1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3080" w:type="dxa"/>
            <w:vAlign w:val="bottom"/>
            <w:tcBorders>
              <w:top w:val="single" w:sz="8" w:color="0000EE"/>
            </w:tcBorders>
            <w:gridSpan w:val="2"/>
          </w:tcPr>
          <w:p>
            <w:pPr>
              <w:spacing w:after="0"/>
              <w:rPr>
                <w:sz w:val="18"/>
                <w:szCs w:val="18"/>
                <w:color w:val="auto"/>
              </w:rPr>
            </w:pPr>
          </w:p>
        </w:tc>
        <w:tc>
          <w:tcPr>
            <w:tcW w:w="558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75"/>
        </w:trPr>
        <w:tc>
          <w:tcPr>
            <w:tcW w:w="120" w:type="dxa"/>
            <w:vAlign w:val="bottom"/>
            <w:tcBorders>
              <w:lef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2</w:t>
            </w:r>
          </w:p>
        </w:tc>
        <w:tc>
          <w:tcPr>
            <w:tcW w:w="2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Joint Filing Statement</w:t>
            </w:r>
          </w:p>
        </w:tc>
        <w:tc>
          <w:tcPr>
            <w:tcW w:w="8860" w:type="dxa"/>
            <w:vAlign w:val="bottom"/>
            <w:tcBorders>
              <w:right w:val="single" w:sz="8" w:color="CCEEFF"/>
            </w:tcBorders>
            <w:gridSpan w:val="5"/>
            <w:shd w:val="clear" w:color="auto" w:fill="CCEEFF"/>
          </w:tcPr>
          <w:p>
            <w:pPr>
              <w:spacing w:after="0" w:line="17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Incorporated by reference to Exhibit 99.2 to the Schedule 13G filed by the Reporting Persons on February 14, 2017 with</w:t>
              </w:r>
            </w:hyperlink>
          </w:p>
        </w:tc>
      </w:tr>
      <w:tr>
        <w:trPr>
          <w:trHeight w:val="217"/>
        </w:trPr>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0000EE"/>
              <w:right w:val="single" w:sz="8" w:color="CCEEFF"/>
            </w:tcBorders>
            <w:gridSpan w:val="3"/>
            <w:shd w:val="clear" w:color="auto" w:fill="CCEEFF"/>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respect to the common shares of the Issuer.</w:t>
              </w:r>
            </w:hyperlink>
          </w:p>
        </w:tc>
        <w:tc>
          <w:tcPr>
            <w:tcW w:w="42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r>
      <w:tr>
        <w:trPr>
          <w:trHeight w:val="655"/>
        </w:trPr>
        <w:tc>
          <w:tcPr>
            <w:tcW w:w="120" w:type="dxa"/>
            <w:vAlign w:val="bottom"/>
            <w:tcBorders>
              <w:top w:val="single" w:sz="8" w:color="CCEEFF"/>
              <w:bottom w:val="single" w:sz="8" w:color="auto"/>
            </w:tcBorders>
          </w:tcPr>
          <w:p>
            <w:pPr>
              <w:spacing w:after="0"/>
              <w:rPr>
                <w:sz w:val="24"/>
                <w:szCs w:val="24"/>
                <w:color w:val="auto"/>
              </w:rPr>
            </w:pPr>
          </w:p>
        </w:tc>
        <w:tc>
          <w:tcPr>
            <w:tcW w:w="2260" w:type="dxa"/>
            <w:vAlign w:val="bottom"/>
            <w:tcBorders>
              <w:top w:val="single" w:sz="8" w:color="CCEEFF"/>
              <w:bottom w:val="single" w:sz="8" w:color="auto"/>
            </w:tcBorders>
          </w:tcPr>
          <w:p>
            <w:pPr>
              <w:spacing w:after="0"/>
              <w:rPr>
                <w:sz w:val="24"/>
                <w:szCs w:val="24"/>
                <w:color w:val="auto"/>
              </w:rPr>
            </w:pPr>
          </w:p>
        </w:tc>
        <w:tc>
          <w:tcPr>
            <w:tcW w:w="21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42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3"/>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5"/>
    </w:lvl>
  </w:abstractNum>
  <w:abstractNum w:abstractNumId="4">
    <w:nsid w:val="519B500D"/>
    <w:multiLevelType w:val="hybridMultilevel"/>
    <w:lvl w:ilvl="0">
      <w:lvlJc w:val="left"/>
      <w:lvlText w:val="%1."/>
      <w:numFmt w:val="decimal"/>
      <w:start w:val="9"/>
    </w:lvl>
  </w:abstractNum>
  <w:abstractNum w:abstractNumId="5">
    <w:nsid w:val="431BD7B7"/>
    <w:multiLevelType w:val="hybridMultilevel"/>
    <w:lvl w:ilvl="0">
      <w:lvlJc w:val="left"/>
      <w:lvlText w:val="%1"/>
      <w:numFmt w:val="decimal"/>
      <w:start w:val="1"/>
    </w:lvl>
    <w:lvl w:ilvl="1">
      <w:lvlJc w:val="left"/>
      <w:lvlText w:val="%2."/>
      <w:numFmt w:val="decimal"/>
      <w:start w:val="10"/>
    </w:lvl>
  </w:abstractNum>
  <w:abstractNum w:abstractNumId="6">
    <w:nsid w:val="3F2DBA31"/>
    <w:multiLevelType w:val="hybridMultilevel"/>
    <w:lvl w:ilvl="0">
      <w:lvlJc w:val="left"/>
      <w:lvlText w:val="(%1)"/>
      <w:numFmt w:val="decimal"/>
      <w:start w:val="1"/>
    </w:lvl>
    <w:lvl w:ilvl="1">
      <w:lvlJc w:val="left"/>
      <w:lvlText w:val="%2"/>
      <w:numFmt w:val="decimal"/>
      <w:start w:val="1"/>
    </w:lvl>
  </w:abstractNum>
  <w:abstractNum w:abstractNumId="7">
    <w:nsid w:val="7C83E45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5"/>
    </w:lvl>
  </w:abstractNum>
  <w:abstractNum w:abstractNumId="8">
    <w:nsid w:val="257130A3"/>
    <w:multiLevelType w:val="hybridMultilevel"/>
    <w:lvl w:ilvl="0">
      <w:lvlJc w:val="left"/>
      <w:lvlText w:val="%1"/>
      <w:numFmt w:val="decimal"/>
      <w:start w:val="1"/>
    </w:lvl>
    <w:lvl w:ilvl="1">
      <w:lvlJc w:val="left"/>
      <w:lvlText w:val="%2."/>
      <w:numFmt w:val="decimal"/>
      <w:start w:val="10"/>
    </w:lvl>
  </w:abstractNum>
  <w:abstractNum w:abstractNumId="9">
    <w:nsid w:val="62BBD95A"/>
    <w:multiLevelType w:val="hybridMultilevel"/>
    <w:lvl w:ilvl="0">
      <w:lvlJc w:val="left"/>
      <w:lvlText w:val="(%1)"/>
      <w:numFmt w:val="decimal"/>
      <w:start w:val="1"/>
    </w:lvl>
    <w:lvl w:ilvl="1">
      <w:lvlJc w:val="left"/>
      <w:lvlText w:val="%2"/>
      <w:numFmt w:val="decimal"/>
      <w:start w:val="1"/>
    </w:lvl>
  </w:abstractNum>
  <w:abstractNum w:abstractNumId="10">
    <w:nsid w:val="436C612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5"/>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5"/>
    </w:lvl>
  </w:abstractNum>
  <w:abstractNum w:abstractNumId="13">
    <w:nsid w:val="721DA317"/>
    <w:multiLevelType w:val="hybridMultilevel"/>
    <w:lvl w:ilvl="0">
      <w:lvlJc w:val="left"/>
      <w:lvlText w:val="%1"/>
      <w:numFmt w:val="decimal"/>
      <w:start w:val="1"/>
    </w:lvl>
    <w:lvl w:ilvl="1">
      <w:lvlJc w:val="left"/>
      <w:lvlText w:val="%2."/>
      <w:numFmt w:val="decimal"/>
      <w:start w:val="10"/>
    </w:lvl>
  </w:abstractNum>
  <w:abstractNum w:abstractNumId="14">
    <w:nsid w:val="2443A858"/>
    <w:multiLevelType w:val="hybridMultilevel"/>
    <w:lvl w:ilvl="0">
      <w:lvlJc w:val="left"/>
      <w:lvlText w:val="(%1)"/>
      <w:numFmt w:val="decimal"/>
      <w:start w:val="1"/>
    </w:lvl>
    <w:lvl w:ilvl="1">
      <w:lvlJc w:val="left"/>
      <w:lvlText w:val="%2"/>
      <w:numFmt w:val="decimal"/>
      <w:start w:val="1"/>
    </w:lvl>
  </w:abstractNum>
  <w:abstractNum w:abstractNumId="15">
    <w:nsid w:val="2D1D5AE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decimal"/>
      <w:start w:val="5"/>
    </w:lvl>
  </w:abstractNum>
  <w:abstractNum w:abstractNumId="16">
    <w:nsid w:val="6763845E"/>
    <w:multiLevelType w:val="hybridMultilevel"/>
    <w:lvl w:ilvl="0">
      <w:lvlJc w:val="left"/>
      <w:lvlText w:val="%1"/>
      <w:numFmt w:val="decimal"/>
      <w:start w:val="1"/>
    </w:lvl>
    <w:lvl w:ilvl="1">
      <w:lvlJc w:val="left"/>
      <w:lvlText w:val="%2."/>
      <w:numFmt w:val="decimal"/>
      <w:start w:val="10"/>
    </w:lvl>
  </w:abstractNum>
  <w:abstractNum w:abstractNumId="17">
    <w:nsid w:val="75A2A8D4"/>
    <w:multiLevelType w:val="hybridMultilevel"/>
    <w:lvl w:ilvl="0">
      <w:lvlJc w:val="left"/>
      <w:lvlText w:val="(%1)"/>
      <w:numFmt w:val="decimal"/>
      <w:start w:val="1"/>
    </w:lvl>
    <w:lvl w:ilvl="1">
      <w:lvlJc w:val="left"/>
      <w:lvlText w:val="%2"/>
      <w:numFmt w:val="decimal"/>
      <w:start w:val="1"/>
    </w:lvl>
  </w:abstractNum>
  <w:abstractNum w:abstractNumId="18">
    <w:nsid w:val="8EDBD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79838CB2"/>
    <w:multiLevelType w:val="hybridMultilevel"/>
    <w:lvl w:ilvl="0">
      <w:lvlJc w:val="left"/>
      <w:lvlText w:val="%1"/>
      <w:numFmt w:val="decimal"/>
      <w:start w:val="1"/>
    </w:lvl>
    <w:lvl w:ilvl="1">
      <w:lvlJc w:val="left"/>
      <w:lvlText w:val="%2."/>
      <w:numFmt w:val="decimal"/>
      <w:start w:val="10"/>
    </w:lvl>
  </w:abstractNum>
  <w:abstractNum w:abstractNumId="20">
    <w:nsid w:val="4353D0CD"/>
    <w:multiLevelType w:val="hybridMultilevel"/>
    <w:lvl w:ilvl="0">
      <w:lvlJc w:val="left"/>
      <w:lvlText w:val="(%1)"/>
      <w:numFmt w:val="decimal"/>
      <w:start w:val="1"/>
    </w:lvl>
    <w:lvl w:ilvl="1">
      <w:lvlJc w:val="left"/>
      <w:lvlText w:val="%2"/>
      <w:numFmt w:val="decimal"/>
      <w:start w:val="1"/>
    </w:lvl>
  </w:abstractNum>
  <w:abstractNum w:abstractNumId="21">
    <w:nsid w:val="B03E0C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2">
    <w:nsid w:val="189A769B"/>
    <w:multiLevelType w:val="hybridMultilevel"/>
    <w:lvl w:ilvl="0">
      <w:lvlJc w:val="left"/>
      <w:lvlText w:val="%1"/>
      <w:numFmt w:val="decimal"/>
      <w:start w:val="1"/>
    </w:lvl>
    <w:lvl w:ilvl="1">
      <w:lvlJc w:val="left"/>
      <w:lvlText w:val="%2."/>
      <w:numFmt w:val="decimal"/>
      <w:start w:val="10"/>
    </w:lvl>
  </w:abstractNum>
  <w:abstractNum w:abstractNumId="23">
    <w:nsid w:val="54E49EB4"/>
    <w:multiLevelType w:val="hybridMultilevel"/>
    <w:lvl w:ilvl="0">
      <w:lvlJc w:val="left"/>
      <w:lvlText w:val="(%1)"/>
      <w:numFmt w:val="decimal"/>
      <w:start w:val="1"/>
    </w:lvl>
    <w:lvl w:ilvl="1">
      <w:lvlJc w:val="left"/>
      <w:lvlText w:val="%2"/>
      <w:numFmt w:val="decimal"/>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5">
    <w:nsid w:val="2CA88611"/>
    <w:multiLevelType w:val="hybridMultilevel"/>
    <w:lvl w:ilvl="0">
      <w:lvlJc w:val="left"/>
      <w:lvlText w:val="%1"/>
      <w:numFmt w:val="decimal"/>
      <w:start w:val="1"/>
    </w:lvl>
    <w:lvl w:ilvl="1">
      <w:lvlJc w:val="left"/>
      <w:lvlText w:val="%2."/>
      <w:numFmt w:val="decimal"/>
      <w:start w:val="10"/>
    </w:lvl>
  </w:abstractNum>
  <w:abstractNum w:abstractNumId="26">
    <w:nsid w:val="836C40E"/>
    <w:multiLevelType w:val="hybridMultilevel"/>
    <w:lvl w:ilvl="0">
      <w:lvlJc w:val="left"/>
      <w:lvlText w:val="(%1)"/>
      <w:numFmt w:val="decimal"/>
      <w:start w:val="1"/>
    </w:lvl>
    <w:lvl w:ilvl="1">
      <w:lvlJc w:val="left"/>
      <w:lvlText w:val="%2"/>
      <w:numFmt w:val="decimal"/>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8">
    <w:nsid w:val="3A95F874"/>
    <w:multiLevelType w:val="hybridMultilevel"/>
    <w:lvl w:ilvl="0">
      <w:lvlJc w:val="left"/>
      <w:lvlText w:val="%1"/>
      <w:numFmt w:val="decimal"/>
      <w:start w:val="1"/>
    </w:lvl>
    <w:lvl w:ilvl="1">
      <w:lvlJc w:val="left"/>
      <w:lvlText w:val="%2."/>
      <w:numFmt w:val="decimal"/>
      <w:start w:val="10"/>
    </w:lvl>
  </w:abstractNum>
  <w:abstractNum w:abstractNumId="29">
    <w:nsid w:val="8138641"/>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hyperlink" Target="https://www.sec.gov/Archives/edgar/data/1651625/000119312517043364/d302629dex991.htm" TargetMode="External"/><Relationship Id="rId46" Type="http://schemas.openxmlformats.org/officeDocument/2006/relationships/hyperlink" Target="https://www.sec.gov/Archives/edgar/data/1651625/000119312517043364/d302629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2023-02-10T15:09:39Z</dcterms:created>
  <dcterms:modified xsi:type="dcterms:W3CDTF">2023-02-10T15:09:39Z</dcterms:modified>
</cp:coreProperties>
</file>