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439" w:hanging="494"/>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March,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2141855</wp:posOffset>
            </wp:positionH>
            <wp:positionV relativeFrom="paragraph">
              <wp:posOffset>205740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2520"/>
        <w:spacing w:after="0" w:line="207" w:lineRule="exact"/>
        <w:tabs>
          <w:tab w:leader="none" w:pos="3800" w:val="left"/>
          <w:tab w:leader="none" w:pos="5120" w:val="left"/>
          <w:tab w:leader="none" w:pos="64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6" w:lineRule="exact"/>
        <w:rPr>
          <w:sz w:val="24"/>
          <w:szCs w:val="24"/>
          <w:color w:val="auto"/>
        </w:rPr>
      </w:pPr>
    </w:p>
    <w:p>
      <w:pPr>
        <w:ind w:left="2760"/>
        <w:spacing w:after="0" w:line="207" w:lineRule="exact"/>
        <w:tabs>
          <w:tab w:leader="none" w:pos="3860" w:val="left"/>
          <w:tab w:leader="none" w:pos="5400" w:val="left"/>
          <w:tab w:leader="none" w:pos="6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6" w:lineRule="exact"/>
        <w:rPr>
          <w:sz w:val="24"/>
          <w:szCs w:val="24"/>
          <w:color w:val="auto"/>
        </w:rPr>
      </w:pPr>
    </w:p>
    <w:p>
      <w:pPr>
        <w:ind w:left="2760"/>
        <w:spacing w:after="0" w:line="207" w:lineRule="exact"/>
        <w:tabs>
          <w:tab w:leader="none" w:pos="3860" w:val="left"/>
          <w:tab w:leader="none" w:pos="5400" w:val="left"/>
          <w:tab w:leader="none" w:pos="6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318770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370205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652780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Jean-Fabien Monin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Jean-Fabien Monin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Chief Administrative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904"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38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ind w:left="42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160" w:type="dxa"/>
            <w:vAlign w:val="bottom"/>
            <w:gridSpan w:val="2"/>
          </w:tcPr>
          <w:p>
            <w:pPr>
              <w:spacing w:after="0"/>
              <w:rPr>
                <w:sz w:val="20"/>
                <w:szCs w:val="20"/>
                <w:color w:val="auto"/>
              </w:rPr>
            </w:pPr>
            <w:r>
              <w:rPr>
                <w:rFonts w:ascii="Arial" w:cs="Arial" w:eastAsia="Arial" w:hAnsi="Arial"/>
                <w:sz w:val="18"/>
                <w:szCs w:val="18"/>
                <w:color w:val="auto"/>
              </w:rPr>
              <w:t>Press Release dated March 17, 2017</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9780" w:type="dxa"/>
            <w:vAlign w:val="bottom"/>
          </w:tcPr>
          <w:p>
            <w:pPr>
              <w:ind w:left="20"/>
              <w:spacing w:after="0"/>
              <w:rPr>
                <w:sz w:val="20"/>
                <w:szCs w:val="20"/>
                <w:color w:val="auto"/>
              </w:rPr>
            </w:pPr>
            <w:r>
              <w:rPr>
                <w:rFonts w:ascii="Arial" w:cs="Arial" w:eastAsia="Arial" w:hAnsi="Arial"/>
                <w:sz w:val="18"/>
                <w:szCs w:val="18"/>
                <w:color w:val="auto"/>
              </w:rPr>
              <w:t>Statutory Annual Report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9780" w:type="dxa"/>
            <w:vAlign w:val="bottom"/>
          </w:tcPr>
          <w:p>
            <w:pPr>
              <w:ind w:left="20"/>
              <w:spacing w:after="0"/>
              <w:rPr>
                <w:sz w:val="20"/>
                <w:szCs w:val="20"/>
                <w:color w:val="auto"/>
              </w:rPr>
            </w:pPr>
            <w:r>
              <w:rPr>
                <w:rFonts w:ascii="Arial" w:cs="Arial" w:eastAsia="Arial" w:hAnsi="Arial"/>
                <w:sz w:val="18"/>
                <w:szCs w:val="18"/>
                <w:color w:val="auto"/>
              </w:rPr>
              <w:t>Compensation Report</w:t>
            </w:r>
          </w:p>
        </w:tc>
      </w:tr>
      <w:tr>
        <w:trPr>
          <w:trHeight w:val="419"/>
        </w:trPr>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151765</wp:posOffset>
            </wp:positionV>
            <wp:extent cx="168973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REPORTS FULL YEAR 2016 FINANCIAL RESULTS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R&amp;D UPDATE</w:t>
      </w:r>
    </w:p>
    <w:p>
      <w:pPr>
        <w:spacing w:after="0" w:line="176" w:lineRule="exact"/>
        <w:rPr>
          <w:sz w:val="20"/>
          <w:szCs w:val="20"/>
          <w:color w:val="auto"/>
        </w:rPr>
      </w:pPr>
    </w:p>
    <w:p>
      <w:pPr>
        <w:ind w:left="260" w:right="20" w:hanging="252"/>
        <w:spacing w:after="0" w:line="266" w:lineRule="auto"/>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Strong cash position of CHF 152.2 million provides resources to advance pipeline of seven therapeutic and three diagnostic candidates</w:t>
      </w: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Successful IPO on NASDAQ raised net proceeds of CHF 69.4 million</w:t>
      </w:r>
    </w:p>
    <w:p>
      <w:pPr>
        <w:spacing w:after="0" w:line="63"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Important data on crenezumab supporting 60mg/kg dose in partner Genentech’s CREAD Phase 3 trial for Alzheimer’s disease</w:t>
      </w:r>
    </w:p>
    <w:p>
      <w:pPr>
        <w:spacing w:after="0" w:line="63"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Phase 1 clinical trial of anti-Tau antibody program started by partner Genentech</w:t>
      </w:r>
    </w:p>
    <w:p>
      <w:pPr>
        <w:spacing w:after="0" w:line="63"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Entered R&amp;D collaboration in neurodegenerative diseases with Biogen</w:t>
      </w:r>
    </w:p>
    <w:p>
      <w:pPr>
        <w:spacing w:after="0" w:line="63" w:lineRule="exact"/>
        <w:rPr>
          <w:rFonts w:ascii="Arial" w:cs="Arial" w:eastAsia="Arial" w:hAnsi="Arial"/>
          <w:sz w:val="18"/>
          <w:szCs w:val="18"/>
          <w:color w:val="C00000"/>
        </w:rPr>
      </w:pPr>
    </w:p>
    <w:p>
      <w:pPr>
        <w:ind w:left="260" w:hanging="252"/>
        <w:spacing w:after="0"/>
        <w:tabs>
          <w:tab w:leader="none" w:pos="260" w:val="left"/>
        </w:tabs>
        <w:numPr>
          <w:ilvl w:val="0"/>
          <w:numId w:val="1"/>
        </w:numPr>
        <w:rPr>
          <w:rFonts w:ascii="Arial" w:cs="Arial" w:eastAsia="Arial" w:hAnsi="Arial"/>
          <w:sz w:val="18"/>
          <w:szCs w:val="18"/>
          <w:color w:val="C00000"/>
        </w:rPr>
      </w:pPr>
      <w:r>
        <w:rPr>
          <w:rFonts w:ascii="Arial" w:cs="Arial" w:eastAsia="Arial" w:hAnsi="Arial"/>
          <w:sz w:val="18"/>
          <w:szCs w:val="18"/>
          <w:b w:val="1"/>
          <w:bCs w:val="1"/>
          <w:color w:val="auto"/>
        </w:rPr>
        <w:t>Started Phase 1 clinical trial of anti-Abeta vaccine ACI-24 in people with Down syndrome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March 17, 2017 </w:t>
      </w:r>
      <w:r>
        <w:rPr>
          <w:rFonts w:ascii="Arial" w:cs="Arial" w:eastAsia="Arial" w:hAnsi="Arial"/>
          <w:sz w:val="18"/>
          <w:szCs w:val="18"/>
          <w:color w:val="auto"/>
        </w:rPr>
        <w:t>– AC Immune SA (NASDAQ: ACIU), a Swiss-based,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neurodegenerative diseases, today announced financial results for the full year ended December 31, 2016. In addition, the company provided highlights of its R&amp;D achievements in 2016.</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Prof. Andrea Pfeifer, CEO of AC Immune, commented: </w:t>
      </w:r>
      <w:r>
        <w:rPr>
          <w:rFonts w:ascii="Arial" w:cs="Arial" w:eastAsia="Arial" w:hAnsi="Arial"/>
          <w:sz w:val="18"/>
          <w:szCs w:val="18"/>
          <w:color w:val="auto"/>
        </w:rPr>
        <w:t>“AC Immune had an exceptional 2016, highlighted by our successful IPO on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giving us the financial resources to support our next growth phase. There was important progress made in several of our programs, such as our partnership with Genentech on crenezumab in Phase 3 and with the anti-Tau antibody in Phase 1. We entered a new broad diagnostic collaboration with Biogen, and started our own Phase 1 trial vaccine in people with Down syndrome. I am convinced that our world-leading science, strong partnerships and new financial backing, puts AC Immune in the fore-front of life science companies tackling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Financial Data – (IFRS in CHF million, except for share and per share data)</w:t>
      </w:r>
      <w:r>
        <w:rPr>
          <w:rFonts w:ascii="Arial" w:cs="Arial" w:eastAsia="Arial" w:hAnsi="Arial"/>
          <w:sz w:val="30"/>
          <w:szCs w:val="30"/>
          <w:b w:val="1"/>
          <w:bCs w:val="1"/>
          <w:u w:val="single" w:color="auto"/>
          <w:color w:val="auto"/>
          <w:vertAlign w:val="superscript"/>
        </w:rPr>
        <w:t>1</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1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432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r>
      <w:tr>
        <w:trPr>
          <w:trHeight w:val="250"/>
        </w:trPr>
        <w:tc>
          <w:tcPr>
            <w:tcW w:w="7100" w:type="dxa"/>
            <w:vAlign w:val="bottom"/>
            <w:tcBorders>
              <w:left w:val="single" w:sz="8" w:color="auto"/>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2015</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revenues</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 expenses</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G&amp;A expenses</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 (loss) for the period</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Basic EPS/CHF</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EPS/CHF</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Weighted-average no of shares basic</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50,096,859</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43,412,250</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Weighted-average no of shares fully diluted</w:t>
            </w:r>
          </w:p>
        </w:tc>
        <w:tc>
          <w:tcPr>
            <w:tcW w:w="134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50,096,859</w:t>
            </w: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46,043,198</w:t>
            </w:r>
          </w:p>
        </w:tc>
      </w:tr>
    </w:tbl>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00" w:type="dxa"/>
            <w:vAlign w:val="bottom"/>
            <w:tcBorders>
              <w:top w:val="single" w:sz="8" w:color="auto"/>
              <w:left w:val="single" w:sz="8" w:color="auto"/>
              <w:right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As of</w:t>
            </w:r>
          </w:p>
        </w:tc>
        <w:tc>
          <w:tcPr>
            <w:tcW w:w="1760" w:type="dxa"/>
            <w:vAlign w:val="bottom"/>
            <w:tcBorders>
              <w:top w:val="single" w:sz="8" w:color="auto"/>
              <w:right w:val="single" w:sz="8" w:color="auto"/>
            </w:tcBorders>
          </w:tcPr>
          <w:p>
            <w:pPr>
              <w:spacing w:after="0"/>
              <w:rPr>
                <w:sz w:val="22"/>
                <w:szCs w:val="22"/>
                <w:color w:val="auto"/>
              </w:rPr>
            </w:pPr>
          </w:p>
        </w:tc>
      </w:tr>
      <w:tr>
        <w:trPr>
          <w:trHeight w:val="264"/>
        </w:trPr>
        <w:tc>
          <w:tcPr>
            <w:tcW w:w="7100" w:type="dxa"/>
            <w:vAlign w:val="bottom"/>
            <w:tcBorders>
              <w:left w:val="single" w:sz="8" w:color="auto"/>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Dec 31, 2016</w:t>
            </w:r>
          </w:p>
        </w:tc>
        <w:tc>
          <w:tcPr>
            <w:tcW w:w="54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 31, 2015</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17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17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50"/>
        </w:trPr>
        <w:tc>
          <w:tcPr>
            <w:tcW w:w="7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7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71.0</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09"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This summary table should be read in conjunction with our financial statements included in our Annual Report on Form 20-F for the year ended December 31, 2016, including the accompanying notes which form an integral part of the financial statements. These financial statements are available on our website under the tab labelled “Investors - Financial Information”.</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Revenues</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revenues experience significant fluctuations as a result of securing new collaboration agreements, the timing of milestone achievements and the size of each milestone payment.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 Immune generated revenues of CHF 23.2 million in the twelve months ended December 31, 2016, compared to CHF 39.1 million in the same period 2015.</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Revenues in 2016 resulted primarily from the recognition of a CHF 4.9 million clinical milestone payment and CHF 1.5 million recognized for research contributions received related to ACI-35 pursuant to our collaboration agreement with Janssen, the recognition of a CHF 14 million clinical milestone payment for the commencement of phase 1 clinical studies for our anti-Tau antibody candidate under collaboration with Genentech, the recognition of an approximately CHF 1.0 million share of the Biogen upfront payment received in April 2016 that we are recognizing over a twelve-month period and a CHF 1.1 million research contribution payments related to the Biogen collaboration.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2015, we recognized revenue from two collaboration agreements, including a $25 million milestone (CHF 24.3 million) payment related to our collaboration with Genentech for crenezumab and a CHF 14 million milestone payment associated with the Genentech collaboration agreement for our anti-Tau antibody candidate.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full year ended December 31, 2016, the Company incurred R&amp;D expenses of CHF 25.8 million compared with CHF 17.1 million in fiscal 2015. This increase is primarily attributable to the increased spending on ACI-35, our two ACI-24 programs, new discovery areas and the alpha-synuclein and TDP-43 PET imaging programs. The R&amp;D investment reflects the growth of the Company's research and development organization to accelerate the development of its proprietary and partnered pipeline candidates, which we believe will help us maintain a scientific leadership position in neurodegenerative diseases.</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G&amp;A expenses amounted to CHF 7.9 million in the twelve months ended December 31, 2016, compared with CHF 3.4 million in the same period in 2015. The increase in G&amp;A expenses is largely related to higher professional service costs, such as legal costs, associated with the Company becoming a public company, as well as remuneration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 (loss) for the period</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twelve months ended December 31, 2016, AC Immune had a net loss of CHF 7.1 million compared with a profit of CHF 20.3 million in the twelve months period ended December 31, 2015. The decline in profitability is mostly attributable to the decline in revenues and increased R&amp;D and G&amp;A expenses outlined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at December 31, 2016, AC Immune had total cash of CHF 152.2 million which includes CHF 69.4 million in net proceeds, prior to transaction costs, received from the sale of 6.9 million shares at $11.00 per share in the Company’s IPO on the NASDAQ in September 2016. Earlier in 2016, the Company also completed its Financing Round E which raised CHF 42.7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total shareholders’ equity increased to CHF 142.4 million as at December 31, 2016, reflecting the issuance of new shares for the IPO.</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31, 2016 the Company had approximately 56.8 million common shares outstanding, which includes the issuance of 6.9 million common shares as part of the September IPO.</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 more detailed review of our financial performance, please refer to “Item 5. Operating and Financial Review and Prospects” in our Annual Report on Form 20-F filed today with the U.S. Securities and Exchange Commission and on our website under the tab labelled “Investors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2016 Highlights of R&amp;D Programs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 – anti-Abeta antibody for Alzheimer’s disease (AD</w:t>
      </w:r>
      <w:r>
        <w:rPr>
          <w:rFonts w:ascii="Arial" w:cs="Arial" w:eastAsia="Arial" w:hAnsi="Arial"/>
          <w:sz w:val="18"/>
          <w:szCs w:val="18"/>
          <w:color w:val="auto"/>
        </w:rPr>
        <w:t>)</w:t>
      </w:r>
      <w:r>
        <w:rPr>
          <w:rFonts w:ascii="Arial" w:cs="Arial" w:eastAsia="Arial" w:hAnsi="Arial"/>
          <w:sz w:val="18"/>
          <w:szCs w:val="18"/>
          <w:b w:val="1"/>
          <w:bCs w:val="1"/>
          <w:color w:val="auto"/>
        </w:rPr>
        <w:t xml:space="preserve"> partnered with Genentech in Phase 3</w:t>
      </w:r>
    </w:p>
    <w:p>
      <w:pPr>
        <w:spacing w:after="0" w:line="72" w:lineRule="exact"/>
        <w:rPr>
          <w:sz w:val="20"/>
          <w:szCs w:val="20"/>
          <w:color w:val="auto"/>
        </w:rPr>
      </w:pPr>
    </w:p>
    <w:p>
      <w:pPr>
        <w:ind w:left="260" w:hanging="252"/>
        <w:spacing w:after="0" w:line="246"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Clinical Trials on Alzheimer’s Disease (CTAD) meeting our partner Genentech presented results from a Phase 1b dose-escalation study and an exposure-response model, which support the 60mg/kg dose in CREAD Phase 3.</w:t>
      </w:r>
    </w:p>
    <w:p>
      <w:pPr>
        <w:spacing w:after="0" w:line="34"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Scientific publication in Cell Reports describing the crystal structure of crenezumab targeting Abeta oligomers, the most toxic type of Abeta.</w:t>
      </w:r>
    </w:p>
    <w:p>
      <w:pPr>
        <w:spacing w:after="0" w:line="9"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CREAD Phase 3 trial to be started by partner Genentech with 750 patients with prodromal or mild Alzheimer’s disease (announced February 28, 2017).</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ACI-24 – anti-Abeta vaccine for AD in Phase 1/2a</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Phase 1/2a clinical study to evaluate safety, tolerability, immunogenicity and biomarker endpoints in patients with mild to moderate AD is ongoing in Europe. An interim analysis of the first three doses (cohort 1-3) revealed positive safety and tolerability. The study was not powered to examine efficacy but a trend towards reduction in the accumulation of brain amyloid measured by PET imaging was observed in cohort 3. A similar pattern of reduction of clinical decline assessed by the Clinical Dementia Rating Scale Sum of Boxes (CDR-SB) was observed in cohort 3 compared to placebo at week 52 although this did not reach statistical significance. After further analysis of the results including the ongoing cohort 4, a decision for the design of a potential next clinical trial will be made in the next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 anti-Abeta vaccine in people with Down Syndrome in Phase 1</w:t>
      </w:r>
    </w:p>
    <w:p>
      <w:pPr>
        <w:spacing w:after="0" w:line="18" w:lineRule="exact"/>
        <w:rPr>
          <w:sz w:val="20"/>
          <w:szCs w:val="20"/>
          <w:color w:val="auto"/>
        </w:rPr>
      </w:pPr>
    </w:p>
    <w:p>
      <w:pPr>
        <w:ind w:left="260" w:hanging="252"/>
        <w:spacing w:after="0" w:line="246"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First-ever clinical trial of an anti-Abeta vaccine in people with Down syndrome started in collaboration with University of California San Diego.</w:t>
      </w:r>
    </w:p>
    <w:p>
      <w:pPr>
        <w:spacing w:after="0" w:line="183" w:lineRule="exact"/>
        <w:rPr>
          <w:rFonts w:ascii="Arial" w:cs="Arial" w:eastAsia="Arial" w:hAnsi="Arial"/>
          <w:sz w:val="18"/>
          <w:szCs w:val="18"/>
          <w:color w:val="auto"/>
        </w:rPr>
      </w:pPr>
    </w:p>
    <w:p>
      <w:pPr>
        <w:ind w:left="260" w:hanging="252"/>
        <w:spacing w:after="0" w:line="246"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publication shows encouraging data on brain Abeta reduction and memory enhancement of our anti-Abeta vaccine in a pre-clinical model for people with Down syndrome.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 – anti-Tau vaccine for AD partnered with Janssen Pharmaceuticals in Phase 1</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Phase 1b clinical study to evaluate the safety, tolerability and immunogenicity of ACI-35 in patients with mild to moderate AD is ongoing in Finland and the United Kingdom. The study includes five cohorts with escalating doses and different dosing schedules. To date, safety and tolerability is considered satisfactory as assessed by the Data Safety Monitoring Board. An interim analysis showed a dose-dependent and target-specific antibody response to pTau. Further results, which we expect to have completed in the second half of fiscal 2017, will be the basis for the program’s future development. Janssen is expected to assume responsibility for the clinical development of Phase 2 and beyond, as well as the regulatory approval, manufacturing and commercialization of ACI-35.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Tau-PET imaging agent – AD diagnostic partnered with Piramal</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commenced a Phase 1 clinical study of our Tau-PET imaging agent in the fourth quarter of fiscal year 2016 under a collaboration agreement with Piramal Imaging.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R&amp;D Collaboration with Biogen</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entered into a new R&amp;D collaboration with Biogen to develop PET-ligands for two protein targets involved in the pathogenesis of neurodegenerative diseases - alpha-synuclein and TDP43.</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Prof. Andrea Pfeifer</w:t>
            </w:r>
          </w:p>
        </w:tc>
        <w:tc>
          <w:tcPr>
            <w:tcW w:w="6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Eva Schier</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Chief Executive Officer</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Corporate Communications Manager</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Phone: +41-21-345 91 21</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Phone: +41-21-345 91 34</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E-mail:andrea.pfeifer@acimmune.com</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Mobile: +41 79 926 66 03</w:t>
            </w:r>
          </w:p>
        </w:tc>
      </w:tr>
      <w:tr>
        <w:trPr>
          <w:trHeight w:val="217"/>
        </w:trPr>
        <w:tc>
          <w:tcPr>
            <w:tcW w:w="4600" w:type="dxa"/>
            <w:vAlign w:val="bottom"/>
            <w:tcBorders>
              <w:left w:val="single" w:sz="8" w:color="auto"/>
              <w:right w:val="single" w:sz="8" w:color="auto"/>
            </w:tcBorders>
          </w:tcPr>
          <w:p>
            <w:pPr>
              <w:spacing w:after="0"/>
              <w:rPr>
                <w:sz w:val="18"/>
                <w:szCs w:val="18"/>
                <w:color w:val="auto"/>
              </w:rPr>
            </w:pPr>
          </w:p>
        </w:tc>
        <w:tc>
          <w:tcPr>
            <w:tcW w:w="6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eva.schier@acimmune.com</w:t>
            </w:r>
          </w:p>
        </w:tc>
      </w:tr>
      <w:tr>
        <w:trPr>
          <w:trHeight w:val="54"/>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6820" w:type="dxa"/>
            <w:vAlign w:val="bottom"/>
            <w:tcBorders>
              <w:bottom w:val="single" w:sz="8" w:color="auto"/>
              <w:right w:val="single" w:sz="8" w:color="auto"/>
            </w:tcBorders>
          </w:tcPr>
          <w:p>
            <w:pPr>
              <w:spacing w:after="0"/>
              <w:rPr>
                <w:sz w:val="4"/>
                <w:szCs w:val="4"/>
                <w:color w:val="auto"/>
              </w:rPr>
            </w:pPr>
          </w:p>
        </w:tc>
      </w:tr>
      <w:tr>
        <w:trPr>
          <w:trHeight w:val="263"/>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Nick Miles/ Toomas Kull</w:t>
            </w:r>
          </w:p>
        </w:tc>
        <w:tc>
          <w:tcPr>
            <w:tcW w:w="68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Cabinet Privé de Conseils</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Ted Agne</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Phone : +41 22 321 45 40</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The Communications Strategy Group Inc.</w:t>
            </w:r>
          </w:p>
        </w:tc>
      </w:tr>
      <w:tr>
        <w:trPr>
          <w:trHeight w:val="203"/>
        </w:trPr>
        <w:tc>
          <w:tcPr>
            <w:tcW w:w="460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E-mail : miles@cpc-pr.com</w:t>
            </w:r>
          </w:p>
        </w:tc>
        <w:tc>
          <w:tcPr>
            <w:tcW w:w="68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Phone: +1 781 631 3117</w:t>
            </w:r>
          </w:p>
        </w:tc>
      </w:tr>
      <w:tr>
        <w:trPr>
          <w:trHeight w:val="217"/>
        </w:trPr>
        <w:tc>
          <w:tcPr>
            <w:tcW w:w="460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kull@cpc-pr.com</w:t>
            </w:r>
          </w:p>
        </w:tc>
        <w:tc>
          <w:tcPr>
            <w:tcW w:w="6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edagne@comstratgroup.com</w:t>
            </w:r>
          </w:p>
        </w:tc>
      </w:tr>
      <w:tr>
        <w:trPr>
          <w:trHeight w:val="54"/>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68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ind w:left="9100"/>
        <w:spacing w:after="0"/>
        <w:rPr>
          <w:sz w:val="20"/>
          <w:szCs w:val="20"/>
          <w:color w:val="auto"/>
        </w:rPr>
      </w:pPr>
      <w:r>
        <w:rPr>
          <w:rFonts w:ascii="Arial" w:cs="Arial" w:eastAsia="Arial" w:hAnsi="Arial"/>
          <w:sz w:val="21"/>
          <w:szCs w:val="2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5080</wp:posOffset>
            </wp:positionV>
            <wp:extent cx="2512695"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26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left="2200"/>
        <w:spacing w:after="0" w:line="274" w:lineRule="auto"/>
        <w:rPr>
          <w:sz w:val="20"/>
          <w:szCs w:val="20"/>
          <w:color w:val="auto"/>
        </w:rPr>
      </w:pPr>
      <w:r>
        <w:rPr>
          <w:rFonts w:ascii="Arial" w:cs="Arial" w:eastAsia="Arial" w:hAnsi="Arial"/>
          <w:sz w:val="40"/>
          <w:szCs w:val="40"/>
          <w:b w:val="1"/>
          <w:bCs w:val="1"/>
          <w:color w:val="auto"/>
        </w:rPr>
        <w:t>Statutory Financial Statements (Swiss CO) 1 January – 31 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-55245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3380" w:type="dxa"/>
        <w:tblCellMar>
          <w:top w:w="0" w:type="dxa"/>
          <w:left w:w="0" w:type="dxa"/>
          <w:bottom w:w="0" w:type="dxa"/>
          <w:right w:w="0" w:type="dxa"/>
        </w:tblCellMar>
      </w:tblPr>
      <w:tr>
        <w:trPr>
          <w:trHeight w:val="297"/>
        </w:trPr>
        <w:tc>
          <w:tcPr>
            <w:tcW w:w="5380" w:type="dxa"/>
            <w:vAlign w:val="bottom"/>
          </w:tcPr>
          <w:p>
            <w:pPr>
              <w:spacing w:after="0"/>
              <w:rPr>
                <w:sz w:val="20"/>
                <w:szCs w:val="20"/>
                <w:color w:val="auto"/>
              </w:rPr>
            </w:pPr>
            <w:r>
              <w:rPr>
                <w:rFonts w:ascii="Arial" w:cs="Arial" w:eastAsia="Arial" w:hAnsi="Arial"/>
                <w:sz w:val="25"/>
                <w:szCs w:val="25"/>
                <w:b w:val="1"/>
                <w:bCs w:val="1"/>
                <w:color w:val="auto"/>
              </w:rPr>
              <w:t>Financial Statements</w:t>
            </w:r>
          </w:p>
        </w:tc>
        <w:tc>
          <w:tcPr>
            <w:tcW w:w="1460" w:type="dxa"/>
            <w:vAlign w:val="bottom"/>
          </w:tcPr>
          <w:p>
            <w:pPr>
              <w:jc w:val="right"/>
              <w:spacing w:after="0"/>
              <w:rPr>
                <w:sz w:val="20"/>
                <w:szCs w:val="20"/>
                <w:color w:val="auto"/>
              </w:rPr>
            </w:pPr>
            <w:r>
              <w:rPr>
                <w:rFonts w:ascii="Arial" w:cs="Arial" w:eastAsia="Arial" w:hAnsi="Arial"/>
                <w:sz w:val="25"/>
                <w:szCs w:val="25"/>
                <w:b w:val="1"/>
                <w:bCs w:val="1"/>
                <w:color w:val="auto"/>
              </w:rPr>
              <w:t>2</w:t>
            </w:r>
          </w:p>
        </w:tc>
      </w:tr>
      <w:tr>
        <w:trPr>
          <w:trHeight w:val="336"/>
        </w:trPr>
        <w:tc>
          <w:tcPr>
            <w:tcW w:w="5380" w:type="dxa"/>
            <w:vAlign w:val="bottom"/>
          </w:tcPr>
          <w:p>
            <w:pPr>
              <w:spacing w:after="0"/>
              <w:rPr>
                <w:sz w:val="20"/>
                <w:szCs w:val="20"/>
                <w:color w:val="auto"/>
              </w:rPr>
            </w:pPr>
            <w:r>
              <w:rPr>
                <w:rFonts w:ascii="Arial" w:cs="Arial" w:eastAsia="Arial" w:hAnsi="Arial"/>
                <w:sz w:val="25"/>
                <w:szCs w:val="25"/>
                <w:b w:val="1"/>
                <w:bCs w:val="1"/>
                <w:color w:val="auto"/>
              </w:rPr>
              <w:t>Notes to the Financial Statements</w:t>
            </w:r>
          </w:p>
        </w:tc>
        <w:tc>
          <w:tcPr>
            <w:tcW w:w="1460" w:type="dxa"/>
            <w:vAlign w:val="bottom"/>
          </w:tcPr>
          <w:p>
            <w:pPr>
              <w:jc w:val="right"/>
              <w:spacing w:after="0"/>
              <w:rPr>
                <w:sz w:val="20"/>
                <w:szCs w:val="20"/>
                <w:color w:val="auto"/>
              </w:rPr>
            </w:pPr>
            <w:r>
              <w:rPr>
                <w:rFonts w:ascii="Arial" w:cs="Arial" w:eastAsia="Arial" w:hAnsi="Arial"/>
                <w:sz w:val="25"/>
                <w:szCs w:val="25"/>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AC Immune SA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EPFL Innovation Park</w:t>
      </w:r>
    </w:p>
    <w:p>
      <w:pPr>
        <w:jc w:val="right"/>
        <w:spacing w:after="0"/>
        <w:rPr>
          <w:sz w:val="20"/>
          <w:szCs w:val="20"/>
          <w:color w:val="auto"/>
        </w:rPr>
      </w:pPr>
      <w:r>
        <w:rPr>
          <w:rFonts w:ascii="Arial" w:cs="Arial" w:eastAsia="Arial" w:hAnsi="Arial"/>
          <w:sz w:val="18"/>
          <w:szCs w:val="18"/>
          <w:b w:val="1"/>
          <w:bCs w:val="1"/>
          <w:color w:val="auto"/>
        </w:rPr>
        <w:t>1015 Lausanne / Ecublens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Switzerlan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208915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4" w:right="239" w:bottom="1440" w:gutter="0" w:footer="0" w:header="0"/>
        </w:sectPr>
      </w:pPr>
    </w:p>
    <w:bookmarkStart w:id="9" w:name="page10"/>
    <w:bookmarkEnd w:id="9"/>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11835" cy="831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1835" cy="83185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4"/>
          <w:szCs w:val="14"/>
          <w:color w:val="808080"/>
        </w:rPr>
        <w:t>Ernst &amp; Young Ltd</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4"/>
          <w:szCs w:val="14"/>
          <w:color w:val="808080"/>
        </w:rPr>
        <w:t>Rue de Chancey 59</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4"/>
          <w:szCs w:val="14"/>
          <w:color w:val="808080"/>
        </w:rPr>
        <w:t>P.O. Box</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4"/>
          <w:szCs w:val="14"/>
          <w:color w:val="808080"/>
        </w:rPr>
        <w:t>CH-1213 Lancy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808080"/>
        </w:rPr>
        <w:t>Phone</w:t>
        <w:tab/>
        <w:t>+41 58 286 86 86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-868045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500" w:val="left"/>
        </w:tabs>
        <w:rPr>
          <w:sz w:val="20"/>
          <w:szCs w:val="20"/>
          <w:color w:val="auto"/>
        </w:rPr>
      </w:pPr>
      <w:r>
        <w:rPr>
          <w:rFonts w:ascii="Arial" w:cs="Arial" w:eastAsia="Arial" w:hAnsi="Arial"/>
          <w:sz w:val="14"/>
          <w:szCs w:val="14"/>
          <w:color w:val="808080"/>
        </w:rPr>
        <w:t>Fax</w:t>
      </w:r>
      <w:r>
        <w:rPr>
          <w:sz w:val="20"/>
          <w:szCs w:val="20"/>
          <w:color w:val="auto"/>
        </w:rPr>
        <w:tab/>
      </w:r>
      <w:r>
        <w:rPr>
          <w:rFonts w:ascii="Arial" w:cs="Arial" w:eastAsia="Arial" w:hAnsi="Arial"/>
          <w:sz w:val="14"/>
          <w:szCs w:val="14"/>
          <w:color w:val="808080"/>
        </w:rPr>
        <w:t>+41 58 286 86 00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808080"/>
        </w:rPr>
        <w:t>www.ey.com/ch</w:t>
      </w:r>
    </w:p>
    <w:p>
      <w:pPr>
        <w:spacing w:after="0" w:line="200" w:lineRule="exact"/>
        <w:rPr>
          <w:sz w:val="20"/>
          <w:szCs w:val="20"/>
          <w:color w:val="auto"/>
        </w:rPr>
      </w:pPr>
    </w:p>
    <w:p>
      <w:pPr>
        <w:sectPr>
          <w:pgSz w:w="11900" w:h="16838" w:orient="portrait"/>
          <w:cols w:equalWidth="0" w:num="2">
            <w:col w:w="5560" w:space="720"/>
            <w:col w:w="5060"/>
          </w:cols>
          <w:pgMar w:left="240" w:top="1440" w:right="31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the General Meeting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 Immune SA, Ecublens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Lancy, 17 March 2017</w:t>
      </w:r>
    </w:p>
    <w:p>
      <w:pPr>
        <w:spacing w:after="0" w:line="402" w:lineRule="exact"/>
        <w:rPr>
          <w:sz w:val="20"/>
          <w:szCs w:val="20"/>
          <w:color w:val="auto"/>
        </w:rPr>
      </w:pPr>
    </w:p>
    <w:p>
      <w:pPr>
        <w:sectPr>
          <w:pgSz w:w="11900" w:h="16838" w:orient="portrait"/>
          <w:cols w:equalWidth="0" w:num="2">
            <w:col w:w="7060" w:space="720"/>
            <w:col w:w="3560"/>
          </w:cols>
          <w:pgMar w:left="240" w:top="1440" w:right="31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Report of the statutory auditor on the financial statements</w:t>
      </w:r>
    </w:p>
    <w:p>
      <w:pPr>
        <w:spacing w:after="0" w:line="272" w:lineRule="exact"/>
        <w:rPr>
          <w:sz w:val="20"/>
          <w:szCs w:val="20"/>
          <w:color w:val="auto"/>
        </w:rPr>
      </w:pPr>
    </w:p>
    <w:p>
      <w:pPr>
        <w:ind w:left="1640" w:right="460"/>
        <w:spacing w:after="0" w:line="246"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2016.</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61722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 cy="437515"/>
                    </a:xfrm>
                    <a:prstGeom prst="rect">
                      <a:avLst/>
                    </a:prstGeom>
                    <a:noFill/>
                  </pic:spPr>
                </pic:pic>
              </a:graphicData>
            </a:graphic>
          </wp:anchor>
        </w:drawing>
      </w:r>
    </w:p>
    <w:p>
      <w:pPr>
        <w:spacing w:after="0" w:line="200" w:lineRule="exact"/>
        <w:rPr>
          <w:sz w:val="20"/>
          <w:szCs w:val="20"/>
          <w:color w:val="auto"/>
        </w:rPr>
      </w:pPr>
    </w:p>
    <w:p>
      <w:pPr>
        <w:ind w:left="1640" w:right="140"/>
        <w:spacing w:after="0" w:line="255" w:lineRule="auto"/>
        <w:rPr>
          <w:sz w:val="20"/>
          <w:szCs w:val="20"/>
          <w:color w:val="auto"/>
        </w:rPr>
      </w:pPr>
      <w:r>
        <w:rPr>
          <w:rFonts w:ascii="Arial" w:cs="Arial" w:eastAsia="Arial" w:hAnsi="Arial"/>
          <w:sz w:val="17"/>
          <w:szCs w:val="17"/>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565785" cy="702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 cy="702945"/>
                    </a:xfrm>
                    <a:prstGeom prst="rect">
                      <a:avLst/>
                    </a:prstGeom>
                    <a:noFill/>
                  </pic:spPr>
                </pic:pic>
              </a:graphicData>
            </a:graphic>
          </wp:anchor>
        </w:drawing>
      </w:r>
    </w:p>
    <w:p>
      <w:pPr>
        <w:spacing w:after="0" w:line="200" w:lineRule="exact"/>
        <w:rPr>
          <w:sz w:val="20"/>
          <w:szCs w:val="20"/>
          <w:color w:val="auto"/>
        </w:rPr>
      </w:pPr>
    </w:p>
    <w:p>
      <w:pPr>
        <w:ind w:left="1640" w:right="80"/>
        <w:spacing w:after="0"/>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89" w:lineRule="exact"/>
        <w:rPr>
          <w:sz w:val="20"/>
          <w:szCs w:val="20"/>
          <w:color w:val="auto"/>
        </w:rPr>
      </w:pPr>
    </w:p>
    <w:p>
      <w:pPr>
        <w:ind w:left="164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226"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514350"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462915"/>
                    </a:xfrm>
                    <a:prstGeom prst="rect">
                      <a:avLst/>
                    </a:prstGeom>
                    <a:noFill/>
                  </pic:spPr>
                </pic:pic>
              </a:graphicData>
            </a:graphic>
          </wp:anchor>
        </w:drawing>
      </w:r>
    </w:p>
    <w:p>
      <w:pPr>
        <w:spacing w:after="0" w:line="200" w:lineRule="exact"/>
        <w:rPr>
          <w:sz w:val="20"/>
          <w:szCs w:val="20"/>
          <w:color w:val="auto"/>
        </w:rPr>
      </w:pPr>
    </w:p>
    <w:p>
      <w:pPr>
        <w:ind w:left="1640" w:right="140"/>
        <w:spacing w:after="0" w:line="246" w:lineRule="auto"/>
        <w:rPr>
          <w:sz w:val="20"/>
          <w:szCs w:val="20"/>
          <w:color w:val="auto"/>
        </w:rPr>
      </w:pPr>
      <w:r>
        <w:rPr>
          <w:rFonts w:ascii="Arial" w:cs="Arial" w:eastAsia="Arial" w:hAnsi="Arial"/>
          <w:sz w:val="18"/>
          <w:szCs w:val="18"/>
          <w:color w:val="auto"/>
        </w:rPr>
        <w:t>In our opinion, the financial statements for the year ended 31 December 2016 comply with Swiss law and the company’s articles of incorporation.</w:t>
      </w:r>
    </w:p>
    <w:p>
      <w:pPr>
        <w:spacing w:after="0" w:line="21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Report on key audit matters based on the circular 1/2015 of the Federal Audit Oversight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694690"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514350"/>
                    </a:xfrm>
                    <a:prstGeom prst="rect">
                      <a:avLst/>
                    </a:prstGeom>
                    <a:noFill/>
                  </pic:spPr>
                </pic:pic>
              </a:graphicData>
            </a:graphic>
          </wp:anchor>
        </w:drawing>
      </w:r>
    </w:p>
    <w:p>
      <w:pPr>
        <w:ind w:left="1640" w:right="80"/>
        <w:spacing w:after="0"/>
        <w:rPr>
          <w:sz w:val="20"/>
          <w:szCs w:val="20"/>
          <w:color w:val="auto"/>
        </w:rPr>
      </w:pPr>
      <w:r>
        <w:rPr>
          <w:rFonts w:ascii="Arial" w:cs="Arial" w:eastAsia="Arial" w:hAnsi="Arial"/>
          <w:sz w:val="18"/>
          <w:szCs w:val="18"/>
          <w:color w:val="auto"/>
        </w:rPr>
        <w:t>Key audit matters are those matters that, in our professional judgment, were of most significance in our audit of the financial statements of the current period. We have determined that there are no key audit matters to communicate in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color w:val="999999"/>
        </w:rPr>
        <w:drawing>
          <wp:anchor simplePos="0" relativeHeight="251657728" behindDoc="1" locked="0" layoutInCell="0" allowOverlap="1">
            <wp:simplePos x="0" y="0"/>
            <wp:positionH relativeFrom="page">
              <wp:posOffset>191770</wp:posOffset>
            </wp:positionH>
            <wp:positionV relativeFrom="page">
              <wp:posOffset>157480</wp:posOffset>
            </wp:positionV>
            <wp:extent cx="857885" cy="977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57885" cy="977900"/>
                    </a:xfrm>
                    <a:prstGeom prst="rect">
                      <a:avLst/>
                    </a:prstGeom>
                    <a:noFill/>
                  </pic:spPr>
                </pic:pic>
              </a:graphicData>
            </a:graphic>
          </wp:anchor>
        </w:drawing>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Report on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5753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530" cy="514350"/>
                    </a:xfrm>
                    <a:prstGeom prst="rect">
                      <a:avLst/>
                    </a:prstGeom>
                    <a:noFill/>
                  </pic:spPr>
                </pic:pic>
              </a:graphicData>
            </a:graphic>
          </wp:anchor>
        </w:drawing>
      </w:r>
    </w:p>
    <w:p>
      <w:pPr>
        <w:spacing w:after="0" w:line="200" w:lineRule="exact"/>
        <w:rPr>
          <w:sz w:val="20"/>
          <w:szCs w:val="20"/>
          <w:color w:val="auto"/>
        </w:rPr>
      </w:pPr>
    </w:p>
    <w:p>
      <w:pPr>
        <w:ind w:left="1620" w:right="1000"/>
        <w:spacing w:after="0"/>
        <w:rPr>
          <w:sz w:val="20"/>
          <w:szCs w:val="20"/>
          <w:color w:val="auto"/>
        </w:rPr>
      </w:pPr>
      <w:r>
        <w:rPr>
          <w:rFonts w:ascii="Arial" w:cs="Arial" w:eastAsia="Arial" w:hAnsi="Arial"/>
          <w:sz w:val="18"/>
          <w:szCs w:val="18"/>
          <w:color w:val="auto"/>
        </w:rPr>
        <w:t>We confirm that we meet the legal requirements on licensing according to the Auditor Oversight Act (AOA) and independence (article 728 CO and article 11 AOA) and that there are no circumstances incompatible with our independence.</w:t>
      </w:r>
    </w:p>
    <w:p>
      <w:pPr>
        <w:spacing w:after="0" w:line="189" w:lineRule="exact"/>
        <w:rPr>
          <w:sz w:val="20"/>
          <w:szCs w:val="20"/>
          <w:color w:val="auto"/>
        </w:rPr>
      </w:pPr>
    </w:p>
    <w:p>
      <w:pPr>
        <w:jc w:val="both"/>
        <w:ind w:left="1620" w:right="340"/>
        <w:spacing w:after="0"/>
        <w:rPr>
          <w:sz w:val="20"/>
          <w:szCs w:val="20"/>
          <w:color w:val="auto"/>
        </w:rPr>
      </w:pPr>
      <w:r>
        <w:rPr>
          <w:rFonts w:ascii="Arial" w:cs="Arial" w:eastAsia="Arial" w:hAnsi="Arial"/>
          <w:sz w:val="18"/>
          <w:szCs w:val="18"/>
          <w:color w:val="auto"/>
        </w:rPr>
        <w:t>In accordance with article 728a para. 1 item 3 CO and Swiss Auditing Standard 890, we confirm that an internal control system exists, which has been designed for the preparation of financial statements according to the instructions of the Board of Directors.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Ernst &amp; Young Ltd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ind w:left="1620"/>
              <w:spacing w:after="0"/>
              <w:rPr>
                <w:sz w:val="20"/>
                <w:szCs w:val="20"/>
                <w:color w:val="auto"/>
              </w:rPr>
            </w:pPr>
            <w:r>
              <w:rPr>
                <w:rFonts w:ascii="Arial" w:cs="Arial" w:eastAsia="Arial" w:hAnsi="Arial"/>
                <w:sz w:val="18"/>
                <w:szCs w:val="18"/>
                <w:color w:val="auto"/>
              </w:rPr>
              <w:t>/s/ Jürg Zürcher</w:t>
            </w:r>
          </w:p>
        </w:tc>
        <w:tc>
          <w:tcPr>
            <w:tcW w:w="6440" w:type="dxa"/>
            <w:vAlign w:val="bottom"/>
          </w:tcPr>
          <w:p>
            <w:pPr>
              <w:ind w:left="1660"/>
              <w:spacing w:after="0"/>
              <w:rPr>
                <w:sz w:val="20"/>
                <w:szCs w:val="20"/>
                <w:color w:val="auto"/>
              </w:rPr>
            </w:pPr>
            <w:r>
              <w:rPr>
                <w:rFonts w:ascii="Arial" w:cs="Arial" w:eastAsia="Arial" w:hAnsi="Arial"/>
                <w:sz w:val="18"/>
                <w:szCs w:val="18"/>
                <w:color w:val="auto"/>
              </w:rPr>
              <w:t>/s/ Paulina Korecka</w:t>
            </w:r>
          </w:p>
        </w:tc>
      </w:tr>
      <w:tr>
        <w:trPr>
          <w:trHeight w:val="203"/>
        </w:trPr>
        <w:tc>
          <w:tcPr>
            <w:tcW w:w="4980" w:type="dxa"/>
            <w:vAlign w:val="bottom"/>
          </w:tcPr>
          <w:p>
            <w:pPr>
              <w:ind w:left="1620"/>
              <w:spacing w:after="0" w:line="202" w:lineRule="exact"/>
              <w:rPr>
                <w:sz w:val="20"/>
                <w:szCs w:val="20"/>
                <w:color w:val="auto"/>
              </w:rPr>
            </w:pPr>
            <w:r>
              <w:rPr>
                <w:rFonts w:ascii="Arial" w:cs="Arial" w:eastAsia="Arial" w:hAnsi="Arial"/>
                <w:sz w:val="18"/>
                <w:szCs w:val="18"/>
                <w:color w:val="auto"/>
              </w:rPr>
              <w:t>Licensed audit expert</w:t>
            </w:r>
          </w:p>
        </w:tc>
        <w:tc>
          <w:tcPr>
            <w:tcW w:w="6440" w:type="dxa"/>
            <w:vAlign w:val="bottom"/>
          </w:tcPr>
          <w:p>
            <w:pPr>
              <w:ind w:left="1660"/>
              <w:spacing w:after="0" w:line="202" w:lineRule="exact"/>
              <w:rPr>
                <w:sz w:val="20"/>
                <w:szCs w:val="20"/>
                <w:color w:val="auto"/>
              </w:rPr>
            </w:pPr>
            <w:r>
              <w:rPr>
                <w:rFonts w:ascii="Arial" w:cs="Arial" w:eastAsia="Arial" w:hAnsi="Arial"/>
                <w:sz w:val="18"/>
                <w:szCs w:val="18"/>
                <w:color w:val="auto"/>
              </w:rPr>
              <w:t>Certified Public Accountant</w:t>
            </w:r>
          </w:p>
        </w:tc>
      </w:tr>
      <w:tr>
        <w:trPr>
          <w:trHeight w:val="217"/>
        </w:trPr>
        <w:tc>
          <w:tcPr>
            <w:tcW w:w="4980" w:type="dxa"/>
            <w:vAlign w:val="bottom"/>
          </w:tcPr>
          <w:p>
            <w:pPr>
              <w:ind w:left="1620"/>
              <w:spacing w:after="0"/>
              <w:rPr>
                <w:sz w:val="20"/>
                <w:szCs w:val="20"/>
                <w:color w:val="auto"/>
              </w:rPr>
            </w:pPr>
            <w:r>
              <w:rPr>
                <w:rFonts w:ascii="Arial" w:cs="Arial" w:eastAsia="Arial" w:hAnsi="Arial"/>
                <w:sz w:val="18"/>
                <w:szCs w:val="18"/>
                <w:color w:val="auto"/>
              </w:rPr>
              <w:t>(Auditor in charge)</w:t>
            </w:r>
          </w:p>
        </w:tc>
        <w:tc>
          <w:tcPr>
            <w:tcW w:w="6440" w:type="dxa"/>
            <w:vAlign w:val="bottom"/>
          </w:tcPr>
          <w:p>
            <w:pPr>
              <w:spacing w:after="0"/>
              <w:rPr>
                <w:sz w:val="18"/>
                <w:szCs w:val="18"/>
                <w:color w:val="auto"/>
              </w:rPr>
            </w:pPr>
          </w:p>
        </w:tc>
      </w:tr>
      <w:tr>
        <w:trPr>
          <w:trHeight w:val="297"/>
        </w:trPr>
        <w:tc>
          <w:tcPr>
            <w:tcW w:w="4980" w:type="dxa"/>
            <w:vAlign w:val="bottom"/>
            <w:tcBorders>
              <w:bottom w:val="single" w:sz="8" w:color="54301A"/>
            </w:tcBorders>
          </w:tcPr>
          <w:p>
            <w:pPr>
              <w:spacing w:after="0"/>
              <w:rPr>
                <w:sz w:val="24"/>
                <w:szCs w:val="24"/>
                <w:color w:val="auto"/>
              </w:rPr>
            </w:pPr>
          </w:p>
        </w:tc>
        <w:tc>
          <w:tcPr>
            <w:tcW w:w="644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249"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Balance Sheet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320" w:type="dxa"/>
            <w:vAlign w:val="bottom"/>
            <w:vMerge w:val="restart"/>
          </w:tcPr>
          <w:p>
            <w:pPr>
              <w:jc w:val="center"/>
              <w:ind w:left="1810"/>
              <w:spacing w:after="0"/>
              <w:rPr>
                <w:sz w:val="20"/>
                <w:szCs w:val="20"/>
                <w:color w:val="auto"/>
              </w:rPr>
            </w:pPr>
            <w:r>
              <w:rPr>
                <w:rFonts w:ascii="Arial" w:cs="Arial" w:eastAsia="Arial" w:hAnsi="Arial"/>
                <w:sz w:val="18"/>
                <w:szCs w:val="18"/>
                <w:b w:val="1"/>
                <w:bCs w:val="1"/>
                <w:color w:val="auto"/>
                <w:w w:val="99"/>
              </w:rPr>
              <w:t>Notes</w:t>
            </w:r>
          </w:p>
        </w:tc>
        <w:tc>
          <w:tcPr>
            <w:tcW w:w="2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Assets</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320" w:type="dxa"/>
            <w:vAlign w:val="bottom"/>
          </w:tcPr>
          <w:p>
            <w:pPr>
              <w:jc w:val="center"/>
              <w:ind w:left="1810"/>
              <w:spacing w:after="0" w:line="202" w:lineRule="exact"/>
              <w:rPr>
                <w:sz w:val="20"/>
                <w:szCs w:val="20"/>
                <w:color w:val="auto"/>
              </w:rPr>
            </w:pPr>
            <w:r>
              <w:rPr>
                <w:rFonts w:ascii="Arial" w:cs="Arial" w:eastAsia="Arial" w:hAnsi="Arial"/>
                <w:sz w:val="18"/>
                <w:szCs w:val="18"/>
                <w:color w:val="auto"/>
                <w:w w:val="99"/>
              </w:rPr>
              <w:t>5</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153,831</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Other current receivables</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 Third parties</w:t>
            </w:r>
          </w:p>
        </w:tc>
        <w:tc>
          <w:tcPr>
            <w:tcW w:w="3320" w:type="dxa"/>
            <w:vAlign w:val="bottom"/>
          </w:tcPr>
          <w:p>
            <w:pPr>
              <w:jc w:val="center"/>
              <w:ind w:left="1810"/>
              <w:spacing w:after="0" w:line="202" w:lineRule="exact"/>
              <w:rPr>
                <w:sz w:val="20"/>
                <w:szCs w:val="20"/>
                <w:color w:val="auto"/>
              </w:rPr>
            </w:pPr>
            <w:r>
              <w:rPr>
                <w:rFonts w:ascii="Arial" w:cs="Arial" w:eastAsia="Arial" w:hAnsi="Arial"/>
                <w:sz w:val="18"/>
                <w:szCs w:val="18"/>
                <w:color w:val="auto"/>
                <w:w w:val="99"/>
              </w:rPr>
              <w:t>6</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Short-term financial receivables</w:t>
            </w:r>
          </w:p>
        </w:tc>
        <w:tc>
          <w:tcPr>
            <w:tcW w:w="3320" w:type="dxa"/>
            <w:vAlign w:val="bottom"/>
            <w:shd w:val="clear" w:color="auto" w:fill="D5EAEA"/>
          </w:tcPr>
          <w:p>
            <w:pPr>
              <w:jc w:val="center"/>
              <w:ind w:left="1810"/>
              <w:spacing w:after="0" w:line="202" w:lineRule="exact"/>
              <w:rPr>
                <w:sz w:val="20"/>
                <w:szCs w:val="20"/>
                <w:color w:val="auto"/>
              </w:rPr>
            </w:pPr>
            <w:r>
              <w:rPr>
                <w:rFonts w:ascii="Arial" w:cs="Arial" w:eastAsia="Arial" w:hAnsi="Arial"/>
                <w:sz w:val="18"/>
                <w:szCs w:val="18"/>
                <w:color w:val="auto"/>
                <w:w w:val="99"/>
              </w:rPr>
              <w:t>6</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3320" w:type="dxa"/>
            <w:vAlign w:val="bottom"/>
          </w:tcPr>
          <w:p>
            <w:pPr>
              <w:jc w:val="center"/>
              <w:ind w:left="1810"/>
              <w:spacing w:after="0" w:line="202" w:lineRule="exact"/>
              <w:rPr>
                <w:sz w:val="20"/>
                <w:szCs w:val="20"/>
                <w:color w:val="auto"/>
              </w:rPr>
            </w:pPr>
            <w:r>
              <w:rPr>
                <w:rFonts w:ascii="Arial" w:cs="Arial" w:eastAsia="Arial" w:hAnsi="Arial"/>
                <w:sz w:val="18"/>
                <w:szCs w:val="18"/>
                <w:color w:val="auto"/>
                <w:w w:val="99"/>
              </w:rPr>
              <w:t>7</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1,278</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33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332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156,535</w:t>
            </w:r>
          </w:p>
        </w:tc>
        <w:tc>
          <w:tcPr>
            <w:tcW w:w="10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79,366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shd w:val="clear" w:color="auto" w:fill="D5EAEA"/>
          </w:tcPr>
          <w:p>
            <w:pPr>
              <w:spacing w:after="0"/>
              <w:rPr>
                <w:sz w:val="17"/>
                <w:szCs w:val="17"/>
                <w:color w:val="auto"/>
              </w:rPr>
            </w:pP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Financial assets</w:t>
            </w:r>
          </w:p>
        </w:tc>
        <w:tc>
          <w:tcPr>
            <w:tcW w:w="3320" w:type="dxa"/>
            <w:vAlign w:val="bottom"/>
            <w:shd w:val="clear" w:color="auto" w:fill="D5EAEA"/>
          </w:tcPr>
          <w:p>
            <w:pPr>
              <w:jc w:val="center"/>
              <w:ind w:left="1810"/>
              <w:spacing w:after="0" w:line="202" w:lineRule="exact"/>
              <w:rPr>
                <w:sz w:val="20"/>
                <w:szCs w:val="20"/>
                <w:color w:val="auto"/>
              </w:rPr>
            </w:pPr>
            <w:r>
              <w:rPr>
                <w:rFonts w:ascii="Arial" w:cs="Arial" w:eastAsia="Arial" w:hAnsi="Arial"/>
                <w:sz w:val="18"/>
                <w:szCs w:val="18"/>
                <w:color w:val="auto"/>
                <w:w w:val="99"/>
              </w:rPr>
              <w:t>4</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tcBorders>
              <w:bottom w:val="single" w:sz="8" w:color="D5EAEA"/>
            </w:tcBorders>
          </w:tcPr>
          <w:p>
            <w:pPr>
              <w:jc w:val="center"/>
              <w:ind w:left="1810"/>
              <w:spacing w:after="0"/>
              <w:rPr>
                <w:sz w:val="20"/>
                <w:szCs w:val="20"/>
                <w:color w:val="auto"/>
              </w:rPr>
            </w:pPr>
            <w:r>
              <w:rPr>
                <w:rFonts w:ascii="Arial" w:cs="Arial" w:eastAsia="Arial" w:hAnsi="Arial"/>
                <w:sz w:val="18"/>
                <w:szCs w:val="18"/>
                <w:color w:val="auto"/>
                <w:w w:val="99"/>
              </w:rPr>
              <w:t>3</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33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1,206</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157,741</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79,951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Trade payables</w:t>
            </w: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To third parties</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2,720</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 To shareholders</w:t>
            </w:r>
          </w:p>
        </w:tc>
        <w:tc>
          <w:tcPr>
            <w:tcW w:w="33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 and deferred income</w:t>
            </w:r>
          </w:p>
        </w:tc>
        <w:tc>
          <w:tcPr>
            <w:tcW w:w="33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3320" w:type="dxa"/>
            <w:vAlign w:val="bottom"/>
            <w:tcBorders>
              <w:bottom w:val="single" w:sz="8" w:color="D5EAEA"/>
            </w:tcBorders>
          </w:tcPr>
          <w:p>
            <w:pPr>
              <w:jc w:val="center"/>
              <w:ind w:left="1810"/>
              <w:spacing w:after="0" w:line="196" w:lineRule="exact"/>
              <w:rPr>
                <w:sz w:val="20"/>
                <w:szCs w:val="20"/>
                <w:color w:val="auto"/>
              </w:rPr>
            </w:pPr>
            <w:r>
              <w:rPr>
                <w:rFonts w:ascii="Arial" w:cs="Arial" w:eastAsia="Arial" w:hAnsi="Arial"/>
                <w:sz w:val="18"/>
                <w:szCs w:val="18"/>
                <w:color w:val="auto"/>
                <w:w w:val="99"/>
              </w:rPr>
              <w:t>9</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9,922</w:t>
            </w:r>
          </w:p>
        </w:tc>
        <w:tc>
          <w:tcPr>
            <w:tcW w:w="10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6,101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shd w:val="clear" w:color="auto" w:fill="D5EAEA"/>
          </w:tcPr>
          <w:p>
            <w:pPr>
              <w:spacing w:after="0"/>
              <w:rPr>
                <w:sz w:val="17"/>
                <w:szCs w:val="17"/>
                <w:color w:val="auto"/>
              </w:rPr>
            </w:pP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3320" w:type="dxa"/>
            <w:vAlign w:val="bottom"/>
            <w:shd w:val="clear" w:color="auto" w:fill="D5EAEA"/>
          </w:tcPr>
          <w:p>
            <w:pPr>
              <w:jc w:val="center"/>
              <w:ind w:left="1810"/>
              <w:spacing w:after="0" w:line="202" w:lineRule="exact"/>
              <w:rPr>
                <w:sz w:val="20"/>
                <w:szCs w:val="20"/>
                <w:color w:val="auto"/>
              </w:rPr>
            </w:pPr>
            <w:r>
              <w:rPr>
                <w:rFonts w:ascii="Arial" w:cs="Arial" w:eastAsia="Arial" w:hAnsi="Arial"/>
                <w:sz w:val="18"/>
                <w:szCs w:val="18"/>
                <w:color w:val="auto"/>
                <w:w w:val="99"/>
              </w:rPr>
              <w:t>8</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1,135</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Reserves from capital contributions</w:t>
            </w:r>
          </w:p>
        </w:tc>
        <w:tc>
          <w:tcPr>
            <w:tcW w:w="33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179,242</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Accumulated losses brought forward</w:t>
            </w:r>
          </w:p>
        </w:tc>
        <w:tc>
          <w:tcPr>
            <w:tcW w:w="332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(24,930)</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(45,103)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Profit/(loss) for the year</w:t>
            </w:r>
          </w:p>
        </w:tc>
        <w:tc>
          <w:tcPr>
            <w:tcW w:w="332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33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147,819</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73,850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3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157,741</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79,951</w:t>
            </w:r>
          </w:p>
        </w:tc>
        <w:tc>
          <w:tcPr>
            <w:tcW w:w="0" w:type="dxa"/>
            <w:vAlign w:val="bottom"/>
          </w:tcPr>
          <w:p>
            <w:pPr>
              <w:spacing w:after="0"/>
              <w:rPr>
                <w:sz w:val="1"/>
                <w:szCs w:val="1"/>
                <w:color w:val="auto"/>
              </w:rPr>
            </w:pPr>
          </w:p>
        </w:tc>
      </w:tr>
      <w:tr>
        <w:trPr>
          <w:trHeight w:val="493"/>
        </w:trPr>
        <w:tc>
          <w:tcPr>
            <w:tcW w:w="5760" w:type="dxa"/>
            <w:vAlign w:val="bottom"/>
            <w:tcBorders>
              <w:bottom w:val="single" w:sz="8" w:color="54301A"/>
            </w:tcBorders>
            <w:gridSpan w:val="2"/>
          </w:tcPr>
          <w:p>
            <w:pPr>
              <w:spacing w:after="0"/>
              <w:rPr>
                <w:sz w:val="20"/>
                <w:szCs w:val="20"/>
                <w:color w:val="auto"/>
              </w:rPr>
            </w:pPr>
            <w:r>
              <w:rPr>
                <w:rFonts w:ascii="Arial" w:cs="Arial" w:eastAsia="Arial" w:hAnsi="Arial"/>
                <w:sz w:val="16"/>
                <w:szCs w:val="16"/>
                <w:color w:val="auto"/>
              </w:rPr>
              <w:t>Statutory Financial Statements</w:t>
            </w:r>
          </w:p>
        </w:tc>
        <w:tc>
          <w:tcPr>
            <w:tcW w:w="3320" w:type="dxa"/>
            <w:vAlign w:val="bottom"/>
            <w:tcBorders>
              <w:bottom w:val="single" w:sz="8" w:color="54301A"/>
            </w:tcBorders>
          </w:tcPr>
          <w:p>
            <w:pPr>
              <w:spacing w:after="0"/>
              <w:rPr>
                <w:sz w:val="24"/>
                <w:szCs w:val="24"/>
                <w:color w:val="auto"/>
              </w:rPr>
            </w:pP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112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310"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6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Notes</w:t>
            </w:r>
          </w:p>
        </w:tc>
        <w:tc>
          <w:tcPr>
            <w:tcW w:w="2340" w:type="dxa"/>
            <w:vAlign w:val="bottom"/>
            <w:gridSpan w:val="3"/>
          </w:tcPr>
          <w:p>
            <w:pPr>
              <w:jc w:val="right"/>
              <w:ind w:right="11"/>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5"/>
        </w:trPr>
        <w:tc>
          <w:tcPr>
            <w:tcW w:w="5420" w:type="dxa"/>
            <w:vAlign w:val="bottom"/>
            <w:gridSpan w:val="2"/>
            <w:vMerge w:val="continue"/>
          </w:tcPr>
          <w:p>
            <w:pPr>
              <w:spacing w:after="0"/>
              <w:rPr>
                <w:sz w:val="19"/>
                <w:szCs w:val="19"/>
                <w:color w:val="auto"/>
              </w:rPr>
            </w:pPr>
          </w:p>
        </w:tc>
        <w:tc>
          <w:tcPr>
            <w:tcW w:w="3660" w:type="dxa"/>
            <w:vAlign w:val="bottom"/>
            <w:vMerge w:val="continue"/>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Revenue</w:t>
            </w:r>
          </w:p>
        </w:tc>
        <w:tc>
          <w:tcPr>
            <w:tcW w:w="3660" w:type="dxa"/>
            <w:vAlign w:val="bottom"/>
            <w:shd w:val="clear" w:color="auto" w:fill="D5EAEA"/>
          </w:tcPr>
          <w:p>
            <w:pPr>
              <w:jc w:val="right"/>
              <w:ind w:right="170"/>
              <w:spacing w:after="0" w:line="202" w:lineRule="exact"/>
              <w:rPr>
                <w:sz w:val="20"/>
                <w:szCs w:val="20"/>
                <w:color w:val="auto"/>
              </w:rPr>
            </w:pPr>
            <w:r>
              <w:rPr>
                <w:rFonts w:ascii="Arial" w:cs="Arial" w:eastAsia="Arial" w:hAnsi="Arial"/>
                <w:sz w:val="18"/>
                <w:szCs w:val="18"/>
                <w:color w:val="auto"/>
              </w:rPr>
              <w:t>10</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b w:val="1"/>
                <w:bCs w:val="1"/>
                <w:color w:val="auto"/>
              </w:rPr>
              <w:t>23,214</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1"/>
              <w:spacing w:after="0" w:line="202" w:lineRule="exact"/>
              <w:rPr>
                <w:sz w:val="20"/>
                <w:szCs w:val="20"/>
                <w:color w:val="auto"/>
              </w:rPr>
            </w:pPr>
            <w:r>
              <w:rPr>
                <w:rFonts w:ascii="Arial" w:cs="Arial" w:eastAsia="Arial" w:hAnsi="Arial"/>
                <w:sz w:val="18"/>
                <w:szCs w:val="18"/>
                <w:b w:val="1"/>
                <w:bCs w:val="1"/>
                <w:color w:val="auto"/>
              </w:rPr>
              <w:t>39,100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36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Salaries and related costs</w:t>
            </w:r>
          </w:p>
        </w:tc>
        <w:tc>
          <w:tcPr>
            <w:tcW w:w="3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(10,168)</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Operating expenses</w:t>
            </w:r>
          </w:p>
        </w:tc>
        <w:tc>
          <w:tcPr>
            <w:tcW w:w="3660" w:type="dxa"/>
            <w:vAlign w:val="bottom"/>
            <w:shd w:val="clear" w:color="auto" w:fill="D5EAEA"/>
          </w:tcPr>
          <w:p>
            <w:pPr>
              <w:jc w:val="right"/>
              <w:ind w:right="170"/>
              <w:spacing w:after="0" w:line="202" w:lineRule="exact"/>
              <w:rPr>
                <w:sz w:val="20"/>
                <w:szCs w:val="20"/>
                <w:color w:val="auto"/>
              </w:rPr>
            </w:pPr>
            <w:r>
              <w:rPr>
                <w:rFonts w:ascii="Arial" w:cs="Arial" w:eastAsia="Arial" w:hAnsi="Arial"/>
                <w:sz w:val="18"/>
                <w:szCs w:val="18"/>
                <w:color w:val="auto"/>
              </w:rPr>
              <w:t>11</w:t>
            </w: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(25,499)</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3660" w:type="dxa"/>
            <w:vAlign w:val="bottom"/>
            <w:tcBorders>
              <w:bottom w:val="single" w:sz="8" w:color="D5EAEA"/>
            </w:tcBorders>
          </w:tcPr>
          <w:p>
            <w:pPr>
              <w:jc w:val="right"/>
              <w:ind w:right="170"/>
              <w:spacing w:after="0"/>
              <w:rPr>
                <w:sz w:val="20"/>
                <w:szCs w:val="20"/>
                <w:color w:val="auto"/>
              </w:rPr>
            </w:pPr>
            <w:r>
              <w:rPr>
                <w:rFonts w:ascii="Arial" w:cs="Arial" w:eastAsia="Arial" w:hAnsi="Arial"/>
                <w:sz w:val="18"/>
                <w:szCs w:val="18"/>
                <w:color w:val="auto"/>
              </w:rPr>
              <w:t>11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66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(35,945)</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(20,574)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Operating income/(loss)</w:t>
            </w:r>
          </w:p>
        </w:tc>
        <w:tc>
          <w:tcPr>
            <w:tcW w:w="366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b w:val="1"/>
                <w:bCs w:val="1"/>
                <w:color w:val="auto"/>
              </w:rPr>
              <w:t>(12,731)</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1"/>
              <w:spacing w:after="0" w:line="202" w:lineRule="exact"/>
              <w:rPr>
                <w:sz w:val="20"/>
                <w:szCs w:val="20"/>
                <w:color w:val="auto"/>
              </w:rPr>
            </w:pPr>
            <w:r>
              <w:rPr>
                <w:rFonts w:ascii="Arial" w:cs="Arial" w:eastAsia="Arial" w:hAnsi="Arial"/>
                <w:sz w:val="18"/>
                <w:szCs w:val="18"/>
                <w:b w:val="1"/>
                <w:bCs w:val="1"/>
                <w:color w:val="auto"/>
              </w:rPr>
              <w:t>18,526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Financial income</w:t>
            </w:r>
          </w:p>
        </w:tc>
        <w:tc>
          <w:tcPr>
            <w:tcW w:w="3660" w:type="dxa"/>
            <w:vAlign w:val="bottom"/>
            <w:shd w:val="clear" w:color="auto" w:fill="D5EAEA"/>
          </w:tcPr>
          <w:p>
            <w:pPr>
              <w:jc w:val="right"/>
              <w:ind w:right="170"/>
              <w:spacing w:after="0" w:line="202" w:lineRule="exact"/>
              <w:rPr>
                <w:sz w:val="20"/>
                <w:szCs w:val="20"/>
                <w:color w:val="auto"/>
              </w:rPr>
            </w:pPr>
            <w:r>
              <w:rPr>
                <w:rFonts w:ascii="Arial" w:cs="Arial" w:eastAsia="Arial" w:hAnsi="Arial"/>
                <w:sz w:val="18"/>
                <w:szCs w:val="18"/>
                <w:color w:val="auto"/>
              </w:rPr>
              <w:t>12</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5,238</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1"/>
              <w:spacing w:after="0" w:line="202" w:lineRule="exact"/>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3660" w:type="dxa"/>
            <w:vAlign w:val="bottom"/>
            <w:tcBorders>
              <w:bottom w:val="single" w:sz="8" w:color="D5EAEA"/>
            </w:tcBorders>
          </w:tcPr>
          <w:p>
            <w:pPr>
              <w:jc w:val="right"/>
              <w:ind w:right="170"/>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Net income/(loss) for the period</w:t>
            </w:r>
          </w:p>
        </w:tc>
        <w:tc>
          <w:tcPr>
            <w:tcW w:w="366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(7,628)</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11"/>
              <w:spacing w:after="0" w:line="196" w:lineRule="exact"/>
              <w:rPr>
                <w:sz w:val="20"/>
                <w:szCs w:val="20"/>
                <w:color w:val="auto"/>
              </w:rPr>
            </w:pPr>
            <w:r>
              <w:rPr>
                <w:rFonts w:ascii="Arial" w:cs="Arial" w:eastAsia="Arial" w:hAnsi="Arial"/>
                <w:sz w:val="18"/>
                <w:szCs w:val="18"/>
                <w:b w:val="1"/>
                <w:bCs w:val="1"/>
                <w:color w:val="auto"/>
              </w:rPr>
              <w:t>20,173</w:t>
            </w:r>
          </w:p>
        </w:tc>
        <w:tc>
          <w:tcPr>
            <w:tcW w:w="0" w:type="dxa"/>
            <w:vAlign w:val="bottom"/>
          </w:tcPr>
          <w:p>
            <w:pPr>
              <w:spacing w:after="0"/>
              <w:rPr>
                <w:sz w:val="1"/>
                <w:szCs w:val="1"/>
                <w:color w:val="auto"/>
              </w:rPr>
            </w:pPr>
          </w:p>
        </w:tc>
      </w:tr>
      <w:tr>
        <w:trPr>
          <w:trHeight w:val="493"/>
        </w:trPr>
        <w:tc>
          <w:tcPr>
            <w:tcW w:w="5420" w:type="dxa"/>
            <w:vAlign w:val="bottom"/>
            <w:tcBorders>
              <w:bottom w:val="single" w:sz="8" w:color="54301A"/>
            </w:tcBorders>
            <w:gridSpan w:val="2"/>
          </w:tcPr>
          <w:p>
            <w:pPr>
              <w:spacing w:after="0"/>
              <w:rPr>
                <w:sz w:val="20"/>
                <w:szCs w:val="20"/>
                <w:color w:val="auto"/>
              </w:rPr>
            </w:pPr>
            <w:r>
              <w:rPr>
                <w:rFonts w:ascii="Arial" w:cs="Arial" w:eastAsia="Arial" w:hAnsi="Arial"/>
                <w:sz w:val="16"/>
                <w:szCs w:val="16"/>
                <w:color w:val="auto"/>
              </w:rPr>
              <w:t>Statutory Financial Statements</w:t>
            </w:r>
          </w:p>
        </w:tc>
        <w:tc>
          <w:tcPr>
            <w:tcW w:w="3660" w:type="dxa"/>
            <w:vAlign w:val="bottom"/>
            <w:tcBorders>
              <w:bottom w:val="single" w:sz="8" w:color="54301A"/>
            </w:tcBorders>
          </w:tcPr>
          <w:p>
            <w:pPr>
              <w:spacing w:after="0"/>
              <w:rPr>
                <w:sz w:val="24"/>
                <w:szCs w:val="24"/>
                <w:color w:val="auto"/>
              </w:rPr>
            </w:pP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112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the financial statements</w:t>
      </w:r>
    </w:p>
    <w:p>
      <w:pPr>
        <w:spacing w:after="0" w:line="305" w:lineRule="exact"/>
        <w:rPr>
          <w:sz w:val="20"/>
          <w:szCs w:val="20"/>
          <w:color w:val="auto"/>
        </w:rPr>
      </w:pPr>
    </w:p>
    <w:p>
      <w:pPr>
        <w:ind w:left="720" w:hanging="334"/>
        <w:spacing w:after="0"/>
        <w:tabs>
          <w:tab w:leader="none" w:pos="72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General information</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entered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was initially incorporated as a limited liability company on 13 February 2003 in Basel and effective 25 August 25 2003 was transformed into a stock company. The Company’s corporate headquarters are located at EPFL Innovation Park Building B, Ecublens/Lausanne, Vaud, Switzerland.</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statutory financial statements of AC Immune SA for the period ended 31 December 2016 were authorized for issue in accordance with a resolution of the Board of Directors on 17 March 2017 and will be submitted to the next Ordinary General Assembly.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2016 and 2015, AC Immune had an annual average of less than 250 full time equivalent positions.</w:t>
      </w:r>
    </w:p>
    <w:p>
      <w:pPr>
        <w:spacing w:after="0" w:line="167" w:lineRule="exact"/>
        <w:rPr>
          <w:sz w:val="20"/>
          <w:szCs w:val="20"/>
          <w:color w:val="auto"/>
        </w:rPr>
      </w:pPr>
    </w:p>
    <w:p>
      <w:pPr>
        <w:ind w:left="720" w:hanging="334"/>
        <w:spacing w:after="0"/>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Summary of significant accounting principles</w:t>
      </w:r>
    </w:p>
    <w:p>
      <w:pPr>
        <w:spacing w:after="0" w:line="22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present annual accounts have been prepared in accordance with the provisions of the Swiss law on accounting and financial reporting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presentation of the financial statements for 2016 and 2015, certain amounts were reclassified in 2015 to conform to the 2016 financial statement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Borders>
              <w:bottom w:val="single" w:sz="8" w:color="54301A"/>
            </w:tcBorders>
          </w:tcPr>
          <w:p>
            <w:pPr>
              <w:spacing w:after="0"/>
              <w:rPr>
                <w:sz w:val="20"/>
                <w:szCs w:val="20"/>
                <w:color w:val="auto"/>
              </w:rPr>
            </w:pPr>
            <w:r>
              <w:rPr>
                <w:rFonts w:ascii="Arial" w:cs="Arial" w:eastAsia="Arial" w:hAnsi="Arial"/>
                <w:sz w:val="16"/>
                <w:szCs w:val="16"/>
                <w:color w:val="auto"/>
              </w:rPr>
              <w:t>Statutory Financial Statements</w:t>
            </w:r>
          </w:p>
        </w:tc>
        <w:tc>
          <w:tcPr>
            <w:tcW w:w="46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420"/>
          </w:cols>
          <w:pgMar w:left="240" w:top="215"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effect on net income. Foreign exchange losses, on the other hand, are recorded in the profit and loss account.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expenditures are recognized as expenses when incurred.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external research contracts accrued expenses are generally estimated based on a rate of completion related to each research project in clinical study. The Company estimates its accrued expenses as of the balance sheet date in the financial statement based on facts and circumstances known at the time.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research and development related costs, inclusive of operating expenses, payroll related expenses, and depreciation were CHF 25.2M in 2016 and CHF 17.0M in 2015. The increase in 2016 is attributable to continued expansion of research and development activities for both major development programs, like Crenezumab and new discovery programs.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Borders>
              <w:bottom w:val="single" w:sz="8" w:color="54301A"/>
            </w:tcBorders>
          </w:tcPr>
          <w:p>
            <w:pPr>
              <w:spacing w:after="0"/>
              <w:rPr>
                <w:sz w:val="20"/>
                <w:szCs w:val="20"/>
                <w:color w:val="auto"/>
              </w:rPr>
            </w:pPr>
            <w:r>
              <w:rPr>
                <w:rFonts w:ascii="Arial" w:cs="Arial" w:eastAsia="Arial" w:hAnsi="Arial"/>
                <w:sz w:val="16"/>
                <w:szCs w:val="16"/>
                <w:color w:val="auto"/>
              </w:rPr>
              <w:t>Statutory Financial Statements</w:t>
            </w:r>
          </w:p>
        </w:tc>
        <w:tc>
          <w:tcPr>
            <w:tcW w:w="46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420"/>
          </w:cols>
          <w:pgMar w:left="240" w:top="215"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plant and 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420"/>
          </w:cols>
          <w:pgMar w:left="240" w:top="215" w:right="239" w:bottom="1440" w:gutter="0" w:footer="0" w:header="0"/>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IT equipment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50" w:lineRule="exact"/>
        <w:rPr>
          <w:sz w:val="20"/>
          <w:szCs w:val="20"/>
          <w:color w:val="auto"/>
        </w:rPr>
      </w:pPr>
    </w:p>
    <w:p>
      <w:pPr>
        <w:sectPr>
          <w:pgSz w:w="11900" w:h="16838" w:orient="portrait"/>
          <w:cols w:equalWidth="0" w:num="2">
            <w:col w:w="4100" w:space="720"/>
            <w:col w:w="6600"/>
          </w:cols>
          <w:pgMar w:left="240" w:top="21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Laboratory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years</w:t>
      </w:r>
    </w:p>
    <w:p>
      <w:pPr>
        <w:spacing w:after="0" w:line="50" w:lineRule="exact"/>
        <w:rPr>
          <w:sz w:val="20"/>
          <w:szCs w:val="20"/>
          <w:color w:val="auto"/>
        </w:rPr>
      </w:pPr>
    </w:p>
    <w:p>
      <w:pPr>
        <w:sectPr>
          <w:pgSz w:w="11900" w:h="16838" w:orient="portrait"/>
          <w:cols w:equalWidth="0" w:num="2">
            <w:col w:w="4100" w:space="720"/>
            <w:col w:w="6600"/>
          </w:cols>
          <w:pgMar w:left="240" w:top="21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Leasehold improvements /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4100" w:space="720"/>
            <w:col w:w="6600"/>
          </w:cols>
          <w:pgMar w:left="240" w:top="215" w:right="239" w:bottom="1440" w:gutter="0" w:footer="0" w:header="0"/>
          <w:type w:val="continuous"/>
        </w:sectPr>
      </w:pP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Profits and losses on disposals are determined by comparing the disposal proceeds with the carrying amount and are included in the income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and cash equivalents include deposits help with external financial institutions and cash on hand. All cash and cash equivalents are either in cash or in deposits with less than 3 months’ duration.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which represents cost incurred.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Significant Shareholders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20" w:type="dxa"/>
            <w:vAlign w:val="bottom"/>
            <w:gridSpan w:val="2"/>
          </w:tcPr>
          <w:p>
            <w:pPr>
              <w:spacing w:after="0"/>
              <w:rPr>
                <w:sz w:val="20"/>
                <w:szCs w:val="20"/>
                <w:color w:val="auto"/>
              </w:rPr>
            </w:pPr>
            <w:r>
              <w:rPr>
                <w:rFonts w:ascii="Arial" w:cs="Arial" w:eastAsia="Arial" w:hAnsi="Arial"/>
                <w:sz w:val="18"/>
                <w:szCs w:val="18"/>
                <w:color w:val="auto"/>
              </w:rPr>
              <w:t>Principal shareholders who own more than 5 percent of the voting rights: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spacing w:after="0"/>
              <w:rPr>
                <w:sz w:val="16"/>
                <w:szCs w:val="16"/>
                <w:color w:val="auto"/>
              </w:rPr>
            </w:pPr>
          </w:p>
        </w:tc>
        <w:tc>
          <w:tcPr>
            <w:tcW w:w="12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jc w:val="center"/>
              <w:ind w:right="100"/>
              <w:spacing w:after="0" w:line="187" w:lineRule="exact"/>
              <w:rPr>
                <w:sz w:val="20"/>
                <w:szCs w:val="20"/>
                <w:color w:val="auto"/>
              </w:rPr>
            </w:pPr>
            <w:r>
              <w:rPr>
                <w:rFonts w:ascii="Arial" w:cs="Arial" w:eastAsia="Arial" w:hAnsi="Arial"/>
                <w:sz w:val="18"/>
                <w:szCs w:val="18"/>
                <w:b w:val="1"/>
                <w:bCs w:val="1"/>
                <w:color w:val="auto"/>
              </w:rPr>
              <w:t>Shares Owned</w:t>
            </w: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jc w:val="center"/>
              <w:ind w:right="100"/>
              <w:spacing w:after="0" w:line="187" w:lineRule="exact"/>
              <w:rPr>
                <w:sz w:val="20"/>
                <w:szCs w:val="20"/>
                <w:color w:val="auto"/>
              </w:rPr>
            </w:pPr>
            <w:r>
              <w:rPr>
                <w:rFonts w:ascii="Arial" w:cs="Arial" w:eastAsia="Arial" w:hAnsi="Arial"/>
                <w:sz w:val="18"/>
                <w:szCs w:val="18"/>
                <w:b w:val="1"/>
                <w:bCs w:val="1"/>
                <w:color w:val="auto"/>
                <w:w w:val="99"/>
              </w:rPr>
              <w:t>Shares Owned</w:t>
            </w:r>
          </w:p>
        </w:tc>
        <w:tc>
          <w:tcPr>
            <w:tcW w:w="0" w:type="dxa"/>
            <w:vAlign w:val="bottom"/>
          </w:tcPr>
          <w:p>
            <w:pPr>
              <w:spacing w:after="0"/>
              <w:rPr>
                <w:sz w:val="1"/>
                <w:szCs w:val="1"/>
                <w:color w:val="auto"/>
              </w:rPr>
            </w:pPr>
          </w:p>
        </w:tc>
      </w:tr>
      <w:tr>
        <w:trPr>
          <w:trHeight w:val="225"/>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Percent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5% Shareholders</w:t>
            </w: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620" w:type="dxa"/>
            <w:vAlign w:val="bottom"/>
            <w:gridSpan w:val="2"/>
            <w:shd w:val="clear" w:color="auto" w:fill="D5EAEA"/>
          </w:tcPr>
          <w:p>
            <w:pPr>
              <w:spacing w:after="0" w:line="297" w:lineRule="exact"/>
              <w:rPr>
                <w:sz w:val="20"/>
                <w:szCs w:val="20"/>
                <w:color w:val="auto"/>
              </w:rPr>
            </w:pPr>
            <w:r>
              <w:rPr>
                <w:rFonts w:ascii="Arial" w:cs="Arial" w:eastAsia="Arial" w:hAnsi="Arial"/>
                <w:sz w:val="17"/>
                <w:szCs w:val="17"/>
                <w:color w:val="auto"/>
              </w:rPr>
              <w:t>dievini Hopp BioTech holding GmbH &amp; Co KG</w:t>
            </w:r>
            <w:r>
              <w:rPr>
                <w:rFonts w:ascii="Arial" w:cs="Arial" w:eastAsia="Arial" w:hAnsi="Arial"/>
                <w:sz w:val="34"/>
                <w:szCs w:val="34"/>
                <w:color w:val="auto"/>
                <w:vertAlign w:val="superscript"/>
              </w:rPr>
              <w:t>(1)</w:t>
            </w: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w w:val="97"/>
              </w:rPr>
              <w:t>18,041,000</w:t>
            </w:r>
          </w:p>
        </w:tc>
        <w:tc>
          <w:tcPr>
            <w:tcW w:w="100" w:type="dxa"/>
            <w:vAlign w:val="bottom"/>
            <w:shd w:val="clear" w:color="auto" w:fill="D5EAEA"/>
          </w:tcPr>
          <w:p>
            <w:pPr>
              <w:spacing w:after="0"/>
              <w:rPr>
                <w:sz w:val="24"/>
                <w:szCs w:val="24"/>
                <w:color w:val="auto"/>
              </w:rPr>
            </w:pPr>
          </w:p>
        </w:tc>
        <w:tc>
          <w:tcPr>
            <w:tcW w:w="9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D5EAEA"/>
          </w:tcPr>
          <w:p>
            <w:pPr>
              <w:spacing w:after="0"/>
              <w:rPr>
                <w:sz w:val="24"/>
                <w:szCs w:val="24"/>
                <w:color w:val="auto"/>
              </w:rPr>
            </w:pPr>
          </w:p>
        </w:tc>
        <w:tc>
          <w:tcPr>
            <w:tcW w:w="100" w:type="dxa"/>
            <w:vAlign w:val="bottom"/>
            <w:shd w:val="clear" w:color="auto" w:fill="D5EAEA"/>
          </w:tcPr>
          <w:p>
            <w:pPr>
              <w:spacing w:after="0"/>
              <w:rPr>
                <w:sz w:val="24"/>
                <w:szCs w:val="24"/>
                <w:color w:val="auto"/>
              </w:rPr>
            </w:pPr>
          </w:p>
        </w:tc>
        <w:tc>
          <w:tcPr>
            <w:tcW w:w="124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w w:val="97"/>
              </w:rPr>
              <w:t>18,041,000</w:t>
            </w:r>
          </w:p>
        </w:tc>
        <w:tc>
          <w:tcPr>
            <w:tcW w:w="80" w:type="dxa"/>
            <w:vAlign w:val="bottom"/>
            <w:shd w:val="clear" w:color="auto" w:fill="D5EAEA"/>
          </w:tcPr>
          <w:p>
            <w:pPr>
              <w:spacing w:after="0"/>
              <w:rPr>
                <w:sz w:val="24"/>
                <w:szCs w:val="24"/>
                <w:color w:val="auto"/>
              </w:rPr>
            </w:pPr>
          </w:p>
        </w:tc>
        <w:tc>
          <w:tcPr>
            <w:tcW w:w="9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97"/>
        </w:trPr>
        <w:tc>
          <w:tcPr>
            <w:tcW w:w="6620" w:type="dxa"/>
            <w:vAlign w:val="bottom"/>
            <w:gridSpan w:val="2"/>
          </w:tcPr>
          <w:p>
            <w:pPr>
              <w:spacing w:after="0" w:line="297" w:lineRule="exact"/>
              <w:rPr>
                <w:sz w:val="20"/>
                <w:szCs w:val="20"/>
                <w:color w:val="auto"/>
              </w:rPr>
            </w:pPr>
            <w:r>
              <w:rPr>
                <w:rFonts w:ascii="Arial" w:cs="Arial" w:eastAsia="Arial" w:hAnsi="Arial"/>
                <w:sz w:val="17"/>
                <w:szCs w:val="17"/>
                <w:color w:val="auto"/>
              </w:rPr>
              <w:t>Varuma AG</w:t>
            </w:r>
            <w:r>
              <w:rPr>
                <w:rFonts w:ascii="Arial" w:cs="Arial" w:eastAsia="Arial" w:hAnsi="Arial"/>
                <w:sz w:val="34"/>
                <w:szCs w:val="34"/>
                <w:color w:val="auto"/>
                <w:vertAlign w:val="superscript"/>
              </w:rPr>
              <w:t>(2)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11,400,000</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11,400,000</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Andrea Pfeifer</w:t>
            </w: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2,908,500</w:t>
            </w:r>
          </w:p>
        </w:tc>
        <w:tc>
          <w:tcPr>
            <w:tcW w:w="100" w:type="dxa"/>
            <w:vAlign w:val="bottom"/>
            <w:shd w:val="clear" w:color="auto" w:fill="D5EAEA"/>
          </w:tcPr>
          <w:p>
            <w:pPr>
              <w:spacing w:after="0"/>
              <w:rPr>
                <w:sz w:val="18"/>
                <w:szCs w:val="18"/>
                <w:color w:val="auto"/>
              </w:rPr>
            </w:pPr>
          </w:p>
        </w:tc>
        <w:tc>
          <w:tcPr>
            <w:tcW w:w="9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ind w:right="340"/>
              <w:spacing w:after="0"/>
              <w:rPr>
                <w:sz w:val="20"/>
                <w:szCs w:val="20"/>
                <w:color w:val="auto"/>
              </w:rPr>
            </w:pPr>
            <w:r>
              <w:rPr>
                <w:rFonts w:ascii="Arial" w:cs="Arial" w:eastAsia="Arial" w:hAnsi="Arial"/>
                <w:sz w:val="18"/>
                <w:szCs w:val="18"/>
                <w:color w:val="auto"/>
              </w:rPr>
              <w:t>2,915,250</w:t>
            </w:r>
          </w:p>
        </w:tc>
        <w:tc>
          <w:tcPr>
            <w:tcW w:w="80" w:type="dxa"/>
            <w:vAlign w:val="bottom"/>
            <w:shd w:val="clear" w:color="auto" w:fill="D5EAEA"/>
          </w:tcPr>
          <w:p>
            <w:pPr>
              <w:spacing w:after="0"/>
              <w:rPr>
                <w:sz w:val="18"/>
                <w:szCs w:val="18"/>
                <w:color w:val="auto"/>
              </w:rPr>
            </w:pPr>
          </w:p>
        </w:tc>
        <w:tc>
          <w:tcPr>
            <w:tcW w:w="9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20" w:hanging="332"/>
        <w:spacing w:after="0" w:line="25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Matthias Hothum, each of whom is a managing director of dievini Hopp BioTech holding CmbH &amp; Co KG. The address for dievini Hopp BioTech holding CmbH &amp; Co KG, Friedrich von Bohlen und Halbach and Matthias Hothum is Johann-Jakob-Astor Str. 57, 69190 Walldorf, Germany.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Borders>
              <w:bottom w:val="single" w:sz="8" w:color="54301A"/>
            </w:tcBorders>
          </w:tcPr>
          <w:p>
            <w:pPr>
              <w:spacing w:after="0"/>
              <w:rPr>
                <w:sz w:val="20"/>
                <w:szCs w:val="20"/>
                <w:color w:val="auto"/>
              </w:rPr>
            </w:pPr>
            <w:r>
              <w:rPr>
                <w:rFonts w:ascii="Arial" w:cs="Arial" w:eastAsia="Arial" w:hAnsi="Arial"/>
                <w:sz w:val="16"/>
                <w:szCs w:val="16"/>
                <w:color w:val="auto"/>
              </w:rPr>
              <w:t>Statutory Financial Statements</w:t>
            </w:r>
          </w:p>
        </w:tc>
        <w:tc>
          <w:tcPr>
            <w:tcW w:w="46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20"/>
          </w:cols>
          <w:pgMar w:left="240" w:top="21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0" w:right="780" w:hanging="332"/>
        <w:spacing w:after="0" w:line="24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been a tenant at our current location in the EPFL Innovation Park in Lausanne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As of 31 December 2016, total minimum liability for the remaining term was CHF 255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Borders>
              <w:bottom w:val="single" w:sz="8" w:color="54301A"/>
            </w:tcBorders>
          </w:tcPr>
          <w:p>
            <w:pPr>
              <w:spacing w:after="0"/>
              <w:rPr>
                <w:sz w:val="20"/>
                <w:szCs w:val="20"/>
                <w:color w:val="auto"/>
              </w:rPr>
            </w:pPr>
            <w:r>
              <w:rPr>
                <w:rFonts w:ascii="Arial" w:cs="Arial" w:eastAsia="Arial" w:hAnsi="Arial"/>
                <w:sz w:val="16"/>
                <w:szCs w:val="16"/>
                <w:color w:val="auto"/>
              </w:rPr>
              <w:t>Statutory Financial Statements</w:t>
            </w:r>
          </w:p>
        </w:tc>
        <w:tc>
          <w:tcPr>
            <w:tcW w:w="46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215"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items on Balance sheet and Income Statement</w:t>
      </w:r>
    </w:p>
    <w:p>
      <w:pPr>
        <w:spacing w:after="0" w:line="189" w:lineRule="exact"/>
        <w:rPr>
          <w:sz w:val="20"/>
          <w:szCs w:val="20"/>
          <w:color w:val="auto"/>
        </w:rPr>
      </w:pPr>
    </w:p>
    <w:p>
      <w:pPr>
        <w:ind w:left="720" w:hanging="334"/>
        <w:spacing w:after="0"/>
        <w:tabs>
          <w:tab w:leader="none" w:pos="72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Property, plant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Leasehold</w:t>
            </w:r>
          </w:p>
        </w:tc>
        <w:tc>
          <w:tcPr>
            <w:tcW w:w="1120" w:type="dxa"/>
            <w:vAlign w:val="bottom"/>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Laboratory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IT</w:t>
            </w: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Improvement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25"/>
        </w:trPr>
        <w:tc>
          <w:tcPr>
            <w:tcW w:w="65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Equipment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Equipment</w:t>
            </w:r>
          </w:p>
        </w:tc>
        <w:tc>
          <w:tcPr>
            <w:tcW w:w="12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 Furniture</w:t>
            </w:r>
          </w:p>
        </w:tc>
        <w:tc>
          <w:tcPr>
            <w:tcW w:w="1120" w:type="dxa"/>
            <w:vAlign w:val="bottom"/>
          </w:tcPr>
          <w:p>
            <w:pPr>
              <w:spacing w:after="0"/>
              <w:rPr>
                <w:sz w:val="19"/>
                <w:szCs w:val="19"/>
                <w:color w:val="auto"/>
              </w:rPr>
            </w:pPr>
          </w:p>
        </w:tc>
      </w:tr>
      <w:tr>
        <w:trPr>
          <w:trHeight w:val="399"/>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Historical cost</w:t>
            </w: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16"/>
        </w:trPr>
        <w:tc>
          <w:tcPr>
            <w:tcW w:w="6540" w:type="dxa"/>
            <w:vAlign w:val="bottom"/>
            <w:shd w:val="clear" w:color="auto" w:fill="D5EAEA"/>
          </w:tcPr>
          <w:p>
            <w:pPr>
              <w:ind w:left="340"/>
              <w:spacing w:after="0"/>
              <w:rPr>
                <w:sz w:val="20"/>
                <w:szCs w:val="20"/>
                <w:color w:val="auto"/>
              </w:rPr>
            </w:pPr>
            <w:r>
              <w:rPr>
                <w:rFonts w:ascii="Arial" w:cs="Arial" w:eastAsia="Arial" w:hAnsi="Arial"/>
                <w:sz w:val="18"/>
                <w:szCs w:val="18"/>
                <w:b w:val="1"/>
                <w:bCs w:val="1"/>
                <w:color w:val="auto"/>
              </w:rPr>
              <w:t>As of 1 January 2015</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1,815</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2,133</w:t>
            </w:r>
          </w:p>
        </w:tc>
      </w:tr>
      <w:tr>
        <w:trPr>
          <w:trHeight w:val="196"/>
        </w:trPr>
        <w:tc>
          <w:tcPr>
            <w:tcW w:w="6540" w:type="dxa"/>
            <w:vAlign w:val="bottom"/>
          </w:tcPr>
          <w:p>
            <w:pPr>
              <w:ind w:left="340"/>
              <w:spacing w:after="0" w:line="196" w:lineRule="exact"/>
              <w:rPr>
                <w:sz w:val="20"/>
                <w:szCs w:val="20"/>
                <w:color w:val="auto"/>
              </w:rPr>
            </w:pPr>
            <w:r>
              <w:rPr>
                <w:rFonts w:ascii="Arial" w:cs="Arial" w:eastAsia="Arial" w:hAnsi="Arial"/>
                <w:sz w:val="18"/>
                <w:szCs w:val="18"/>
                <w:color w:val="auto"/>
              </w:rPr>
              <w:t>Acquisitions</w:t>
            </w:r>
          </w:p>
        </w:tc>
        <w:tc>
          <w:tcPr>
            <w:tcW w:w="116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243</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243</w:t>
            </w:r>
          </w:p>
        </w:tc>
      </w:tr>
      <w:tr>
        <w:trPr>
          <w:trHeight w:val="216"/>
        </w:trPr>
        <w:tc>
          <w:tcPr>
            <w:tcW w:w="6540" w:type="dxa"/>
            <w:vAlign w:val="bottom"/>
            <w:shd w:val="clear" w:color="auto" w:fill="D5EAEA"/>
          </w:tcPr>
          <w:p>
            <w:pPr>
              <w:ind w:left="340"/>
              <w:spacing w:after="0"/>
              <w:rPr>
                <w:sz w:val="20"/>
                <w:szCs w:val="20"/>
                <w:color w:val="auto"/>
              </w:rPr>
            </w:pPr>
            <w:r>
              <w:rPr>
                <w:rFonts w:ascii="Arial" w:cs="Arial" w:eastAsia="Arial" w:hAnsi="Arial"/>
                <w:sz w:val="18"/>
                <w:szCs w:val="18"/>
                <w:b w:val="1"/>
                <w:bCs w:val="1"/>
                <w:color w:val="auto"/>
              </w:rPr>
              <w:t>As of 31 December 2015</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2,058</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4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2,376</w:t>
            </w:r>
          </w:p>
        </w:tc>
      </w:tr>
      <w:tr>
        <w:trPr>
          <w:trHeight w:val="196"/>
        </w:trPr>
        <w:tc>
          <w:tcPr>
            <w:tcW w:w="6540" w:type="dxa"/>
            <w:vAlign w:val="bottom"/>
            <w:tcBorders>
              <w:bottom w:val="single" w:sz="8" w:color="D5EAEA"/>
            </w:tcBorders>
          </w:tcPr>
          <w:p>
            <w:pPr>
              <w:ind w:left="340"/>
              <w:spacing w:after="0" w:line="196" w:lineRule="exact"/>
              <w:rPr>
                <w:sz w:val="20"/>
                <w:szCs w:val="20"/>
                <w:color w:val="auto"/>
              </w:rPr>
            </w:pPr>
            <w:r>
              <w:rPr>
                <w:rFonts w:ascii="Arial" w:cs="Arial" w:eastAsia="Arial" w:hAnsi="Arial"/>
                <w:sz w:val="18"/>
                <w:szCs w:val="18"/>
                <w:color w:val="auto"/>
              </w:rPr>
              <w:t>Acquisitions</w:t>
            </w:r>
          </w:p>
        </w:tc>
        <w:tc>
          <w:tcPr>
            <w:tcW w:w="116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735</w:t>
            </w:r>
          </w:p>
        </w:tc>
        <w:tc>
          <w:tcPr>
            <w:tcW w:w="120" w:type="dxa"/>
            <w:vAlign w:val="bottom"/>
            <w:tcBorders>
              <w:bottom w:val="single" w:sz="8" w:color="D5EAEA"/>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126</w:t>
            </w:r>
          </w:p>
        </w:tc>
        <w:tc>
          <w:tcPr>
            <w:tcW w:w="120" w:type="dxa"/>
            <w:vAlign w:val="bottom"/>
            <w:tcBorders>
              <w:bottom w:val="single" w:sz="8" w:color="D5EAEA"/>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D5EAEA"/>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898</w:t>
            </w:r>
          </w:p>
        </w:tc>
      </w:tr>
      <w:tr>
        <w:trPr>
          <w:trHeight w:val="196"/>
        </w:trPr>
        <w:tc>
          <w:tcPr>
            <w:tcW w:w="6540" w:type="dxa"/>
            <w:vAlign w:val="bottom"/>
            <w:shd w:val="clear" w:color="auto" w:fill="D5EAEA"/>
          </w:tcPr>
          <w:p>
            <w:pPr>
              <w:ind w:left="340"/>
              <w:spacing w:after="0" w:line="196" w:lineRule="exact"/>
              <w:rPr>
                <w:sz w:val="20"/>
                <w:szCs w:val="20"/>
                <w:color w:val="auto"/>
              </w:rPr>
            </w:pPr>
            <w:r>
              <w:rPr>
                <w:rFonts w:ascii="Arial" w:cs="Arial" w:eastAsia="Arial" w:hAnsi="Arial"/>
                <w:sz w:val="18"/>
                <w:szCs w:val="18"/>
                <w:b w:val="1"/>
                <w:bCs w:val="1"/>
                <w:color w:val="auto"/>
              </w:rPr>
              <w:t>As of 31 December 2016</w:t>
            </w:r>
          </w:p>
        </w:tc>
        <w:tc>
          <w:tcPr>
            <w:tcW w:w="116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2,793</w:t>
            </w:r>
          </w:p>
        </w:tc>
        <w:tc>
          <w:tcPr>
            <w:tcW w:w="120" w:type="dxa"/>
            <w:vAlign w:val="bottom"/>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298</w:t>
            </w:r>
          </w:p>
        </w:tc>
        <w:tc>
          <w:tcPr>
            <w:tcW w:w="1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3,274</w:t>
            </w:r>
          </w:p>
        </w:tc>
      </w:tr>
      <w:tr>
        <w:trPr>
          <w:trHeight w:val="196"/>
        </w:trPr>
        <w:tc>
          <w:tcPr>
            <w:tcW w:w="6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540" w:type="dxa"/>
            <w:vAlign w:val="bottom"/>
            <w:shd w:val="clear" w:color="auto" w:fill="D5EAEA"/>
          </w:tcPr>
          <w:p>
            <w:pPr>
              <w:ind w:left="340"/>
              <w:spacing w:after="0" w:line="202" w:lineRule="exact"/>
              <w:rPr>
                <w:sz w:val="20"/>
                <w:szCs w:val="20"/>
                <w:color w:val="auto"/>
              </w:rPr>
            </w:pPr>
            <w:r>
              <w:rPr>
                <w:rFonts w:ascii="Arial" w:cs="Arial" w:eastAsia="Arial" w:hAnsi="Arial"/>
                <w:sz w:val="18"/>
                <w:szCs w:val="18"/>
                <w:b w:val="1"/>
                <w:bCs w:val="1"/>
                <w:color w:val="auto"/>
              </w:rPr>
              <w:t>Accumulated depreciation</w:t>
            </w: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As of 1 January 2015</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1,589</w:t>
            </w:r>
          </w:p>
        </w:tc>
      </w:tr>
      <w:tr>
        <w:trPr>
          <w:trHeight w:val="196"/>
        </w:trPr>
        <w:tc>
          <w:tcPr>
            <w:tcW w:w="6540" w:type="dxa"/>
            <w:vAlign w:val="bottom"/>
            <w:tcBorders>
              <w:top w:val="single" w:sz="8" w:color="D5EAEA"/>
            </w:tcBorders>
            <w:shd w:val="clear" w:color="auto" w:fill="D5EAEA"/>
          </w:tcPr>
          <w:p>
            <w:pPr>
              <w:ind w:left="340"/>
              <w:spacing w:after="0" w:line="196" w:lineRule="exact"/>
              <w:rPr>
                <w:sz w:val="20"/>
                <w:szCs w:val="20"/>
                <w:color w:val="auto"/>
              </w:rPr>
            </w:pPr>
            <w:r>
              <w:rPr>
                <w:rFonts w:ascii="Arial" w:cs="Arial" w:eastAsia="Arial" w:hAnsi="Arial"/>
                <w:sz w:val="18"/>
                <w:szCs w:val="18"/>
                <w:color w:val="auto"/>
              </w:rPr>
              <w:t>Depreciation</w:t>
            </w:r>
          </w:p>
        </w:tc>
        <w:tc>
          <w:tcPr>
            <w:tcW w:w="1160" w:type="dxa"/>
            <w:vAlign w:val="bottom"/>
            <w:tcBorders>
              <w:top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232</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38</w:t>
            </w: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287</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As of 31 December 2015</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1,629</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138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1,876</w:t>
            </w:r>
          </w:p>
        </w:tc>
      </w:tr>
      <w:tr>
        <w:trPr>
          <w:trHeight w:val="196"/>
        </w:trPr>
        <w:tc>
          <w:tcPr>
            <w:tcW w:w="6540" w:type="dxa"/>
            <w:vAlign w:val="bottom"/>
            <w:tcBorders>
              <w:top w:val="single" w:sz="8" w:color="D5EAEA"/>
            </w:tcBorders>
            <w:shd w:val="clear" w:color="auto" w:fill="D5EAEA"/>
          </w:tcPr>
          <w:p>
            <w:pPr>
              <w:ind w:left="340"/>
              <w:spacing w:after="0" w:line="196" w:lineRule="exact"/>
              <w:rPr>
                <w:sz w:val="20"/>
                <w:szCs w:val="20"/>
                <w:color w:val="auto"/>
              </w:rPr>
            </w:pPr>
            <w:r>
              <w:rPr>
                <w:rFonts w:ascii="Arial" w:cs="Arial" w:eastAsia="Arial" w:hAnsi="Arial"/>
                <w:sz w:val="18"/>
                <w:szCs w:val="18"/>
                <w:color w:val="auto"/>
              </w:rPr>
              <w:t>Depreciation</w:t>
            </w:r>
          </w:p>
        </w:tc>
        <w:tc>
          <w:tcPr>
            <w:tcW w:w="1160" w:type="dxa"/>
            <w:vAlign w:val="bottom"/>
            <w:tcBorders>
              <w:top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229</w:t>
            </w: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34</w:t>
            </w: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278</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As of 31 December 2016</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1,858</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2,154</w:t>
            </w:r>
          </w:p>
        </w:tc>
      </w:tr>
      <w:tr>
        <w:trPr>
          <w:trHeight w:val="196"/>
        </w:trPr>
        <w:tc>
          <w:tcPr>
            <w:tcW w:w="654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Net book value 31 December 2015</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r>
      <w:tr>
        <w:trPr>
          <w:trHeight w:val="196"/>
        </w:trPr>
        <w:tc>
          <w:tcPr>
            <w:tcW w:w="6540" w:type="dxa"/>
            <w:vAlign w:val="bottom"/>
            <w:tcBorders>
              <w:top w:val="single" w:sz="8" w:color="D5EAEA"/>
            </w:tcBorders>
            <w:shd w:val="clear" w:color="auto" w:fill="D5EAEA"/>
          </w:tcPr>
          <w:p>
            <w:pPr>
              <w:spacing w:after="0"/>
              <w:rPr>
                <w:sz w:val="17"/>
                <w:szCs w:val="17"/>
                <w:color w:val="auto"/>
              </w:rPr>
            </w:pPr>
          </w:p>
        </w:tc>
        <w:tc>
          <w:tcPr>
            <w:tcW w:w="116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Net book value 31 December 2016</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935</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1,120</w:t>
            </w:r>
          </w:p>
        </w:tc>
      </w:tr>
    </w:tbl>
    <w:p>
      <w:pPr>
        <w:spacing w:after="0" w:line="170" w:lineRule="exact"/>
        <w:rPr>
          <w:sz w:val="20"/>
          <w:szCs w:val="20"/>
          <w:color w:val="auto"/>
        </w:rPr>
      </w:pPr>
    </w:p>
    <w:p>
      <w:pPr>
        <w:ind w:left="720" w:hanging="334"/>
        <w:spacing w:after="0"/>
        <w:tabs>
          <w:tab w:leader="none" w:pos="72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Financial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D5EAEA"/>
            </w:tcBorders>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686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Rental deposit (restricted cash)</w:t>
            </w: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83</w:t>
            </w: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color w:val="auto"/>
              </w:rPr>
              <w:t>Security deposit</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D5EAEA"/>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D5EAEA"/>
            </w:tcBorders>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hanging="334"/>
        <w:spacing w:after="0"/>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Cash and cash equivalents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560" w:type="dxa"/>
            <w:vAlign w:val="bottom"/>
            <w:gridSpan w:val="4"/>
          </w:tcPr>
          <w:p>
            <w:pPr>
              <w:jc w:val="right"/>
              <w:ind w:right="23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3"/>
            <w:vMerge w:val="continue"/>
          </w:tcPr>
          <w:p>
            <w:pPr>
              <w:spacing w:after="0"/>
              <w:rPr>
                <w:sz w:val="18"/>
                <w:szCs w:val="18"/>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auto"/>
            </w:tcBorders>
            <w:shd w:val="clear" w:color="auto" w:fill="D5EAEA"/>
          </w:tcPr>
          <w:p>
            <w:pPr>
              <w:spacing w:after="0" w:line="196" w:lineRule="exact"/>
              <w:rPr>
                <w:sz w:val="20"/>
                <w:szCs w:val="20"/>
                <w:color w:val="auto"/>
              </w:rPr>
            </w:pPr>
            <w:r>
              <w:rPr>
                <w:rFonts w:ascii="Arial" w:cs="Arial" w:eastAsia="Arial" w:hAnsi="Arial"/>
                <w:sz w:val="18"/>
                <w:szCs w:val="18"/>
                <w:color w:val="auto"/>
              </w:rPr>
              <w:t>Cash</w:t>
            </w:r>
          </w:p>
        </w:tc>
        <w:tc>
          <w:tcPr>
            <w:tcW w:w="8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11,366</w:t>
            </w:r>
          </w:p>
        </w:tc>
        <w:tc>
          <w:tcPr>
            <w:tcW w:w="100" w:type="dxa"/>
            <w:vAlign w:val="bottom"/>
            <w:tcBorders>
              <w:top w:val="single" w:sz="8" w:color="D5EAEA"/>
            </w:tcBorders>
            <w:shd w:val="clear" w:color="auto" w:fill="D5EAEA"/>
          </w:tcPr>
          <w:p>
            <w:pPr>
              <w:spacing w:after="0"/>
              <w:rPr>
                <w:sz w:val="17"/>
                <w:szCs w:val="17"/>
                <w:color w:val="auto"/>
              </w:rPr>
            </w:pPr>
          </w:p>
        </w:tc>
        <w:tc>
          <w:tcPr>
            <w:tcW w:w="106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76,522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Short term deposits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142,465</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153,831</w:t>
            </w: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76,522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By Currency</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CHF</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41,322</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19,812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2"/>
            <w:shd w:val="clear" w:color="auto" w:fill="D5EAEA"/>
          </w:tcPr>
          <w:p>
            <w:pPr>
              <w:spacing w:after="0" w:line="202" w:lineRule="exact"/>
              <w:rPr>
                <w:sz w:val="20"/>
                <w:szCs w:val="20"/>
                <w:color w:val="auto"/>
              </w:rPr>
            </w:pPr>
            <w:r>
              <w:rPr>
                <w:rFonts w:ascii="Arial" w:cs="Arial" w:eastAsia="Arial" w:hAnsi="Arial"/>
                <w:sz w:val="18"/>
                <w:szCs w:val="18"/>
                <w:color w:val="auto"/>
              </w:rPr>
              <w:t>EUR</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6,818</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2,371</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USD</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105,691</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100" w:type="dxa"/>
            <w:vAlign w:val="bottom"/>
            <w:tcBorders>
              <w:bottom w:val="single" w:sz="8" w:color="D5EAEA"/>
            </w:tcBorders>
            <w:shd w:val="clear" w:color="auto" w:fill="D5EAEA"/>
          </w:tcPr>
          <w:p>
            <w:pPr>
              <w:spacing w:after="0"/>
              <w:rPr>
                <w:sz w:val="20"/>
                <w:szCs w:val="20"/>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76,522</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860" w:type="dxa"/>
            <w:vAlign w:val="bottom"/>
            <w:tcBorders>
              <w:bottom w:val="single" w:sz="8" w:color="54301A"/>
            </w:tcBorders>
            <w:gridSpan w:val="3"/>
          </w:tcPr>
          <w:p>
            <w:pPr>
              <w:spacing w:after="0"/>
              <w:rPr>
                <w:sz w:val="20"/>
                <w:szCs w:val="20"/>
                <w:color w:val="auto"/>
              </w:rPr>
            </w:pPr>
            <w:r>
              <w:rPr>
                <w:rFonts w:ascii="Arial" w:cs="Arial" w:eastAsia="Arial" w:hAnsi="Arial"/>
                <w:sz w:val="16"/>
                <w:szCs w:val="16"/>
                <w:color w:val="auto"/>
              </w:rPr>
              <w:t>Statutory Financial Statements</w:t>
            </w: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3340" w:type="dxa"/>
            <w:vAlign w:val="bottom"/>
            <w:tcBorders>
              <w:bottom w:val="single" w:sz="8" w:color="54301A"/>
            </w:tcBorders>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720" w:hanging="334"/>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Total current receivables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Other current receivables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 to third parties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5EAEA"/>
          </w:tcPr>
          <w:p>
            <w:pPr>
              <w:spacing w:after="0"/>
              <w:rPr>
                <w:sz w:val="20"/>
                <w:szCs w:val="20"/>
                <w:color w:val="auto"/>
              </w:rPr>
            </w:pPr>
            <w:r>
              <w:rPr>
                <w:rFonts w:ascii="Arial" w:cs="Arial" w:eastAsia="Arial" w:hAnsi="Arial"/>
                <w:sz w:val="18"/>
                <w:szCs w:val="18"/>
                <w:color w:val="auto"/>
              </w:rPr>
              <w:t>- short-term financial receivables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334"/>
        <w:spacing w:after="0"/>
        <w:tabs>
          <w:tab w:leader="none" w:pos="720"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Prepaid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1,278</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Deferred offering costs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D5EAEA"/>
            </w:tcBorders>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hanging="334"/>
        <w:spacing w:after="0"/>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Share capital</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at 31 December 2016, the issued share capital amounted to CHF 1,135,468 is comprised of 56,773,392 common shares at a par value of CHF 0.02 per common share.</w:t>
      </w:r>
    </w:p>
    <w:p>
      <w:pPr>
        <w:spacing w:after="0" w:line="152" w:lineRule="exact"/>
        <w:rPr>
          <w:sz w:val="20"/>
          <w:szCs w:val="20"/>
          <w:color w:val="auto"/>
        </w:rPr>
      </w:pPr>
    </w:p>
    <w:p>
      <w:pPr>
        <w:ind w:left="720" w:hanging="334"/>
        <w:spacing w:after="0"/>
        <w:tabs>
          <w:tab w:leader="none" w:pos="72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Trade payables and accrued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686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to third parties</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2,720</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 to shareholders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4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Accrued payroll expenses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2,560</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Accrued R&amp;D costs</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3,265</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Other accrued expenses</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817</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5EAEA"/>
          </w:tcPr>
          <w:p>
            <w:pPr>
              <w:spacing w:after="0"/>
              <w:rPr>
                <w:sz w:val="20"/>
                <w:szCs w:val="20"/>
                <w:color w:val="auto"/>
              </w:rPr>
            </w:pPr>
            <w:r>
              <w:rPr>
                <w:rFonts w:ascii="Arial" w:cs="Arial" w:eastAsia="Arial" w:hAnsi="Arial"/>
                <w:sz w:val="18"/>
                <w:szCs w:val="18"/>
                <w:color w:val="auto"/>
              </w:rPr>
              <w:t>Current portion of deferred Income</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color w:val="auto"/>
              </w:rPr>
              <w:t>Total accrued expenses and deferred income</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7,163</w:t>
            </w:r>
          </w:p>
        </w:tc>
        <w:tc>
          <w:tcPr>
            <w:tcW w:w="100" w:type="dxa"/>
            <w:vAlign w:val="bottom"/>
            <w:tcBorders>
              <w:bottom w:val="single" w:sz="8" w:color="D5EAEA"/>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9,922</w:t>
            </w:r>
          </w:p>
        </w:tc>
        <w:tc>
          <w:tcPr>
            <w:tcW w:w="100" w:type="dxa"/>
            <w:vAlign w:val="bottom"/>
            <w:tcBorders>
              <w:bottom w:val="single" w:sz="8" w:color="D5EAEA"/>
            </w:tcBorders>
            <w:shd w:val="clear" w:color="auto" w:fill="D5EAEA"/>
          </w:tcPr>
          <w:p>
            <w:pPr>
              <w:spacing w:after="0"/>
              <w:rPr>
                <w:sz w:val="20"/>
                <w:szCs w:val="20"/>
                <w:color w:val="auto"/>
              </w:rPr>
            </w:pPr>
          </w:p>
        </w:tc>
        <w:tc>
          <w:tcPr>
            <w:tcW w:w="106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hanging="334"/>
        <w:spacing w:after="0"/>
        <w:tabs>
          <w:tab w:leader="none" w:pos="72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Revenues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560" w:type="dxa"/>
            <w:vAlign w:val="bottom"/>
            <w:gridSpan w:val="4"/>
          </w:tcPr>
          <w:p>
            <w:pPr>
              <w:jc w:val="right"/>
              <w:ind w:right="23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Collaboration and license revenue</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22,737</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38,745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Grant revenue</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469</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5EAEA"/>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860" w:type="dxa"/>
            <w:vAlign w:val="bottom"/>
            <w:tcBorders>
              <w:bottom w:val="single" w:sz="8" w:color="54301A"/>
            </w:tcBorders>
            <w:gridSpan w:val="2"/>
          </w:tcPr>
          <w:p>
            <w:pPr>
              <w:spacing w:after="0"/>
              <w:rPr>
                <w:sz w:val="20"/>
                <w:szCs w:val="20"/>
                <w:color w:val="auto"/>
              </w:rPr>
            </w:pPr>
            <w:r>
              <w:rPr>
                <w:rFonts w:ascii="Arial" w:cs="Arial" w:eastAsia="Arial" w:hAnsi="Arial"/>
                <w:sz w:val="16"/>
                <w:szCs w:val="16"/>
                <w:color w:val="auto"/>
              </w:rPr>
              <w:t>Statutory Financial Statements</w:t>
            </w: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3340" w:type="dxa"/>
            <w:vAlign w:val="bottom"/>
            <w:tcBorders>
              <w:bottom w:val="single" w:sz="8" w:color="54301A"/>
            </w:tcBorders>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b w:val="1"/>
          <w:bCs w:val="1"/>
          <w:color w:val="auto"/>
        </w:rPr>
        <w:t>Operating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Salaries and related costs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related to research and development</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6,441</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general administrative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salaries and related cost</w:t>
            </w: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10,168</w:t>
            </w: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Research and development expenses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related to research and development expense</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18,489</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research and development expenses</w:t>
            </w: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18,489</w:t>
            </w: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General and administrative expenses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 related to regular general and adminstrative</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3,168</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5EAEA"/>
          </w:tcPr>
          <w:p>
            <w:pPr>
              <w:spacing w:after="0"/>
              <w:rPr>
                <w:sz w:val="20"/>
                <w:szCs w:val="20"/>
                <w:color w:val="auto"/>
              </w:rPr>
            </w:pPr>
            <w:r>
              <w:rPr>
                <w:rFonts w:ascii="Arial" w:cs="Arial" w:eastAsia="Arial" w:hAnsi="Arial"/>
                <w:sz w:val="18"/>
                <w:szCs w:val="18"/>
                <w:color w:val="auto"/>
              </w:rPr>
              <w:t>- related to IPO</w:t>
            </w: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general and administrative expenses</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7,010</w:t>
            </w:r>
          </w:p>
        </w:tc>
        <w:tc>
          <w:tcPr>
            <w:tcW w:w="100" w:type="dxa"/>
            <w:vAlign w:val="bottom"/>
            <w:tcBorders>
              <w:bottom w:val="single" w:sz="8" w:color="D5EAEA"/>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gridSpan w:val="2"/>
          </w:tcPr>
          <w:p>
            <w:pPr>
              <w:spacing w:after="0" w:line="196" w:lineRule="exact"/>
              <w:rPr>
                <w:sz w:val="20"/>
                <w:szCs w:val="20"/>
                <w:color w:val="auto"/>
              </w:rPr>
            </w:pPr>
            <w:r>
              <w:rPr>
                <w:rFonts w:ascii="Arial" w:cs="Arial" w:eastAsia="Arial" w:hAnsi="Arial"/>
                <w:sz w:val="18"/>
                <w:szCs w:val="18"/>
                <w:color w:val="auto"/>
              </w:rPr>
              <w:t>Depreciation of fixed asssets</w:t>
            </w: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278</w:t>
            </w:r>
          </w:p>
        </w:tc>
        <w:tc>
          <w:tcPr>
            <w:tcW w:w="1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35,945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720" w:hanging="334"/>
        <w:spacing w:after="0"/>
        <w:tabs>
          <w:tab w:leader="none" w:pos="72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Financial income and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560" w:type="dxa"/>
            <w:vAlign w:val="bottom"/>
            <w:gridSpan w:val="4"/>
          </w:tcPr>
          <w:p>
            <w:pPr>
              <w:jc w:val="right"/>
              <w:ind w:right="23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Financial income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interest income</w:t>
            </w:r>
          </w:p>
        </w:tc>
        <w:tc>
          <w:tcPr>
            <w:tcW w:w="1120" w:type="dxa"/>
            <w:vAlign w:val="bottom"/>
            <w:shd w:val="clear" w:color="auto" w:fill="D5EAEA"/>
          </w:tcPr>
          <w:p>
            <w:pPr>
              <w:jc w:val="right"/>
              <w:ind w:right="12"/>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56</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foreign exchange gains</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financial income</w:t>
            </w:r>
          </w:p>
        </w:tc>
        <w:tc>
          <w:tcPr>
            <w:tcW w:w="1120" w:type="dxa"/>
            <w:vAlign w:val="bottom"/>
            <w:tcBorders>
              <w:bottom w:val="single" w:sz="8" w:color="auto"/>
            </w:tcBorders>
            <w:shd w:val="clear" w:color="auto" w:fill="D5EAEA"/>
          </w:tcPr>
          <w:p>
            <w:pPr>
              <w:jc w:val="right"/>
              <w:ind w:right="12"/>
              <w:spacing w:after="0" w:line="196" w:lineRule="exact"/>
              <w:rPr>
                <w:sz w:val="20"/>
                <w:szCs w:val="20"/>
                <w:color w:val="auto"/>
              </w:rPr>
            </w:pPr>
            <w:r>
              <w:rPr>
                <w:rFonts w:ascii="Arial" w:cs="Arial" w:eastAsia="Arial" w:hAnsi="Arial"/>
                <w:sz w:val="18"/>
                <w:szCs w:val="18"/>
                <w:color w:val="auto"/>
              </w:rPr>
              <w:t>5,238</w:t>
            </w:r>
          </w:p>
        </w:tc>
        <w:tc>
          <w:tcPr>
            <w:tcW w:w="100" w:type="dxa"/>
            <w:vAlign w:val="bottom"/>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1,674</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Financial expenses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 foreign exchange (losses)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 bank fees</w:t>
            </w: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interest expense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expenses</w:t>
            </w:r>
          </w:p>
        </w:tc>
        <w:tc>
          <w:tcPr>
            <w:tcW w:w="1120" w:type="dxa"/>
            <w:vAlign w:val="bottom"/>
            <w:tcBorders>
              <w:bottom w:val="single" w:sz="8" w:color="auto"/>
            </w:tcBorders>
            <w:shd w:val="clear" w:color="auto" w:fill="D5EAEA"/>
          </w:tcPr>
          <w:p>
            <w:pPr>
              <w:jc w:val="right"/>
              <w:spacing w:after="0" w:line="236" w:lineRule="exact"/>
              <w:rPr>
                <w:sz w:val="20"/>
                <w:szCs w:val="20"/>
                <w:color w:val="auto"/>
              </w:rPr>
            </w:pPr>
            <w:r>
              <w:rPr>
                <w:rFonts w:ascii="Arial" w:cs="Arial" w:eastAsia="Arial" w:hAnsi="Arial"/>
                <w:sz w:val="15"/>
                <w:szCs w:val="15"/>
                <w:color w:val="auto"/>
              </w:rPr>
              <w:t>(135</w:t>
            </w:r>
            <w:r>
              <w:rPr>
                <w:rFonts w:ascii="Arial" w:cs="Arial" w:eastAsia="Arial" w:hAnsi="Arial"/>
                <w:sz w:val="27"/>
                <w:szCs w:val="27"/>
                <w:color w:val="auto"/>
                <w:vertAlign w:val="superscript"/>
              </w:rPr>
              <w:t>)</w:t>
            </w:r>
          </w:p>
        </w:tc>
        <w:tc>
          <w:tcPr>
            <w:tcW w:w="100" w:type="dxa"/>
            <w:vAlign w:val="bottom"/>
            <w:tcBorders>
              <w:bottom w:val="single" w:sz="8" w:color="D5EAEA"/>
            </w:tcBorders>
            <w:shd w:val="clear" w:color="auto" w:fill="D5EAEA"/>
          </w:tcPr>
          <w:p>
            <w:pPr>
              <w:spacing w:after="0"/>
              <w:rPr>
                <w:sz w:val="20"/>
                <w:szCs w:val="20"/>
                <w:color w:val="auto"/>
              </w:rPr>
            </w:pPr>
          </w:p>
        </w:tc>
        <w:tc>
          <w:tcPr>
            <w:tcW w:w="1060" w:type="dxa"/>
            <w:vAlign w:val="bottom"/>
            <w:tcBorders>
              <w:bottom w:val="single" w:sz="8" w:color="auto"/>
            </w:tcBorders>
            <w:shd w:val="clear" w:color="auto" w:fill="D5EAEA"/>
          </w:tcPr>
          <w:p>
            <w:pPr>
              <w:jc w:val="right"/>
              <w:spacing w:after="0" w:line="236" w:lineRule="exact"/>
              <w:rPr>
                <w:sz w:val="20"/>
                <w:szCs w:val="20"/>
                <w:color w:val="auto"/>
              </w:rPr>
            </w:pPr>
            <w:r>
              <w:rPr>
                <w:rFonts w:ascii="Arial" w:cs="Arial" w:eastAsia="Arial" w:hAnsi="Arial"/>
                <w:sz w:val="15"/>
                <w:szCs w:val="15"/>
                <w:color w:val="auto"/>
              </w:rPr>
              <w:t>(27</w:t>
            </w:r>
            <w:r>
              <w:rPr>
                <w:rFonts w:ascii="Arial" w:cs="Arial" w:eastAsia="Arial" w:hAnsi="Arial"/>
                <w:sz w:val="27"/>
                <w:szCs w:val="27"/>
                <w:color w:val="auto"/>
                <w:vertAlign w:val="superscript"/>
              </w:rPr>
              <w: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860" w:type="dxa"/>
            <w:vAlign w:val="bottom"/>
            <w:tcBorders>
              <w:bottom w:val="single" w:sz="8" w:color="54301A"/>
            </w:tcBorders>
            <w:gridSpan w:val="2"/>
          </w:tcPr>
          <w:p>
            <w:pPr>
              <w:spacing w:after="0"/>
              <w:rPr>
                <w:sz w:val="20"/>
                <w:szCs w:val="20"/>
                <w:color w:val="auto"/>
              </w:rPr>
            </w:pPr>
            <w:r>
              <w:rPr>
                <w:rFonts w:ascii="Arial" w:cs="Arial" w:eastAsia="Arial" w:hAnsi="Arial"/>
                <w:sz w:val="16"/>
                <w:szCs w:val="16"/>
                <w:color w:val="auto"/>
              </w:rPr>
              <w:t>Statutory Financial Statements</w:t>
            </w: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3340" w:type="dxa"/>
            <w:vAlign w:val="bottom"/>
            <w:tcBorders>
              <w:bottom w:val="single" w:sz="8" w:color="54301A"/>
            </w:tcBorders>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720" w:hanging="334"/>
        <w:spacing w:after="0"/>
        <w:tabs>
          <w:tab w:leader="none" w:pos="72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Shareholders rights and options</w:t>
      </w:r>
    </w:p>
    <w:p>
      <w:pPr>
        <w:spacing w:after="0" w:line="22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following table presents information on the allocation of shares and options to executive officers, directors and employees in accordance with Article 959c, paragraph 2, number 11 Swiss Code of Obligations (CO) as at 31 December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96"/>
              </w:rPr>
              <w:t>Shares</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w w:val="96"/>
              </w:rPr>
              <w:t>Options</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Number</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CHF</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Number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CHF</w:t>
            </w:r>
          </w:p>
        </w:tc>
        <w:tc>
          <w:tcPr>
            <w:tcW w:w="0" w:type="dxa"/>
            <w:vAlign w:val="bottom"/>
          </w:tcPr>
          <w:p>
            <w:pPr>
              <w:spacing w:after="0"/>
              <w:rPr>
                <w:sz w:val="1"/>
                <w:szCs w:val="1"/>
                <w:color w:val="auto"/>
              </w:rPr>
            </w:pPr>
          </w:p>
        </w:tc>
      </w:tr>
      <w:tr>
        <w:trPr>
          <w:trHeight w:val="196"/>
        </w:trPr>
        <w:tc>
          <w:tcPr>
            <w:tcW w:w="6500" w:type="dxa"/>
            <w:vAlign w:val="bottom"/>
            <w:tcBorders>
              <w:top w:val="single" w:sz="8" w:color="D5EAEA"/>
            </w:tcBorders>
            <w:shd w:val="clear" w:color="auto" w:fill="D5EAEA"/>
          </w:tcPr>
          <w:p>
            <w:pPr>
              <w:spacing w:after="0" w:line="196" w:lineRule="exact"/>
              <w:rPr>
                <w:sz w:val="20"/>
                <w:szCs w:val="20"/>
                <w:color w:val="auto"/>
              </w:rPr>
            </w:pPr>
            <w:r>
              <w:rPr>
                <w:rFonts w:ascii="Arial" w:cs="Arial" w:eastAsia="Arial" w:hAnsi="Arial"/>
                <w:sz w:val="18"/>
                <w:szCs w:val="18"/>
                <w:color w:val="auto"/>
              </w:rPr>
              <w:t>Issued to executive officers and directors</w:t>
            </w:r>
          </w:p>
        </w:tc>
        <w:tc>
          <w:tcPr>
            <w:tcW w:w="112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5,562,500</w:t>
            </w: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74,426</w:t>
            </w:r>
          </w:p>
        </w:tc>
        <w:tc>
          <w:tcPr>
            <w:tcW w:w="100" w:type="dxa"/>
            <w:vAlign w:val="bottom"/>
            <w:tcBorders>
              <w:top w:val="single" w:sz="8" w:color="D5EAEA"/>
            </w:tcBorders>
            <w:shd w:val="clear" w:color="auto" w:fill="D5EAEA"/>
          </w:tcPr>
          <w:p>
            <w:pPr>
              <w:spacing w:after="0"/>
              <w:rPr>
                <w:sz w:val="17"/>
                <w:szCs w:val="17"/>
                <w:color w:val="auto"/>
              </w:rPr>
            </w:pPr>
          </w:p>
        </w:tc>
        <w:tc>
          <w:tcPr>
            <w:tcW w:w="1440" w:type="dxa"/>
            <w:vAlign w:val="bottom"/>
            <w:tcBorders>
              <w:top w:val="single" w:sz="8" w:color="auto"/>
            </w:tcBorders>
            <w:shd w:val="clear" w:color="auto" w:fill="D5EAEA"/>
          </w:tcPr>
          <w:p>
            <w:pPr>
              <w:ind w:left="680"/>
              <w:spacing w:after="0" w:line="196" w:lineRule="exact"/>
              <w:rPr>
                <w:sz w:val="20"/>
                <w:szCs w:val="20"/>
                <w:color w:val="auto"/>
              </w:rPr>
            </w:pPr>
            <w:r>
              <w:rPr>
                <w:rFonts w:ascii="Arial" w:cs="Arial" w:eastAsia="Arial" w:hAnsi="Arial"/>
                <w:sz w:val="18"/>
                <w:szCs w:val="18"/>
                <w:color w:val="auto"/>
              </w:rPr>
              <w:t>656,750</w:t>
            </w:r>
          </w:p>
        </w:tc>
        <w:tc>
          <w:tcPr>
            <w:tcW w:w="100" w:type="dxa"/>
            <w:vAlign w:val="bottom"/>
            <w:tcBorders>
              <w:top w:val="single" w:sz="8" w:color="D5EAEA"/>
            </w:tcBorders>
            <w:shd w:val="clear" w:color="auto" w:fill="D5EAEA"/>
          </w:tcPr>
          <w:p>
            <w:pPr>
              <w:spacing w:after="0"/>
              <w:rPr>
                <w:sz w:val="17"/>
                <w:szCs w:val="17"/>
                <w:color w:val="auto"/>
              </w:rPr>
            </w:pPr>
          </w:p>
        </w:tc>
        <w:tc>
          <w:tcPr>
            <w:tcW w:w="92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Issued to employees</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843,225</w:t>
            </w:r>
          </w:p>
        </w:tc>
        <w:tc>
          <w:tcPr>
            <w:tcW w:w="12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D5EAEA"/>
            </w:tcBorders>
          </w:tcPr>
          <w:p>
            <w:pPr>
              <w:spacing w:after="0"/>
              <w:rPr>
                <w:sz w:val="18"/>
                <w:szCs w:val="18"/>
                <w:color w:val="auto"/>
              </w:rPr>
            </w:pPr>
          </w:p>
        </w:tc>
        <w:tc>
          <w:tcPr>
            <w:tcW w:w="1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343,625</w:t>
            </w:r>
          </w:p>
        </w:tc>
        <w:tc>
          <w:tcPr>
            <w:tcW w:w="100" w:type="dxa"/>
            <w:vAlign w:val="bottom"/>
            <w:tcBorders>
              <w:bottom w:val="single" w:sz="8" w:color="D5EAEA"/>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96"/>
        </w:trPr>
        <w:tc>
          <w:tcPr>
            <w:tcW w:w="65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6,405,725</w:t>
            </w:r>
          </w:p>
        </w:tc>
        <w:tc>
          <w:tcPr>
            <w:tcW w:w="1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85,708</w:t>
            </w:r>
          </w:p>
        </w:tc>
        <w:tc>
          <w:tcPr>
            <w:tcW w:w="100" w:type="dxa"/>
            <w:vAlign w:val="bottom"/>
            <w:shd w:val="clear" w:color="auto" w:fill="D5EAEA"/>
          </w:tcPr>
          <w:p>
            <w:pPr>
              <w:spacing w:after="0"/>
              <w:rPr>
                <w:sz w:val="17"/>
                <w:szCs w:val="17"/>
                <w:color w:val="auto"/>
              </w:rPr>
            </w:pPr>
          </w:p>
        </w:tc>
        <w:tc>
          <w:tcPr>
            <w:tcW w:w="1440" w:type="dxa"/>
            <w:vAlign w:val="bottom"/>
            <w:tcBorders>
              <w:bottom w:val="single" w:sz="8" w:color="auto"/>
            </w:tcBorders>
            <w:shd w:val="clear" w:color="auto" w:fill="D5EAEA"/>
          </w:tcPr>
          <w:p>
            <w:pPr>
              <w:ind w:left="680"/>
              <w:spacing w:after="0" w:line="196" w:lineRule="exact"/>
              <w:rPr>
                <w:sz w:val="20"/>
                <w:szCs w:val="20"/>
                <w:color w:val="auto"/>
              </w:rPr>
            </w:pPr>
            <w:r>
              <w:rPr>
                <w:rFonts w:ascii="Arial" w:cs="Arial" w:eastAsia="Arial" w:hAnsi="Arial"/>
                <w:sz w:val="18"/>
                <w:szCs w:val="18"/>
                <w:color w:val="auto"/>
              </w:rPr>
              <w:t>906,125</w:t>
            </w:r>
          </w:p>
        </w:tc>
        <w:tc>
          <w:tcPr>
            <w:tcW w:w="100" w:type="dxa"/>
            <w:vAlign w:val="bottom"/>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Share values are based on the Company’s share price of $12.98 (CHF 13.38) and option values are based on fair market value using the Black-Scholes Morten Model as at 31 December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w:t>
      </w:r>
    </w:p>
    <w:p>
      <w:pPr>
        <w:spacing w:after="0"/>
        <w:rPr>
          <w:sz w:val="20"/>
          <w:szCs w:val="20"/>
          <w:color w:val="auto"/>
        </w:rPr>
      </w:pPr>
      <w:r>
        <w:rPr>
          <w:rFonts w:ascii="Arial" w:cs="Arial" w:eastAsia="Arial" w:hAnsi="Arial"/>
          <w:sz w:val="18"/>
          <w:szCs w:val="18"/>
          <w:color w:val="auto"/>
        </w:rPr>
        <w:t>Article 663c CO as at 31 December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Number of</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Number of Shares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03"/>
        </w:trPr>
        <w:tc>
          <w:tcPr>
            <w:tcW w:w="8120" w:type="dxa"/>
            <w:vAlign w:val="bottom"/>
            <w:vMerge w:val="restart"/>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5"/>
        </w:trPr>
        <w:tc>
          <w:tcPr>
            <w:tcW w:w="8120" w:type="dxa"/>
            <w:vAlign w:val="bottom"/>
            <w:vMerge w:val="continue"/>
          </w:tcPr>
          <w:p>
            <w:pPr>
              <w:spacing w:after="0"/>
              <w:rPr>
                <w:sz w:val="16"/>
                <w:szCs w:val="16"/>
                <w:color w:val="auto"/>
              </w:rPr>
            </w:pPr>
          </w:p>
        </w:tc>
        <w:tc>
          <w:tcPr>
            <w:tcW w:w="16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2,908,500</w:t>
            </w:r>
          </w:p>
        </w:tc>
        <w:tc>
          <w:tcPr>
            <w:tcW w:w="100" w:type="dxa"/>
            <w:vAlign w:val="bottom"/>
          </w:tcPr>
          <w:p>
            <w:pPr>
              <w:spacing w:after="0"/>
              <w:rPr>
                <w:sz w:val="16"/>
                <w:szCs w:val="16"/>
                <w:color w:val="auto"/>
              </w:rPr>
            </w:pPr>
          </w:p>
        </w:tc>
        <w:tc>
          <w:tcPr>
            <w:tcW w:w="1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George Pavey, Chief Financial Officer (former)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94,250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Andreas Muhs, Ph.D., Chief Scientific Officer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581,750</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316,750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Jean-Fabien Monin, Chief Administrative Officer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265,000</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Martin Velasco, Chairman and Director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964,500</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Detlev Riesner, Ph.D., Director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764,000</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Friedrich von Bohlen und Halbach, Director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78,750</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Peter Bollmann, Director</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20" w:hanging="334"/>
        <w:spacing w:after="0"/>
        <w:tabs>
          <w:tab w:leader="none" w:pos="72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Post balance sheet events</w:t>
      </w:r>
    </w:p>
    <w:p>
      <w:pPr>
        <w:spacing w:after="0" w:line="22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There are no significant events after the balance sheet date which would impact the book value of the assets or liabilities that should be disclosed here.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Borders>
              <w:bottom w:val="single" w:sz="8" w:color="54301A"/>
            </w:tcBorders>
          </w:tcPr>
          <w:p>
            <w:pPr>
              <w:spacing w:after="0"/>
              <w:rPr>
                <w:sz w:val="20"/>
                <w:szCs w:val="20"/>
                <w:color w:val="auto"/>
              </w:rPr>
            </w:pPr>
            <w:r>
              <w:rPr>
                <w:rFonts w:ascii="Arial" w:cs="Arial" w:eastAsia="Arial" w:hAnsi="Arial"/>
                <w:sz w:val="16"/>
                <w:szCs w:val="16"/>
                <w:color w:val="auto"/>
              </w:rPr>
              <w:t>Statutory Financial Statements</w:t>
            </w:r>
          </w:p>
        </w:tc>
        <w:tc>
          <w:tcPr>
            <w:tcW w:w="470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11</w:t>
            </w:r>
          </w:p>
        </w:tc>
      </w:tr>
    </w:tbl>
    <w:p>
      <w:pPr>
        <w:sectPr>
          <w:pgSz w:w="11900" w:h="16838" w:orient="portrait"/>
          <w:cols w:equalWidth="0" w:num="1">
            <w:col w:w="11420"/>
          </w:cols>
          <w:pgMar w:left="240" w:top="215"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AC Immune SA, Ecublens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560" w:type="dxa"/>
            <w:vAlign w:val="bottom"/>
            <w:gridSpan w:val="4"/>
          </w:tcPr>
          <w:p>
            <w:pPr>
              <w:jc w:val="right"/>
              <w:ind w:right="2380"/>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Accumulated losses carried forward</w:t>
            </w: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(24,930)</w:t>
            </w:r>
          </w:p>
        </w:tc>
        <w:tc>
          <w:tcPr>
            <w:tcW w:w="100" w:type="dxa"/>
            <w:vAlign w:val="bottom"/>
            <w:shd w:val="clear" w:color="auto" w:fill="D5EAEA"/>
          </w:tcPr>
          <w:p>
            <w:pPr>
              <w:spacing w:after="0"/>
              <w:rPr>
                <w:sz w:val="17"/>
                <w:szCs w:val="17"/>
                <w:color w:val="auto"/>
              </w:rPr>
            </w:pPr>
          </w:p>
        </w:tc>
        <w:tc>
          <w:tcPr>
            <w:tcW w:w="10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(45,103)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Profit/(loss) for the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D5EAEA"/>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D5EAEA"/>
            </w:tcBorders>
            <w:shd w:val="clear" w:color="auto" w:fill="D5EAEA"/>
          </w:tcPr>
          <w:p>
            <w:pPr>
              <w:spacing w:after="0" w:line="197" w:lineRule="exact"/>
              <w:rPr>
                <w:sz w:val="20"/>
                <w:szCs w:val="20"/>
                <w:color w:val="auto"/>
              </w:rPr>
            </w:pPr>
            <w:r>
              <w:rPr>
                <w:rFonts w:ascii="Arial" w:cs="Arial" w:eastAsia="Arial" w:hAnsi="Arial"/>
                <w:sz w:val="18"/>
                <w:szCs w:val="18"/>
                <w:color w:val="auto"/>
              </w:rPr>
              <w:t>Total accumulated losses</w:t>
            </w: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Borders>
              <w:bottom w:val="single" w:sz="8" w:color="D5EAEA"/>
            </w:tcBorders>
            <w:shd w:val="clear" w:color="auto" w:fill="D5EAEA"/>
          </w:tcPr>
          <w:p>
            <w:pPr>
              <w:spacing w:after="0"/>
              <w:rPr>
                <w:sz w:val="18"/>
                <w:szCs w:val="18"/>
                <w:color w:val="auto"/>
              </w:rPr>
            </w:pPr>
          </w:p>
        </w:tc>
        <w:tc>
          <w:tcPr>
            <w:tcW w:w="10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(24,930)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860" w:type="dxa"/>
            <w:vAlign w:val="bottom"/>
            <w:tcBorders>
              <w:bottom w:val="single" w:sz="8" w:color="54301A"/>
            </w:tcBorders>
            <w:gridSpan w:val="2"/>
          </w:tcPr>
          <w:p>
            <w:pPr>
              <w:spacing w:after="0"/>
              <w:rPr>
                <w:sz w:val="20"/>
                <w:szCs w:val="20"/>
                <w:color w:val="auto"/>
              </w:rPr>
            </w:pPr>
            <w:r>
              <w:rPr>
                <w:rFonts w:ascii="Arial" w:cs="Arial" w:eastAsia="Arial" w:hAnsi="Arial"/>
                <w:sz w:val="16"/>
                <w:szCs w:val="16"/>
                <w:color w:val="auto"/>
              </w:rPr>
              <w:t>Statutory Financial Statements</w:t>
            </w:r>
          </w:p>
        </w:tc>
        <w:tc>
          <w:tcPr>
            <w:tcW w:w="1120" w:type="dxa"/>
            <w:vAlign w:val="bottom"/>
            <w:tcBorders>
              <w:bottom w:val="single" w:sz="8" w:color="54301A"/>
            </w:tcBorders>
          </w:tcPr>
          <w:p>
            <w:pPr>
              <w:spacing w:after="0"/>
              <w:rPr>
                <w:sz w:val="24"/>
                <w:szCs w:val="24"/>
                <w:color w:val="auto"/>
              </w:rPr>
            </w:pPr>
          </w:p>
        </w:tc>
        <w:tc>
          <w:tcPr>
            <w:tcW w:w="100" w:type="dxa"/>
            <w:vAlign w:val="bottom"/>
            <w:tcBorders>
              <w:bottom w:val="single" w:sz="8" w:color="54301A"/>
            </w:tcBorders>
          </w:tcPr>
          <w:p>
            <w:pPr>
              <w:spacing w:after="0"/>
              <w:rPr>
                <w:sz w:val="24"/>
                <w:szCs w:val="24"/>
                <w:color w:val="auto"/>
              </w:rPr>
            </w:pPr>
          </w:p>
        </w:tc>
        <w:tc>
          <w:tcPr>
            <w:tcW w:w="3340" w:type="dxa"/>
            <w:vAlign w:val="bottom"/>
            <w:tcBorders>
              <w:bottom w:val="single" w:sz="8" w:color="54301A"/>
            </w:tcBorders>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5" w:right="239" w:bottom="1440" w:gutter="0" w:footer="0" w:header="0"/>
        </w:sectPr>
      </w:pPr>
    </w:p>
    <w:bookmarkStart w:id="22" w:name="page23"/>
    <w:bookmarkEnd w:id="22"/>
    <w:p>
      <w:pPr>
        <w:ind w:left="104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2884805</wp:posOffset>
            </wp:positionH>
            <wp:positionV relativeFrom="page">
              <wp:posOffset>243205</wp:posOffset>
            </wp:positionV>
            <wp:extent cx="1792605" cy="43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792605" cy="437515"/>
                    </a:xfrm>
                    <a:prstGeom prst="rect">
                      <a:avLst/>
                    </a:prstGeom>
                    <a:noFill/>
                  </pic:spPr>
                </pic:pic>
              </a:graphicData>
            </a:graphic>
          </wp:anchor>
        </w:drawing>
        <w:t>Exhibit 99.3</w:t>
      </w:r>
    </w:p>
    <w:p>
      <w:pPr>
        <w:spacing w:after="0" w:line="226" w:lineRule="exact"/>
        <w:rPr>
          <w:sz w:val="20"/>
          <w:szCs w:val="20"/>
          <w:color w:val="auto"/>
        </w:rPr>
      </w:pPr>
    </w:p>
    <w:p>
      <w:pPr>
        <w:jc w:val="center"/>
        <w:spacing w:after="0" w:line="261" w:lineRule="auto"/>
        <w:rPr>
          <w:sz w:val="20"/>
          <w:szCs w:val="20"/>
          <w:color w:val="auto"/>
        </w:rPr>
      </w:pPr>
      <w:r>
        <w:rPr>
          <w:rFonts w:ascii="Arial" w:cs="Arial" w:eastAsia="Arial" w:hAnsi="Arial"/>
          <w:sz w:val="25"/>
          <w:szCs w:val="25"/>
          <w:color w:val="auto"/>
        </w:rPr>
        <w:t>Report of the Statutory Auditor on the Compensation Report in Accordance with the Ordinance against Excessive Compensation in Stock Exchange Listed Companies (Ordinance)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Contents</w:t>
      </w:r>
    </w:p>
    <w:p>
      <w:pPr>
        <w:spacing w:after="0" w:line="22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 of the Statutory Auditor</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of the Board of Directors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of the Members of the Executive Committee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Incentive Plans of the Board of Directors and the Members of the Executive Team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w:t>
      </w:r>
    </w:p>
    <w:p>
      <w:pPr>
        <w:spacing w:after="0" w:line="22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Philosophy, Principles and Governance</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346075</wp:posOffset>
            </wp:positionV>
            <wp:extent cx="3816350" cy="848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81635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To the General Meeting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AC Immune SA, Ecublens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Lancy, 17 March 2017</w:t>
      </w:r>
    </w:p>
    <w:p>
      <w:pPr>
        <w:spacing w:after="0" w:line="390" w:lineRule="exact"/>
        <w:rPr>
          <w:sz w:val="20"/>
          <w:szCs w:val="20"/>
          <w:color w:val="auto"/>
        </w:rPr>
      </w:pPr>
    </w:p>
    <w:p>
      <w:pPr>
        <w:sectPr>
          <w:pgSz w:w="11900" w:h="16838" w:orient="portrait"/>
          <w:cols w:equalWidth="0" w:num="2">
            <w:col w:w="8940" w:space="720"/>
            <w:col w:w="1760"/>
          </w:cols>
          <w:pgMar w:left="240" w:top="1440" w:right="239" w:bottom="1440" w:gutter="0" w:footer="0" w:header="0"/>
        </w:sectPr>
      </w:pPr>
    </w:p>
    <w:p>
      <w:pPr>
        <w:ind w:left="60"/>
        <w:spacing w:after="0"/>
        <w:rPr>
          <w:sz w:val="20"/>
          <w:szCs w:val="20"/>
          <w:color w:val="auto"/>
        </w:rPr>
      </w:pPr>
      <w:r>
        <w:rPr>
          <w:rFonts w:ascii="Arial" w:cs="Arial" w:eastAsia="Arial" w:hAnsi="Arial"/>
          <w:sz w:val="17"/>
          <w:szCs w:val="17"/>
          <w:b w:val="1"/>
          <w:bCs w:val="1"/>
          <w:color w:val="auto"/>
        </w:rPr>
        <w:t>Report of the statutory auditor on the remuneration report</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1620"/>
        <w:spacing w:after="0" w:line="239" w:lineRule="auto"/>
        <w:rPr>
          <w:sz w:val="20"/>
          <w:szCs w:val="20"/>
          <w:color w:val="auto"/>
        </w:rPr>
      </w:pPr>
      <w:r>
        <w:rPr>
          <w:rFonts w:ascii="Arial" w:cs="Arial" w:eastAsia="Arial" w:hAnsi="Arial"/>
          <w:sz w:val="18"/>
          <w:szCs w:val="18"/>
          <w:color w:val="auto"/>
        </w:rPr>
        <w:t>We have audited the remuneration report of AC Immune SA for the year ended 31 December 2016.The audit was limited to the information according to articles 14–16 of the Ordinance against Excessive Compensation in Stock Exchange Listed Companies (Ordinance) contained in the tables 1.c., 2.c.and 3., and the information in section 1.b.and 3.of the remuneration report.</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5753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530" cy="445770"/>
                    </a:xfrm>
                    <a:prstGeom prst="rect">
                      <a:avLst/>
                    </a:prstGeom>
                    <a:noFill/>
                  </pic:spPr>
                </pic:pic>
              </a:graphicData>
            </a:graphic>
          </wp:anchor>
        </w:drawing>
      </w:r>
    </w:p>
    <w:p>
      <w:pPr>
        <w:spacing w:after="0" w:line="200" w:lineRule="exact"/>
        <w:rPr>
          <w:sz w:val="20"/>
          <w:szCs w:val="20"/>
          <w:color w:val="auto"/>
        </w:rPr>
      </w:pPr>
    </w:p>
    <w:p>
      <w:pPr>
        <w:ind w:left="1620" w:right="200"/>
        <w:spacing w:after="0"/>
        <w:rPr>
          <w:sz w:val="20"/>
          <w:szCs w:val="20"/>
          <w:color w:val="auto"/>
        </w:rPr>
      </w:pPr>
      <w:r>
        <w:rPr>
          <w:rFonts w:ascii="Arial" w:cs="Arial" w:eastAsia="Arial" w:hAnsi="Arial"/>
          <w:sz w:val="18"/>
          <w:szCs w:val="18"/>
          <w:color w:val="auto"/>
        </w:rPr>
        <w:t>The Board of Directors is responsible for the preparation and overall fair presentation of the remuneration report in accordance with Swiss law and the Ordinance. The Board of Directors is also responsible for designing the remuneration system and defining individual remuneration packages.</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88950" cy="591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8950" cy="591820"/>
                    </a:xfrm>
                    <a:prstGeom prst="rect">
                      <a:avLst/>
                    </a:prstGeom>
                    <a:noFill/>
                  </pic:spPr>
                </pic:pic>
              </a:graphicData>
            </a:graphic>
          </wp:anchor>
        </w:drawing>
      </w:r>
    </w:p>
    <w:p>
      <w:pPr>
        <w:spacing w:after="0" w:line="200" w:lineRule="exact"/>
        <w:rPr>
          <w:sz w:val="20"/>
          <w:szCs w:val="20"/>
          <w:color w:val="auto"/>
        </w:rPr>
      </w:pPr>
    </w:p>
    <w:p>
      <w:pPr>
        <w:jc w:val="both"/>
        <w:ind w:left="1620" w:right="240"/>
        <w:spacing w:after="0" w:line="239" w:lineRule="auto"/>
        <w:rPr>
          <w:sz w:val="20"/>
          <w:szCs w:val="20"/>
          <w:color w:val="auto"/>
        </w:rPr>
      </w:pPr>
      <w:r>
        <w:rPr>
          <w:rFonts w:ascii="Arial" w:cs="Arial" w:eastAsia="Arial" w:hAnsi="Arial"/>
          <w:sz w:val="18"/>
          <w:szCs w:val="18"/>
          <w:color w:val="auto"/>
        </w:rPr>
        <w:t>Our responsibility is to express an opinion on the remuneration report. We conducted our audit in accordance with Swiss Auditing Standards. Those standards require that we comply with ethical requirements and plan and perform the audit to obtain reasonable assurance about whether the remuneration report complies with Swiss law and articles 14 – 16 of the Ordinance.</w:t>
      </w:r>
    </w:p>
    <w:p>
      <w:pPr>
        <w:spacing w:after="0" w:line="188" w:lineRule="exact"/>
        <w:rPr>
          <w:sz w:val="20"/>
          <w:szCs w:val="20"/>
          <w:color w:val="auto"/>
        </w:rPr>
      </w:pPr>
    </w:p>
    <w:p>
      <w:pPr>
        <w:ind w:left="1620" w:right="140"/>
        <w:spacing w:after="0" w:line="255" w:lineRule="auto"/>
        <w:rPr>
          <w:sz w:val="20"/>
          <w:szCs w:val="20"/>
          <w:color w:val="auto"/>
        </w:rPr>
      </w:pPr>
      <w:r>
        <w:rPr>
          <w:rFonts w:ascii="Arial" w:cs="Arial" w:eastAsia="Arial" w:hAnsi="Arial"/>
          <w:sz w:val="17"/>
          <w:szCs w:val="17"/>
          <w:color w:val="auto"/>
        </w:rPr>
        <w:t>An audit involves performing procedures to obtain audit evidence on the disclosures made in the remuneration report with regard to compensation, loans and credits in accordance with articles 14 – 16 of the Ordinance. The procedures selected depend on the auditor’s judgment, including the assessment of the risks of material misstatements in the remuneration report, whether due to fraud or error. This audit also includes evaluating the reasonableness of the methods applied to value components of remuneration, as well as assessing the overall presentation of the remuneration report.</w:t>
      </w:r>
    </w:p>
    <w:p>
      <w:pPr>
        <w:spacing w:after="0" w:line="177" w:lineRule="exact"/>
        <w:rPr>
          <w:sz w:val="20"/>
          <w:szCs w:val="20"/>
          <w:color w:val="auto"/>
        </w:rPr>
      </w:pPr>
    </w:p>
    <w:p>
      <w:pPr>
        <w:ind w:left="1620" w:right="640"/>
        <w:spacing w:after="0" w:line="46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opinion. </w:t>
      </w:r>
      <w:r>
        <w:rPr>
          <w:rFonts w:ascii="Arial" w:cs="Arial" w:eastAsia="Arial" w:hAnsi="Arial"/>
          <w:sz w:val="18"/>
          <w:szCs w:val="18"/>
          <w:b w:val="1"/>
          <w:bCs w:val="1"/>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445770"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5770" cy="394335"/>
                    </a:xfrm>
                    <a:prstGeom prst="rect">
                      <a:avLst/>
                    </a:prstGeom>
                    <a:noFill/>
                  </pic:spPr>
                </pic:pic>
              </a:graphicData>
            </a:graphic>
          </wp:anchor>
        </w:drawing>
      </w:r>
    </w:p>
    <w:p>
      <w:pPr>
        <w:ind w:left="1620" w:right="180"/>
        <w:spacing w:after="0" w:line="246" w:lineRule="auto"/>
        <w:rPr>
          <w:sz w:val="20"/>
          <w:szCs w:val="20"/>
          <w:color w:val="auto"/>
        </w:rPr>
      </w:pPr>
      <w:r>
        <w:rPr>
          <w:rFonts w:ascii="Arial" w:cs="Arial" w:eastAsia="Arial" w:hAnsi="Arial"/>
          <w:sz w:val="18"/>
          <w:szCs w:val="18"/>
          <w:color w:val="auto"/>
        </w:rPr>
        <w:t>In our opinion, the remuneration report for the year ended 31 December 2016 of AC Immune SA complies with Swiss law and articles 14 – 16 of the Ordinance.</w:t>
      </w:r>
    </w:p>
    <w:p>
      <w:pPr>
        <w:spacing w:after="0" w:line="3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11420"/>
          </w:cols>
          <w:pgMar w:left="240" w:top="1440" w:right="239" w:bottom="1440" w:gutter="0" w:footer="0" w:header="0"/>
          <w:type w:val="continuous"/>
        </w:sectPr>
      </w:pP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Jürg Zürcher</w:t>
      </w:r>
    </w:p>
    <w:p>
      <w:pPr>
        <w:ind w:left="1620"/>
        <w:spacing w:after="0"/>
        <w:rPr>
          <w:sz w:val="20"/>
          <w:szCs w:val="20"/>
          <w:color w:val="auto"/>
        </w:rPr>
      </w:pPr>
      <w:r>
        <w:rPr>
          <w:rFonts w:ascii="Arial" w:cs="Arial" w:eastAsia="Arial" w:hAnsi="Arial"/>
          <w:sz w:val="17"/>
          <w:szCs w:val="17"/>
          <w:color w:val="auto"/>
        </w:rPr>
        <w:t>Licensed audit expert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(Auditor in charge)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Chris Roberts</w:t>
      </w:r>
    </w:p>
    <w:p>
      <w:pPr>
        <w:spacing w:after="0"/>
        <w:rPr>
          <w:sz w:val="20"/>
          <w:szCs w:val="20"/>
          <w:color w:val="auto"/>
        </w:rPr>
      </w:pPr>
      <w:r>
        <w:rPr>
          <w:rFonts w:ascii="Arial" w:cs="Arial" w:eastAsia="Arial" w:hAnsi="Arial"/>
          <w:sz w:val="18"/>
          <w:szCs w:val="18"/>
          <w:color w:val="auto"/>
        </w:rPr>
        <w:t>Chartered accountant</w:t>
      </w:r>
    </w:p>
    <w:p>
      <w:pPr>
        <w:spacing w:after="0" w:line="402" w:lineRule="exact"/>
        <w:rPr>
          <w:sz w:val="20"/>
          <w:szCs w:val="20"/>
          <w:color w:val="auto"/>
        </w:rPr>
      </w:pPr>
    </w:p>
    <w:p>
      <w:pPr>
        <w:sectPr>
          <w:pgSz w:w="11900" w:h="16838" w:orient="portrait"/>
          <w:cols w:equalWidth="0" w:num="2">
            <w:col w:w="5560" w:space="720"/>
            <w:col w:w="5140"/>
          </w:cols>
          <w:pgMar w:left="240" w:top="1440" w:right="239" w:bottom="1440" w:gutter="0" w:footer="0" w:header="0"/>
          <w:type w:val="continuous"/>
        </w:sect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4" w:name="page25"/>
    <w:bookmarkEnd w:id="24"/>
    <w:p>
      <w:pPr>
        <w:ind w:right="180"/>
        <w:spacing w:after="0" w:line="246" w:lineRule="auto"/>
        <w:rPr>
          <w:sz w:val="20"/>
          <w:szCs w:val="20"/>
          <w:color w:val="auto"/>
        </w:rPr>
      </w:pPr>
      <w:r>
        <w:rPr>
          <w:rFonts w:ascii="Arial" w:cs="Arial" w:eastAsia="Arial" w:hAnsi="Arial"/>
          <w:sz w:val="18"/>
          <w:szCs w:val="18"/>
          <w:color w:val="auto"/>
        </w:rPr>
        <w:t>This compensation report has been prepared in accordance with the Federal Ordinance Against Excessive Compensation in Stock Exchange Listed Companies (“Ordinance”), effective January 1, 2014.</w:t>
      </w:r>
    </w:p>
    <w:p>
      <w:pPr>
        <w:spacing w:after="0" w:line="161" w:lineRule="exact"/>
        <w:rPr>
          <w:sz w:val="20"/>
          <w:szCs w:val="20"/>
          <w:color w:val="auto"/>
        </w:rPr>
      </w:pPr>
    </w:p>
    <w:p>
      <w:pPr>
        <w:ind w:left="980" w:right="7360" w:hanging="648"/>
        <w:spacing w:after="0" w:line="511" w:lineRule="auto"/>
        <w:tabs>
          <w:tab w:leader="none" w:pos="642"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of the Board of Directors a. Board Composition in 2016</w:t>
      </w:r>
    </w:p>
    <w:tbl>
      <w:tblPr>
        <w:tblLayout w:type="fixed"/>
        <w:tblInd w:w="10" w:type="dxa"/>
        <w:tblCellMar>
          <w:top w:w="0" w:type="dxa"/>
          <w:left w:w="0" w:type="dxa"/>
          <w:bottom w:w="0" w:type="dxa"/>
          <w:right w:w="0" w:type="dxa"/>
        </w:tblCellMar>
      </w:tblPr>
      <w:tr>
        <w:trPr>
          <w:trHeight w:val="174"/>
        </w:trPr>
        <w:tc>
          <w:tcPr>
            <w:tcW w:w="4600" w:type="dxa"/>
            <w:vAlign w:val="bottom"/>
            <w:tcBorders>
              <w:top w:val="single" w:sz="8" w:color="auto"/>
              <w:left w:val="single" w:sz="8" w:color="auto"/>
              <w:right w:val="single" w:sz="8" w:color="auto"/>
            </w:tcBorders>
            <w:shd w:val="clear" w:color="auto" w:fill="BFBFBF"/>
          </w:tcPr>
          <w:p>
            <w:pPr>
              <w:spacing w:after="0"/>
              <w:rPr>
                <w:sz w:val="15"/>
                <w:szCs w:val="15"/>
                <w:color w:val="auto"/>
              </w:rPr>
            </w:pPr>
          </w:p>
        </w:tc>
        <w:tc>
          <w:tcPr>
            <w:tcW w:w="2500" w:type="dxa"/>
            <w:vAlign w:val="bottom"/>
            <w:tcBorders>
              <w:top w:val="single" w:sz="8" w:color="auto"/>
              <w:right w:val="single" w:sz="8" w:color="auto"/>
            </w:tcBorders>
            <w:shd w:val="clear" w:color="auto" w:fill="BFBFBF"/>
          </w:tcPr>
          <w:p>
            <w:pPr>
              <w:spacing w:after="0"/>
              <w:rPr>
                <w:sz w:val="15"/>
                <w:szCs w:val="15"/>
                <w:color w:val="auto"/>
              </w:rPr>
            </w:pPr>
          </w:p>
        </w:tc>
        <w:tc>
          <w:tcPr>
            <w:tcW w:w="1620" w:type="dxa"/>
            <w:vAlign w:val="bottom"/>
            <w:tcBorders>
              <w:top w:val="single" w:sz="8" w:color="auto"/>
              <w:right w:val="single" w:sz="8" w:color="auto"/>
            </w:tcBorders>
            <w:shd w:val="clear" w:color="auto" w:fill="BFBFBF"/>
          </w:tcPr>
          <w:p>
            <w:pPr>
              <w:spacing w:after="0"/>
              <w:rPr>
                <w:sz w:val="15"/>
                <w:szCs w:val="15"/>
                <w:color w:val="auto"/>
              </w:rPr>
            </w:pPr>
          </w:p>
        </w:tc>
        <w:tc>
          <w:tcPr>
            <w:tcW w:w="1240" w:type="dxa"/>
            <w:vAlign w:val="bottom"/>
            <w:tcBorders>
              <w:top w:val="single" w:sz="8" w:color="auto"/>
              <w:right w:val="single" w:sz="8" w:color="auto"/>
            </w:tcBorders>
            <w:shd w:val="clear" w:color="auto" w:fill="BFBFBF"/>
          </w:tcPr>
          <w:p>
            <w:pPr>
              <w:spacing w:after="0"/>
              <w:rPr>
                <w:sz w:val="15"/>
                <w:szCs w:val="15"/>
                <w:color w:val="auto"/>
              </w:rPr>
            </w:pPr>
          </w:p>
        </w:tc>
        <w:tc>
          <w:tcPr>
            <w:tcW w:w="1460" w:type="dxa"/>
            <w:vAlign w:val="bottom"/>
            <w:tcBorders>
              <w:top w:val="single" w:sz="8" w:color="auto"/>
              <w:right w:val="single" w:sz="8" w:color="auto"/>
            </w:tcBorders>
            <w:shd w:val="clear" w:color="auto" w:fill="BFBFBF"/>
          </w:tcPr>
          <w:p>
            <w:pPr>
              <w:jc w:val="center"/>
              <w:spacing w:after="0" w:line="174" w:lineRule="exact"/>
              <w:rPr>
                <w:sz w:val="20"/>
                <w:szCs w:val="20"/>
                <w:color w:val="auto"/>
              </w:rPr>
            </w:pPr>
            <w:r>
              <w:rPr>
                <w:rFonts w:ascii="Arial" w:cs="Arial" w:eastAsia="Arial" w:hAnsi="Arial"/>
                <w:sz w:val="18"/>
                <w:szCs w:val="18"/>
                <w:b w:val="1"/>
                <w:bCs w:val="1"/>
                <w:color w:val="auto"/>
                <w:w w:val="99"/>
              </w:rPr>
              <w:t>Compensation</w:t>
            </w:r>
          </w:p>
        </w:tc>
      </w:tr>
      <w:tr>
        <w:trPr>
          <w:trHeight w:val="203"/>
        </w:trPr>
        <w:tc>
          <w:tcPr>
            <w:tcW w:w="4600" w:type="dxa"/>
            <w:vAlign w:val="bottom"/>
            <w:tcBorders>
              <w:left w:val="single" w:sz="8" w:color="auto"/>
              <w:right w:val="single" w:sz="8" w:color="auto"/>
            </w:tcBorders>
            <w:shd w:val="clear" w:color="auto" w:fill="BFBFBF"/>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250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rPr>
              <w:t>Appointment</w:t>
            </w:r>
          </w:p>
        </w:tc>
        <w:tc>
          <w:tcPr>
            <w:tcW w:w="1620" w:type="dxa"/>
            <w:vAlign w:val="bottom"/>
            <w:tcBorders>
              <w:right w:val="single" w:sz="8" w:color="auto"/>
            </w:tcBorders>
            <w:shd w:val="clear" w:color="auto" w:fill="BFBFBF"/>
          </w:tcPr>
          <w:p>
            <w:pPr>
              <w:ind w:left="540"/>
              <w:spacing w:after="0" w:line="202" w:lineRule="exact"/>
              <w:rPr>
                <w:sz w:val="20"/>
                <w:szCs w:val="20"/>
                <w:color w:val="auto"/>
              </w:rPr>
            </w:pPr>
            <w:r>
              <w:rPr>
                <w:rFonts w:ascii="Arial" w:cs="Arial" w:eastAsia="Arial" w:hAnsi="Arial"/>
                <w:sz w:val="18"/>
                <w:szCs w:val="18"/>
                <w:b w:val="1"/>
                <w:bCs w:val="1"/>
                <w:color w:val="auto"/>
              </w:rPr>
              <w:t>Board</w:t>
            </w:r>
          </w:p>
        </w:tc>
        <w:tc>
          <w:tcPr>
            <w:tcW w:w="1240" w:type="dxa"/>
            <w:vAlign w:val="bottom"/>
            <w:tcBorders>
              <w:right w:val="single" w:sz="8" w:color="auto"/>
            </w:tcBorders>
            <w:shd w:val="clear" w:color="auto" w:fill="BFBFBF"/>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Audit</w:t>
            </w:r>
          </w:p>
        </w:tc>
        <w:tc>
          <w:tcPr>
            <w:tcW w:w="146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and Nomination</w:t>
            </w:r>
          </w:p>
        </w:tc>
      </w:tr>
      <w:tr>
        <w:trPr>
          <w:trHeight w:val="225"/>
        </w:trPr>
        <w:tc>
          <w:tcPr>
            <w:tcW w:w="460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2500" w:type="dxa"/>
            <w:vAlign w:val="bottom"/>
            <w:tcBorders>
              <w:bottom w:val="single" w:sz="8" w:color="auto"/>
              <w:right w:val="single" w:sz="8" w:color="auto"/>
            </w:tcBorders>
            <w:shd w:val="clear" w:color="auto" w:fill="BFBFBF"/>
          </w:tcPr>
          <w:p>
            <w:pPr>
              <w:spacing w:after="0"/>
              <w:rPr>
                <w:sz w:val="19"/>
                <w:szCs w:val="19"/>
                <w:color w:val="auto"/>
              </w:rPr>
            </w:pPr>
          </w:p>
        </w:tc>
        <w:tc>
          <w:tcPr>
            <w:tcW w:w="1620" w:type="dxa"/>
            <w:vAlign w:val="bottom"/>
            <w:tcBorders>
              <w:bottom w:val="single" w:sz="8" w:color="auto"/>
              <w:right w:val="single" w:sz="8" w:color="auto"/>
            </w:tcBorders>
            <w:shd w:val="clear" w:color="auto" w:fill="BFBFBF"/>
          </w:tcPr>
          <w:p>
            <w:pPr>
              <w:spacing w:after="0"/>
              <w:rPr>
                <w:sz w:val="19"/>
                <w:szCs w:val="19"/>
                <w:color w:val="auto"/>
              </w:rPr>
            </w:pPr>
          </w:p>
        </w:tc>
        <w:tc>
          <w:tcPr>
            <w:tcW w:w="12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8"/>
              </w:rPr>
              <w:t>Committee *</w:t>
            </w:r>
          </w:p>
        </w:tc>
        <w:tc>
          <w:tcPr>
            <w:tcW w:w="1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8"/>
              </w:rPr>
              <w:t>Committee *</w:t>
            </w:r>
          </w:p>
        </w:tc>
      </w:tr>
      <w:tr>
        <w:trPr>
          <w:trHeight w:val="195"/>
        </w:trPr>
        <w:tc>
          <w:tcPr>
            <w:tcW w:w="46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Martin Velasco</w:t>
            </w:r>
          </w:p>
        </w:tc>
        <w:tc>
          <w:tcPr>
            <w:tcW w:w="2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2003</w:t>
            </w:r>
          </w:p>
        </w:tc>
        <w:tc>
          <w:tcPr>
            <w:tcW w:w="1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Chairman</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Member</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Member</w:t>
            </w:r>
          </w:p>
        </w:tc>
      </w:tr>
      <w:tr>
        <w:trPr>
          <w:trHeight w:val="203"/>
        </w:trPr>
        <w:tc>
          <w:tcPr>
            <w:tcW w:w="46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Peter Bollmann, PhD</w:t>
            </w: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2015</w:t>
            </w:r>
          </w:p>
        </w:tc>
        <w:tc>
          <w:tcPr>
            <w:tcW w:w="1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Chairman</w:t>
            </w:r>
          </w:p>
        </w:tc>
        <w:tc>
          <w:tcPr>
            <w:tcW w:w="1460" w:type="dxa"/>
            <w:vAlign w:val="bottom"/>
            <w:tcBorders>
              <w:right w:val="single" w:sz="8" w:color="auto"/>
            </w:tcBorders>
          </w:tcPr>
          <w:p>
            <w:pPr>
              <w:spacing w:after="0"/>
              <w:rPr>
                <w:sz w:val="17"/>
                <w:szCs w:val="17"/>
                <w:color w:val="auto"/>
              </w:rPr>
            </w:pPr>
          </w:p>
        </w:tc>
      </w:tr>
      <w:tr>
        <w:trPr>
          <w:trHeight w:val="203"/>
        </w:trPr>
        <w:tc>
          <w:tcPr>
            <w:tcW w:w="46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Thomas Graney</w:t>
            </w: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2016</w:t>
            </w:r>
          </w:p>
        </w:tc>
        <w:tc>
          <w:tcPr>
            <w:tcW w:w="1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 (1)</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Member</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Member</w:t>
            </w:r>
          </w:p>
        </w:tc>
      </w:tr>
      <w:tr>
        <w:trPr>
          <w:trHeight w:val="203"/>
        </w:trPr>
        <w:tc>
          <w:tcPr>
            <w:tcW w:w="46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Detlev Riesner, PhD</w:t>
            </w: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2004</w:t>
            </w:r>
          </w:p>
        </w:tc>
        <w:tc>
          <w:tcPr>
            <w:tcW w:w="1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2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Chairman</w:t>
            </w:r>
          </w:p>
        </w:tc>
      </w:tr>
      <w:tr>
        <w:trPr>
          <w:trHeight w:val="203"/>
        </w:trPr>
        <w:tc>
          <w:tcPr>
            <w:tcW w:w="46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Friedrich von Bohlen und Halbach, PhD</w:t>
            </w: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2015</w:t>
            </w:r>
          </w:p>
        </w:tc>
        <w:tc>
          <w:tcPr>
            <w:tcW w:w="1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2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r>
      <w:tr>
        <w:trPr>
          <w:trHeight w:val="203"/>
        </w:trPr>
        <w:tc>
          <w:tcPr>
            <w:tcW w:w="460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Andrea Pfeifer, PhD</w:t>
            </w:r>
          </w:p>
        </w:tc>
        <w:tc>
          <w:tcPr>
            <w:tcW w:w="2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2016</w:t>
            </w:r>
          </w:p>
        </w:tc>
        <w:tc>
          <w:tcPr>
            <w:tcW w:w="16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 - CEO</w:t>
            </w:r>
          </w:p>
        </w:tc>
        <w:tc>
          <w:tcPr>
            <w:tcW w:w="12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r>
      <w:tr>
        <w:trPr>
          <w:trHeight w:val="203"/>
        </w:trPr>
        <w:tc>
          <w:tcPr>
            <w:tcW w:w="460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Mathias Hothum</w:t>
            </w:r>
          </w:p>
        </w:tc>
        <w:tc>
          <w:tcPr>
            <w:tcW w:w="2500" w:type="dxa"/>
            <w:vAlign w:val="bottom"/>
            <w:tcBorders>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2013</w:t>
            </w:r>
          </w:p>
        </w:tc>
        <w:tc>
          <w:tcPr>
            <w:tcW w:w="1620" w:type="dxa"/>
            <w:vAlign w:val="bottom"/>
            <w:tcBorders>
              <w:bottom w:val="single" w:sz="8" w:color="auto"/>
              <w:right w:val="single" w:sz="8" w:color="auto"/>
            </w:tcBorders>
          </w:tcPr>
          <w:p>
            <w:pPr>
              <w:spacing w:after="0" w:line="203" w:lineRule="exact"/>
              <w:rPr>
                <w:sz w:val="20"/>
                <w:szCs w:val="20"/>
                <w:color w:val="auto"/>
              </w:rPr>
            </w:pPr>
            <w:r>
              <w:rPr>
                <w:rFonts w:ascii="Arial" w:cs="Arial" w:eastAsia="Arial" w:hAnsi="Arial"/>
                <w:sz w:val="18"/>
                <w:szCs w:val="18"/>
                <w:color w:val="auto"/>
              </w:rPr>
              <w:t>Director (2)</w:t>
            </w:r>
          </w:p>
        </w:tc>
        <w:tc>
          <w:tcPr>
            <w:tcW w:w="12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r>
    </w:tbl>
    <w:p>
      <w:pPr>
        <w:spacing w:after="0" w:line="20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elected November 15, 2016</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term expired November 15, 2016</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Created November 11, 2016</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Board of Directors is composed of six directors. Each director is elected for a one-year term. The current members of our board of directors were appointed at a shareholders’ meeting held on November 15, 2016 to serve until the 2017 shareholders’ meeting to be held in May 2017.</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Swiss law does not require that a majority of our board of directors consist of independent directors. However, our board of directors has determined that, under current listing requirements and rules of NASDAQ (which we are not subject to) and taking into account any applicable committee independence standards, Martin Velasco, Detlev Riesner, Friedrich von Bohlen und Halbach, Peter Bollmann and Thomas Graney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70"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7"/>
          <w:szCs w:val="17"/>
          <w:b w:val="1"/>
          <w:bCs w:val="1"/>
          <w:color w:val="auto"/>
        </w:rPr>
        <w:t>Compensation Structure</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Board members are paid a fixed fee dependent on the function exercised. Such fees have been established in light of market practice. In addition to the fixed fee, Board members are awarded stock options under the Company’s equity incentive plans as described more fully in the annex to this report. For 2016, fixed fees were paid semi-annually in Swiss Francs as follows:</w:t>
      </w:r>
    </w:p>
    <w:p>
      <w:pPr>
        <w:spacing w:after="0" w:line="18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KCHF 45 (net of social charges) for the chairman</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KCHF 30 (net of social charges) for other members</w:t>
      </w:r>
    </w:p>
    <w:p>
      <w:pPr>
        <w:spacing w:after="0" w:line="190"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tab/>
        <w:t>2016 Board Compensation</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2016, the total compensation of the members of the Board of Directors consists of Board fees, social charges and compensation paid in form of shares and stock options and is outlined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CHF 000’s</w:t>
      </w:r>
    </w:p>
    <w:p>
      <w:pPr>
        <w:spacing w:after="0" w:line="179" w:lineRule="exact"/>
        <w:rPr>
          <w:sz w:val="20"/>
          <w:szCs w:val="20"/>
          <w:color w:val="auto"/>
        </w:rPr>
      </w:pPr>
    </w:p>
    <w:tbl>
      <w:tblPr>
        <w:tblLayout w:type="fixed"/>
        <w:tblInd w:w="590" w:type="dxa"/>
        <w:tblCellMar>
          <w:top w:w="0" w:type="dxa"/>
          <w:left w:w="0" w:type="dxa"/>
          <w:bottom w:w="0" w:type="dxa"/>
          <w:right w:w="0" w:type="dxa"/>
        </w:tblCellMar>
      </w:tblPr>
      <w:tr>
        <w:trPr>
          <w:trHeight w:val="193"/>
        </w:trPr>
        <w:tc>
          <w:tcPr>
            <w:tcW w:w="4040" w:type="dxa"/>
            <w:vAlign w:val="bottom"/>
            <w:tcBorders>
              <w:top w:val="single" w:sz="8" w:color="auto"/>
              <w:left w:val="single" w:sz="8" w:color="auto"/>
              <w:right w:val="single" w:sz="8" w:color="auto"/>
            </w:tcBorders>
            <w:shd w:val="clear" w:color="auto" w:fill="BFBFBF"/>
          </w:tcPr>
          <w:p>
            <w:pPr>
              <w:spacing w:after="0"/>
              <w:rPr>
                <w:sz w:val="16"/>
                <w:szCs w:val="16"/>
                <w:color w:val="auto"/>
              </w:rPr>
            </w:pPr>
          </w:p>
        </w:tc>
        <w:tc>
          <w:tcPr>
            <w:tcW w:w="1840" w:type="dxa"/>
            <w:vAlign w:val="bottom"/>
            <w:tcBorders>
              <w:top w:val="single" w:sz="8" w:color="auto"/>
              <w:right w:val="single" w:sz="8" w:color="auto"/>
            </w:tcBorders>
            <w:shd w:val="clear" w:color="auto" w:fill="BFBFBF"/>
          </w:tcPr>
          <w:p>
            <w:pPr>
              <w:spacing w:after="0"/>
              <w:rPr>
                <w:sz w:val="16"/>
                <w:szCs w:val="16"/>
                <w:color w:val="auto"/>
              </w:rPr>
            </w:pPr>
          </w:p>
        </w:tc>
        <w:tc>
          <w:tcPr>
            <w:tcW w:w="1640" w:type="dxa"/>
            <w:vAlign w:val="bottom"/>
            <w:tcBorders>
              <w:top w:val="single" w:sz="8" w:color="auto"/>
              <w:right w:val="single" w:sz="8" w:color="auto"/>
            </w:tcBorders>
            <w:shd w:val="clear" w:color="auto" w:fill="BFBFBF"/>
          </w:tcPr>
          <w:p>
            <w:pPr>
              <w:spacing w:after="0"/>
              <w:rPr>
                <w:sz w:val="16"/>
                <w:szCs w:val="16"/>
                <w:color w:val="auto"/>
              </w:rPr>
            </w:pPr>
          </w:p>
        </w:tc>
        <w:tc>
          <w:tcPr>
            <w:tcW w:w="1280" w:type="dxa"/>
            <w:vAlign w:val="bottom"/>
            <w:tcBorders>
              <w:top w:val="single" w:sz="8" w:color="auto"/>
              <w:right w:val="single" w:sz="8" w:color="auto"/>
            </w:tcBorders>
            <w:shd w:val="clear" w:color="auto" w:fill="BFBFBF"/>
          </w:tcPr>
          <w:p>
            <w:pPr>
              <w:jc w:val="center"/>
              <w:spacing w:after="0" w:line="194" w:lineRule="exact"/>
              <w:rPr>
                <w:sz w:val="20"/>
                <w:szCs w:val="20"/>
                <w:color w:val="auto"/>
              </w:rPr>
            </w:pPr>
            <w:r>
              <w:rPr>
                <w:rFonts w:ascii="Arial" w:cs="Arial" w:eastAsia="Arial" w:hAnsi="Arial"/>
                <w:sz w:val="18"/>
                <w:szCs w:val="18"/>
                <w:b w:val="1"/>
                <w:bCs w:val="1"/>
                <w:color w:val="auto"/>
                <w:w w:val="99"/>
              </w:rPr>
              <w:t>Stock Option</w:t>
            </w:r>
          </w:p>
        </w:tc>
        <w:tc>
          <w:tcPr>
            <w:tcW w:w="1480" w:type="dxa"/>
            <w:vAlign w:val="bottom"/>
            <w:tcBorders>
              <w:top w:val="single" w:sz="8" w:color="auto"/>
              <w:right w:val="single" w:sz="8" w:color="auto"/>
            </w:tcBorders>
            <w:shd w:val="clear" w:color="auto" w:fill="BFBFBF"/>
          </w:tcPr>
          <w:p>
            <w:pPr>
              <w:spacing w:after="0"/>
              <w:rPr>
                <w:sz w:val="16"/>
                <w:szCs w:val="16"/>
                <w:color w:val="auto"/>
              </w:rPr>
            </w:pPr>
          </w:p>
        </w:tc>
      </w:tr>
      <w:tr>
        <w:trPr>
          <w:trHeight w:val="203"/>
        </w:trPr>
        <w:tc>
          <w:tcPr>
            <w:tcW w:w="4040" w:type="dxa"/>
            <w:vAlign w:val="bottom"/>
            <w:tcBorders>
              <w:left w:val="single" w:sz="8" w:color="auto"/>
              <w:right w:val="single" w:sz="8" w:color="auto"/>
            </w:tcBorders>
            <w:shd w:val="clear" w:color="auto" w:fill="BFBFBF"/>
          </w:tcPr>
          <w:p>
            <w:pPr>
              <w:spacing w:after="0"/>
              <w:rPr>
                <w:sz w:val="17"/>
                <w:szCs w:val="17"/>
                <w:color w:val="auto"/>
              </w:rPr>
            </w:pPr>
          </w:p>
        </w:tc>
        <w:tc>
          <w:tcPr>
            <w:tcW w:w="184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8"/>
              </w:rPr>
              <w:t>Gross Cash</w:t>
            </w:r>
          </w:p>
        </w:tc>
        <w:tc>
          <w:tcPr>
            <w:tcW w:w="164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rPr>
              <w:t>Social</w:t>
            </w:r>
          </w:p>
        </w:tc>
        <w:tc>
          <w:tcPr>
            <w:tcW w:w="128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7"/>
              </w:rPr>
              <w:t>Value w/</w:t>
            </w:r>
          </w:p>
        </w:tc>
        <w:tc>
          <w:tcPr>
            <w:tcW w:w="148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Total Annual</w:t>
            </w:r>
          </w:p>
        </w:tc>
      </w:tr>
      <w:tr>
        <w:trPr>
          <w:trHeight w:val="203"/>
        </w:trPr>
        <w:tc>
          <w:tcPr>
            <w:tcW w:w="4040" w:type="dxa"/>
            <w:vAlign w:val="bottom"/>
            <w:tcBorders>
              <w:left w:val="single" w:sz="8" w:color="auto"/>
              <w:right w:val="single" w:sz="8" w:color="auto"/>
            </w:tcBorders>
            <w:shd w:val="clear" w:color="auto" w:fill="BFBFBF"/>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184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64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Contribution</w:t>
            </w:r>
          </w:p>
        </w:tc>
        <w:tc>
          <w:tcPr>
            <w:tcW w:w="128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social contrib.</w:t>
            </w:r>
          </w:p>
        </w:tc>
        <w:tc>
          <w:tcPr>
            <w:tcW w:w="148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r>
      <w:tr>
        <w:trPr>
          <w:trHeight w:val="225"/>
        </w:trPr>
        <w:tc>
          <w:tcPr>
            <w:tcW w:w="404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18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c>
          <w:tcPr>
            <w:tcW w:w="16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c>
          <w:tcPr>
            <w:tcW w:w="12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r>
      <w:tr>
        <w:trPr>
          <w:trHeight w:val="195"/>
        </w:trPr>
        <w:tc>
          <w:tcPr>
            <w:tcW w:w="40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Martin Velasco</w:t>
            </w:r>
          </w:p>
        </w:tc>
        <w:tc>
          <w:tcPr>
            <w:tcW w:w="18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48</w:t>
            </w:r>
          </w:p>
        </w:tc>
        <w:tc>
          <w:tcPr>
            <w:tcW w:w="16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1280" w:type="dxa"/>
            <w:vAlign w:val="bottom"/>
            <w:tcBorders>
              <w:right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52</w:t>
            </w:r>
          </w:p>
        </w:tc>
      </w:tr>
      <w:tr>
        <w:trPr>
          <w:trHeight w:val="203"/>
        </w:trPr>
        <w:tc>
          <w:tcPr>
            <w:tcW w:w="40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Peter Bollmann, PhD</w:t>
            </w:r>
          </w:p>
        </w:tc>
        <w:tc>
          <w:tcPr>
            <w:tcW w:w="18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6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2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40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Thomas Graney</w:t>
            </w:r>
          </w:p>
        </w:tc>
        <w:tc>
          <w:tcPr>
            <w:tcW w:w="18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Detlev Riesner, PhD</w:t>
            </w:r>
          </w:p>
        </w:tc>
        <w:tc>
          <w:tcPr>
            <w:tcW w:w="18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6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40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Friedrich von Bohlen und Halbach, PhD</w:t>
            </w:r>
          </w:p>
        </w:tc>
        <w:tc>
          <w:tcPr>
            <w:tcW w:w="18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16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40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Andrea Pfeifer, PhD</w:t>
            </w:r>
          </w:p>
        </w:tc>
        <w:tc>
          <w:tcPr>
            <w:tcW w:w="18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r>
      <w:tr>
        <w:trPr>
          <w:trHeight w:val="203"/>
        </w:trPr>
        <w:tc>
          <w:tcPr>
            <w:tcW w:w="4040" w:type="dxa"/>
            <w:vAlign w:val="bottom"/>
            <w:tcBorders>
              <w:left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Mathias Hothum</w:t>
            </w:r>
          </w:p>
        </w:tc>
        <w:tc>
          <w:tcPr>
            <w:tcW w:w="18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640" w:type="dxa"/>
            <w:vAlign w:val="bottom"/>
            <w:tcBorders>
              <w:bottom w:val="single" w:sz="8" w:color="auto"/>
              <w:right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r>
      <w:tr>
        <w:trPr>
          <w:trHeight w:val="19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155</w:t>
            </w:r>
          </w:p>
        </w:tc>
        <w:tc>
          <w:tcPr>
            <w:tcW w:w="164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w:t>
            </w:r>
          </w:p>
        </w:tc>
        <w:tc>
          <w:tcPr>
            <w:tcW w:w="1280" w:type="dxa"/>
            <w:vAlign w:val="bottom"/>
            <w:tcBorders>
              <w:bottom w:val="single" w:sz="8" w:color="auto"/>
              <w:right w:val="single" w:sz="8" w:color="auto"/>
            </w:tcBorders>
            <w:shd w:val="clear" w:color="auto" w:fill="BFBFB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163</w:t>
            </w:r>
          </w:p>
        </w:tc>
      </w:tr>
    </w:tbl>
    <w:p>
      <w:pPr>
        <w:spacing w:after="0" w:line="202"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Compensation for Andrea Pfeifer is included in section 2 c below.</w:t>
      </w:r>
    </w:p>
    <w:p>
      <w:pPr>
        <w:spacing w:after="0" w:line="198" w:lineRule="exact"/>
        <w:rPr>
          <w:rFonts w:ascii="Arial" w:cs="Arial" w:eastAsia="Arial" w:hAnsi="Arial"/>
          <w:sz w:val="18"/>
          <w:szCs w:val="18"/>
          <w:color w:val="auto"/>
        </w:rPr>
      </w:pPr>
    </w:p>
    <w:p>
      <w:pPr>
        <w:ind w:left="640" w:right="200" w:firstLine="16"/>
        <w:spacing w:after="0" w:line="246" w:lineRule="auto"/>
        <w:tabs>
          <w:tab w:leader="none" w:pos="9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No options were granted in 2016. Stock option value determined based on grant date fair value of stock options using the Black-Scholes model.</w:t>
      </w:r>
    </w:p>
    <w:p>
      <w:pPr>
        <w:spacing w:after="0" w:line="161"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b w:val="1"/>
          <w:bCs w:val="1"/>
          <w:color w:val="auto"/>
        </w:rPr>
        <w:t>d. Loans to Board Members, payments to former members of the Board of Directors and payments to Related Parties of Members of the Board of Directors</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2016, the Company granted no loans to members or former members of the Board of Directors and as of December 31, 2016, no such loans or credit payments existed to present or former members of the Board of Directors, or to related parties of present or former members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no compensation was paid to related parties or former members of the Board of Directors.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980" w:right="6120" w:hanging="648"/>
        <w:spacing w:after="0" w:line="482" w:lineRule="auto"/>
        <w:tabs>
          <w:tab w:leader="none" w:pos="65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Members of Executive Management a. Executive Management Composition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management (EM) during 2016 was comprised of:</w:t>
      </w:r>
    </w:p>
    <w:p>
      <w:pPr>
        <w:spacing w:after="0" w:line="179"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4240" w:type="dxa"/>
            <w:vAlign w:val="bottom"/>
            <w:tcBorders>
              <w:top w:val="single" w:sz="8" w:color="auto"/>
              <w:left w:val="single" w:sz="8" w:color="auto"/>
              <w:right w:val="single" w:sz="8" w:color="BFBFBF"/>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Name</w:t>
            </w:r>
          </w:p>
        </w:tc>
        <w:tc>
          <w:tcPr>
            <w:tcW w:w="3020" w:type="dxa"/>
            <w:vAlign w:val="bottom"/>
            <w:tcBorders>
              <w:top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Function</w:t>
            </w:r>
          </w:p>
        </w:tc>
        <w:tc>
          <w:tcPr>
            <w:tcW w:w="3020" w:type="dxa"/>
            <w:vAlign w:val="bottom"/>
            <w:tcBorders>
              <w:top w:val="single" w:sz="8" w:color="auto"/>
              <w:right w:val="single" w:sz="8" w:color="auto"/>
            </w:tcBorders>
            <w:gridSpan w:val="2"/>
            <w:shd w:val="clear" w:color="auto" w:fill="BFBFBF"/>
          </w:tcPr>
          <w:p>
            <w:pPr>
              <w:jc w:val="right"/>
              <w:ind w:right="970"/>
              <w:spacing w:after="0"/>
              <w:rPr>
                <w:sz w:val="20"/>
                <w:szCs w:val="20"/>
                <w:color w:val="auto"/>
              </w:rPr>
            </w:pPr>
            <w:r>
              <w:rPr>
                <w:rFonts w:ascii="Arial" w:cs="Arial" w:eastAsia="Arial" w:hAnsi="Arial"/>
                <w:sz w:val="18"/>
                <w:szCs w:val="18"/>
                <w:b w:val="1"/>
                <w:bCs w:val="1"/>
                <w:color w:val="auto"/>
              </w:rPr>
              <w:t>Appointment</w:t>
            </w:r>
          </w:p>
        </w:tc>
      </w:tr>
      <w:tr>
        <w:trPr>
          <w:trHeight w:val="203"/>
        </w:trPr>
        <w:tc>
          <w:tcPr>
            <w:tcW w:w="4240" w:type="dxa"/>
            <w:vAlign w:val="bottom"/>
            <w:tcBorders>
              <w:left w:val="single" w:sz="8" w:color="auto"/>
              <w:bottom w:val="single" w:sz="8" w:color="auto"/>
              <w:right w:val="single" w:sz="8" w:color="BFBFBF"/>
            </w:tcBorders>
            <w:shd w:val="clear" w:color="auto" w:fill="BFBFBF"/>
          </w:tcPr>
          <w:p>
            <w:pPr>
              <w:spacing w:after="0"/>
              <w:rPr>
                <w:sz w:val="17"/>
                <w:szCs w:val="17"/>
                <w:color w:val="auto"/>
              </w:rPr>
            </w:pPr>
          </w:p>
        </w:tc>
        <w:tc>
          <w:tcPr>
            <w:tcW w:w="3020" w:type="dxa"/>
            <w:vAlign w:val="bottom"/>
            <w:tcBorders>
              <w:bottom w:val="single" w:sz="8" w:color="auto"/>
            </w:tcBorders>
            <w:shd w:val="clear" w:color="auto" w:fill="BFBFBF"/>
          </w:tcPr>
          <w:p>
            <w:pPr>
              <w:spacing w:after="0"/>
              <w:rPr>
                <w:sz w:val="17"/>
                <w:szCs w:val="17"/>
                <w:color w:val="auto"/>
              </w:rPr>
            </w:pPr>
          </w:p>
        </w:tc>
        <w:tc>
          <w:tcPr>
            <w:tcW w:w="880" w:type="dxa"/>
            <w:vAlign w:val="bottom"/>
            <w:tcBorders>
              <w:bottom w:val="single" w:sz="8" w:color="auto"/>
              <w:right w:val="single" w:sz="8" w:color="BFBFBF"/>
            </w:tcBorders>
            <w:shd w:val="clear" w:color="auto" w:fill="BFBFBF"/>
          </w:tcPr>
          <w:p>
            <w:pPr>
              <w:spacing w:after="0"/>
              <w:rPr>
                <w:sz w:val="17"/>
                <w:szCs w:val="17"/>
                <w:color w:val="auto"/>
              </w:rPr>
            </w:pPr>
          </w:p>
        </w:tc>
        <w:tc>
          <w:tcPr>
            <w:tcW w:w="2140" w:type="dxa"/>
            <w:vAlign w:val="bottom"/>
            <w:tcBorders>
              <w:bottom w:val="single" w:sz="8" w:color="auto"/>
              <w:right w:val="single" w:sz="8" w:color="auto"/>
            </w:tcBorders>
            <w:shd w:val="clear" w:color="auto" w:fill="BFBFBF"/>
          </w:tcPr>
          <w:p>
            <w:pPr>
              <w:spacing w:after="0"/>
              <w:rPr>
                <w:sz w:val="17"/>
                <w:szCs w:val="17"/>
                <w:color w:val="auto"/>
              </w:rPr>
            </w:pPr>
          </w:p>
        </w:tc>
      </w:tr>
      <w:tr>
        <w:trPr>
          <w:trHeight w:val="195"/>
        </w:trPr>
        <w:tc>
          <w:tcPr>
            <w:tcW w:w="4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 Pfeifer, PhD</w:t>
            </w: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c>
          <w:tcPr>
            <w:tcW w:w="88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2003</w:t>
            </w:r>
          </w:p>
        </w:tc>
      </w:tr>
      <w:tr>
        <w:trPr>
          <w:trHeight w:val="203"/>
        </w:trPr>
        <w:tc>
          <w:tcPr>
            <w:tcW w:w="42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George Pavey (1)</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2015</w:t>
            </w:r>
          </w:p>
        </w:tc>
      </w:tr>
      <w:tr>
        <w:trPr>
          <w:trHeight w:val="203"/>
        </w:trPr>
        <w:tc>
          <w:tcPr>
            <w:tcW w:w="42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Andreas Muhs, PhD</w:t>
            </w: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Chief Scientific Officer</w:t>
            </w:r>
          </w:p>
        </w:tc>
        <w:tc>
          <w:tcPr>
            <w:tcW w:w="88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2005</w:t>
            </w:r>
          </w:p>
        </w:tc>
      </w:tr>
      <w:tr>
        <w:trPr>
          <w:trHeight w:val="203"/>
        </w:trPr>
        <w:tc>
          <w:tcPr>
            <w:tcW w:w="424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Jean-Fabien Monin</w:t>
            </w:r>
          </w:p>
        </w:tc>
        <w:tc>
          <w:tcPr>
            <w:tcW w:w="30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Chief Administrative Officer</w:t>
            </w:r>
          </w:p>
        </w:tc>
        <w:tc>
          <w:tcPr>
            <w:tcW w:w="880" w:type="dxa"/>
            <w:vAlign w:val="bottom"/>
            <w:tcBorders>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2009</w:t>
            </w:r>
          </w:p>
        </w:tc>
      </w:tr>
    </w:tbl>
    <w:p>
      <w:pPr>
        <w:spacing w:after="0" w:line="202" w:lineRule="exact"/>
        <w:rPr>
          <w:sz w:val="20"/>
          <w:szCs w:val="20"/>
          <w:color w:val="auto"/>
        </w:rPr>
      </w:pPr>
    </w:p>
    <w:p>
      <w:pPr>
        <w:ind w:left="980" w:right="340" w:hanging="324"/>
        <w:spacing w:after="0" w:line="23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 press release dated November 23, 2016 it was announced that the Company had appointed Mr. Joerg Hornstein as Chief Financial Officer to replace Mr. George Pavey, who left the company after the initial public offering. Mr. Hornstein is expected to begin his role as Chief Financial Officer on April 1, 2017. In the meantime, Mr. Monin is acting as our interim principal financial officer.</w:t>
      </w:r>
    </w:p>
    <w:p>
      <w:pPr>
        <w:spacing w:after="0" w:line="16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b.  Executive Compensation Principles</w:t>
      </w:r>
    </w:p>
    <w:p>
      <w:pPr>
        <w:spacing w:after="0" w:line="220"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Each member of the EM receives remuneration consisting of a base salary, incentive plan, social benefits and an equity incentive plan as described more fully in the annex to this report.</w:t>
      </w:r>
    </w:p>
    <w:p>
      <w:pPr>
        <w:spacing w:after="0" w:line="16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tab/>
        <w:t>2016 Executive Compensation</w:t>
      </w:r>
    </w:p>
    <w:p>
      <w:pPr>
        <w:spacing w:after="0" w:line="22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total compensation of the EM and the highest individual compensation of the members of the Executive Management in 2016 are outlined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 amounts are in CHF 000’s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420" w:type="dxa"/>
            <w:vAlign w:val="bottom"/>
            <w:tcBorders>
              <w:top w:val="single" w:sz="8" w:color="auto"/>
              <w:left w:val="single" w:sz="8" w:color="auto"/>
            </w:tcBorders>
            <w:shd w:val="clear" w:color="auto" w:fill="BFBFBF"/>
          </w:tcPr>
          <w:p>
            <w:pPr>
              <w:spacing w:after="0"/>
              <w:rPr>
                <w:sz w:val="16"/>
                <w:szCs w:val="16"/>
                <w:color w:val="auto"/>
              </w:rPr>
            </w:pPr>
          </w:p>
        </w:tc>
        <w:tc>
          <w:tcPr>
            <w:tcW w:w="1780" w:type="dxa"/>
            <w:vAlign w:val="bottom"/>
            <w:tcBorders>
              <w:top w:val="single" w:sz="8" w:color="auto"/>
            </w:tcBorders>
            <w:shd w:val="clear" w:color="auto" w:fill="BFBFBF"/>
          </w:tcPr>
          <w:p>
            <w:pPr>
              <w:spacing w:after="0"/>
              <w:rPr>
                <w:sz w:val="16"/>
                <w:szCs w:val="16"/>
                <w:color w:val="auto"/>
              </w:rPr>
            </w:pPr>
          </w:p>
        </w:tc>
        <w:tc>
          <w:tcPr>
            <w:tcW w:w="1560" w:type="dxa"/>
            <w:vAlign w:val="bottom"/>
            <w:tcBorders>
              <w:top w:val="single" w:sz="8" w:color="auto"/>
            </w:tcBorders>
            <w:shd w:val="clear" w:color="auto" w:fill="BFBFBF"/>
          </w:tcPr>
          <w:p>
            <w:pPr>
              <w:spacing w:after="0"/>
              <w:rPr>
                <w:sz w:val="16"/>
                <w:szCs w:val="16"/>
                <w:color w:val="auto"/>
              </w:rPr>
            </w:pPr>
          </w:p>
        </w:tc>
        <w:tc>
          <w:tcPr>
            <w:tcW w:w="1240" w:type="dxa"/>
            <w:vAlign w:val="bottom"/>
            <w:tcBorders>
              <w:top w:val="single" w:sz="8" w:color="auto"/>
            </w:tcBorders>
            <w:shd w:val="clear" w:color="auto" w:fill="BFBFBF"/>
          </w:tcPr>
          <w:p>
            <w:pPr>
              <w:spacing w:after="0"/>
              <w:rPr>
                <w:sz w:val="16"/>
                <w:szCs w:val="16"/>
                <w:color w:val="auto"/>
              </w:rPr>
            </w:pPr>
          </w:p>
        </w:tc>
        <w:tc>
          <w:tcPr>
            <w:tcW w:w="1460" w:type="dxa"/>
            <w:vAlign w:val="bottom"/>
            <w:tcBorders>
              <w:top w:val="single" w:sz="8" w:color="auto"/>
            </w:tcBorders>
            <w:shd w:val="clear" w:color="auto" w:fill="BFBFBF"/>
          </w:tcPr>
          <w:p>
            <w:pPr>
              <w:jc w:val="center"/>
              <w:ind w:right="90"/>
              <w:spacing w:after="0" w:line="194" w:lineRule="exact"/>
              <w:rPr>
                <w:sz w:val="20"/>
                <w:szCs w:val="20"/>
                <w:color w:val="auto"/>
              </w:rPr>
            </w:pPr>
            <w:r>
              <w:rPr>
                <w:rFonts w:ascii="Arial" w:cs="Arial" w:eastAsia="Arial" w:hAnsi="Arial"/>
                <w:sz w:val="18"/>
                <w:szCs w:val="18"/>
                <w:b w:val="1"/>
                <w:bCs w:val="1"/>
                <w:color w:val="auto"/>
                <w:w w:val="99"/>
              </w:rPr>
              <w:t>Employer's</w:t>
            </w:r>
          </w:p>
        </w:tc>
        <w:tc>
          <w:tcPr>
            <w:tcW w:w="1000" w:type="dxa"/>
            <w:vAlign w:val="bottom"/>
            <w:tcBorders>
              <w:top w:val="single" w:sz="8" w:color="auto"/>
            </w:tcBorders>
            <w:shd w:val="clear" w:color="auto" w:fill="BFBFBF"/>
          </w:tcPr>
          <w:p>
            <w:pPr>
              <w:spacing w:after="0"/>
              <w:rPr>
                <w:sz w:val="16"/>
                <w:szCs w:val="16"/>
                <w:color w:val="auto"/>
              </w:rPr>
            </w:pPr>
          </w:p>
        </w:tc>
        <w:tc>
          <w:tcPr>
            <w:tcW w:w="980" w:type="dxa"/>
            <w:vAlign w:val="bottom"/>
            <w:tcBorders>
              <w:top w:val="single" w:sz="8" w:color="auto"/>
            </w:tcBorders>
            <w:shd w:val="clear" w:color="auto" w:fill="BFBFBF"/>
          </w:tcPr>
          <w:p>
            <w:pPr>
              <w:spacing w:after="0"/>
              <w:rPr>
                <w:sz w:val="16"/>
                <w:szCs w:val="16"/>
                <w:color w:val="auto"/>
              </w:rPr>
            </w:pPr>
          </w:p>
        </w:tc>
        <w:tc>
          <w:tcPr>
            <w:tcW w:w="980" w:type="dxa"/>
            <w:vAlign w:val="bottom"/>
            <w:tcBorders>
              <w:top w:val="single" w:sz="8" w:color="auto"/>
              <w:right w:val="single" w:sz="8" w:color="auto"/>
            </w:tcBorders>
            <w:shd w:val="clear" w:color="auto" w:fill="BFBFBF"/>
          </w:tcPr>
          <w:p>
            <w:pPr>
              <w:jc w:val="center"/>
              <w:ind w:right="10"/>
              <w:spacing w:after="0" w:line="194" w:lineRule="exact"/>
              <w:rPr>
                <w:sz w:val="20"/>
                <w:szCs w:val="20"/>
                <w:color w:val="auto"/>
              </w:rPr>
            </w:pPr>
            <w:r>
              <w:rPr>
                <w:rFonts w:ascii="Arial" w:cs="Arial" w:eastAsia="Arial" w:hAnsi="Arial"/>
                <w:sz w:val="18"/>
                <w:szCs w:val="18"/>
                <w:b w:val="1"/>
                <w:bCs w:val="1"/>
                <w:color w:val="auto"/>
                <w:w w:val="97"/>
              </w:rPr>
              <w:t>Stock</w:t>
            </w:r>
          </w:p>
        </w:tc>
      </w:tr>
      <w:tr>
        <w:trPr>
          <w:trHeight w:val="203"/>
        </w:trPr>
        <w:tc>
          <w:tcPr>
            <w:tcW w:w="2420" w:type="dxa"/>
            <w:vAlign w:val="bottom"/>
            <w:tcBorders>
              <w:left w:val="single" w:sz="8" w:color="auto"/>
            </w:tcBorders>
            <w:shd w:val="clear" w:color="auto" w:fill="BFBFBF"/>
          </w:tcPr>
          <w:p>
            <w:pPr>
              <w:spacing w:after="0"/>
              <w:rPr>
                <w:sz w:val="17"/>
                <w:szCs w:val="17"/>
                <w:color w:val="auto"/>
              </w:rPr>
            </w:pPr>
          </w:p>
        </w:tc>
        <w:tc>
          <w:tcPr>
            <w:tcW w:w="1780" w:type="dxa"/>
            <w:vAlign w:val="bottom"/>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Cash</w:t>
            </w:r>
          </w:p>
        </w:tc>
        <w:tc>
          <w:tcPr>
            <w:tcW w:w="1560" w:type="dxa"/>
            <w:vAlign w:val="bottom"/>
            <w:shd w:val="clear" w:color="auto" w:fill="BFBFBF"/>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Other</w:t>
            </w:r>
          </w:p>
        </w:tc>
        <w:tc>
          <w:tcPr>
            <w:tcW w:w="1240" w:type="dxa"/>
            <w:vAlign w:val="bottom"/>
            <w:shd w:val="clear" w:color="auto" w:fill="BFBFBF"/>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Pension</w:t>
            </w:r>
          </w:p>
        </w:tc>
        <w:tc>
          <w:tcPr>
            <w:tcW w:w="1460" w:type="dxa"/>
            <w:vAlign w:val="bottom"/>
            <w:shd w:val="clear" w:color="auto" w:fill="BFBFBF"/>
          </w:tcPr>
          <w:p>
            <w:pPr>
              <w:jc w:val="center"/>
              <w:ind w:right="90"/>
              <w:spacing w:after="0" w:line="202" w:lineRule="exact"/>
              <w:rPr>
                <w:sz w:val="20"/>
                <w:szCs w:val="20"/>
                <w:color w:val="auto"/>
              </w:rPr>
            </w:pPr>
            <w:r>
              <w:rPr>
                <w:rFonts w:ascii="Arial" w:cs="Arial" w:eastAsia="Arial" w:hAnsi="Arial"/>
                <w:sz w:val="18"/>
                <w:szCs w:val="18"/>
                <w:b w:val="1"/>
                <w:bCs w:val="1"/>
                <w:color w:val="auto"/>
                <w:w w:val="97"/>
              </w:rPr>
              <w:t>Social</w:t>
            </w:r>
          </w:p>
        </w:tc>
        <w:tc>
          <w:tcPr>
            <w:tcW w:w="1000" w:type="dxa"/>
            <w:vAlign w:val="bottom"/>
            <w:shd w:val="clear" w:color="auto" w:fill="BFBFBF"/>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Cash</w:t>
            </w:r>
          </w:p>
        </w:tc>
        <w:tc>
          <w:tcPr>
            <w:tcW w:w="980" w:type="dxa"/>
            <w:vAlign w:val="bottom"/>
            <w:shd w:val="clear" w:color="auto" w:fill="BFBFBF"/>
          </w:tcPr>
          <w:p>
            <w:pPr>
              <w:spacing w:after="0"/>
              <w:rPr>
                <w:sz w:val="17"/>
                <w:szCs w:val="17"/>
                <w:color w:val="auto"/>
              </w:rPr>
            </w:pPr>
          </w:p>
        </w:tc>
        <w:tc>
          <w:tcPr>
            <w:tcW w:w="980" w:type="dxa"/>
            <w:vAlign w:val="bottom"/>
            <w:tcBorders>
              <w:right w:val="single" w:sz="8" w:color="auto"/>
            </w:tcBorders>
            <w:shd w:val="clear" w:color="auto" w:fill="BFBFBF"/>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Options</w:t>
            </w:r>
          </w:p>
        </w:tc>
      </w:tr>
      <w:tr>
        <w:trPr>
          <w:trHeight w:val="203"/>
        </w:trPr>
        <w:tc>
          <w:tcPr>
            <w:tcW w:w="2420" w:type="dxa"/>
            <w:vAlign w:val="bottom"/>
            <w:tcBorders>
              <w:left w:val="single" w:sz="8" w:color="auto"/>
            </w:tcBorders>
            <w:shd w:val="clear" w:color="auto" w:fill="BFBFBF"/>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1780" w:type="dxa"/>
            <w:vAlign w:val="bottom"/>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560" w:type="dxa"/>
            <w:vAlign w:val="bottom"/>
            <w:shd w:val="clear" w:color="auto" w:fill="BFBFBF"/>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1240" w:type="dxa"/>
            <w:vAlign w:val="bottom"/>
            <w:shd w:val="clear" w:color="auto" w:fill="BFBFBF"/>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(employer)</w:t>
            </w:r>
          </w:p>
        </w:tc>
        <w:tc>
          <w:tcPr>
            <w:tcW w:w="1460" w:type="dxa"/>
            <w:vAlign w:val="bottom"/>
            <w:shd w:val="clear" w:color="auto" w:fill="BFBFBF"/>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Contribution</w:t>
            </w:r>
          </w:p>
        </w:tc>
        <w:tc>
          <w:tcPr>
            <w:tcW w:w="1000" w:type="dxa"/>
            <w:vAlign w:val="bottom"/>
            <w:shd w:val="clear" w:color="auto" w:fill="BFBFBF"/>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Bonus</w:t>
            </w:r>
          </w:p>
        </w:tc>
        <w:tc>
          <w:tcPr>
            <w:tcW w:w="980" w:type="dxa"/>
            <w:vAlign w:val="bottom"/>
            <w:shd w:val="clear" w:color="auto" w:fill="BFBFBF"/>
          </w:tcPr>
          <w:p>
            <w:pPr>
              <w:jc w:val="right"/>
              <w:ind w:right="310"/>
              <w:spacing w:after="0" w:line="202" w:lineRule="exact"/>
              <w:rPr>
                <w:sz w:val="20"/>
                <w:szCs w:val="20"/>
                <w:color w:val="auto"/>
              </w:rPr>
            </w:pPr>
            <w:r>
              <w:rPr>
                <w:rFonts w:ascii="Arial" w:cs="Arial" w:eastAsia="Arial" w:hAnsi="Arial"/>
                <w:sz w:val="18"/>
                <w:szCs w:val="18"/>
                <w:b w:val="1"/>
                <w:bCs w:val="1"/>
                <w:color w:val="auto"/>
              </w:rPr>
              <w:t>Total</w:t>
            </w:r>
          </w:p>
        </w:tc>
        <w:tc>
          <w:tcPr>
            <w:tcW w:w="980" w:type="dxa"/>
            <w:vAlign w:val="bottom"/>
            <w:tcBorders>
              <w:right w:val="single" w:sz="8" w:color="auto"/>
            </w:tcBorders>
            <w:shd w:val="clear" w:color="auto" w:fill="BFBFBF"/>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FMV</w:t>
            </w:r>
          </w:p>
        </w:tc>
      </w:tr>
      <w:tr>
        <w:trPr>
          <w:trHeight w:val="225"/>
        </w:trPr>
        <w:tc>
          <w:tcPr>
            <w:tcW w:w="2420" w:type="dxa"/>
            <w:vAlign w:val="bottom"/>
            <w:tcBorders>
              <w:left w:val="single" w:sz="8" w:color="auto"/>
              <w:bottom w:val="single" w:sz="8" w:color="auto"/>
            </w:tcBorders>
            <w:shd w:val="clear" w:color="auto" w:fill="BFBFBF"/>
          </w:tcPr>
          <w:p>
            <w:pPr>
              <w:spacing w:after="0"/>
              <w:rPr>
                <w:sz w:val="19"/>
                <w:szCs w:val="19"/>
                <w:color w:val="auto"/>
              </w:rPr>
            </w:pPr>
          </w:p>
        </w:tc>
        <w:tc>
          <w:tcPr>
            <w:tcW w:w="178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c>
          <w:tcPr>
            <w:tcW w:w="1560" w:type="dxa"/>
            <w:vAlign w:val="bottom"/>
            <w:tcBorders>
              <w:bottom w:val="single" w:sz="8" w:color="auto"/>
            </w:tcBorders>
            <w:shd w:val="clear" w:color="auto" w:fill="BFBFBF"/>
          </w:tcPr>
          <w:p>
            <w:pPr>
              <w:jc w:val="center"/>
              <w:ind w:right="70"/>
              <w:spacing w:after="0"/>
              <w:rPr>
                <w:sz w:val="20"/>
                <w:szCs w:val="20"/>
                <w:color w:val="auto"/>
              </w:rPr>
            </w:pPr>
            <w:r>
              <w:rPr>
                <w:rFonts w:ascii="Arial" w:cs="Arial" w:eastAsia="Arial" w:hAnsi="Arial"/>
                <w:sz w:val="18"/>
                <w:szCs w:val="18"/>
                <w:b w:val="1"/>
                <w:bCs w:val="1"/>
                <w:color w:val="auto"/>
                <w:w w:val="99"/>
              </w:rPr>
              <w:t>2016</w:t>
            </w:r>
          </w:p>
        </w:tc>
        <w:tc>
          <w:tcPr>
            <w:tcW w:w="1240" w:type="dxa"/>
            <w:vAlign w:val="bottom"/>
            <w:tcBorders>
              <w:bottom w:val="single" w:sz="8" w:color="auto"/>
            </w:tcBorders>
            <w:shd w:val="clear" w:color="auto" w:fill="BFBFBF"/>
          </w:tcPr>
          <w:p>
            <w:pPr>
              <w:jc w:val="center"/>
              <w:ind w:right="110"/>
              <w:spacing w:after="0"/>
              <w:rPr>
                <w:sz w:val="20"/>
                <w:szCs w:val="20"/>
                <w:color w:val="auto"/>
              </w:rPr>
            </w:pPr>
            <w:r>
              <w:rPr>
                <w:rFonts w:ascii="Arial" w:cs="Arial" w:eastAsia="Arial" w:hAnsi="Arial"/>
                <w:sz w:val="18"/>
                <w:szCs w:val="18"/>
                <w:b w:val="1"/>
                <w:bCs w:val="1"/>
                <w:color w:val="auto"/>
                <w:w w:val="99"/>
              </w:rPr>
              <w:t>2016</w:t>
            </w:r>
          </w:p>
        </w:tc>
        <w:tc>
          <w:tcPr>
            <w:tcW w:w="1460" w:type="dxa"/>
            <w:vAlign w:val="bottom"/>
            <w:tcBorders>
              <w:bottom w:val="single" w:sz="8" w:color="auto"/>
            </w:tcBorders>
            <w:shd w:val="clear" w:color="auto" w:fill="BFBFBF"/>
          </w:tcPr>
          <w:p>
            <w:pPr>
              <w:jc w:val="center"/>
              <w:ind w:right="90"/>
              <w:spacing w:after="0"/>
              <w:rPr>
                <w:sz w:val="20"/>
                <w:szCs w:val="20"/>
                <w:color w:val="auto"/>
              </w:rPr>
            </w:pPr>
            <w:r>
              <w:rPr>
                <w:rFonts w:ascii="Arial" w:cs="Arial" w:eastAsia="Arial" w:hAnsi="Arial"/>
                <w:sz w:val="18"/>
                <w:szCs w:val="18"/>
                <w:b w:val="1"/>
                <w:bCs w:val="1"/>
                <w:color w:val="auto"/>
                <w:w w:val="99"/>
              </w:rPr>
              <w:t>2016</w:t>
            </w:r>
          </w:p>
        </w:tc>
        <w:tc>
          <w:tcPr>
            <w:tcW w:w="1000" w:type="dxa"/>
            <w:vAlign w:val="bottom"/>
            <w:tcBorders>
              <w:bottom w:val="single" w:sz="8" w:color="auto"/>
            </w:tcBorders>
            <w:shd w:val="clear" w:color="auto" w:fill="BFBFBF"/>
          </w:tcPr>
          <w:p>
            <w:pPr>
              <w:jc w:val="center"/>
              <w:ind w:right="150"/>
              <w:spacing w:after="0"/>
              <w:rPr>
                <w:sz w:val="20"/>
                <w:szCs w:val="20"/>
                <w:color w:val="auto"/>
              </w:rPr>
            </w:pPr>
            <w:r>
              <w:rPr>
                <w:rFonts w:ascii="Arial" w:cs="Arial" w:eastAsia="Arial" w:hAnsi="Arial"/>
                <w:sz w:val="18"/>
                <w:szCs w:val="18"/>
                <w:b w:val="1"/>
                <w:bCs w:val="1"/>
                <w:color w:val="auto"/>
                <w:w w:val="99"/>
              </w:rPr>
              <w:t>2016</w:t>
            </w:r>
          </w:p>
        </w:tc>
        <w:tc>
          <w:tcPr>
            <w:tcW w:w="980" w:type="dxa"/>
            <w:vAlign w:val="bottom"/>
            <w:tcBorders>
              <w:bottom w:val="single" w:sz="8" w:color="auto"/>
            </w:tcBorders>
            <w:shd w:val="clear" w:color="auto" w:fill="BFBFBF"/>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980" w:type="dxa"/>
            <w:vAlign w:val="bottom"/>
            <w:tcBorders>
              <w:bottom w:val="single" w:sz="8" w:color="auto"/>
              <w:right w:val="single" w:sz="8" w:color="auto"/>
            </w:tcBorders>
            <w:shd w:val="clear" w:color="auto" w:fill="BFBFBF"/>
          </w:tcPr>
          <w:p>
            <w:pPr>
              <w:jc w:val="center"/>
              <w:ind w:right="10"/>
              <w:spacing w:after="0"/>
              <w:rPr>
                <w:sz w:val="20"/>
                <w:szCs w:val="20"/>
                <w:color w:val="auto"/>
              </w:rPr>
            </w:pPr>
            <w:r>
              <w:rPr>
                <w:rFonts w:ascii="Arial" w:cs="Arial" w:eastAsia="Arial" w:hAnsi="Arial"/>
                <w:sz w:val="18"/>
                <w:szCs w:val="18"/>
                <w:b w:val="1"/>
                <w:bCs w:val="1"/>
                <w:color w:val="auto"/>
                <w:w w:val="99"/>
              </w:rPr>
              <w:t>2016</w:t>
            </w:r>
          </w:p>
        </w:tc>
      </w:tr>
      <w:tr>
        <w:trPr>
          <w:trHeight w:val="195"/>
        </w:trPr>
        <w:tc>
          <w:tcPr>
            <w:tcW w:w="242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 Pfeifer, PhD</w:t>
            </w:r>
          </w:p>
        </w:tc>
        <w:tc>
          <w:tcPr>
            <w:tcW w:w="1780" w:type="dxa"/>
            <w:vAlign w:val="bottom"/>
          </w:tcPr>
          <w:p>
            <w:pPr>
              <w:jc w:val="right"/>
              <w:spacing w:after="0" w:line="195" w:lineRule="exact"/>
              <w:rPr>
                <w:sz w:val="20"/>
                <w:szCs w:val="20"/>
                <w:color w:val="auto"/>
              </w:rPr>
            </w:pPr>
            <w:r>
              <w:rPr>
                <w:rFonts w:ascii="Arial" w:cs="Arial" w:eastAsia="Arial" w:hAnsi="Arial"/>
                <w:sz w:val="18"/>
                <w:szCs w:val="18"/>
                <w:color w:val="auto"/>
              </w:rPr>
              <w:t>350</w:t>
            </w:r>
          </w:p>
        </w:tc>
        <w:tc>
          <w:tcPr>
            <w:tcW w:w="156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c>
          <w:tcPr>
            <w:tcW w:w="12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52</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294</w:t>
            </w:r>
          </w:p>
        </w:tc>
        <w:tc>
          <w:tcPr>
            <w:tcW w:w="10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305</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1,029</w:t>
            </w:r>
          </w:p>
        </w:tc>
        <w:tc>
          <w:tcPr>
            <w:tcW w:w="980" w:type="dxa"/>
            <w:vAlign w:val="bottom"/>
            <w:tcBorders>
              <w:right w:val="single" w:sz="8" w:color="auto"/>
            </w:tcBorders>
          </w:tcPr>
          <w:p>
            <w:pPr>
              <w:spacing w:after="0"/>
              <w:rPr>
                <w:sz w:val="16"/>
                <w:szCs w:val="16"/>
                <w:color w:val="auto"/>
              </w:rPr>
            </w:pPr>
          </w:p>
        </w:tc>
      </w:tr>
      <w:tr>
        <w:trPr>
          <w:trHeight w:val="203"/>
        </w:trPr>
        <w:tc>
          <w:tcPr>
            <w:tcW w:w="242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Total Executive Committee</w:t>
            </w: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3"/>
        </w:trPr>
        <w:tc>
          <w:tcPr>
            <w:tcW w:w="242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Compensation</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1,080</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154</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w:t>
            </w:r>
          </w:p>
        </w:tc>
        <w:tc>
          <w:tcPr>
            <w:tcW w:w="10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526</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2,243</w:t>
            </w:r>
          </w:p>
        </w:tc>
        <w:tc>
          <w:tcPr>
            <w:tcW w:w="98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674</w:t>
            </w:r>
          </w:p>
        </w:tc>
      </w:tr>
    </w:tbl>
    <w:p>
      <w:pPr>
        <w:spacing w:after="0" w:line="8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Stock option value determined based on grant date fair value of stock options using the Black-Scholes model.</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 w:name="page28"/>
    <w:bookmarkEnd w:id="27"/>
    <w:p>
      <w:pPr>
        <w:jc w:val="center"/>
        <w:ind w:right="-59"/>
        <w:spacing w:after="0"/>
        <w:tabs>
          <w:tab w:leader="none" w:pos="1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7"/>
          <w:szCs w:val="17"/>
          <w:b w:val="1"/>
          <w:bCs w:val="1"/>
          <w:color w:val="auto"/>
        </w:rPr>
        <w:t>Loans, Severance or other Compensation Paid to Members or Former Members of the Executive Committee</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2016 the Company granted no loans to members or former members of the Executive Committee and as of December 31, 2016, no such loans or credit payments existed to present of former members of the Executive Committee, or to related parties of present or former members of the Executive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2016 no compensation was paid to related parties of present or former members of the executive committee.</w:t>
      </w:r>
    </w:p>
    <w:p>
      <w:pPr>
        <w:spacing w:after="0" w:line="17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Equity Incentive Plans of the Board of Directors and the Executive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Board of Directors and Executive Committee Equity Incentive Plan Summary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Board of Directors and Executive Committee held the following equity instruments as of December 31,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 xml:space="preserve">Investments held by members of the Board of Directors </w:t>
      </w:r>
      <w:r>
        <w:rPr>
          <w:rFonts w:ascii="Arial" w:cs="Arial" w:eastAsia="Arial" w:hAnsi="Arial"/>
          <w:sz w:val="30"/>
          <w:szCs w:val="30"/>
          <w:b w:val="1"/>
          <w:bCs w:val="1"/>
          <w:i w:val="1"/>
          <w:iCs w:val="1"/>
          <w:color w:val="4F81BD"/>
          <w:vertAlign w:val="superscript"/>
        </w:rPr>
        <w:t>(1)</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140" w:type="dxa"/>
            <w:vAlign w:val="bottom"/>
            <w:tcBorders>
              <w:top w:val="single" w:sz="8" w:color="auto"/>
              <w:left w:val="single" w:sz="8" w:color="auto"/>
              <w:right w:val="single" w:sz="8" w:color="auto"/>
            </w:tcBorders>
            <w:shd w:val="clear" w:color="auto" w:fill="BFBFBF"/>
          </w:tcPr>
          <w:p>
            <w:pPr>
              <w:spacing w:after="0"/>
              <w:rPr>
                <w:sz w:val="16"/>
                <w:szCs w:val="16"/>
                <w:color w:val="auto"/>
              </w:rPr>
            </w:pPr>
          </w:p>
        </w:tc>
        <w:tc>
          <w:tcPr>
            <w:tcW w:w="4320" w:type="dxa"/>
            <w:vAlign w:val="bottom"/>
            <w:tcBorders>
              <w:top w:val="single" w:sz="8" w:color="auto"/>
              <w:right w:val="single" w:sz="8" w:color="auto"/>
            </w:tcBorders>
            <w:shd w:val="clear" w:color="auto" w:fill="BFBFBF"/>
          </w:tcPr>
          <w:p>
            <w:pPr>
              <w:spacing w:after="0"/>
              <w:rPr>
                <w:sz w:val="16"/>
                <w:szCs w:val="16"/>
                <w:color w:val="auto"/>
              </w:rPr>
            </w:pPr>
          </w:p>
        </w:tc>
        <w:tc>
          <w:tcPr>
            <w:tcW w:w="1500" w:type="dxa"/>
            <w:vAlign w:val="bottom"/>
            <w:tcBorders>
              <w:top w:val="single" w:sz="8" w:color="auto"/>
              <w:right w:val="single" w:sz="8" w:color="auto"/>
            </w:tcBorders>
            <w:shd w:val="clear" w:color="auto" w:fill="BFBFBF"/>
          </w:tcPr>
          <w:p>
            <w:pPr>
              <w:jc w:val="center"/>
              <w:spacing w:after="0" w:line="194" w:lineRule="exact"/>
              <w:rPr>
                <w:sz w:val="20"/>
                <w:szCs w:val="20"/>
                <w:color w:val="auto"/>
              </w:rPr>
            </w:pPr>
            <w:r>
              <w:rPr>
                <w:rFonts w:ascii="Arial" w:cs="Arial" w:eastAsia="Arial" w:hAnsi="Arial"/>
                <w:sz w:val="18"/>
                <w:szCs w:val="18"/>
                <w:b w:val="1"/>
                <w:bCs w:val="1"/>
                <w:color w:val="auto"/>
                <w:w w:val="99"/>
              </w:rPr>
              <w:t>Number of</w:t>
            </w:r>
          </w:p>
        </w:tc>
        <w:tc>
          <w:tcPr>
            <w:tcW w:w="1460" w:type="dxa"/>
            <w:vAlign w:val="bottom"/>
            <w:tcBorders>
              <w:top w:val="single" w:sz="8" w:color="auto"/>
              <w:right w:val="single" w:sz="8" w:color="auto"/>
            </w:tcBorders>
            <w:shd w:val="clear" w:color="auto" w:fill="BFBFBF"/>
          </w:tcPr>
          <w:p>
            <w:pPr>
              <w:jc w:val="center"/>
              <w:spacing w:after="0" w:line="194" w:lineRule="exact"/>
              <w:rPr>
                <w:sz w:val="20"/>
                <w:szCs w:val="20"/>
                <w:color w:val="auto"/>
              </w:rPr>
            </w:pPr>
            <w:r>
              <w:rPr>
                <w:rFonts w:ascii="Arial" w:cs="Arial" w:eastAsia="Arial" w:hAnsi="Arial"/>
                <w:sz w:val="18"/>
                <w:szCs w:val="18"/>
                <w:b w:val="1"/>
                <w:bCs w:val="1"/>
                <w:color w:val="auto"/>
                <w:w w:val="99"/>
              </w:rPr>
              <w:t>Number of</w:t>
            </w:r>
          </w:p>
        </w:tc>
      </w:tr>
      <w:tr>
        <w:trPr>
          <w:trHeight w:val="203"/>
        </w:trPr>
        <w:tc>
          <w:tcPr>
            <w:tcW w:w="4140" w:type="dxa"/>
            <w:vAlign w:val="bottom"/>
            <w:tcBorders>
              <w:left w:val="single" w:sz="8" w:color="auto"/>
              <w:right w:val="single" w:sz="8" w:color="auto"/>
            </w:tcBorders>
            <w:shd w:val="clear" w:color="auto" w:fill="BFBFBF"/>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4320" w:type="dxa"/>
            <w:vAlign w:val="bottom"/>
            <w:tcBorders>
              <w:right w:val="single" w:sz="8" w:color="auto"/>
            </w:tcBorders>
            <w:shd w:val="clear" w:color="auto" w:fill="BFBFBF"/>
          </w:tcPr>
          <w:p>
            <w:pPr>
              <w:spacing w:after="0" w:line="202" w:lineRule="exact"/>
              <w:rPr>
                <w:sz w:val="20"/>
                <w:szCs w:val="20"/>
                <w:color w:val="auto"/>
              </w:rPr>
            </w:pPr>
            <w:r>
              <w:rPr>
                <w:rFonts w:ascii="Arial" w:cs="Arial" w:eastAsia="Arial" w:hAnsi="Arial"/>
                <w:sz w:val="18"/>
                <w:szCs w:val="18"/>
                <w:b w:val="1"/>
                <w:bCs w:val="1"/>
                <w:color w:val="auto"/>
              </w:rPr>
              <w:t>Functions</w:t>
            </w:r>
          </w:p>
        </w:tc>
        <w:tc>
          <w:tcPr>
            <w:tcW w:w="150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460" w:type="dxa"/>
            <w:vAlign w:val="bottom"/>
            <w:tcBorders>
              <w:right w:val="single" w:sz="8" w:color="auto"/>
            </w:tcBorders>
            <w:shd w:val="clear" w:color="auto" w:fill="BFBFBF"/>
          </w:tcPr>
          <w:p>
            <w:pPr>
              <w:jc w:val="center"/>
              <w:spacing w:after="0" w:line="202" w:lineRule="exact"/>
              <w:rPr>
                <w:sz w:val="20"/>
                <w:szCs w:val="20"/>
                <w:color w:val="auto"/>
              </w:rPr>
            </w:pPr>
            <w:r>
              <w:rPr>
                <w:rFonts w:ascii="Arial" w:cs="Arial" w:eastAsia="Arial" w:hAnsi="Arial"/>
                <w:sz w:val="18"/>
                <w:szCs w:val="18"/>
                <w:b w:val="1"/>
                <w:bCs w:val="1"/>
                <w:color w:val="auto"/>
                <w:w w:val="99"/>
              </w:rPr>
              <w:t>Options</w:t>
            </w:r>
          </w:p>
        </w:tc>
      </w:tr>
      <w:tr>
        <w:trPr>
          <w:trHeight w:val="225"/>
        </w:trPr>
        <w:tc>
          <w:tcPr>
            <w:tcW w:w="4140" w:type="dxa"/>
            <w:vAlign w:val="bottom"/>
            <w:tcBorders>
              <w:left w:val="single" w:sz="8" w:color="auto"/>
              <w:bottom w:val="single" w:sz="8" w:color="auto"/>
              <w:right w:val="single" w:sz="8" w:color="auto"/>
            </w:tcBorders>
            <w:shd w:val="clear" w:color="auto" w:fill="BFBFBF"/>
          </w:tcPr>
          <w:p>
            <w:pPr>
              <w:spacing w:after="0"/>
              <w:rPr>
                <w:sz w:val="19"/>
                <w:szCs w:val="19"/>
                <w:color w:val="auto"/>
              </w:rPr>
            </w:pPr>
          </w:p>
        </w:tc>
        <w:tc>
          <w:tcPr>
            <w:tcW w:w="4320" w:type="dxa"/>
            <w:vAlign w:val="bottom"/>
            <w:tcBorders>
              <w:bottom w:val="single" w:sz="8" w:color="auto"/>
              <w:right w:val="single" w:sz="8" w:color="auto"/>
            </w:tcBorders>
            <w:shd w:val="clear" w:color="auto" w:fill="BFBFBF"/>
          </w:tcPr>
          <w:p>
            <w:pPr>
              <w:spacing w:after="0"/>
              <w:rPr>
                <w:sz w:val="19"/>
                <w:szCs w:val="19"/>
                <w:color w:val="auto"/>
              </w:rPr>
            </w:pPr>
          </w:p>
        </w:tc>
        <w:tc>
          <w:tcPr>
            <w:tcW w:w="15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c>
          <w:tcPr>
            <w:tcW w:w="1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2016</w:t>
            </w:r>
          </w:p>
        </w:tc>
      </w:tr>
      <w:tr>
        <w:trPr>
          <w:trHeight w:val="236"/>
        </w:trPr>
        <w:tc>
          <w:tcPr>
            <w:tcW w:w="4140" w:type="dxa"/>
            <w:vAlign w:val="bottom"/>
            <w:tcBorders>
              <w:left w:val="single" w:sz="8" w:color="auto"/>
              <w:right w:val="single" w:sz="8" w:color="auto"/>
            </w:tcBorders>
          </w:tcPr>
          <w:p>
            <w:pPr>
              <w:ind w:left="20"/>
              <w:spacing w:after="0" w:line="236" w:lineRule="exact"/>
              <w:rPr>
                <w:sz w:val="20"/>
                <w:szCs w:val="20"/>
                <w:color w:val="auto"/>
              </w:rPr>
            </w:pPr>
            <w:r>
              <w:rPr>
                <w:rFonts w:ascii="Arial" w:cs="Arial" w:eastAsia="Arial" w:hAnsi="Arial"/>
                <w:sz w:val="17"/>
                <w:szCs w:val="17"/>
                <w:color w:val="auto"/>
              </w:rPr>
              <w:t>Martin Velasco</w:t>
            </w:r>
            <w:r>
              <w:rPr>
                <w:rFonts w:ascii="Arial" w:cs="Arial" w:eastAsia="Arial" w:hAnsi="Arial"/>
                <w:sz w:val="27"/>
                <w:szCs w:val="27"/>
                <w:color w:val="auto"/>
                <w:vertAlign w:val="superscript"/>
              </w:rPr>
              <w:t>(2) (3)</w:t>
            </w:r>
          </w:p>
        </w:tc>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Chairman</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964,500</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10,250</w:t>
            </w:r>
          </w:p>
        </w:tc>
      </w:tr>
      <w:tr>
        <w:trPr>
          <w:trHeight w:val="203"/>
        </w:trPr>
        <w:tc>
          <w:tcPr>
            <w:tcW w:w="41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Peter Bollmann, PhD</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5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1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Thomas Graney</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5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1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Detlev Riesner, PhD (2)</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5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764,000</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41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Friedrich von Bohlen und Halbach, PhD</w:t>
            </w:r>
          </w:p>
        </w:tc>
        <w:tc>
          <w:tcPr>
            <w:tcW w:w="4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Director</w:t>
            </w:r>
          </w:p>
        </w:tc>
        <w:tc>
          <w:tcPr>
            <w:tcW w:w="15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78,750</w:t>
            </w:r>
          </w:p>
        </w:tc>
        <w:tc>
          <w:tcPr>
            <w:tcW w:w="14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14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Board Member - Departing (Mathias Hothum)</w:t>
            </w:r>
          </w:p>
        </w:tc>
        <w:tc>
          <w:tcPr>
            <w:tcW w:w="4320" w:type="dxa"/>
            <w:vAlign w:val="bottom"/>
            <w:tcBorders>
              <w:bottom w:val="single" w:sz="8" w:color="auto"/>
              <w:right w:val="single" w:sz="8" w:color="auto"/>
            </w:tcBorders>
          </w:tcPr>
          <w:p>
            <w:pPr>
              <w:spacing w:after="0" w:line="203" w:lineRule="exact"/>
              <w:rPr>
                <w:sz w:val="20"/>
                <w:szCs w:val="20"/>
                <w:color w:val="auto"/>
              </w:rPr>
            </w:pPr>
            <w:r>
              <w:rPr>
                <w:rFonts w:ascii="Arial" w:cs="Arial" w:eastAsia="Arial" w:hAnsi="Arial"/>
                <w:sz w:val="18"/>
                <w:szCs w:val="18"/>
                <w:color w:val="auto"/>
              </w:rPr>
              <w:t>Director</w:t>
            </w:r>
          </w:p>
        </w:tc>
        <w:tc>
          <w:tcPr>
            <w:tcW w:w="150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36,500</w:t>
            </w:r>
          </w:p>
        </w:tc>
        <w:tc>
          <w:tcPr>
            <w:tcW w:w="146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r>
      <w:tr>
        <w:trPr>
          <w:trHeight w:val="196"/>
        </w:trPr>
        <w:tc>
          <w:tcPr>
            <w:tcW w:w="4140" w:type="dxa"/>
            <w:vAlign w:val="bottom"/>
            <w:tcBorders>
              <w:left w:val="single" w:sz="8" w:color="auto"/>
              <w:bottom w:val="single" w:sz="8" w:color="auto"/>
              <w:right w:val="single" w:sz="8" w:color="auto"/>
            </w:tcBorders>
            <w:shd w:val="clear" w:color="auto" w:fill="BFBFB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4320" w:type="dxa"/>
            <w:vAlign w:val="bottom"/>
            <w:tcBorders>
              <w:bottom w:val="single" w:sz="8" w:color="auto"/>
              <w:right w:val="single" w:sz="8" w:color="auto"/>
            </w:tcBorders>
            <w:shd w:val="clear" w:color="auto" w:fill="BFBFBF"/>
          </w:tcPr>
          <w:p>
            <w:pPr>
              <w:spacing w:after="0"/>
              <w:rPr>
                <w:sz w:val="17"/>
                <w:szCs w:val="17"/>
                <w:color w:val="auto"/>
              </w:rPr>
            </w:pPr>
          </w:p>
        </w:tc>
        <w:tc>
          <w:tcPr>
            <w:tcW w:w="150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b w:val="1"/>
                <w:bCs w:val="1"/>
                <w:color w:val="auto"/>
              </w:rPr>
              <w:t>1,843,750</w:t>
            </w:r>
          </w:p>
        </w:tc>
        <w:tc>
          <w:tcPr>
            <w:tcW w:w="146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b w:val="1"/>
                <w:bCs w:val="1"/>
                <w:color w:val="auto"/>
              </w:rPr>
              <w:t>15,250</w:t>
            </w:r>
          </w:p>
        </w:tc>
      </w:tr>
    </w:tbl>
    <w:p>
      <w:pPr>
        <w:spacing w:after="0" w:line="202"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Excluding Andrea Pfeifer, CEO, whose holdings are listed under Executive Committee</w:t>
      </w:r>
    </w:p>
    <w:p>
      <w:pPr>
        <w:spacing w:after="0" w:line="49"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held directly and indirectly through vehicles controlled by the Director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Investments held by members of the Executive Committee</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660" w:type="dxa"/>
            <w:vAlign w:val="bottom"/>
            <w:tcBorders>
              <w:top w:val="single" w:sz="8" w:color="auto"/>
              <w:left w:val="single" w:sz="8" w:color="auto"/>
            </w:tcBorders>
            <w:shd w:val="clear" w:color="auto" w:fill="BFBFBF"/>
          </w:tcPr>
          <w:p>
            <w:pPr>
              <w:spacing w:after="0"/>
              <w:rPr>
                <w:sz w:val="16"/>
                <w:szCs w:val="16"/>
                <w:color w:val="auto"/>
              </w:rPr>
            </w:pPr>
          </w:p>
        </w:tc>
        <w:tc>
          <w:tcPr>
            <w:tcW w:w="3180" w:type="dxa"/>
            <w:vAlign w:val="bottom"/>
            <w:tcBorders>
              <w:top w:val="single" w:sz="8" w:color="auto"/>
            </w:tcBorders>
            <w:shd w:val="clear" w:color="auto" w:fill="BFBFBF"/>
          </w:tcPr>
          <w:p>
            <w:pPr>
              <w:spacing w:after="0"/>
              <w:rPr>
                <w:sz w:val="16"/>
                <w:szCs w:val="16"/>
                <w:color w:val="auto"/>
              </w:rPr>
            </w:pPr>
          </w:p>
        </w:tc>
        <w:tc>
          <w:tcPr>
            <w:tcW w:w="2200" w:type="dxa"/>
            <w:vAlign w:val="bottom"/>
            <w:tcBorders>
              <w:top w:val="single" w:sz="8" w:color="auto"/>
            </w:tcBorders>
            <w:shd w:val="clear" w:color="auto" w:fill="BFBFBF"/>
          </w:tcPr>
          <w:p>
            <w:pPr>
              <w:jc w:val="center"/>
              <w:ind w:left="610"/>
              <w:spacing w:after="0" w:line="194" w:lineRule="exact"/>
              <w:rPr>
                <w:sz w:val="20"/>
                <w:szCs w:val="20"/>
                <w:color w:val="auto"/>
              </w:rPr>
            </w:pPr>
            <w:r>
              <w:rPr>
                <w:rFonts w:ascii="Arial" w:cs="Arial" w:eastAsia="Arial" w:hAnsi="Arial"/>
                <w:sz w:val="18"/>
                <w:szCs w:val="18"/>
                <w:b w:val="1"/>
                <w:bCs w:val="1"/>
                <w:color w:val="auto"/>
                <w:w w:val="99"/>
              </w:rPr>
              <w:t>Number of</w:t>
            </w:r>
          </w:p>
        </w:tc>
        <w:tc>
          <w:tcPr>
            <w:tcW w:w="1240" w:type="dxa"/>
            <w:vAlign w:val="bottom"/>
            <w:tcBorders>
              <w:top w:val="single" w:sz="8" w:color="auto"/>
            </w:tcBorders>
            <w:shd w:val="clear" w:color="auto" w:fill="BFBFBF"/>
          </w:tcPr>
          <w:p>
            <w:pPr>
              <w:jc w:val="center"/>
              <w:ind w:right="150"/>
              <w:spacing w:after="0" w:line="194" w:lineRule="exact"/>
              <w:rPr>
                <w:sz w:val="20"/>
                <w:szCs w:val="20"/>
                <w:color w:val="auto"/>
              </w:rPr>
            </w:pPr>
            <w:r>
              <w:rPr>
                <w:rFonts w:ascii="Arial" w:cs="Arial" w:eastAsia="Arial" w:hAnsi="Arial"/>
                <w:sz w:val="18"/>
                <w:szCs w:val="18"/>
                <w:b w:val="1"/>
                <w:bCs w:val="1"/>
                <w:color w:val="auto"/>
              </w:rPr>
              <w:t>Options -</w:t>
            </w:r>
          </w:p>
        </w:tc>
        <w:tc>
          <w:tcPr>
            <w:tcW w:w="1140" w:type="dxa"/>
            <w:vAlign w:val="bottom"/>
            <w:tcBorders>
              <w:top w:val="single" w:sz="8" w:color="auto"/>
              <w:right w:val="single" w:sz="8" w:color="auto"/>
            </w:tcBorders>
            <w:shd w:val="clear" w:color="auto" w:fill="BFBFBF"/>
          </w:tcPr>
          <w:p>
            <w:pPr>
              <w:jc w:val="center"/>
              <w:ind w:right="31"/>
              <w:spacing w:after="0" w:line="194" w:lineRule="exact"/>
              <w:rPr>
                <w:sz w:val="20"/>
                <w:szCs w:val="20"/>
                <w:color w:val="auto"/>
              </w:rPr>
            </w:pPr>
            <w:r>
              <w:rPr>
                <w:rFonts w:ascii="Arial" w:cs="Arial" w:eastAsia="Arial" w:hAnsi="Arial"/>
                <w:sz w:val="18"/>
                <w:szCs w:val="18"/>
                <w:b w:val="1"/>
                <w:bCs w:val="1"/>
                <w:color w:val="auto"/>
                <w:w w:val="98"/>
              </w:rPr>
              <w:t>Options -</w:t>
            </w:r>
          </w:p>
        </w:tc>
      </w:tr>
      <w:tr>
        <w:trPr>
          <w:trHeight w:val="203"/>
        </w:trPr>
        <w:tc>
          <w:tcPr>
            <w:tcW w:w="3660" w:type="dxa"/>
            <w:vAlign w:val="bottom"/>
            <w:tcBorders>
              <w:left w:val="single" w:sz="8" w:color="auto"/>
            </w:tcBorders>
            <w:shd w:val="clear" w:color="auto" w:fill="BFBFBF"/>
          </w:tcPr>
          <w:p>
            <w:pPr>
              <w:ind w:left="20"/>
              <w:spacing w:after="0" w:line="202" w:lineRule="exact"/>
              <w:rPr>
                <w:sz w:val="20"/>
                <w:szCs w:val="20"/>
                <w:color w:val="auto"/>
              </w:rPr>
            </w:pPr>
            <w:r>
              <w:rPr>
                <w:rFonts w:ascii="Arial" w:cs="Arial" w:eastAsia="Arial" w:hAnsi="Arial"/>
                <w:sz w:val="18"/>
                <w:szCs w:val="18"/>
                <w:b w:val="1"/>
                <w:bCs w:val="1"/>
                <w:color w:val="auto"/>
              </w:rPr>
              <w:t>Name</w:t>
            </w:r>
          </w:p>
        </w:tc>
        <w:tc>
          <w:tcPr>
            <w:tcW w:w="3180" w:type="dxa"/>
            <w:vAlign w:val="bottom"/>
            <w:shd w:val="clear" w:color="auto" w:fill="BFBFBF"/>
          </w:tcPr>
          <w:p>
            <w:pPr>
              <w:spacing w:after="0" w:line="202" w:lineRule="exact"/>
              <w:rPr>
                <w:sz w:val="20"/>
                <w:szCs w:val="20"/>
                <w:color w:val="auto"/>
              </w:rPr>
            </w:pPr>
            <w:r>
              <w:rPr>
                <w:rFonts w:ascii="Arial" w:cs="Arial" w:eastAsia="Arial" w:hAnsi="Arial"/>
                <w:sz w:val="18"/>
                <w:szCs w:val="18"/>
                <w:b w:val="1"/>
                <w:bCs w:val="1"/>
                <w:color w:val="auto"/>
              </w:rPr>
              <w:t>Functions</w:t>
            </w:r>
          </w:p>
        </w:tc>
        <w:tc>
          <w:tcPr>
            <w:tcW w:w="2200" w:type="dxa"/>
            <w:vAlign w:val="bottom"/>
            <w:shd w:val="clear" w:color="auto" w:fill="BFBFBF"/>
          </w:tcPr>
          <w:p>
            <w:pPr>
              <w:jc w:val="center"/>
              <w:ind w:left="630"/>
              <w:spacing w:after="0" w:line="202" w:lineRule="exact"/>
              <w:rPr>
                <w:sz w:val="20"/>
                <w:szCs w:val="20"/>
                <w:color w:val="auto"/>
              </w:rPr>
            </w:pPr>
            <w:r>
              <w:rPr>
                <w:rFonts w:ascii="Arial" w:cs="Arial" w:eastAsia="Arial" w:hAnsi="Arial"/>
                <w:sz w:val="18"/>
                <w:szCs w:val="18"/>
                <w:b w:val="1"/>
                <w:bCs w:val="1"/>
                <w:color w:val="auto"/>
                <w:w w:val="99"/>
              </w:rPr>
              <w:t>Shares</w:t>
            </w:r>
          </w:p>
        </w:tc>
        <w:tc>
          <w:tcPr>
            <w:tcW w:w="1240" w:type="dxa"/>
            <w:vAlign w:val="bottom"/>
            <w:shd w:val="clear" w:color="auto" w:fill="BFBFBF"/>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Vested</w:t>
            </w:r>
          </w:p>
        </w:tc>
        <w:tc>
          <w:tcPr>
            <w:tcW w:w="1140" w:type="dxa"/>
            <w:vAlign w:val="bottom"/>
            <w:tcBorders>
              <w:right w:val="single" w:sz="8" w:color="auto"/>
            </w:tcBorders>
            <w:shd w:val="clear" w:color="auto" w:fill="BFBFBF"/>
          </w:tcPr>
          <w:p>
            <w:pPr>
              <w:jc w:val="center"/>
              <w:ind w:right="31"/>
              <w:spacing w:after="0" w:line="202" w:lineRule="exact"/>
              <w:rPr>
                <w:sz w:val="20"/>
                <w:szCs w:val="20"/>
                <w:color w:val="auto"/>
              </w:rPr>
            </w:pPr>
            <w:r>
              <w:rPr>
                <w:rFonts w:ascii="Arial" w:cs="Arial" w:eastAsia="Arial" w:hAnsi="Arial"/>
                <w:sz w:val="18"/>
                <w:szCs w:val="18"/>
                <w:b w:val="1"/>
                <w:bCs w:val="1"/>
                <w:color w:val="auto"/>
              </w:rPr>
              <w:t>Unvested</w:t>
            </w:r>
          </w:p>
        </w:tc>
      </w:tr>
      <w:tr>
        <w:trPr>
          <w:trHeight w:val="225"/>
        </w:trPr>
        <w:tc>
          <w:tcPr>
            <w:tcW w:w="3660" w:type="dxa"/>
            <w:vAlign w:val="bottom"/>
            <w:tcBorders>
              <w:left w:val="single" w:sz="8" w:color="auto"/>
              <w:bottom w:val="single" w:sz="8" w:color="auto"/>
            </w:tcBorders>
            <w:shd w:val="clear" w:color="auto" w:fill="BFBFBF"/>
          </w:tcPr>
          <w:p>
            <w:pPr>
              <w:spacing w:after="0"/>
              <w:rPr>
                <w:sz w:val="19"/>
                <w:szCs w:val="19"/>
                <w:color w:val="auto"/>
              </w:rPr>
            </w:pPr>
          </w:p>
        </w:tc>
        <w:tc>
          <w:tcPr>
            <w:tcW w:w="3180" w:type="dxa"/>
            <w:vAlign w:val="bottom"/>
            <w:tcBorders>
              <w:bottom w:val="single" w:sz="8" w:color="auto"/>
            </w:tcBorders>
            <w:shd w:val="clear" w:color="auto" w:fill="BFBFBF"/>
          </w:tcPr>
          <w:p>
            <w:pPr>
              <w:spacing w:after="0"/>
              <w:rPr>
                <w:sz w:val="19"/>
                <w:szCs w:val="19"/>
                <w:color w:val="auto"/>
              </w:rPr>
            </w:pPr>
          </w:p>
        </w:tc>
        <w:tc>
          <w:tcPr>
            <w:tcW w:w="2200" w:type="dxa"/>
            <w:vAlign w:val="bottom"/>
            <w:tcBorders>
              <w:bottom w:val="single" w:sz="8" w:color="auto"/>
            </w:tcBorders>
            <w:shd w:val="clear" w:color="auto" w:fill="BFBFBF"/>
          </w:tcPr>
          <w:p>
            <w:pPr>
              <w:jc w:val="center"/>
              <w:ind w:left="630"/>
              <w:spacing w:after="0"/>
              <w:rPr>
                <w:sz w:val="20"/>
                <w:szCs w:val="20"/>
                <w:color w:val="auto"/>
              </w:rPr>
            </w:pPr>
            <w:r>
              <w:rPr>
                <w:rFonts w:ascii="Arial" w:cs="Arial" w:eastAsia="Arial" w:hAnsi="Arial"/>
                <w:sz w:val="18"/>
                <w:szCs w:val="18"/>
                <w:b w:val="1"/>
                <w:bCs w:val="1"/>
                <w:color w:val="auto"/>
                <w:w w:val="99"/>
              </w:rPr>
              <w:t>2016</w:t>
            </w:r>
          </w:p>
        </w:tc>
        <w:tc>
          <w:tcPr>
            <w:tcW w:w="1240" w:type="dxa"/>
            <w:vAlign w:val="bottom"/>
            <w:tcBorders>
              <w:bottom w:val="single" w:sz="8" w:color="auto"/>
            </w:tcBorders>
            <w:shd w:val="clear" w:color="auto" w:fill="BFBFBF"/>
          </w:tcPr>
          <w:p>
            <w:pPr>
              <w:jc w:val="center"/>
              <w:ind w:right="150"/>
              <w:spacing w:after="0"/>
              <w:rPr>
                <w:sz w:val="20"/>
                <w:szCs w:val="20"/>
                <w:color w:val="auto"/>
              </w:rPr>
            </w:pPr>
            <w:r>
              <w:rPr>
                <w:rFonts w:ascii="Arial" w:cs="Arial" w:eastAsia="Arial" w:hAnsi="Arial"/>
                <w:sz w:val="18"/>
                <w:szCs w:val="18"/>
                <w:b w:val="1"/>
                <w:bCs w:val="1"/>
                <w:color w:val="auto"/>
                <w:w w:val="99"/>
              </w:rPr>
              <w:t>2016</w:t>
            </w:r>
          </w:p>
        </w:tc>
        <w:tc>
          <w:tcPr>
            <w:tcW w:w="1140" w:type="dxa"/>
            <w:vAlign w:val="bottom"/>
            <w:tcBorders>
              <w:bottom w:val="single" w:sz="8" w:color="auto"/>
              <w:right w:val="single" w:sz="8" w:color="auto"/>
            </w:tcBorders>
            <w:shd w:val="clear" w:color="auto" w:fill="BFBFBF"/>
          </w:tcPr>
          <w:p>
            <w:pPr>
              <w:jc w:val="center"/>
              <w:ind w:right="51"/>
              <w:spacing w:after="0"/>
              <w:rPr>
                <w:sz w:val="20"/>
                <w:szCs w:val="20"/>
                <w:color w:val="auto"/>
              </w:rPr>
            </w:pPr>
            <w:r>
              <w:rPr>
                <w:rFonts w:ascii="Arial" w:cs="Arial" w:eastAsia="Arial" w:hAnsi="Arial"/>
                <w:sz w:val="18"/>
                <w:szCs w:val="18"/>
                <w:b w:val="1"/>
                <w:bCs w:val="1"/>
                <w:color w:val="auto"/>
                <w:w w:val="99"/>
              </w:rPr>
              <w:t>2016</w:t>
            </w:r>
          </w:p>
        </w:tc>
      </w:tr>
      <w:tr>
        <w:trPr>
          <w:trHeight w:val="195"/>
        </w:trPr>
        <w:tc>
          <w:tcPr>
            <w:tcW w:w="36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Andrea Pfeifer, PhD (3)</w:t>
            </w: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c>
          <w:tcPr>
            <w:tcW w:w="22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2,908,500</w:t>
            </w:r>
          </w:p>
        </w:tc>
        <w:tc>
          <w:tcPr>
            <w:tcW w:w="12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168,000</w:t>
            </w:r>
          </w:p>
        </w:tc>
        <w:tc>
          <w:tcPr>
            <w:tcW w:w="11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r>
      <w:tr>
        <w:trPr>
          <w:trHeight w:val="203"/>
        </w:trPr>
        <w:tc>
          <w:tcPr>
            <w:tcW w:w="36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George Pavey</w:t>
            </w: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45,000</w:t>
            </w:r>
          </w:p>
        </w:tc>
        <w:tc>
          <w:tcPr>
            <w:tcW w:w="11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49,250</w:t>
            </w:r>
          </w:p>
        </w:tc>
      </w:tr>
      <w:tr>
        <w:trPr>
          <w:trHeight w:val="203"/>
        </w:trPr>
        <w:tc>
          <w:tcPr>
            <w:tcW w:w="36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Andreas Muhs, PhD</w:t>
            </w: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Chief Scientific Officer</w:t>
            </w:r>
          </w:p>
        </w:tc>
        <w:tc>
          <w:tcPr>
            <w:tcW w:w="2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581,750</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316,750</w:t>
            </w:r>
          </w:p>
        </w:tc>
        <w:tc>
          <w:tcPr>
            <w:tcW w:w="11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3660" w:type="dxa"/>
            <w:vAlign w:val="bottom"/>
            <w:tcBorders>
              <w:left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Jean-Fabien Monin</w:t>
            </w:r>
          </w:p>
        </w:tc>
        <w:tc>
          <w:tcPr>
            <w:tcW w:w="3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Chief Administrative Officer</w:t>
            </w:r>
          </w:p>
        </w:tc>
        <w:tc>
          <w:tcPr>
            <w:tcW w:w="22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265,000</w:t>
            </w:r>
          </w:p>
        </w:tc>
        <w:tc>
          <w:tcPr>
            <w:tcW w:w="1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62,500</w:t>
            </w:r>
          </w:p>
        </w:tc>
        <w:tc>
          <w:tcPr>
            <w:tcW w:w="114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r>
      <w:tr>
        <w:trPr>
          <w:trHeight w:val="196"/>
        </w:trPr>
        <w:tc>
          <w:tcPr>
            <w:tcW w:w="3660" w:type="dxa"/>
            <w:vAlign w:val="bottom"/>
            <w:tcBorders>
              <w:left w:val="single" w:sz="8" w:color="auto"/>
              <w:bottom w:val="single" w:sz="8" w:color="auto"/>
            </w:tcBorders>
            <w:shd w:val="clear" w:color="auto" w:fill="BFBFB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180" w:type="dxa"/>
            <w:vAlign w:val="bottom"/>
            <w:tcBorders>
              <w:bottom w:val="single" w:sz="8" w:color="auto"/>
            </w:tcBorders>
            <w:shd w:val="clear" w:color="auto" w:fill="BFBFBF"/>
          </w:tcPr>
          <w:p>
            <w:pPr>
              <w:spacing w:after="0"/>
              <w:rPr>
                <w:sz w:val="17"/>
                <w:szCs w:val="17"/>
                <w:color w:val="auto"/>
              </w:rPr>
            </w:pPr>
          </w:p>
        </w:tc>
        <w:tc>
          <w:tcPr>
            <w:tcW w:w="220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b w:val="1"/>
                <w:bCs w:val="1"/>
                <w:color w:val="auto"/>
              </w:rPr>
              <w:t>3,755,250</w:t>
            </w:r>
          </w:p>
        </w:tc>
        <w:tc>
          <w:tcPr>
            <w:tcW w:w="124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b w:val="1"/>
                <w:bCs w:val="1"/>
                <w:color w:val="auto"/>
              </w:rPr>
              <w:t>592,250</w:t>
            </w:r>
          </w:p>
        </w:tc>
        <w:tc>
          <w:tcPr>
            <w:tcW w:w="1140" w:type="dxa"/>
            <w:vAlign w:val="bottom"/>
            <w:tcBorders>
              <w:bottom w:val="single" w:sz="8" w:color="auto"/>
              <w:right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b w:val="1"/>
                <w:bCs w:val="1"/>
                <w:color w:val="auto"/>
              </w:rPr>
              <w:t>49,250</w:t>
            </w:r>
          </w:p>
        </w:tc>
      </w:tr>
      <w:tr>
        <w:trPr>
          <w:trHeight w:val="493"/>
        </w:trPr>
        <w:tc>
          <w:tcPr>
            <w:tcW w:w="3660" w:type="dxa"/>
            <w:vAlign w:val="bottom"/>
            <w:tcBorders>
              <w:bottom w:val="single" w:sz="8" w:color="54301A"/>
            </w:tcBorders>
          </w:tcPr>
          <w:p>
            <w:pPr>
              <w:spacing w:after="0"/>
              <w:rPr>
                <w:sz w:val="24"/>
                <w:szCs w:val="24"/>
                <w:color w:val="auto"/>
              </w:rPr>
            </w:pPr>
          </w:p>
        </w:tc>
        <w:tc>
          <w:tcPr>
            <w:tcW w:w="3180" w:type="dxa"/>
            <w:vAlign w:val="bottom"/>
            <w:tcBorders>
              <w:bottom w:val="single" w:sz="8" w:color="54301A"/>
            </w:tcBorders>
          </w:tcPr>
          <w:p>
            <w:pPr>
              <w:spacing w:after="0"/>
              <w:rPr>
                <w:sz w:val="24"/>
                <w:szCs w:val="24"/>
                <w:color w:val="auto"/>
              </w:rPr>
            </w:pPr>
          </w:p>
        </w:tc>
        <w:tc>
          <w:tcPr>
            <w:tcW w:w="2200" w:type="dxa"/>
            <w:vAlign w:val="bottom"/>
            <w:tcBorders>
              <w:bottom w:val="single" w:sz="8" w:color="54301A"/>
            </w:tcBorders>
          </w:tcPr>
          <w:p>
            <w:pPr>
              <w:spacing w:after="0"/>
              <w:rPr>
                <w:sz w:val="24"/>
                <w:szCs w:val="24"/>
                <w:color w:val="auto"/>
              </w:rPr>
            </w:pPr>
          </w:p>
        </w:tc>
        <w:tc>
          <w:tcPr>
            <w:tcW w:w="1240" w:type="dxa"/>
            <w:vAlign w:val="bottom"/>
            <w:tcBorders>
              <w:bottom w:val="single" w:sz="8" w:color="54301A"/>
            </w:tcBorders>
          </w:tcPr>
          <w:p>
            <w:pPr>
              <w:spacing w:after="0"/>
              <w:rPr>
                <w:sz w:val="24"/>
                <w:szCs w:val="24"/>
                <w:color w:val="auto"/>
              </w:rPr>
            </w:pPr>
          </w:p>
        </w:tc>
        <w:tc>
          <w:tcPr>
            <w:tcW w:w="1140" w:type="dxa"/>
            <w:vAlign w:val="bottom"/>
            <w:tcBorders>
              <w:bottom w:val="single" w:sz="8" w:color="54301A"/>
            </w:tcBorders>
          </w:tcPr>
          <w:p>
            <w:pPr>
              <w:jc w:val="right"/>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420"/>
          </w:cols>
          <w:pgMar w:left="240" w:top="360" w:right="239" w:bottom="1440" w:gutter="0" w:footer="0" w:header="0"/>
        </w:sectPr>
      </w:pPr>
    </w:p>
    <w:bookmarkStart w:id="28" w:name="page29"/>
    <w:bookmarkEnd w:id="28"/>
    <w:p>
      <w:pPr>
        <w:ind w:right="40" w:firstLine="8"/>
        <w:spacing w:after="0" w:line="24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portion of the shares correspond to preferred shares acquired directly by the member through the Company’s successive financial rounds (Series A, B, C and D) and cannot be assimilated to compensation in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Current and Former Members of the Board and Executive Management</w:t>
      </w:r>
    </w:p>
    <w:p>
      <w:pPr>
        <w:spacing w:after="0" w:line="22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connection with options exercised in 2016 by current and former members of the Board and EM, AC Immune paid social contributions, in accordance with applicable laws, on the gain resulting from the difference in exercise price and fair value of the shares at the time of the exercise. With regard to the former Board and EM members, AC Immune paid a total of CHF 156K in 2016. With regard to the current EM members, AC Immune paid a total of CHF 453K in 2016.</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to the Report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365F91"/>
        </w:rPr>
        <w:t>Compensation Philosophy, Principles and Governance</w:t>
      </w:r>
    </w:p>
    <w:p>
      <w:pPr>
        <w:spacing w:after="0" w:line="2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AC Immune’s values as “A leader in AD Drug Development” are driven by passion to win, innovation, entrepreneurship, team spirit, modesty, communication and leadership. The company aims to attract “world class” professionals and strives for growth, achievement and success. The Company’s values are an essential component of its strategy and key drivers of the company’s performance.</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AC Immune's compensation policy is designed to attract, motivate and retain talent in order to sup- port the achievement of the Company’s financial and strategic objectives. The policy further aims at ensuring a fair and competitive compensation package. The Board believes that by combining short- and long-term incentive elements, the compensation system helps to align the interests of the Board members and management with the interests of the Company and its shareholders. In addition, compensation elements are focused on rewarding the delivery of outstanding and sustainable results without inappropriate risk-taking.</w:t>
      </w:r>
    </w:p>
    <w:p>
      <w:pPr>
        <w:spacing w:after="0" w:line="18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2016, the Company had engaged a reputable compensation and performance expert firm to benchmark the compensation level and structure for the members of the Board and EM. The analysis included compensation data of the comparable Pharma/Biopharma companies, among which several U.S.-based companies. The Board came to the conclusion that adjustments to the compensation were required in order for AC Immune to remain a competitive employer.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Method of Determining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The Role and Powers of the Compensation, Nomination and Corporate Governance Committee “CNC”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CNC consists of three (3) members, who are appointed by the Annual Shareholders' Meeting and the committee enacts its own charter.</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243F60"/>
        </w:rPr>
        <w:t>Compensation Guidelines:</w:t>
      </w:r>
    </w:p>
    <w:p>
      <w:pPr>
        <w:spacing w:after="0" w:line="5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CNC recommends guidelines for the compensation of the members of the Board of Directors, the CEO and the Executive Committee, and submits these recommendations to the Board of Directors for approval.</w:t>
      </w:r>
    </w:p>
    <w:p>
      <w:pPr>
        <w:spacing w:after="0" w:line="18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CNC provides an overall package for near- and long-term compensation, including variable compensation, that (1) is designed to attract, motivate and retain person with the necessary skills and character, (2) is consistent with market conditions, and in the case of variable compensation, consistent with the Company’s and individual’s performance, and (3) aligns the interests of the members of the Board of Directors and the Executive Committee with the interests of the Company. The CNC also periodically reviews the Company’s compensation policies for its employees who are not members of the Executive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CNC meets at least four times a year and informs the Board of Directors of its recommendation and resolutions after each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Approval of Compensation by the Annual Shareholders' Meeting</w:t>
      </w:r>
    </w:p>
    <w:p>
      <w:pPr>
        <w:spacing w:after="0" w:line="22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Swiss law requires a binding approval of the maximum compensation for the Board and the EM. Each year, the Annual Shareholders' Meeting separately approves the total maximum amounts proposed by the Board of Directors pursuant to Articles 32 and 33 of the Articles of Association for:</w:t>
      </w:r>
    </w:p>
    <w:p>
      <w:pPr>
        <w:spacing w:after="0" w:line="189"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198" w:lineRule="exact"/>
        <w:rPr>
          <w:rFonts w:ascii="Arial" w:cs="Arial" w:eastAsia="Arial" w:hAnsi="Arial"/>
          <w:sz w:val="18"/>
          <w:szCs w:val="18"/>
          <w:color w:val="auto"/>
        </w:rPr>
      </w:pPr>
    </w:p>
    <w:p>
      <w:pPr>
        <w:ind w:right="80" w:firstLine="8"/>
        <w:spacing w:after="0" w:line="24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Committee for the 12-month period starting on 1 July following the Ordinary Annual Shareholders' Meeting;</w:t>
      </w:r>
    </w:p>
    <w:p>
      <w:pPr>
        <w:spacing w:after="0" w:line="18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variable compensation for the Executive Committee for the current year;</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of options or shares in the Company to the Board of Directors and the Executive Committee.</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Committee and the Company.</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the Annual Shareholders'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Annual Shareholders' Meeting for approval. The Company may pay remunerations within the framework of the maximum total or partial remuneration and subject to the approval by the Annual Shareholders' Meeting.</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4F81BD"/>
        </w:rPr>
        <w:t>Compensation of the Board of Directors</w:t>
      </w:r>
    </w:p>
    <w:p>
      <w:pPr>
        <w:spacing w:after="0" w:line="7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CNC reviews and proposes to the Board of Directors the resolution to be submitted to the Ordinary Annual Shareholders' Meeting for the maximum total compensation of the Board of Directors. The CNC will also request approval by the Board of Directors of the individual compensation packages to be paid to members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for members of the Board typically consists of:</w:t>
      </w:r>
    </w:p>
    <w:p>
      <w:pPr>
        <w:spacing w:after="0" w:line="19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cash compensation</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grant of equity</w:t>
      </w:r>
    </w:p>
    <w:p>
      <w:pPr>
        <w:spacing w:after="0" w:line="1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Both components do not depend on the achievement of corporate goals or the individual performance of a Board member. Additionally, the Company pays the employer’s social security contributions due on these amounts. Board members do not receive any variable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Compensation of the Executive Committee</w:t>
      </w:r>
    </w:p>
    <w:p>
      <w:pPr>
        <w:spacing w:after="0" w:line="7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CNC evaluates annually the performance of the CEO and the Executive Committee and submits such evaluation for review and discussion by the Board of Directors, in each case in executive session without the presence of the CEO or the Executive Committee.</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Subject to and within the bounds of the maximum compensation approved by the Ordinary Annual Shareholders' Meeting, the CNC reviews and recommends for approval by the Board of Directors the annual base salary, incentive compensation (bonus) and equity compensation of the CEO, and in consultation with the CEO, of the Executive Committee, and the overall compensation of the CEO and the Executive Committee. The CNC also requests approval by the Board of Directors regarding the determination of the compensation-related targets for the Executive Committee and requests approval by the Board of Directors of the individual compensation packages to be paid to members of the Executive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Elements of Compensation for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Base Salary</w:t>
      </w:r>
    </w:p>
    <w:p>
      <w:pPr>
        <w:spacing w:after="0" w:line="7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Base salaries are highly competitive in order to attract, motivate, and retain persons with the necessary skills and character. The salary level is based on the scope of the position and market conditions and the individual’s profile in terms of experience and skills. The fixed compensation for the EM members includes base salary, social security contributions and payments to the pension fund by the Company. Base salaries are reviewed annually by the CNC, taking into account individual performance and the results of the external benchmarking.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Incentive Plan (Bonus)</w:t>
      </w:r>
    </w:p>
    <w:p>
      <w:pPr>
        <w:spacing w:after="0" w:line="7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CNC proposes to the Board of Directors an incentive compensation plan providing for variable compensation of the members of the Executive Committee based on the achievement of the Company’s corporate goals and in relation to the Executive Committee based on the individuals’ performance, and approve any changes to such plan as may be proposed by the CEO from time to</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1" w:name="page32"/>
    <w:bookmarkEnd w:id="31"/>
    <w:p>
      <w:pPr>
        <w:ind w:right="380"/>
        <w:spacing w:after="0" w:line="239" w:lineRule="auto"/>
        <w:rPr>
          <w:sz w:val="20"/>
          <w:szCs w:val="20"/>
          <w:color w:val="auto"/>
        </w:rPr>
      </w:pPr>
      <w:r>
        <w:rPr>
          <w:rFonts w:ascii="Arial" w:cs="Arial" w:eastAsia="Arial" w:hAnsi="Arial"/>
          <w:sz w:val="18"/>
          <w:szCs w:val="18"/>
          <w:color w:val="auto"/>
        </w:rPr>
        <w:t>time. The CNC reviews and approves any employment contracts, severance contracts, or other agreements that the Company proposes to enter into with any present, future or former members of the Executive Committee; provided that the key terms of such contracts shall be submitted for approval by the Board of Directors and shall be within the bounds of the maximum compensation approved by the Ordinary Annual Shareholders' Meeting.</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annual cash bonus for 2016 was based on the achievement of Company and individual goals. The target bonus, i.e. cash bonus to be paid if 100% of corporate and individual objectives are met, is determined individually for each member of the executive management as a fixed amount, ranging from approximately 20% to 90% of the base salary. According to the external benchmarking, the target bonuses continued to be in the lower range of the peer group. The 2016 corporate goals included (i) fulfillment of various R&amp;D project milestones, and (ii) successful completion of an initial public offering. The weightings of the corporate and individual goals are defined for each executive management member and vary depending on the position. In general, the higher the position of an employee, the more weight is put on the achievement of corporate goals rather than on individual goals. The Board determined that the actual target achievement of the 2016 corporate goals was 100%.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Pension Plan and Social Charges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Pension Plan</w:t>
      </w:r>
    </w:p>
    <w:p>
      <w:pPr>
        <w:spacing w:after="0" w:line="5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 Contributions paid to the plan are computed as a percentage of salary, adjusted for the age of the employee and shared approximately 46% and 54% by employee and employer, respectively. 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243F60"/>
        </w:rPr>
        <w:t>Social Charges</w:t>
      </w:r>
    </w:p>
    <w:p>
      <w:pPr>
        <w:spacing w:after="0" w:line="5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 Company pays old age and survivors’ insurance (AHV), Disability insurance (IV), Income replacement scheme (EO) as required by Federal Swiss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F81BD"/>
        </w:rPr>
        <w:t>Equity Incentive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Current Plan</w:t>
      </w:r>
    </w:p>
    <w:p>
      <w:pPr>
        <w:spacing w:after="0" w:line="50"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The 2016 Option and Incentive Plan (the “2016 Plan”) was established for the officers, employees, non-employee directors and consultants of AC Immune SA. The 2016 Plan became effective immediately prior to the Company’s initial public offering and provides for a variety of award types, including stock options, restricted stock awards, restricted stock units, unrestricted stock awards, and performance based awards.</w:t>
      </w:r>
    </w:p>
    <w:p>
      <w:pPr>
        <w:spacing w:after="0" w:line="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Vesting and performance based conditions vary by grant and are determined by the plan administrator, which is the board of directors or the compensation committee of the board of directors or the Chief Executive Officer under specified delegation limitations granted by the board of directors. However, option awards with an “Exercise Price” shall</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240"/>
        <w:spacing w:after="0"/>
        <w:rPr>
          <w:sz w:val="20"/>
          <w:szCs w:val="20"/>
          <w:color w:val="auto"/>
        </w:rPr>
      </w:pPr>
      <w:r>
        <w:rPr>
          <w:rFonts w:ascii="Arial" w:cs="Arial" w:eastAsia="Arial" w:hAnsi="Arial"/>
          <w:sz w:val="18"/>
          <w:szCs w:val="18"/>
          <w:color w:val="auto"/>
        </w:rPr>
        <w:t>be determined at the time of grant by the plan administrator, but shall not be less than 100 percent of fair market value on the date of grant. Further, awards with an “Option Term” may not exceed 10 years. No awards were issued under the 2016 Plan during 2016. According to the external benchmarking, the equity awards continued to be in the lower range of the peer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43F60"/>
        </w:rPr>
        <w:t>Prior Plans</w:t>
      </w:r>
    </w:p>
    <w:p>
      <w:pPr>
        <w:spacing w:after="0" w:line="5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The vesting periods of options issued under our Prior Plans vary. The options granted under Plan A vested immediately but were subject to a four-year lockup period. The options granted under Plan B and Plan C1 vested over a four year period with 25% of these options vesting each year. Under Plan C2, options were immediately exercisable.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authority to amend each of the Prior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Option Purchase Plan “</w:t>
      </w:r>
      <w:r>
        <w:rPr>
          <w:rFonts w:ascii="Arial" w:cs="Arial" w:eastAsia="Arial" w:hAnsi="Arial"/>
          <w:sz w:val="18"/>
          <w:szCs w:val="18"/>
          <w:color w:val="243F60"/>
        </w:rPr>
        <w:t>Employment Consideration”</w:t>
      </w:r>
    </w:p>
    <w:p>
      <w:pPr>
        <w:spacing w:after="0" w:line="220"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2015 we have granted one member of the EC, in the aggregate, options that will give him the right to acquire shares. Contingent upon continued employment and approval of our Board of Directors, such options vesting conditions are as follows:</w:t>
      </w:r>
    </w:p>
    <w:p>
      <w:pPr>
        <w:spacing w:after="0" w:line="183" w:lineRule="exact"/>
        <w:rPr>
          <w:sz w:val="20"/>
          <w:szCs w:val="20"/>
          <w:color w:val="auto"/>
        </w:rPr>
      </w:pPr>
    </w:p>
    <w:p>
      <w:pPr>
        <w:ind w:right="460" w:firstLine="8"/>
        <w:spacing w:after="0"/>
        <w:tabs>
          <w:tab w:leader="none" w:pos="1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45,000 options which became purchasable on July 15, 2015, on a four-year period at a price of CHF 0.14548 per share with 25% having vested on July 14, 2016 and a further 25% vesting on each of July 14, 2017, July 14, 2018 and July 14, 2019; upon consummation of the proposed IPO, the 33,750 unvested options were accelerated and vested upon consummation of the IPO; and</w:t>
      </w:r>
    </w:p>
    <w:p>
      <w:pPr>
        <w:spacing w:after="0" w:line="189" w:lineRule="exact"/>
        <w:rPr>
          <w:rFonts w:ascii="Arial" w:cs="Arial" w:eastAsia="Arial" w:hAnsi="Arial"/>
          <w:sz w:val="18"/>
          <w:szCs w:val="18"/>
          <w:color w:val="auto"/>
        </w:rPr>
      </w:pPr>
    </w:p>
    <w:p>
      <w:pPr>
        <w:ind w:right="40" w:firstLine="8"/>
        <w:spacing w:after="0" w:line="237" w:lineRule="auto"/>
        <w:tabs>
          <w:tab w:leader="none" w:pos="1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98,500 options which were granted on July 15, 2016 at a price of CHF 0.14548 per share and will vest over a four-year period with 25% vesting on each of July 14, 2017, July 14, 2018, July 14, 2019 and July 14, 2020. Due to the departure of the employee in the fourth quarter of 2016, the initial grant was considered forfeited as the vesting conditions of the 98,500 options would not be met. Subsequently, an agreement was formalized whereby 50% of the previously forfeited options (49,250 options) would be awarded as a replacement grant with no remaining service condition, which has been accounted for as a new award granted on the date of forfeiture of the original award. The fourth quarter 2016 grant date fair value of the replacement was CHF 674,000.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4F81BD"/>
        </w:rPr>
        <w:t>Other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243F60"/>
        </w:rPr>
        <w:t>Employment Contracts</w:t>
      </w:r>
    </w:p>
    <w:p>
      <w:pPr>
        <w:spacing w:after="0" w:line="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Executive Committee of the Company is employed under employment contracts of unlimited duration with a notice period of six months for the Chief Executive Officer, three months for the Chief Scientific Officer and two months for the Chief Administrative Officer. Executive members are not contractually entitled to termination payments other than the vested portions of the stock options.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1."/>
      <w:numFmt w:val="decimal"/>
      <w:start w:val="7"/>
    </w:lvl>
  </w:abstractNum>
  <w:abstractNum w:abstractNumId="12">
    <w:nsid w:val="6763845E"/>
    <w:multiLevelType w:val="hybridMultilevel"/>
    <w:lvl w:ilvl="0">
      <w:lvlJc w:val="left"/>
      <w:lvlText w:val="%1."/>
      <w:numFmt w:val="decimal"/>
      <w:start w:val="8"/>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lvl w:ilvl="1">
      <w:lvlJc w:val="left"/>
      <w:lvlText w:val="%2"/>
      <w:numFmt w:val="lowerLetter"/>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
    </w:lvl>
    <w:lvl w:ilvl="1">
      <w:lvlJc w:val="left"/>
      <w:lvlText w:val="%2"/>
      <w:numFmt w:val="lowerLetter"/>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3"/>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3"/>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2019-12-08T04:32:06Z</dcterms:created>
  <dcterms:modified xsi:type="dcterms:W3CDTF">2019-12-08T04:32:06Z</dcterms:modified>
</cp:coreProperties>
</file>