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333-277940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5715</wp:posOffset>
            </wp:positionV>
            <wp:extent cx="212598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59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$80,000,000</w:t>
      </w:r>
    </w:p>
    <w:p>
      <w:pPr>
        <w:spacing w:after="0" w:line="321" w:lineRule="exact"/>
        <w:rPr>
          <w:sz w:val="24"/>
          <w:szCs w:val="24"/>
          <w:color w:val="auto"/>
        </w:rPr>
      </w:pPr>
    </w:p>
    <w:p>
      <w:pPr>
        <w:jc w:val="both"/>
        <w:ind w:right="20" w:firstLine="416"/>
        <w:spacing w:after="0" w:line="236" w:lineRule="auto"/>
        <w:rPr>
          <w:sz w:val="20"/>
          <w:szCs w:val="20"/>
          <w:color w:val="auto"/>
        </w:rPr>
      </w:pPr>
      <w:r>
        <w:rPr>
          <w:rFonts w:ascii="Times New Roman" w:cs="Times New Roman" w:eastAsia="Times New Roman" w:hAnsi="Times New Roman"/>
          <w:sz w:val="17"/>
          <w:szCs w:val="17"/>
          <w:color w:val="auto"/>
        </w:rPr>
        <w:t>We have entered into an Open Market Sale Agreement</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 or the Sales Agreement, with Jefferies LLC, or Jefferies, dated August 6, 2024, relating to our common shares offered by this prospectus supplement and the accompanying prospectus. In accordance with the terms of the Sales Agreement, we may offer and sell our common shares having an aggregate offering price of up to $80,000,000 from time to time through Jefferies, acting as our sales agent.</w:t>
      </w:r>
    </w:p>
    <w:p>
      <w:pPr>
        <w:spacing w:after="0" w:line="200" w:lineRule="exact"/>
        <w:rPr>
          <w:sz w:val="24"/>
          <w:szCs w:val="24"/>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may be made in sales deemed to be an “at the market offering” as defined in Rule 415(a)(4) promulgated under the Securities Act of 1933, as amended, or the Securities Act. Jefferies is not required to sell any specific amount of our common shares, but will act as our sales agent and use commercially reasonable efforts to sell on our behalf all of the common shares requested to be sold by us, consistent with its normal sales and trading practices, on mutually agreed terms between Jefferies and us. There is no arrangement for funds to be received in any escrow, trust or similar arrangement.</w:t>
      </w:r>
    </w:p>
    <w:p>
      <w:pPr>
        <w:spacing w:after="0" w:line="183" w:lineRule="exact"/>
        <w:rPr>
          <w:sz w:val="24"/>
          <w:szCs w:val="24"/>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Jefferies will receive from us a commission up to 3.0% of the gross proceeds of any common shares sold under the Sales Agreement. In connection with the sale of our common shares on our behalf, Jefferies will be deemed to be an “underwriter” within the meaning of the Securities Act and the compensation of Jefferies will be deemed to be underwriting commissions or discounts. For additional information, see “Plan of Distribution.” We have also agreed to provide indemnification and contribution to Jefferies with respect to certain liabilities, including liabilities under the Securities Act.</w:t>
      </w:r>
    </w:p>
    <w:p>
      <w:pPr>
        <w:spacing w:after="0" w:line="180" w:lineRule="exact"/>
        <w:rPr>
          <w:sz w:val="24"/>
          <w:szCs w:val="24"/>
          <w:color w:val="auto"/>
        </w:rPr>
      </w:pPr>
    </w:p>
    <w:p>
      <w:pPr>
        <w:ind w:right="340" w:firstLine="416"/>
        <w:spacing w:after="0" w:line="282" w:lineRule="auto"/>
        <w:rPr>
          <w:sz w:val="20"/>
          <w:szCs w:val="20"/>
          <w:color w:val="auto"/>
        </w:rPr>
      </w:pPr>
      <w:r>
        <w:rPr>
          <w:rFonts w:ascii="Times New Roman" w:cs="Times New Roman" w:eastAsia="Times New Roman" w:hAnsi="Times New Roman"/>
          <w:sz w:val="18"/>
          <w:szCs w:val="18"/>
          <w:color w:val="auto"/>
        </w:rPr>
        <w:t>Our common shares trade on the Nasdaq Global Market under the trading symbol “ACIU”. On August 5, 2024, the last sale price of our common shares as reported on the Nasdaq Global Market was $3.49 per share.</w:t>
      </w:r>
    </w:p>
    <w:p>
      <w:pPr>
        <w:spacing w:after="0" w:line="158" w:lineRule="exact"/>
        <w:rPr>
          <w:sz w:val="24"/>
          <w:szCs w:val="24"/>
          <w:color w:val="auto"/>
        </w:rPr>
      </w:pPr>
    </w:p>
    <w:p>
      <w:pPr>
        <w:ind w:right="14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S-4 of this prospectus supplement and in the documents incorporated by reference herein.</w:t>
      </w:r>
    </w:p>
    <w:p>
      <w:pPr>
        <w:spacing w:after="0" w:line="155" w:lineRule="exact"/>
        <w:rPr>
          <w:sz w:val="24"/>
          <w:szCs w:val="24"/>
          <w:color w:val="auto"/>
        </w:rPr>
      </w:pPr>
    </w:p>
    <w:p>
      <w:pPr>
        <w:ind w:right="380" w:firstLine="41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Jefferies</w:t>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7000" w:type="dxa"/>
            <w:vAlign w:val="bottom"/>
            <w:gridSpan w:val="2"/>
          </w:tcPr>
          <w:p>
            <w:pPr>
              <w:jc w:val="center"/>
              <w:ind w:right="41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42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425"/>
        </w:trPr>
        <w:tc>
          <w:tcPr>
            <w:tcW w:w="4240" w:type="dxa"/>
            <w:vAlign w:val="bottom"/>
          </w:tcPr>
          <w:p>
            <w:pPr>
              <w:spacing w:after="0"/>
              <w:rPr>
                <w:sz w:val="24"/>
                <w:szCs w:val="24"/>
                <w:color w:val="auto"/>
              </w:rPr>
            </w:pPr>
          </w:p>
        </w:tc>
        <w:tc>
          <w:tcPr>
            <w:tcW w:w="7000" w:type="dxa"/>
            <w:vAlign w:val="bottom"/>
            <w:gridSpan w:val="2"/>
          </w:tcPr>
          <w:p>
            <w:pPr>
              <w:jc w:val="center"/>
              <w:ind w:right="413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6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Presentation of Financial Information</w:t>
            </w:r>
          </w:p>
        </w:tc>
        <w:tc>
          <w:tcPr>
            <w:tcW w:w="6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S-iv</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Tax Considerations</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S-25</w:t>
            </w:r>
          </w:p>
        </w:tc>
      </w:t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6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S-25</w:t>
            </w:r>
          </w:p>
        </w:tc>
      </w:tr>
      <w:tr>
        <w:trPr>
          <w:trHeight w:val="238"/>
        </w:trPr>
        <w:tc>
          <w:tcPr>
            <w:tcW w:w="4240" w:type="dxa"/>
            <w:vAlign w:val="bottom"/>
          </w:tcPr>
          <w:p>
            <w:pPr>
              <w:spacing w:after="0"/>
              <w:rPr>
                <w:sz w:val="20"/>
                <w:szCs w:val="20"/>
                <w:color w:val="auto"/>
              </w:rPr>
            </w:pPr>
          </w:p>
        </w:tc>
        <w:tc>
          <w:tcPr>
            <w:tcW w:w="7000" w:type="dxa"/>
            <w:vAlign w:val="bottom"/>
            <w:gridSpan w:val="2"/>
          </w:tcPr>
          <w:p>
            <w:pPr>
              <w:jc w:val="center"/>
              <w:ind w:right="415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 Immune SA</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 and Articles of Association</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Comparison of Swiss Law and Delaware Law</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Purchase Contracts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Subscription Rights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right="240" w:firstLine="415"/>
        <w:spacing w:after="0" w:line="273" w:lineRule="auto"/>
        <w:rPr>
          <w:sz w:val="20"/>
          <w:szCs w:val="20"/>
          <w:color w:val="auto"/>
        </w:rPr>
      </w:pPr>
      <w:r>
        <w:rPr>
          <w:rFonts w:ascii="Times New Roman" w:cs="Times New Roman" w:eastAsia="Times New Roman" w:hAnsi="Times New Roman"/>
          <w:sz w:val="17"/>
          <w:szCs w:val="17"/>
          <w:color w:val="auto"/>
        </w:rPr>
        <w:t>Our financial statements incorporated by reference herein are presented in Swiss Francs and in accordance with International Financial Reporting Standards Accounting Standards, or IFRS Accounting Standards, as issued by the International Accounting Standards Board, or IASB. None of the financial statements included in this prospectus supplement or incorporated by reference herein were prepared in accordance with generally accepted accounting principles in the United States. The terms “dollar” and “USD” refer to U.S. dollars and the terms “Swiss Franc” and “CHF” refer to the legal currency of Switzerland, unless otherwise indicated. We have made rounding adjustments to some of the figures included in this prospectus supplement. Accordingly, any numerical discrepancies in any table between totals and sums of the amounts listed are due to rounding. Unless explicitly mentioned otherwise herein, all references to our financial statements in this prospectus supplement are references to our IFRS financial statements exclusively.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60" w:firstLine="415"/>
        <w:spacing w:after="0" w:line="256" w:lineRule="auto"/>
        <w:rPr>
          <w:sz w:val="20"/>
          <w:szCs w:val="20"/>
          <w:color w:val="auto"/>
        </w:rPr>
      </w:pPr>
      <w:r>
        <w:rPr>
          <w:rFonts w:ascii="Times New Roman" w:cs="Times New Roman" w:eastAsia="Times New Roman" w:hAnsi="Times New Roman"/>
          <w:sz w:val="18"/>
          <w:szCs w:val="18"/>
          <w:color w:val="auto"/>
        </w:rPr>
        <w:t>The Company owns various registered and unregistered trademarks, for some of which protection has been obtained or is being sought, including Morphomer™, SupraAntigen® and its corporate name and logo. All other trademarks, trade names and service marks of other companies appearing in this prospectus supplement are the property of their respective owners. Solely for convenience, the trademarks and trade names in this prospectus supplement may be referred to without the respective ® and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w:t>
      </w:r>
    </w:p>
    <w:p>
      <w:pPr>
        <w:spacing w:after="0" w:line="176"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Before buying any of our securities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0"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have not, and Jefferies has not, authorized anyone to provide you with information different from that contained in or incorporated by reference in this prospectus or any related free writing prospectus filed by us with the SEC.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right="340" w:firstLine="416"/>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ind w:firstLine="416"/>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“AC Immune” or the “Company,” “we,” “our,” “ours,” “us” or similar terms refer to AC Immune SA, a Swiss stock corporation.</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60" w:firstLine="415"/>
        <w:spacing w:after="0" w:line="256" w:lineRule="auto"/>
        <w:rPr>
          <w:sz w:val="20"/>
          <w:szCs w:val="20"/>
          <w:color w:val="auto"/>
        </w:rPr>
      </w:pPr>
      <w:r>
        <w:rPr>
          <w:rFonts w:ascii="Times New Roman" w:cs="Times New Roman" w:eastAsia="Times New Roman" w:hAnsi="Times New Roman"/>
          <w:sz w:val="18"/>
          <w:szCs w:val="18"/>
          <w:color w:val="auto"/>
        </w:rPr>
        <w:t>This prospectus supplement contains statements that constitute forward-looking statements. All statements other than statements of historical facts contained in this prospectus supplement,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supplement can be identified by the use of forward-looking words such as “anticipate,” “believe,” “could,” “expect,” “should,” “plan,” “intend,” “estimate,” “will” and “potential,” among others.</w:t>
      </w:r>
    </w:p>
    <w:p>
      <w:pPr>
        <w:spacing w:after="0" w:line="187"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“Risk Factors” in this prospectus supplement. These risks and uncertainties include factors relating to:</w:t>
      </w:r>
    </w:p>
    <w:p>
      <w:pPr>
        <w:spacing w:after="0" w:line="183" w:lineRule="exact"/>
        <w:rPr>
          <w:sz w:val="20"/>
          <w:szCs w:val="20"/>
          <w:color w:val="auto"/>
        </w:rPr>
      </w:pPr>
    </w:p>
    <w:p>
      <w:pPr>
        <w:ind w:left="420" w:hanging="331"/>
        <w:spacing w:after="0" w:line="261"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if approved, to commercialize our active immunotherapy product candidates (ACI-35.030, ACI-24.060 and ACI-7104.056), monoclonal antibody product candidates (semorinemab and crenezumab) and diagnostic product candidates (Tau-PET tracer PI-2620 and a-syn-PET tracer ACI-12589) and to a lesser extent, our preclinical candidates;</w:t>
      </w:r>
    </w:p>
    <w:p>
      <w:pPr>
        <w:spacing w:after="0" w:line="17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420" w:right="600" w:hanging="331"/>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61" w:lineRule="exact"/>
        <w:rPr>
          <w:rFonts w:ascii="Times New Roman" w:cs="Times New Roman" w:eastAsia="Times New Roman" w:hAnsi="Times New Roman"/>
          <w:sz w:val="18"/>
          <w:szCs w:val="18"/>
          <w:color w:val="auto"/>
        </w:rPr>
      </w:pPr>
    </w:p>
    <w:p>
      <w:pPr>
        <w:ind w:left="420" w:right="40" w:hanging="331"/>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420" w:right="220" w:hanging="331"/>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U.S.; and</w:t>
      </w:r>
    </w:p>
    <w:p>
      <w:pPr>
        <w:spacing w:after="0" w:line="16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“Risk Factors.”</w:t>
      </w:r>
    </w:p>
    <w:p>
      <w:pPr>
        <w:spacing w:after="0" w:line="225" w:lineRule="exact"/>
        <w:rPr>
          <w:sz w:val="20"/>
          <w:szCs w:val="20"/>
          <w:color w:val="auto"/>
        </w:rPr>
      </w:pPr>
    </w:p>
    <w:p>
      <w:pPr>
        <w:ind w:right="420" w:firstLine="416"/>
        <w:spacing w:after="0" w:line="282"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and are subject to a number of risks, uncertainties and assumptions described under the section in this prospectus supplement entitled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t>“Risk Factors” and elsewhere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287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287770"/>
                    </a:xfrm>
                    <a:prstGeom prst="rect">
                      <a:avLst/>
                    </a:prstGeom>
                    <a:noFill/>
                  </pic:spPr>
                </pic:pic>
              </a:graphicData>
            </a:graphic>
          </wp:anchor>
        </w:drawing>
        <w:t>PROSPECTUS SUPPLEMENT SUMMARY</w:t>
      </w:r>
    </w:p>
    <w:p>
      <w:pPr>
        <w:spacing w:after="0" w:line="227" w:lineRule="exact"/>
        <w:rPr>
          <w:sz w:val="20"/>
          <w:szCs w:val="20"/>
          <w:color w:val="auto"/>
        </w:rPr>
      </w:pPr>
    </w:p>
    <w:p>
      <w:pPr>
        <w:ind w:left="200" w:right="100"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of investing in our common shares discussed under “Risk Factors” beginning on page S-4 of this prospectus supplement, along with our consolidated financial statements and notes to those consolidated financial statements and the other information incorporated by reference in this prospectus supplement.</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development and progression and the urgent need for more tailored therapeutic regimens.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numerous therapeutic and diagnostic programs, including one in a Phase 3 clinical trial and three in Phase 2 clinical trials,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prevention.We are a Swiss stock corporation (</w:t>
      </w:r>
      <w:r>
        <w:rPr>
          <w:rFonts w:ascii="Times New Roman" w:cs="Times New Roman" w:eastAsia="Times New Roman" w:hAnsi="Times New Roman"/>
          <w:sz w:val="18"/>
          <w:szCs w:val="18"/>
          <w:i w:val="1"/>
          <w:iCs w:val="1"/>
          <w:color w:val="auto"/>
        </w:rPr>
        <w:t>société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the Nasdaq Global Market on September 23, 2016, and trade under the symbol ACIU.</w:t>
      </w:r>
    </w:p>
    <w:p>
      <w:pPr>
        <w:spacing w:after="0" w:line="19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prospectus supplement or any other document that we file with or furnish to the SEC.</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Accordingly, we report under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spacing w:after="0" w:line="176" w:lineRule="exact"/>
        <w:rPr>
          <w:sz w:val="20"/>
          <w:szCs w:val="20"/>
          <w:color w:val="auto"/>
        </w:rPr>
      </w:pPr>
    </w:p>
    <w:p>
      <w:pPr>
        <w:ind w:left="1060" w:right="480" w:hanging="414"/>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1060" w:right="200" w:hanging="414"/>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20" w:top="887" w:right="539" w:bottom="1440" w:gutter="0" w:footer="0" w:header="0"/>
        </w:sectPr>
      </w:pPr>
    </w:p>
    <w:bookmarkStart w:id="7" w:name="page8"/>
    <w:bookmarkEnd w:id="7"/>
    <w:p>
      <w:pPr>
        <w:ind w:left="1060" w:right="120" w:hanging="414"/>
        <w:spacing w:after="0" w:line="26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447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447290"/>
                    </a:xfrm>
                    <a:prstGeom prst="rect">
                      <a:avLst/>
                    </a:prstGeom>
                    <a:noFill/>
                  </pic:spPr>
                </pic:pic>
              </a:graphicData>
            </a:graphic>
          </wp:anchor>
        </w:drawing>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Although as a foreign private issuer we will not be required to file periodic reports and financial statements with the SEC as frequently or as promptly as U.S. companies whose securities are registered under the Exchange Act, we report our results of operations voluntarily on a quarterly basis.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891" w:right="79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4984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984750"/>
                    </a:xfrm>
                    <a:prstGeom prst="rect">
                      <a:avLst/>
                    </a:prstGeom>
                    <a:noFill/>
                  </pic:spPr>
                </pic:pic>
              </a:graphicData>
            </a:graphic>
          </wp:anchor>
        </w:drawing>
        <w:t>THE OFFERING</w:t>
      </w:r>
    </w:p>
    <w:p>
      <w:pPr>
        <w:spacing w:after="0" w:line="227" w:lineRule="exact"/>
        <w:rPr>
          <w:sz w:val="20"/>
          <w:szCs w:val="20"/>
          <w:color w:val="auto"/>
        </w:rPr>
      </w:pPr>
    </w:p>
    <w:p>
      <w:pPr>
        <w:ind w:left="200" w:right="320" w:firstLine="39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presented in greater detail elsewhere in this prospectus supplement. This summary is not complete and does not contain all the information you should consider before investing in our securities. You should carefully read this entire prospectus supplement before investing in our securities including “Risk Factors” and our financial statements included in this prospectus supplement or incorporated by reference herein.</w:t>
      </w:r>
    </w:p>
    <w:p>
      <w:pPr>
        <w:sectPr>
          <w:pgSz w:w="11900" w:h="16838" w:orient="portrait"/>
          <w:cols w:equalWidth="0" w:num="1">
            <w:col w:w="11020"/>
          </w:cols>
          <w:pgMar w:left="420" w:top="887" w:right="459" w:bottom="144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offered by us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having an aggregate offering price of up to $80,000,000.</w:t>
      </w:r>
    </w:p>
    <w:p>
      <w:pPr>
        <w:spacing w:after="0" w:line="167" w:lineRule="exact"/>
        <w:rPr>
          <w:sz w:val="20"/>
          <w:szCs w:val="20"/>
          <w:color w:val="auto"/>
        </w:rPr>
      </w:pPr>
    </w:p>
    <w:p>
      <w:pPr>
        <w:sectPr>
          <w:pgSz w:w="11900" w:h="16838" w:orient="portrait"/>
          <w:cols w:equalWidth="0" w:num="2">
            <w:col w:w="3900" w:space="720"/>
            <w:col w:w="6400"/>
          </w:cols>
          <w:pgMar w:left="420" w:top="88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Common shares to be outstanding following the offering</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7"/>
          <w:szCs w:val="17"/>
          <w:color w:val="auto"/>
        </w:rPr>
        <w:t>Up to 122,603,039 shares, assuming sales of 22,922,636 shares of our common shares in this offering at an assumed price of $3.49 per share, which was the last reported sale price of our common shares on the Nasdaq Global Market on August 5, 2024. The actual number of shares issued will vary depending on the sales price under this offering.</w:t>
      </w:r>
    </w:p>
    <w:p>
      <w:pPr>
        <w:spacing w:after="0" w:line="106" w:lineRule="exact"/>
        <w:rPr>
          <w:sz w:val="20"/>
          <w:szCs w:val="20"/>
          <w:color w:val="auto"/>
        </w:rPr>
      </w:pPr>
    </w:p>
    <w:p>
      <w:pPr>
        <w:sectPr>
          <w:pgSz w:w="11900" w:h="16838" w:orient="portrait"/>
          <w:cols w:equalWidth="0" w:num="2">
            <w:col w:w="4300" w:space="320"/>
            <w:col w:w="6400"/>
          </w:cols>
          <w:pgMar w:left="420" w:top="88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strategically invest in research and clinical development of current and/or additional pipeline candidates, our technology platforms, working capital, capital expenditures and general corporate purposes. See “Use of Proceeds.”</w:t>
      </w:r>
    </w:p>
    <w:p>
      <w:pPr>
        <w:spacing w:after="0" w:line="122" w:lineRule="exact"/>
        <w:rPr>
          <w:sz w:val="20"/>
          <w:szCs w:val="20"/>
          <w:color w:val="auto"/>
        </w:rPr>
      </w:pPr>
    </w:p>
    <w:p>
      <w:pPr>
        <w:sectPr>
          <w:pgSz w:w="11900" w:h="16838" w:orient="portrait"/>
          <w:cols w:equalWidth="0" w:num="2">
            <w:col w:w="3900" w:space="720"/>
            <w:col w:w="6400"/>
          </w:cols>
          <w:pgMar w:left="420" w:top="88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Manner of offering</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Jefferies. See “Plan of Distribution.”</w:t>
      </w:r>
    </w:p>
    <w:p>
      <w:pPr>
        <w:spacing w:after="0" w:line="104" w:lineRule="exact"/>
        <w:rPr>
          <w:sz w:val="20"/>
          <w:szCs w:val="20"/>
          <w:color w:val="auto"/>
        </w:rPr>
      </w:pPr>
    </w:p>
    <w:p>
      <w:pPr>
        <w:sectPr>
          <w:pgSz w:w="11900" w:h="16838" w:orient="portrait"/>
          <w:cols w:equalWidth="0" w:num="2">
            <w:col w:w="3900" w:space="720"/>
            <w:col w:w="6400"/>
          </w:cols>
          <w:pgMar w:left="420" w:top="88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supplement for a discussion of factors to consider carefully before deciding to purchase our securities.</w:t>
      </w:r>
    </w:p>
    <w:p>
      <w:pPr>
        <w:spacing w:after="0" w:line="104" w:lineRule="exact"/>
        <w:rPr>
          <w:sz w:val="20"/>
          <w:szCs w:val="20"/>
          <w:color w:val="auto"/>
        </w:rPr>
      </w:pPr>
    </w:p>
    <w:p>
      <w:pPr>
        <w:sectPr>
          <w:pgSz w:w="11900" w:h="16838" w:orient="portrait"/>
          <w:cols w:equalWidth="0" w:num="2">
            <w:col w:w="3900" w:space="720"/>
            <w:col w:w="6400"/>
          </w:cols>
          <w:pgMar w:left="420" w:top="88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“ACIU”</w:t>
      </w:r>
    </w:p>
    <w:p>
      <w:pPr>
        <w:spacing w:after="0" w:line="200" w:lineRule="exact"/>
        <w:rPr>
          <w:sz w:val="20"/>
          <w:szCs w:val="20"/>
          <w:color w:val="auto"/>
        </w:rPr>
      </w:pPr>
    </w:p>
    <w:p>
      <w:pPr>
        <w:sectPr>
          <w:pgSz w:w="11900" w:h="16838" w:orient="portrait"/>
          <w:cols w:equalWidth="0" w:num="2">
            <w:col w:w="3900" w:space="720"/>
            <w:col w:w="6400"/>
          </w:cols>
          <w:pgMar w:left="420" w:top="887" w:right="459" w:bottom="1440" w:gutter="0" w:footer="0" w:header="0"/>
          <w:type w:val="continuous"/>
        </w:sectPr>
      </w:pPr>
    </w:p>
    <w:p>
      <w:pPr>
        <w:spacing w:after="0" w:line="106" w:lineRule="exact"/>
        <w:rPr>
          <w:sz w:val="20"/>
          <w:szCs w:val="20"/>
          <w:color w:val="auto"/>
        </w:rPr>
      </w:pPr>
    </w:p>
    <w:p>
      <w:pPr>
        <w:ind w:left="180" w:right="320" w:firstLine="416"/>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our issued share capital registered in the commercial register of the Canton of Vaud is CHF 2,196,858.10, consisting of 109,842,905 common shares with a nominal value of CHF 0.02 each. Of these issued totals, we held 10,902,617 as treasury shares totaling CHF 218,052.34 in share capital. The number of our common shares to be outstanding immediately after this offering is based on 99,680,403 common shares outstanding as of June 30, 2024, but excludes 6,768,087 of our common shares issuable upon the exercise of options and non-vested restricted shares units outstanding under our existing equity incentive plans at a weighted-average exercise price of $3.65 per common share. The common shares subject to this offering will be sold from our treasury shares or will be newly issued shares with the subscription rights of our existing shareholders excluded.</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20" w:top="887" w:right="459" w:bottom="1440" w:gutter="0" w:footer="0" w:header="0"/>
          <w:type w:val="continuous"/>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supplement before making an investment in our securities. Our business, financial condition or results of operations could be materially and adversely affected if any of these risks occurs, and as a result, the market price of our common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183" w:lineRule="exact"/>
        <w:rPr>
          <w:sz w:val="20"/>
          <w:szCs w:val="20"/>
          <w:color w:val="auto"/>
        </w:rPr>
      </w:pPr>
    </w:p>
    <w:p>
      <w:pPr>
        <w:ind w:right="100" w:firstLine="415"/>
        <w:spacing w:after="0" w:line="261" w:lineRule="auto"/>
        <w:rPr>
          <w:sz w:val="20"/>
          <w:szCs w:val="20"/>
          <w:color w:val="auto"/>
        </w:rPr>
      </w:pPr>
      <w:r>
        <w:rPr>
          <w:rFonts w:ascii="Times New Roman" w:cs="Times New Roman" w:eastAsia="Times New Roman" w:hAnsi="Times New Roman"/>
          <w:sz w:val="18"/>
          <w:szCs w:val="18"/>
          <w:i w:val="1"/>
          <w:iCs w:val="1"/>
          <w:color w:val="auto"/>
        </w:rPr>
        <w:t>For a discussion of additional risks related to our business, our relationship with third parties, our intellectual property, our financial condition and capital requirements, or our regulatory environment, see the section titled “Risk Factors” in our Annual Report on Form 20-F for the fiscal year ended December 31, 2023, and our other filings with the Securities and Exchange Commission that are also incorporated by reference into this prospectus supplement.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8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despite our efforts, we may use the net proceeds in a manner that does not increase the value of your investment.</w:t>
      </w:r>
    </w:p>
    <w:p>
      <w:pPr>
        <w:spacing w:after="0" w:line="159" w:lineRule="exact"/>
        <w:rPr>
          <w:sz w:val="20"/>
          <w:szCs w:val="20"/>
          <w:color w:val="auto"/>
        </w:rPr>
      </w:pPr>
    </w:p>
    <w:p>
      <w:pPr>
        <w:ind w:right="180" w:firstLine="415"/>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any sales pursuant to this prospectus supplement to strategically invest in research and clinical development of current and/or additional pipeline candidates, our technology platforms, working capital, capital expenditures and general corporate purposes. However, we have not determined the specific allocation of the net proceeds among these potential uses. Our management will have broad discretion over the use and investment of the net proceeds from this offering, and, accordingly, investors in this offering will need to rely upon the judgment of our management with respect to the use of proceeds, with only limited information concerning our specific intentions. These proceeds could be applied in ways that do not improve our operating results or increase the value of your investment.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common shares you purchase in the offering.</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 addition, we may issue additional equity or convertible debt securities in the future, which may result in additional dilution to you.</w:t>
      </w:r>
    </w:p>
    <w:p>
      <w:pPr>
        <w:spacing w:after="0" w:line="207"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pro forma net tangible book value per share of our common shares outstanding as of June 30, 2024. Assuming that an aggregate of 22,922,636 common shares are sold at an assumed price of $3.49 per share, which was the last reported sale price of our common shares on the Nasdaq Global Market on August 5, 2024, for aggregate gross proceeds of approximately $80,000,000, and after deducting commissions and estimated aggregate offering expenses payable by us, you would experience immediate dilution of $2.20 per share, representing the difference between our pro forma as adjusted net tangible book value per share as of June 30, 2024 after giving effect to this offering and the assumed offering price. The exercise of outstanding stock options could result in further dilution of your investment. See the section titled “Dilution” below for a more detailed illustration of the dilution you may incur if you participate in this offering. In addition, to the extent we need to raise additional capital in the future and we issue additional common shares or securities convertible or exchangeable for our common shares, our then existing stockholders may experience dilution and the new securities may have rights senior to those of our common shares offered in this offering.</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of our common shares in this offering, or the perception that such sales may occur, could cause the market price of our common shares to fall.</w:t>
      </w:r>
    </w:p>
    <w:p>
      <w:pPr>
        <w:spacing w:after="0" w:line="229" w:lineRule="exact"/>
        <w:rPr>
          <w:sz w:val="20"/>
          <w:szCs w:val="20"/>
          <w:color w:val="auto"/>
        </w:rPr>
      </w:pPr>
    </w:p>
    <w:p>
      <w:pPr>
        <w:jc w:val="both"/>
        <w:ind w:right="80" w:firstLine="415"/>
        <w:spacing w:after="0" w:line="261" w:lineRule="auto"/>
        <w:rPr>
          <w:sz w:val="20"/>
          <w:szCs w:val="20"/>
          <w:color w:val="auto"/>
        </w:rPr>
      </w:pPr>
      <w:r>
        <w:rPr>
          <w:rFonts w:ascii="Times New Roman" w:cs="Times New Roman" w:eastAsia="Times New Roman" w:hAnsi="Times New Roman"/>
          <w:sz w:val="18"/>
          <w:szCs w:val="18"/>
          <w:color w:val="auto"/>
        </w:rPr>
        <w:t>We may issue and sell our common shares for aggregate gross proceeds of up to $80,000,000 from time to time in connection with this offering. The actual number of common shares that may be issued and sold in this offering, as well as the timing of any such sales, will depend on a number of factors, including, among others, the prices at which any shares are actually sold this offering (which may be influenced by market conditions, the trading price of our common shares and other factors) and our determinations as to the appropriate timing, sources and</w:t>
      </w: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0" w:name="page11"/>
    <w:bookmarkEnd w:id="10"/>
    <w:p>
      <w:pPr>
        <w:ind w:right="80"/>
        <w:spacing w:after="0" w:line="282" w:lineRule="auto"/>
        <w:rPr>
          <w:sz w:val="20"/>
          <w:szCs w:val="20"/>
          <w:color w:val="auto"/>
        </w:rPr>
      </w:pPr>
      <w:r>
        <w:rPr>
          <w:rFonts w:ascii="Times New Roman" w:cs="Times New Roman" w:eastAsia="Times New Roman" w:hAnsi="Times New Roman"/>
          <w:sz w:val="18"/>
          <w:szCs w:val="18"/>
          <w:color w:val="auto"/>
        </w:rPr>
        <w:t>amounts of funding we need. The issuance and sale from time to time of these new common shares, or the mere fact that we are able to issue and sell these shares in this offering, could cause the market price of our common shares to decline.</w:t>
      </w:r>
    </w:p>
    <w:p>
      <w:pPr>
        <w:spacing w:after="0" w:line="158" w:lineRule="exact"/>
        <w:rPr>
          <w:sz w:val="20"/>
          <w:szCs w:val="20"/>
          <w:color w:val="auto"/>
        </w:rPr>
      </w:pPr>
    </w:p>
    <w:p>
      <w:pPr>
        <w:ind w:left="1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common shares we will sell under the Sales Agreement, or the gross proceeds resulting from those sales.</w:t>
      </w:r>
    </w:p>
    <w:p>
      <w:pPr>
        <w:spacing w:after="0" w:line="159" w:lineRule="exact"/>
        <w:rPr>
          <w:sz w:val="20"/>
          <w:szCs w:val="20"/>
          <w:color w:val="auto"/>
        </w:rPr>
      </w:pPr>
    </w:p>
    <w:p>
      <w:pPr>
        <w:ind w:right="60" w:firstLine="415"/>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Jefferies at any time throughout the term of the Sales Agreement. The number of shares that are sold through Jefferies after delivering a placement notice will fluctuate based on a number of factors, including the market price of our shares during the sales period, the limits we set with Jefferies in any applicable placement notice, and the demand for our shares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179" w:lineRule="exact"/>
        <w:rPr>
          <w:sz w:val="20"/>
          <w:szCs w:val="20"/>
          <w:color w:val="auto"/>
        </w:rPr>
      </w:pPr>
    </w:p>
    <w:p>
      <w:pPr>
        <w:jc w:val="both"/>
        <w:ind w:firstLine="41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shares offered hereby will be sold in “at the market offerings,” and investors who buy shares at different times will likely pay different prices.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Investors may experience a decline in the value of the shares they purchase in this offering as a result of sales made at prices lower than the prices they paid.</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20" w:firstLine="415"/>
        <w:spacing w:after="0" w:line="266" w:lineRule="auto"/>
        <w:rPr>
          <w:sz w:val="20"/>
          <w:szCs w:val="20"/>
          <w:color w:val="auto"/>
        </w:rPr>
      </w:pPr>
      <w:r>
        <w:rPr>
          <w:rFonts w:ascii="Times New Roman" w:cs="Times New Roman" w:eastAsia="Times New Roman" w:hAnsi="Times New Roman"/>
          <w:sz w:val="18"/>
          <w:szCs w:val="18"/>
          <w:color w:val="auto"/>
        </w:rPr>
        <w:t>We may issue and sell our common shares having aggregate sales proceeds of up to $80,000,000 from time to time. Because there is no minimum offering amount required as a condition to close this offering, the actual total public offering amount, commissions and proceeds to us, if any, are not determinable at this time.</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any offerings pursuant to this prospectus supplement to strategically invest in research and clinical development of current and/or additional pipeline candidates, our technology platforms, working capital, capital expenditures and general corporate purposes.</w:t>
      </w:r>
    </w:p>
    <w:p>
      <w:pPr>
        <w:spacing w:after="0" w:line="176" w:lineRule="exact"/>
        <w:rPr>
          <w:sz w:val="20"/>
          <w:szCs w:val="20"/>
          <w:color w:val="auto"/>
        </w:rPr>
      </w:pPr>
    </w:p>
    <w:p>
      <w:pPr>
        <w:ind w:firstLine="415"/>
        <w:spacing w:after="0" w:line="266" w:lineRule="auto"/>
        <w:rPr>
          <w:sz w:val="20"/>
          <w:szCs w:val="20"/>
          <w:color w:val="auto"/>
        </w:rPr>
      </w:pPr>
      <w:r>
        <w:rPr>
          <w:rFonts w:ascii="Times New Roman" w:cs="Times New Roman" w:eastAsia="Times New Roman" w:hAnsi="Times New Roman"/>
          <w:sz w:val="18"/>
          <w:szCs w:val="18"/>
          <w:color w:val="auto"/>
        </w:rPr>
        <w:t>The timing and amount of our actual expenditures will be based on many factors, including cash flows from operations and the anticipated growth of our business. 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w:t>
      </w: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6"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Under Swiss law, any dividend must be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Times New Roman" w:cs="Times New Roman" w:eastAsia="Times New Roman" w:hAnsi="Times New Roman"/>
          <w:sz w:val="18"/>
          <w:szCs w:val="18"/>
          <w:i w:val="1"/>
          <w:iCs w:val="1"/>
          <w:color w:val="auto"/>
        </w:rPr>
        <w:t>report des bénéfices</w:t>
      </w:r>
      <w:r>
        <w:rPr>
          <w:rFonts w:ascii="Times New Roman" w:cs="Times New Roman" w:eastAsia="Times New Roman" w:hAnsi="Times New Roman"/>
          <w:sz w:val="18"/>
          <w:szCs w:val="18"/>
          <w:color w:val="auto"/>
        </w:rPr>
        <w:t>”) or if it has distributable reserves (“</w:t>
      </w:r>
      <w:r>
        <w:rPr>
          <w:rFonts w:ascii="Times New Roman" w:cs="Times New Roman" w:eastAsia="Times New Roman" w:hAnsi="Times New Roman"/>
          <w:sz w:val="18"/>
          <w:szCs w:val="18"/>
          <w:i w:val="1"/>
          <w:iCs w:val="1"/>
          <w:color w:val="auto"/>
        </w:rPr>
        <w:t>réserves à libre disposition</w:t>
      </w:r>
      <w:r>
        <w:rPr>
          <w:rFonts w:ascii="Times New Roman" w:cs="Times New Roman" w:eastAsia="Times New Roman" w:hAnsi="Times New Roman"/>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Distributions out of nominal share capital, which is the aggregate nominal value of a corporation’s issued shares, may be made only by way of a share capital reduction.</w:t>
      </w:r>
    </w:p>
    <w:p>
      <w:pPr>
        <w:spacing w:after="0" w:line="2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60" w:firstLine="415"/>
        <w:spacing w:after="0" w:line="282" w:lineRule="auto"/>
        <w:rPr>
          <w:sz w:val="20"/>
          <w:szCs w:val="20"/>
          <w:color w:val="auto"/>
        </w:rPr>
      </w:pPr>
      <w:r>
        <w:rPr>
          <w:rFonts w:ascii="Times New Roman" w:cs="Times New Roman" w:eastAsia="Times New Roman" w:hAnsi="Times New Roman"/>
          <w:sz w:val="18"/>
          <w:szCs w:val="18"/>
          <w:color w:val="auto"/>
        </w:rPr>
        <w:t>If you invest in our common shares in this offering, your ownership interest will be diluted immediately to the extent of the difference between the price you pay in this offering and the net tangible book value per common share after this offering.</w:t>
      </w:r>
    </w:p>
    <w:p>
      <w:pPr>
        <w:spacing w:after="0" w:line="162" w:lineRule="exact"/>
        <w:rPr>
          <w:sz w:val="20"/>
          <w:szCs w:val="20"/>
          <w:color w:val="auto"/>
        </w:rPr>
      </w:pPr>
    </w:p>
    <w:p>
      <w:pPr>
        <w:jc w:val="both"/>
        <w:ind w:right="160" w:firstLine="416"/>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June 30, 2024 was $81.2 million (CHF 73.0 million), or $0.81 per common share (CHF 0.73 per common share), based on 99,680,403 common shares then outstanding. Net tangible book value per share represents the amount of our total assets less our total liabilities, excluding intangible assets, divided by 99,680,403 the total number of our common shares issued and outstanding at June 30, 2024.</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After giving effect to the assumed sale by us of our common shares in the aggregate amount of $80 million at an assumed public offering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$3.49 per share (the last sale price of our common shares on August 5, 2024 as reported on Nasdaq), less the estimated commissions and estimated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payable by us, our net tangible book value at June 30, 2024 would have been $157.8 million, or $1.29 per common share. This represents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 increase in net tangible book value of $0.48 per share to existing shareholders and an immediate dilution of $2.20 per share to investors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The following table illustrates this per share dilution: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7"/>
                <w:szCs w:val="17"/>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 CHF)</w:t>
            </w:r>
          </w:p>
        </w:tc>
      </w:tr>
      <w:tr>
        <w:trPr>
          <w:trHeight w:val="20"/>
        </w:trPr>
        <w:tc>
          <w:tcPr>
            <w:tcW w:w="92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92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3.49</w:t>
            </w:r>
          </w:p>
        </w:tc>
        <w:tc>
          <w:tcPr>
            <w:tcW w:w="44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D5EAEA"/>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0.81</w:t>
            </w:r>
          </w:p>
        </w:tc>
        <w:tc>
          <w:tcPr>
            <w:tcW w:w="4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Pr>
          <w:p>
            <w:pPr>
              <w:spacing w:after="0"/>
              <w:rPr>
                <w:sz w:val="18"/>
                <w:szCs w:val="18"/>
                <w:color w:val="auto"/>
              </w:rPr>
            </w:pPr>
          </w:p>
        </w:tc>
      </w:tr>
      <w:tr>
        <w:trPr>
          <w:trHeight w:val="216"/>
        </w:trPr>
        <w:tc>
          <w:tcPr>
            <w:tcW w:w="92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Increase per share attributable to new investors purchasing shares in this offering</w:t>
            </w: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0.48</w:t>
            </w:r>
          </w:p>
        </w:tc>
        <w:tc>
          <w:tcPr>
            <w:tcW w:w="44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shd w:val="clear" w:color="auto" w:fill="D5EAEA"/>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r>
      <w:tr>
        <w:trPr>
          <w:trHeight w:val="216"/>
        </w:trPr>
        <w:tc>
          <w:tcPr>
            <w:tcW w:w="92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2.20</w:t>
            </w:r>
          </w:p>
        </w:tc>
        <w:tc>
          <w:tcPr>
            <w:tcW w:w="44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D5EAEA"/>
          </w:tcPr>
          <w:p>
            <w:pPr>
              <w:spacing w:after="0"/>
              <w:rPr>
                <w:sz w:val="18"/>
                <w:szCs w:val="18"/>
                <w:color w:val="auto"/>
              </w:rPr>
            </w:pPr>
          </w:p>
        </w:tc>
      </w:tr>
    </w:tbl>
    <w:p>
      <w:pPr>
        <w:spacing w:after="0" w:line="198" w:lineRule="exact"/>
        <w:rPr>
          <w:sz w:val="20"/>
          <w:szCs w:val="20"/>
          <w:color w:val="auto"/>
        </w:rPr>
      </w:pPr>
    </w:p>
    <w:p>
      <w:pPr>
        <w:jc w:val="both"/>
        <w:ind w:right="340" w:firstLine="416"/>
        <w:spacing w:after="0" w:line="266" w:lineRule="auto"/>
        <w:rPr>
          <w:sz w:val="20"/>
          <w:szCs w:val="20"/>
          <w:color w:val="auto"/>
        </w:rPr>
      </w:pPr>
      <w:r>
        <w:rPr>
          <w:rFonts w:ascii="Times New Roman" w:cs="Times New Roman" w:eastAsia="Times New Roman" w:hAnsi="Times New Roman"/>
          <w:sz w:val="18"/>
          <w:szCs w:val="18"/>
          <w:color w:val="auto"/>
        </w:rPr>
        <w:t>Swiss Franc amounts have been translated into U.S. dollars at a rate of CHF 0.8992 to USD 1.00, the official exchange rate quoted as of June 28, 2024 by the U.S. Federal Reserve Bank. Such U.S. dollar amounts are not necessarily indicative of the amounts of U.S. dollars that could actually have been purchased upon exchange of Swiss Francs on June 28, 2024 and have been provided solely for the convenience of the reader.</w:t>
      </w:r>
    </w:p>
    <w:p>
      <w:pPr>
        <w:spacing w:after="0" w:line="176" w:lineRule="exact"/>
        <w:rPr>
          <w:sz w:val="20"/>
          <w:szCs w:val="20"/>
          <w:color w:val="auto"/>
        </w:rPr>
      </w:pPr>
    </w:p>
    <w:p>
      <w:pPr>
        <w:jc w:val="both"/>
        <w:ind w:right="420" w:firstLine="416"/>
        <w:spacing w:after="0" w:line="266" w:lineRule="auto"/>
        <w:rPr>
          <w:sz w:val="20"/>
          <w:szCs w:val="20"/>
          <w:color w:val="auto"/>
        </w:rPr>
      </w:pPr>
      <w:r>
        <w:rPr>
          <w:rFonts w:ascii="Times New Roman" w:cs="Times New Roman" w:eastAsia="Times New Roman" w:hAnsi="Times New Roman"/>
          <w:sz w:val="18"/>
          <w:szCs w:val="18"/>
          <w:color w:val="auto"/>
        </w:rPr>
        <w:t>The calculations above are based on 99,680,403 common shares outstanding as of June 30, 2024, but excludes 6,768,087 of our common shares issuable upon the exercise of options and non-vested restricted share units outstanding under our existing equity incentive plans at a weighted-average exercise price of $3.65 per common share.</w:t>
      </w:r>
    </w:p>
    <w:p>
      <w:pPr>
        <w:spacing w:after="0" w:line="176" w:lineRule="exact"/>
        <w:rPr>
          <w:sz w:val="20"/>
          <w:szCs w:val="20"/>
          <w:color w:val="auto"/>
        </w:rPr>
      </w:pPr>
    </w:p>
    <w:p>
      <w:pPr>
        <w:jc w:val="both"/>
        <w:ind w:right="40" w:firstLine="416"/>
        <w:spacing w:after="0" w:line="266" w:lineRule="auto"/>
        <w:rPr>
          <w:sz w:val="20"/>
          <w:szCs w:val="20"/>
          <w:color w:val="auto"/>
        </w:rPr>
      </w:pPr>
      <w:r>
        <w:rPr>
          <w:rFonts w:ascii="Times New Roman" w:cs="Times New Roman" w:eastAsia="Times New Roman" w:hAnsi="Times New Roman"/>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227" w:lineRule="exact"/>
        <w:rPr>
          <w:sz w:val="20"/>
          <w:szCs w:val="20"/>
          <w:color w:val="auto"/>
        </w:rPr>
      </w:pPr>
    </w:p>
    <w:p>
      <w:pPr>
        <w:ind w:right="20" w:firstLine="415"/>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the principal Swiss tax consequences of the acquisition, ownership and disposition of Offered Shares, but it does not purport to be a comprehensive description of all of the Swiss tax considerations that may be relevant to a decision to purchase, own or dispose of Offered Shares. In particular, the summary does not take into account the specific circumstances of any particular investor.</w:t>
      </w:r>
    </w:p>
    <w:p>
      <w:pPr>
        <w:spacing w:after="0" w:line="173" w:lineRule="exact"/>
        <w:rPr>
          <w:sz w:val="20"/>
          <w:szCs w:val="20"/>
          <w:color w:val="auto"/>
        </w:rPr>
      </w:pPr>
    </w:p>
    <w:p>
      <w:pPr>
        <w:ind w:right="40" w:firstLine="415"/>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is based on the tax laws, regulations and regulatory practices of Switzerland as in effect on the date hereof, all of which are subject to change (or subject to changes in interpretation), possibly with retroactive effect. This summary does not address any aspects of Swiss taxation other than aspects of Swiss federal withholding tax, Swiss federal, cantonal and communal income taxes and Swiss federal issuance and securities turnover tax. Investors are urged to consult their own tax advisors regarding the Swiss tax consequences of acquiring, owning and disposing of Offered Shares or the receipt of dividends or distributions, if any, on Offered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respect of Offered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federal withholding tax</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Swiss federal withholding tax on dividends and similar distributions on the Offered Shares</w:t>
      </w:r>
    </w:p>
    <w:p>
      <w:pPr>
        <w:spacing w:after="0" w:line="227"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Any dividends and similar cash or in-kind distributions on Offered Shares other than a distribution out of capital contribution reserves confirmed by the Swiss Federal Tax Administration (“capital contribution reserves”)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or made or paid by the Company based upon a reduction of nominal share capital, including the distributions of any liquidation proceeds in excess of nominal share capital and capital contribution reserves, will be subject to Swiss federal withholding tax (</w:t>
      </w:r>
      <w:r>
        <w:rPr>
          <w:rFonts w:ascii="Times New Roman" w:cs="Times New Roman" w:eastAsia="Times New Roman" w:hAnsi="Times New Roman"/>
          <w:sz w:val="18"/>
          <w:szCs w:val="18"/>
          <w:i w:val="1"/>
          <w:iCs w:val="1"/>
          <w:color w:val="auto"/>
        </w:rPr>
        <w:t>impôt anticipé</w:t>
      </w:r>
      <w:r>
        <w:rPr>
          <w:rFonts w:ascii="Times New Roman" w:cs="Times New Roman" w:eastAsia="Times New Roman" w:hAnsi="Times New Roman"/>
          <w:sz w:val="18"/>
          <w:szCs w:val="18"/>
          <w:color w:val="auto"/>
        </w:rPr>
        <w:t>) imposed on the gross amount of the taxable distribution at the then prevailing rate (currently 35% of the gross amount of the taxable distribution). The Swiss federal withholding tax must be withheld by the Company on the gross amount of the dividend or distribution and be remitted to the Swiss Federal Tax Administration.</w:t>
      </w:r>
    </w:p>
    <w:p>
      <w:pPr>
        <w:spacing w:after="0" w:line="187" w:lineRule="exact"/>
        <w:rPr>
          <w:sz w:val="20"/>
          <w:szCs w:val="20"/>
          <w:color w:val="auto"/>
        </w:rPr>
      </w:pPr>
    </w:p>
    <w:p>
      <w:pPr>
        <w:ind w:right="80" w:firstLine="415"/>
        <w:spacing w:after="0" w:line="261" w:lineRule="auto"/>
        <w:rPr>
          <w:sz w:val="20"/>
          <w:szCs w:val="20"/>
          <w:color w:val="auto"/>
        </w:rPr>
      </w:pPr>
      <w:r>
        <w:rPr>
          <w:rFonts w:ascii="Times New Roman" w:cs="Times New Roman" w:eastAsia="Times New Roman" w:hAnsi="Times New Roman"/>
          <w:sz w:val="18"/>
          <w:szCs w:val="18"/>
          <w:color w:val="auto"/>
        </w:rPr>
        <w:t>Capital gains realized on the sale of the Offered Shares are not subject to the Swiss federal withholding tax (other than in case of a sale to the Company (i) for cancellation, (ii) if the total of repurchased shares of the Company exceeds 10% of the Company's share capital or (iii) if the repurchased Offered Shares are not resold within the applicable time period after the repurchase, if and to the extent the redemption price less the nominal value of the redeemed shares is not booked against capital contribution reserves (“Taxable Repurchases”)).</w:t>
      </w:r>
    </w:p>
    <w:p>
      <w:pPr>
        <w:spacing w:after="0" w:line="180" w:lineRule="exact"/>
        <w:rPr>
          <w:sz w:val="20"/>
          <w:szCs w:val="20"/>
          <w:color w:val="auto"/>
        </w:rPr>
      </w:pPr>
    </w:p>
    <w:p>
      <w:pPr>
        <w:jc w:val="both"/>
        <w:ind w:right="20" w:firstLine="415"/>
        <w:spacing w:after="0" w:line="266" w:lineRule="auto"/>
        <w:rPr>
          <w:sz w:val="20"/>
          <w:szCs w:val="20"/>
          <w:color w:val="auto"/>
        </w:rPr>
      </w:pPr>
      <w:r>
        <w:rPr>
          <w:rFonts w:ascii="Times New Roman" w:cs="Times New Roman" w:eastAsia="Times New Roman" w:hAnsi="Times New Roman"/>
          <w:sz w:val="18"/>
          <w:szCs w:val="18"/>
          <w:color w:val="auto"/>
        </w:rPr>
        <w:t>It is generally at the discretion of the Company to decide whether to distribute a dividend or similar distribution or repurchase the Offered Shares out of capital contribution reserves and/or out of profit/retained earnings/reserves other than capital contribution reserves subject to Swiss federal withholding tax.</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Refund to Swiss-resident recipients</w:t>
      </w:r>
    </w:p>
    <w:p>
      <w:pPr>
        <w:spacing w:after="0" w:line="227" w:lineRule="exact"/>
        <w:rPr>
          <w:sz w:val="20"/>
          <w:szCs w:val="20"/>
          <w:color w:val="auto"/>
        </w:rPr>
      </w:pPr>
    </w:p>
    <w:p>
      <w:pPr>
        <w:ind w:right="120" w:firstLine="415"/>
        <w:spacing w:after="0" w:line="258" w:lineRule="auto"/>
        <w:rPr>
          <w:sz w:val="20"/>
          <w:szCs w:val="20"/>
          <w:color w:val="auto"/>
        </w:rPr>
      </w:pPr>
      <w:r>
        <w:rPr>
          <w:rFonts w:ascii="Times New Roman" w:cs="Times New Roman" w:eastAsia="Times New Roman" w:hAnsi="Times New Roman"/>
          <w:sz w:val="18"/>
          <w:szCs w:val="18"/>
          <w:color w:val="auto"/>
        </w:rPr>
        <w:t>The relevant Swiss tax authority will refund or credit the Swiss federal withholding tax deducted by the Company on dividends or distributions on Offered Shares in full to holders of Offered Shares who are resident in Switzerland and to holders who hold the Offered Shares as part of a trade or business in Switzerland, and who, in each case, among other things, are the beneficial owners of the Offered Shares and the dividends or the distributions made or paid on the Offered Shares and who duly report the dividend or distribution in their income tax return or their statutory financial statements, as applicable, for the relevant tax period and if there is no tax avoidance.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Refund to non-resident recipients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 In General</w:t>
      </w:r>
    </w:p>
    <w:p>
      <w:pPr>
        <w:spacing w:after="0" w:line="227" w:lineRule="exact"/>
        <w:rPr>
          <w:sz w:val="20"/>
          <w:szCs w:val="20"/>
          <w:color w:val="auto"/>
        </w:rPr>
      </w:pPr>
    </w:p>
    <w:p>
      <w:pPr>
        <w:ind w:right="60" w:firstLine="415"/>
        <w:spacing w:after="0" w:line="266" w:lineRule="auto"/>
        <w:rPr>
          <w:sz w:val="20"/>
          <w:szCs w:val="20"/>
          <w:color w:val="auto"/>
        </w:rPr>
      </w:pPr>
      <w:r>
        <w:rPr>
          <w:rFonts w:ascii="Times New Roman" w:cs="Times New Roman" w:eastAsia="Times New Roman" w:hAnsi="Times New Roman"/>
          <w:sz w:val="18"/>
          <w:szCs w:val="18"/>
          <w:color w:val="auto"/>
        </w:rPr>
        <w:t>A holder who is not a resident of Switzerland and who does not hold the Offered Shares as part of a trade or business in Switzerland may be entitled to a full or partial refund of the Swiss federal withholding tax deducted if the country in which the recipient resides for tax purposes has entered into a bilateral treaty for the avoidance of double taxation with Switzerland and the other conditions of such treaty are met. A reduction of the Swiss federal</w:t>
      </w: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5" w:name="page16"/>
    <w:bookmarkEnd w:id="15"/>
    <w:p>
      <w:pPr>
        <w:ind w:right="160"/>
        <w:spacing w:after="0" w:line="266" w:lineRule="auto"/>
        <w:rPr>
          <w:sz w:val="20"/>
          <w:szCs w:val="20"/>
          <w:color w:val="auto"/>
        </w:rPr>
      </w:pPr>
      <w:r>
        <w:rPr>
          <w:rFonts w:ascii="Times New Roman" w:cs="Times New Roman" w:eastAsia="Times New Roman" w:hAnsi="Times New Roman"/>
          <w:sz w:val="18"/>
          <w:szCs w:val="18"/>
          <w:color w:val="auto"/>
        </w:rPr>
        <w:t>withholding tax at source is not provided for by Switzerland for portfolio holdings and, therefore, is not permissible. Holders of Offered Shares should be aware that the procedures for claiming treaty benefits (and the time frame required for obtaining a tax refund) may differ from country to country and should consult their own legal, financial or tax advisors regarding the procedures for claiming a refund of the Swiss federal withholding tax.</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 Residents of the US</w:t>
      </w:r>
    </w:p>
    <w:p>
      <w:pPr>
        <w:spacing w:after="0" w:line="227" w:lineRule="exact"/>
        <w:rPr>
          <w:sz w:val="20"/>
          <w:szCs w:val="20"/>
          <w:color w:val="auto"/>
        </w:rPr>
      </w:pPr>
    </w:p>
    <w:p>
      <w:pPr>
        <w:ind w:right="180" w:firstLine="415"/>
        <w:spacing w:after="0" w:line="255" w:lineRule="auto"/>
        <w:rPr>
          <w:sz w:val="20"/>
          <w:szCs w:val="20"/>
          <w:color w:val="auto"/>
        </w:rPr>
      </w:pPr>
      <w:r>
        <w:rPr>
          <w:rFonts w:ascii="Times New Roman" w:cs="Times New Roman" w:eastAsia="Times New Roman" w:hAnsi="Times New Roman"/>
          <w:sz w:val="18"/>
          <w:szCs w:val="18"/>
          <w:color w:val="auto"/>
        </w:rPr>
        <w:t>A holder of Offered Shares who is a resident of the U.S. for purposes of the Convention between the United States of America and the Swiss Confederation for the Avoidance of Double Taxation with Respect to Taxes on Income (Treaty), without taxable presence in Switzerland to which the Offered Shares are attributable or who is a qualified U.S. pension fund and who, in each case, is the beneficial owner of the Offered Shares and the dividend or distribution and who meets the other conditions of the Treaty may, if the holder is a qualified U.S. pension fund, apply for a full refund of the Swiss federal withholding tax, if the holder is a corporation owning at least 10% of the voting rights of the Company, apply for a refund of the Swiss federal withholding tax withheld in excess of the 5% reduced treaty rate and in all other cases apply for a refund of the Swiss federal withholding tax withheld in excess of the 15% treaty rate.</w:t>
      </w:r>
    </w:p>
    <w:p>
      <w:pPr>
        <w:spacing w:after="0" w:line="189" w:lineRule="exact"/>
        <w:rPr>
          <w:sz w:val="20"/>
          <w:szCs w:val="20"/>
          <w:color w:val="auto"/>
        </w:rPr>
      </w:pPr>
    </w:p>
    <w:p>
      <w:pPr>
        <w:ind w:right="40" w:firstLine="415"/>
        <w:spacing w:after="0" w:line="255" w:lineRule="auto"/>
        <w:rPr>
          <w:sz w:val="20"/>
          <w:szCs w:val="20"/>
          <w:color w:val="auto"/>
        </w:rPr>
      </w:pPr>
      <w:r>
        <w:rPr>
          <w:rFonts w:ascii="Times New Roman" w:cs="Times New Roman" w:eastAsia="Times New Roman" w:hAnsi="Times New Roman"/>
          <w:sz w:val="18"/>
          <w:szCs w:val="18"/>
          <w:color w:val="auto"/>
        </w:rPr>
        <w:t>The claim for refund must be filed on Swiss Tax Form 82 (82C for corporations, 82I for individuals, 82E for other entities and 82R for regulated investment companies), which forms together with an instruction form may be obtained from any Swiss consulate general in the US, the Swiss Federal Tax Administration at the address below or be downloaded from the Swiss Federal Tax Administration’s website. Four copies of the form must be duly completed, signed before a notary public of the US, and three of them must be sent to the Swiss Federal Tax Administration, Eigerstrasse 65, CH-3003, Berne, Switzerland. The form must be accompanied by suitable evidence of deduction of the Swiss federal withholding, such as certificates of deduction, bank vouchers or credit slips. The form must be filed no later than December 31 of the third year following the calendar year in which the dividend subject to the tax became payable.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income taxes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Offered Shares held by holders resident outside of Switzerland and with no trade or business in Switzerland</w:t>
      </w:r>
    </w:p>
    <w:p>
      <w:pPr>
        <w:spacing w:after="0" w:line="227" w:lineRule="exact"/>
        <w:rPr>
          <w:sz w:val="20"/>
          <w:szCs w:val="20"/>
          <w:color w:val="auto"/>
        </w:rPr>
      </w:pPr>
    </w:p>
    <w:p>
      <w:pPr>
        <w:ind w:right="160" w:firstLine="415"/>
        <w:spacing w:after="0" w:line="254" w:lineRule="auto"/>
        <w:rPr>
          <w:sz w:val="20"/>
          <w:szCs w:val="20"/>
          <w:color w:val="auto"/>
        </w:rPr>
      </w:pPr>
      <w:r>
        <w:rPr>
          <w:rFonts w:ascii="Times New Roman" w:cs="Times New Roman" w:eastAsia="Times New Roman" w:hAnsi="Times New Roman"/>
          <w:sz w:val="18"/>
          <w:szCs w:val="18"/>
          <w:color w:val="auto"/>
        </w:rPr>
        <w:t>Holders of Offered Shares who are not resident in Switzerland for tax purposes, and who, during the respective taxation year, have not engaged in a trade or business carried on through a permanent establishment or a fixed place of business situated in Switzerland for tax purposes, will not be subject to any Swiss federal, cantonal or communal income taxes as a result of them realizing gain on the sale or other disposition of Offered Shares or receiving dividends or other distributions, if any, on Offered Shares. Refer to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above for a summary on the Swiss withholding tax treatment of dividends and distributions on Offered Shares. Refer to “</w:t>
      </w:r>
      <w:r>
        <w:rPr>
          <w:rFonts w:ascii="Times New Roman" w:cs="Times New Roman" w:eastAsia="Times New Roman" w:hAnsi="Times New Roman"/>
          <w:sz w:val="18"/>
          <w:szCs w:val="18"/>
          <w:i w:val="1"/>
          <w:iCs w:val="1"/>
          <w:color w:val="auto"/>
        </w:rPr>
        <w:t>―International Automatic Exchange of Information</w:t>
      </w:r>
      <w:r>
        <w:rPr>
          <w:rFonts w:ascii="Times New Roman" w:cs="Times New Roman" w:eastAsia="Times New Roman" w:hAnsi="Times New Roman"/>
          <w:sz w:val="18"/>
          <w:szCs w:val="18"/>
          <w:color w:val="auto"/>
        </w:rPr>
        <w:t>” below for a summary on the international exchange of information in tax matters by Switzerland in respect of Offered Shares held in accounts or deposits with a paying agent in Switzerland. Refer to “</w:t>
      </w:r>
      <w:r>
        <w:rPr>
          <w:rFonts w:ascii="Times New Roman" w:cs="Times New Roman" w:eastAsia="Times New Roman" w:hAnsi="Times New Roman"/>
          <w:sz w:val="18"/>
          <w:szCs w:val="18"/>
          <w:i w:val="1"/>
          <w:iCs w:val="1"/>
          <w:color w:val="auto"/>
        </w:rPr>
        <w:t>―Swiss Facilitation of the Implementation of the U.S. Foreign Account Tax Compliance Act</w:t>
      </w:r>
      <w:r>
        <w:rPr>
          <w:rFonts w:ascii="Times New Roman" w:cs="Times New Roman" w:eastAsia="Times New Roman" w:hAnsi="Times New Roman"/>
          <w:sz w:val="18"/>
          <w:szCs w:val="18"/>
          <w:color w:val="auto"/>
        </w:rPr>
        <w:t>” below for a summary on the implementation of FATCA by Switzerland.</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Offered Shares held by Swiss resident individuals as private investments</w:t>
      </w:r>
    </w:p>
    <w:p>
      <w:pPr>
        <w:spacing w:after="0" w:line="227"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Dividends and other distributions (including stock dividends and liquidation proceeds), if any, on Offered Shares, made or paid by the Company out of capital contribution reserves and distributions made or paid by the Company on Offered Shares based upon a capital reduction (</w:t>
      </w:r>
      <w:r>
        <w:rPr>
          <w:rFonts w:ascii="Times New Roman" w:cs="Times New Roman" w:eastAsia="Times New Roman" w:hAnsi="Times New Roman"/>
          <w:sz w:val="18"/>
          <w:szCs w:val="18"/>
          <w:i w:val="1"/>
          <w:iCs w:val="1"/>
          <w:color w:val="auto"/>
        </w:rPr>
        <w:t>reduction de la valeur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nominale</w:t>
      </w:r>
      <w:r>
        <w:rPr>
          <w:rFonts w:ascii="Times New Roman" w:cs="Times New Roman" w:eastAsia="Times New Roman" w:hAnsi="Times New Roman"/>
          <w:sz w:val="18"/>
          <w:szCs w:val="18"/>
          <w:color w:val="auto"/>
        </w:rPr>
        <w:t>), if any, are exempt from Swiss federal, cantonal and communal income taxes for holders of Offered Shares who are individuals resident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Switzerland for tax purposes and who hold the Offered Shares as private capital investments. Other dividends and distributions, if any, on Offered Shares will be subject to Swiss federal, cantonal or communal income taxes for such holders. Shareholders holding Offered Shares representing at least 10% of the nominal share capital of the Company may be able to decrease the taxable dividend basis by 30% (70% taxable) at the federal level and up to 50% at the cantonal level, depending on their respective cantonal rates, as partial relief from economic double taxation.</w:t>
      </w:r>
    </w:p>
    <w:p>
      <w:pPr>
        <w:spacing w:after="0" w:line="189" w:lineRule="exact"/>
        <w:rPr>
          <w:sz w:val="20"/>
          <w:szCs w:val="20"/>
          <w:color w:val="auto"/>
        </w:rPr>
      </w:pPr>
    </w:p>
    <w:p>
      <w:pPr>
        <w:ind w:right="580" w:firstLine="415"/>
        <w:spacing w:after="0" w:line="282" w:lineRule="auto"/>
        <w:rPr>
          <w:sz w:val="20"/>
          <w:szCs w:val="20"/>
          <w:color w:val="auto"/>
        </w:rPr>
      </w:pPr>
      <w:r>
        <w:rPr>
          <w:rFonts w:ascii="Times New Roman" w:cs="Times New Roman" w:eastAsia="Times New Roman" w:hAnsi="Times New Roman"/>
          <w:sz w:val="18"/>
          <w:szCs w:val="18"/>
          <w:color w:val="auto"/>
        </w:rPr>
        <w:t>A capital gain realized by an individual resident in Switzerland on the sale of Offered Shares held by her or him as private capital investments classifies typically, subject to a few exceptions such as in case of Taxable</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 w:name="page17"/>
    <w:bookmarkEnd w:id="16"/>
    <w:p>
      <w:pPr>
        <w:ind w:right="700"/>
        <w:spacing w:after="0" w:line="284" w:lineRule="auto"/>
        <w:rPr>
          <w:sz w:val="20"/>
          <w:szCs w:val="20"/>
          <w:color w:val="auto"/>
        </w:rPr>
      </w:pPr>
      <w:r>
        <w:rPr>
          <w:rFonts w:ascii="Times New Roman" w:cs="Times New Roman" w:eastAsia="Times New Roman" w:hAnsi="Times New Roman"/>
          <w:sz w:val="18"/>
          <w:szCs w:val="18"/>
          <w:color w:val="auto"/>
        </w:rPr>
        <w:t>Repurchases as described in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xml:space="preserve"> above, as tax-exempt private capital gain and, conversely, a capital loss as non-tax deductible private capital loss for purposes of Swiss federal, cantonal and communal income taxes.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with respect to the Company's discretion to make distributions out of capital contribution reserves.</w:t>
      </w:r>
    </w:p>
    <w:p>
      <w:pPr>
        <w:spacing w:after="0" w:line="225" w:lineRule="exact"/>
        <w:rPr>
          <w:sz w:val="20"/>
          <w:szCs w:val="20"/>
          <w:color w:val="auto"/>
        </w:rPr>
      </w:pPr>
    </w:p>
    <w:p>
      <w:pPr>
        <w:ind w:right="380" w:firstLine="415"/>
        <w:spacing w:after="0" w:line="284" w:lineRule="auto"/>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—Offered Shares held as assets of a Swiss business</w:t>
      </w:r>
      <w:r>
        <w:rPr>
          <w:rFonts w:ascii="Times New Roman" w:cs="Times New Roman" w:eastAsia="Times New Roman" w:hAnsi="Times New Roman"/>
          <w:sz w:val="18"/>
          <w:szCs w:val="18"/>
          <w:color w:val="auto"/>
        </w:rPr>
        <w:t>” for information on the taxation of individuals classified as “professional securities dealers.”</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Offered Shares held as assets of a Swiss business</w:t>
      </w:r>
    </w:p>
    <w:p>
      <w:pPr>
        <w:spacing w:after="0" w:line="227" w:lineRule="exact"/>
        <w:rPr>
          <w:sz w:val="20"/>
          <w:szCs w:val="20"/>
          <w:color w:val="auto"/>
        </w:rPr>
      </w:pPr>
    </w:p>
    <w:p>
      <w:pPr>
        <w:ind w:right="40" w:firstLine="415"/>
        <w:spacing w:after="0" w:line="253" w:lineRule="auto"/>
        <w:rPr>
          <w:sz w:val="20"/>
          <w:szCs w:val="20"/>
          <w:color w:val="auto"/>
        </w:rPr>
      </w:pPr>
      <w:r>
        <w:rPr>
          <w:rFonts w:ascii="Times New Roman" w:cs="Times New Roman" w:eastAsia="Times New Roman" w:hAnsi="Times New Roman"/>
          <w:sz w:val="18"/>
          <w:szCs w:val="18"/>
          <w:color w:val="auto"/>
        </w:rPr>
        <w:t>For a holder who holds Offered Shares as part of a trade or business carried on in Switzerland dividends and distributions, if any, made or paid by the Company on Offered Shares, and capital gain or loss realized on the sale of Offered Shares, are includible in, or deductible from, respectively, taxable income in the relevant taxation period for purposes of Swiss federal, cantonal and communal individual or corporate income taxes. This taxation treatment also applies to Swiss resident private individuals who, for income tax purposes, are classified as “professional securities dealers”. Domestic commercial shareholders who are natural persons holding Offered Shares representing at least 10% of the nominal share capital of the Company may be able to decrease the taxable basis by 30% (70% taxable) at the federal level and up to 50% at the cantonal level, depending on their respective cantonal rates, as partial relief from economic double taxation (in the case of capital gains provide the shares have been held for at least one year). Domestic commercial shareholders who are corporate taxpayers may be eligible for tax relief (</w:t>
      </w:r>
      <w:r>
        <w:rPr>
          <w:rFonts w:ascii="Times New Roman" w:cs="Times New Roman" w:eastAsia="Times New Roman" w:hAnsi="Times New Roman"/>
          <w:sz w:val="18"/>
          <w:szCs w:val="18"/>
          <w:i w:val="1"/>
          <w:iCs w:val="1"/>
          <w:color w:val="auto"/>
        </w:rPr>
        <w:t>réduction pour participations</w:t>
      </w:r>
      <w:r>
        <w:rPr>
          <w:rFonts w:ascii="Times New Roman" w:cs="Times New Roman" w:eastAsia="Times New Roman" w:hAnsi="Times New Roman"/>
          <w:sz w:val="18"/>
          <w:szCs w:val="18"/>
          <w:color w:val="auto"/>
        </w:rPr>
        <w:t>) in respect of dividends and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if the Offered Shares held by them as part of a Swiss business have an aggregate market value of at least CHF 1 million or represent 10% or more of the outstanding share capital or the dividend rights, of the Company. Capital gains relief is generally available only if the sold Offered Shares represent 10% or more of the outstanding share capital or the dividend rights, of the Company and provided that the Offered Shares have been held for at least one year.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federal issuance stamp tax</w:t>
      </w:r>
    </w:p>
    <w:p>
      <w:pPr>
        <w:spacing w:after="0" w:line="227" w:lineRule="exact"/>
        <w:rPr>
          <w:sz w:val="20"/>
          <w:szCs w:val="20"/>
          <w:color w:val="auto"/>
        </w:rPr>
      </w:pPr>
    </w:p>
    <w:p>
      <w:pPr>
        <w:ind w:right="640" w:firstLine="415"/>
        <w:spacing w:after="0" w:line="284" w:lineRule="auto"/>
        <w:rPr>
          <w:sz w:val="20"/>
          <w:szCs w:val="20"/>
          <w:color w:val="auto"/>
        </w:rPr>
      </w:pPr>
      <w:r>
        <w:rPr>
          <w:rFonts w:ascii="Times New Roman" w:cs="Times New Roman" w:eastAsia="Times New Roman" w:hAnsi="Times New Roman"/>
          <w:sz w:val="18"/>
          <w:szCs w:val="18"/>
          <w:color w:val="auto"/>
        </w:rPr>
        <w:t>The Company will be subject to the Swiss issuance stamp tax (</w:t>
      </w:r>
      <w:r>
        <w:rPr>
          <w:rFonts w:ascii="Times New Roman" w:cs="Times New Roman" w:eastAsia="Times New Roman" w:hAnsi="Times New Roman"/>
          <w:sz w:val="18"/>
          <w:szCs w:val="18"/>
          <w:i w:val="1"/>
          <w:iCs w:val="1"/>
          <w:color w:val="auto"/>
        </w:rPr>
        <w:t>droit de timbre d'émission</w:t>
      </w:r>
      <w:r>
        <w:rPr>
          <w:rFonts w:ascii="Times New Roman" w:cs="Times New Roman" w:eastAsia="Times New Roman" w:hAnsi="Times New Roman"/>
          <w:sz w:val="18"/>
          <w:szCs w:val="18"/>
          <w:color w:val="auto"/>
        </w:rPr>
        <w:t>) on the issuance of the Offered Shares of 1% on the consideration received for the issuance of the Offered Shares, net of certain deductions.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securities turnover tax</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In respect of purchases of Offered Shares in the Offering</w:t>
      </w:r>
    </w:p>
    <w:p>
      <w:pPr>
        <w:spacing w:after="0" w:line="227" w:lineRule="exact"/>
        <w:rPr>
          <w:sz w:val="20"/>
          <w:szCs w:val="20"/>
          <w:color w:val="auto"/>
        </w:rPr>
      </w:pPr>
    </w:p>
    <w:p>
      <w:pPr>
        <w:ind w:right="460" w:firstLine="415"/>
        <w:spacing w:after="0" w:line="282" w:lineRule="auto"/>
        <w:rPr>
          <w:sz w:val="20"/>
          <w:szCs w:val="20"/>
          <w:color w:val="auto"/>
        </w:rPr>
      </w:pPr>
      <w:r>
        <w:rPr>
          <w:rFonts w:ascii="Times New Roman" w:cs="Times New Roman" w:eastAsia="Times New Roman" w:hAnsi="Times New Roman"/>
          <w:sz w:val="18"/>
          <w:szCs w:val="18"/>
          <w:color w:val="auto"/>
        </w:rPr>
        <w:t>The issuance and delivery of the Offered Shares to the initial shareholders at the settlement date should generally be exempt from Swiss federal securities turnover tax (</w:t>
      </w:r>
      <w:r>
        <w:rPr>
          <w:rFonts w:ascii="Times New Roman" w:cs="Times New Roman" w:eastAsia="Times New Roman" w:hAnsi="Times New Roman"/>
          <w:sz w:val="18"/>
          <w:szCs w:val="18"/>
          <w:i w:val="1"/>
          <w:iCs w:val="1"/>
          <w:color w:val="auto"/>
        </w:rPr>
        <w:t>droit de timbre de négotiation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In respect of other transactions in Offered Shares</w:t>
      </w:r>
    </w:p>
    <w:p>
      <w:pPr>
        <w:spacing w:after="0" w:line="227" w:lineRule="exact"/>
        <w:rPr>
          <w:sz w:val="20"/>
          <w:szCs w:val="20"/>
          <w:color w:val="auto"/>
        </w:rPr>
      </w:pPr>
    </w:p>
    <w:p>
      <w:pPr>
        <w:ind w:firstLine="415"/>
        <w:spacing w:after="0" w:line="266" w:lineRule="auto"/>
        <w:rPr>
          <w:sz w:val="20"/>
          <w:szCs w:val="20"/>
          <w:color w:val="auto"/>
        </w:rPr>
      </w:pPr>
      <w:r>
        <w:rPr>
          <w:rFonts w:ascii="Times New Roman" w:cs="Times New Roman" w:eastAsia="Times New Roman" w:hAnsi="Times New Roman"/>
          <w:sz w:val="18"/>
          <w:szCs w:val="18"/>
          <w:color w:val="auto"/>
        </w:rPr>
        <w:t>Any transactions in the Offered Shares after the offering, where a bank or another securities dealer in Switzerland or Liechtenstein, as defined in the Swiss Federal Stamp Tax Act, acts as an intermediary, or is a party, to the transaction, is subject to Swiss federal securities turnover tax at a tax rate of up to 0.15% of the consideration paid for such Offered Shares.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Automatic Exchange of Information</w:t>
      </w:r>
    </w:p>
    <w:p>
      <w:pPr>
        <w:spacing w:after="0" w:line="229" w:lineRule="exact"/>
        <w:rPr>
          <w:sz w:val="20"/>
          <w:szCs w:val="20"/>
          <w:color w:val="auto"/>
        </w:rPr>
      </w:pPr>
    </w:p>
    <w:p>
      <w:pPr>
        <w:ind w:right="160" w:firstLine="415"/>
        <w:spacing w:after="0" w:line="261" w:lineRule="auto"/>
        <w:rPr>
          <w:sz w:val="20"/>
          <w:szCs w:val="20"/>
          <w:color w:val="auto"/>
        </w:rPr>
      </w:pPr>
      <w:r>
        <w:rPr>
          <w:rFonts w:ascii="Times New Roman" w:cs="Times New Roman" w:eastAsia="Times New Roman" w:hAnsi="Times New Roman"/>
          <w:sz w:val="18"/>
          <w:szCs w:val="18"/>
          <w:color w:val="auto"/>
        </w:rPr>
        <w:t>Switzerland has concluded a multilateral agreement with the EU on the international automatic exchange of information (AEOI) in tax matters. The agreement applies to all 27 EU member states and certain other jurisdictions. Further, Switzerland has entered into the multilateral competent authority agreement on the automatic exchange of financial account information (MCAA), and based on the MCAA, a number of bilateral AEOI agreements with other countries.</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7" w:name="page18"/>
    <w:bookmarkEnd w:id="17"/>
    <w:p>
      <w:pPr>
        <w:ind w:firstLine="415"/>
        <w:spacing w:after="0" w:line="255" w:lineRule="auto"/>
        <w:rPr>
          <w:sz w:val="20"/>
          <w:szCs w:val="20"/>
          <w:color w:val="auto"/>
        </w:rPr>
      </w:pPr>
      <w:r>
        <w:rPr>
          <w:rFonts w:ascii="Times New Roman" w:cs="Times New Roman" w:eastAsia="Times New Roman" w:hAnsi="Times New Roman"/>
          <w:sz w:val="18"/>
          <w:szCs w:val="18"/>
          <w:color w:val="auto"/>
        </w:rPr>
        <w:t>Based on such agreements and the implementing laws of Switzerland, Switzerland commenced collecting or will commence collecting data in respect of financial assets held in, and income derived thereon and credited to, accounts or deposits with a paying agent in Switzerland for the benefit of individuals resident in a EU member state or other treaty state from 2017 and began exchanging the data in 2018 or will begin exchanging the data at a later date, depending on the date of effectiveness of the applicable agreement, including, as the case may be, in respect of Offered Shares held in such accounts or deposits. Switzerland has signed and intends to sign further AEOI agreements with further countries. An up-to-date list of the AEOI agreements of Switzerland in effect or signed and becoming effective and the dates of commencement of data collection and the dates of information exchange, can be found on the website of the State Secretariat for International Financial Matters SIF.</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229" w:lineRule="exact"/>
        <w:rPr>
          <w:sz w:val="20"/>
          <w:szCs w:val="20"/>
          <w:color w:val="auto"/>
        </w:rPr>
      </w:pPr>
    </w:p>
    <w:p>
      <w:pPr>
        <w:ind w:firstLine="415"/>
        <w:spacing w:after="0" w:line="252" w:lineRule="auto"/>
        <w:rPr>
          <w:sz w:val="20"/>
          <w:szCs w:val="20"/>
          <w:color w:val="auto"/>
        </w:rPr>
      </w:pPr>
      <w:r>
        <w:rPr>
          <w:rFonts w:ascii="Times New Roman" w:cs="Times New Roman" w:eastAsia="Times New Roman" w:hAnsi="Times New Roman"/>
          <w:sz w:val="18"/>
          <w:szCs w:val="18"/>
          <w:color w:val="auto"/>
        </w:rPr>
        <w:t>The U.S. Foreign Account Tax Compliance Act (FATCA) is a unilateral U.S. tax law directed at financial institutions around the world in order to fight tax evasion of U.S. citizens. FATCA requires these financial institutions to periodically provide the U.S. Internal Revenue Service (IRS) with information regarding the bank accounts of U.S. citizens whether living inside or outside of the U.S. Along with many other countries, Switzerland has concluded a bilateral agreement (IGA) with the U.S. in order to facilitate the implementation of FATCA, which reduces the implementation costs for Swiss financial institutions. Under the US-Switzerland IGA, financial institution acting out of Switzerland generally are directed to become participating foreign financial institutions (FFIs).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(DTA). On 20 September 2019, Switzerland and the U.S. ratified the 2009 protocol (Protocol) amending the DTA. With the subsequent exchange of the ratification instruments, the amended DTA entered into force, and provides for a mechanism for the exchange of information upon request in tax matters between Switzerland and the US, which is in line with international standards, and allows the U.S. to make group requests under FATCA concerning non-consenting U.S. accounts and non-consenting non-participating foreign financial institutions for periods from 30 June 2014. On 27 June 2024, the United States and Switzerland signed a new FATCA agreement. Under this agreement, the competent tax authorities of both parties shall annually exchange information in respect of reportable accounts on an automatic basis. Implementation of the new FATCA agreement requires national law to be amended in Switzerland. In Switzerland, the Federal Assembly will decide on this. According to the current schedule, Switzerland's change of model should come into force on 1 January 2027.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the ownership and disposition of our common shares. This discussion applies only to a U.S. Holder that acquires our common shares in this offering and holds them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U.S. Internal Revenue Code of 1986, as amended (the “Code”) known as the Medicare contribution tax and tax consequences applicable to U.S. Holders subject to special rules, such as:</w:t>
      </w:r>
    </w:p>
    <w:p>
      <w:pPr>
        <w:spacing w:after="0" w:line="18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electing traders in securities that use a mark-to-market method of tax accounting;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as part of a straddle, integrated transaction or similar transaction;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for U.S. federal income tax purposes is not the U.S. dollar;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shares, by vote or value;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in connection with a trade or business conducted outside of the United States.</w:t>
      </w:r>
    </w:p>
    <w:p>
      <w:pPr>
        <w:spacing w:after="0" w:line="20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common shares, the U.S. federal income tax treatment of a partner will generally depend on the status of the partner and the activities of</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right="240"/>
        <w:spacing w:after="0" w:line="282" w:lineRule="auto"/>
        <w:rPr>
          <w:sz w:val="20"/>
          <w:szCs w:val="20"/>
          <w:color w:val="auto"/>
        </w:rPr>
      </w:pPr>
      <w:r>
        <w:rPr>
          <w:rFonts w:ascii="Times New Roman" w:cs="Times New Roman" w:eastAsia="Times New Roman" w:hAnsi="Times New Roman"/>
          <w:sz w:val="18"/>
          <w:szCs w:val="18"/>
          <w:color w:val="auto"/>
        </w:rPr>
        <w:t>the partnership. Partnerships and their partners should consult their tax advisers as to the particular U.S. federal income tax consequences of owning and disposing of the common shares.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Holder” is a person that, for U.S. federal income tax purposes, is a beneficial owner of common shares and is any of the following:</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7"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0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common shares in their particular circumstances. In addition, U.S. Holders should note that this disclosure addresses only common shares acquired pursuant to this offering. Any U.S. Holder that already owns our common shares should consult its tax adviser regarding the consequences of owning its existing shares, including the application of the passive foreign investment company (“PFIC”) rules to these shares, taking into account that we were likely a PFIC for some of our prior taxable years.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Reports on Form 20-F for 2019, 2020 and 2022, we were likely a PFIC for our taxable years of 2019, 2020 and 2022. In addition, for the reasons described below, we cannot express any expectation regarding our PFIC status for 2024 or any future taxable year.</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will be a PFIC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and other intangible assets (the value of which may be determined by reference to the excess of the sum of a corporation’s market capitalization and liabilities over the value of its assets) are generally active assets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9" w:name="page20"/>
    <w:bookmarkEnd w:id="19"/>
    <w:p>
      <w:pPr>
        <w:ind w:right="80"/>
        <w:spacing w:after="0" w:line="261" w:lineRule="auto"/>
        <w:rPr>
          <w:sz w:val="20"/>
          <w:szCs w:val="20"/>
          <w:color w:val="auto"/>
        </w:rPr>
      </w:pPr>
      <w:r>
        <w:rPr>
          <w:rFonts w:ascii="Times New Roman" w:cs="Times New Roman" w:eastAsia="Times New Roman" w:hAnsi="Times New Roman"/>
          <w:sz w:val="18"/>
          <w:szCs w:val="18"/>
          <w:color w:val="auto"/>
        </w:rPr>
        <w:t>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we currently hold, and expect to continue to hold, a substantial amount of passive assets, including cash. Therefore, our PFIC status for any taxable year will depend on the value of our intangible assets. We have not obtained, and do not intend to obtain, valuations of our goodwill and other intangible assets. However, the average value of our assets (including goodwill and other intangible assets)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 (including goodwill and other intangibles).</w:t>
      </w:r>
    </w:p>
    <w:p>
      <w:pPr>
        <w:spacing w:after="0" w:line="18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Because our PFIC status is a factual annual determination that can be determined only after the end of the relevant taxable year, we cannot express a view regarding our PFIC status for 2024 or any future taxable year. Due to the factual nature of the determination of our PFIC status, our counsel is not opining on our PFIC status for 2024 or any other taxable year.</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a PFIC for any taxable year and a U.S. Holder owns our common shares during any portion of that year, we generally will continue to be treated as a PFIC with respect to the U.S. Holder even if we cease to be a PFIC for any subsequent taxable year unless the U.S. Holder makes a “deemed sale” election with respect to our common shares, in which case the U.S. Holder may be required to recognize income under the rules described in the subsequent paragraph without receiving any corresponding cash.</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a U.S. Holder owns our common shares in any year in which we are a PFIC, subject to the discussion above regarding the deemed sale election and the discussion below regarding the mark-to-market election, any gain recognized by the U.S. Holder on a sale or other disposition (including certain pledges) of the common shares will be allocated ratably over the U.S. Holder’s holding period for the common shares. The amounts allocated to the taxable year of the sale or other disposition and to any year before we became a PFIC will be taxed as ordinary income. The amount allocated to any other taxable year will be subject to tax at the highest rate in effect for individuals or corporations, as appropriate, for that taxable year, and an interest charge will be imposed on the amount of tax allocated to that taxable year. Further, to the extent that distributions received by a U.S. Holder on its common shares during a taxable year exceed 125% of the average of the annual distributions on the common shares received during the preceding three taxable years or the U.S. Holder’s holding period, whichever is shorter, the excess distribution will be subject to taxation in the same manner.</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U.S. Holder may be able to avoid the rules described above by making a timely mark-to-market election with respect to the common shares, provided that the common shares are regularly traded on Nasdaq or any other qualified exchange. If a U.S. Holder makes the mark-to-market election, it generally will recognize as ordinary income any excess of the fair market value of the common shares at the end of each taxable year in which we are a PFIC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this election, the U.S. Holder’s tax basis in the common shares will be adjusted to reflect the income or loss amounts recognized. Any gain recognized on the sale or other disposition of common shares in a year in which we are a PFIC will be treated as ordinary income and any loss will be treated as an ordinary loss (but only to the extent of the net amount of income previously included as a result of the mark-to-market election, with any excess loss treated as a capital loss).</w:t>
      </w:r>
    </w:p>
    <w:p>
      <w:pPr>
        <w:spacing w:after="0" w:line="188"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We do not intend to provide the information necessary for U.S. Holders to make a “qualified electing fund” election, which if available could materially affect the tax consequences to U.S. Holders of the ownership and disposition of our common shares if we are a PFIC for any taxable year. Therefore, U.S. Holders will not be able to make such elections.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0" w:name="page21"/>
    <w:bookmarkEnd w:id="20"/>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if we are a PFIC (or are treated as a PFIC with respect to a particular U.S. Holder under the “once a PFIC always a PFIC” rule) for the taxable year in which we pay a dividend or for the prior taxable year, the preferential tax rate discussed below with respect to “qualified dividend income” received by certain non-corporate U.S. Holders will not be available.</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a U.S. Holder owns common shares during any taxable year in which we are a PFIC, the U.S. Holder generally must file annual reports on IRS Form 8621 with respect to us with the U.S. Holder’s federal income tax return.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Holders should consult their tax advisers concerning our PFIC status for any taxable year and the consequences thereof.</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discussed above under “Dividend Policy,” we do not currently expect to make distributions on our common shares. In the event that we do make distributions of cash or other property on our common shares,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our common shares, they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Dividends paid to certain non-corporate U.S. Holders may be eligible for taxation as “qualified dividend income” and therefore, subject to applicable limitations, may be taxable at rates applicable to long-term capital gains, provided that we are not a PFIC (and are not treated as a PFIC with respect to a particular U.S. Holder under the “once a PFIC always a PFIC” rule) for our taxable year in which the dividend is paid or the preceding taxable year. Non-corporate U.S. Holders should consult their tax advisers regarding the availability of the reduced tax rate on dividends, if any, in their particular circumstances.</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Dividends will not be eligible for the dividends-received deduction generally available to U.S. corporations under the Code. Dividends will be included in a U.S. Holder’s income on the date of receipt.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Dividends will be foreign-source income. The amount of dividend income will include any amounts withheld by us in respect of Swiss income taxes. Subject to applicable limitations, some of which vary depending upon the U.S. Holder’s particular circumstances, Swiss income taxes withheld from dividends on our common shares (at a rate not exceeding the applicable Treaty rate in the case of U.S. Holders eligible for Treaty benefits) may be creditable against the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Swiss income tax system meets this requirement. The IRS has released notices which provide relief from certain of the Treasury regulations’ requirements for taxable years ending before the date that a notice or other guidance withdrawing or modifying the temporary relief is issued (or any later date specified in such notice or other guidance). U.S. Holders should consult their tax advisers regarding the creditability of any Swiss taxes in their particular circumstances (including the U.S. Holder’s eligibility for Treaty benefits). In lieu of claiming a credit, U.S. Holders may be able to elect to deduct any Swiss income taxes in computing their taxable income, subject to generally applicable limitations under U.S. law. An election to deduct non-U.S. taxes instead of claiming foreign tax credits applies to all otherwise creditable non-U.S. taxes paid or accrued in the taxable year.</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Shares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Gain or loss realized on the sale or other disposition of common shares will be capital gain or loss, and will be long-term capital gain or loss if the U.S. Holder owned the common shares for more than one year, or short-term capital gain or loss otherwise.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 Any Swiss securities turnover tax on the sale will not be creditable, but may reduce the amount realized on any gain.</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(and establishes that status if required to do so)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the U.S. Holder to a refund, provided that the required information is furnished in a timely manner to the IRS.</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our common shares or non-U.S. accounts through which the common shares may be held. U.S. Holders should consult their tax advisers regarding their reporting obligations with respect to the ownership and disposition of our common shares.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80" w:firstLine="415"/>
        <w:spacing w:after="0" w:line="266" w:lineRule="auto"/>
        <w:rPr>
          <w:sz w:val="20"/>
          <w:szCs w:val="20"/>
          <w:color w:val="auto"/>
        </w:rPr>
      </w:pPr>
      <w:r>
        <w:rPr>
          <w:rFonts w:ascii="Times New Roman" w:cs="Times New Roman" w:eastAsia="Times New Roman" w:hAnsi="Times New Roman"/>
          <w:sz w:val="18"/>
          <w:szCs w:val="18"/>
          <w:color w:val="auto"/>
        </w:rPr>
        <w:t>We have entered into a sales agreement with Jefferies, under which we may offer and sell up to $80,000,000 of our common shares from time to time through Jefferies acting as agent. Sales of our common shares, if any, under this prospectus supplement and the accompanying prospectus will be made by any method that is deemed to be an “at the market offering” as defined in Rule 415(a)(4) under the Securities Act.</w:t>
      </w:r>
    </w:p>
    <w:p>
      <w:pPr>
        <w:spacing w:after="0" w:line="176"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color w:val="auto"/>
        </w:rPr>
        <w:t>Each time we wish to issue and sell our common shares under the sales agreement, we will notify Jefferies of the number of shares to be sold,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common shares are subject to a number of conditions that we must meet.</w:t>
      </w:r>
    </w:p>
    <w:p>
      <w:pPr>
        <w:spacing w:after="0" w:line="183" w:lineRule="exact"/>
        <w:rPr>
          <w:sz w:val="20"/>
          <w:szCs w:val="20"/>
          <w:color w:val="auto"/>
        </w:rPr>
      </w:pPr>
    </w:p>
    <w:p>
      <w:pPr>
        <w:ind w:right="300" w:firstLine="415"/>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next trading day following the date on which the sale was made. Sales of our common shares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0"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We will pay Jefferies a commission up to 3.0% of the aggregate gross proceeds we receive from each sale of our common shares.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$1,068,000. The remaining sale proceeds, after deducting any other transaction fees, will equal our net proceeds from the sale of such shares.</w:t>
      </w:r>
    </w:p>
    <w:p>
      <w:pPr>
        <w:spacing w:after="0" w:line="189" w:lineRule="exact"/>
        <w:rPr>
          <w:sz w:val="20"/>
          <w:szCs w:val="20"/>
          <w:color w:val="auto"/>
        </w:rPr>
      </w:pPr>
    </w:p>
    <w:p>
      <w:pPr>
        <w:jc w:val="both"/>
        <w:ind w:right="80" w:firstLine="415"/>
        <w:spacing w:after="0" w:line="266"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the Nasdaq Global Market on the day following each day on which our common shares are sold under the sales agreement. Each confirmation will include the number of shares sold on that day, the aggregate gross proceeds of such sales and the proceeds to us.</w:t>
      </w:r>
    </w:p>
    <w:p>
      <w:pPr>
        <w:spacing w:after="0" w:line="176" w:lineRule="exact"/>
        <w:rPr>
          <w:sz w:val="20"/>
          <w:szCs w:val="20"/>
          <w:color w:val="auto"/>
        </w:rPr>
      </w:pPr>
    </w:p>
    <w:p>
      <w:pPr>
        <w:jc w:val="both"/>
        <w:ind w:right="40" w:firstLine="415"/>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common shares on our behalf, Jefferies may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0" w:lineRule="exact"/>
        <w:rPr>
          <w:sz w:val="20"/>
          <w:szCs w:val="20"/>
          <w:color w:val="auto"/>
        </w:rPr>
      </w:pPr>
    </w:p>
    <w:p>
      <w:pPr>
        <w:jc w:val="both"/>
        <w:ind w:right="140" w:firstLine="415"/>
        <w:spacing w:after="0" w:line="266" w:lineRule="auto"/>
        <w:rPr>
          <w:sz w:val="20"/>
          <w:szCs w:val="20"/>
          <w:color w:val="auto"/>
        </w:rPr>
      </w:pPr>
      <w:r>
        <w:rPr>
          <w:rFonts w:ascii="Times New Roman" w:cs="Times New Roman" w:eastAsia="Times New Roman" w:hAnsi="Times New Roman"/>
          <w:sz w:val="18"/>
          <w:szCs w:val="18"/>
          <w:color w:val="auto"/>
        </w:rPr>
        <w:t>The offering of our common shares pursuant to the sales agreement will terminate upon the earlier of (i) the sale of all common shares subject to the sales agreement and (ii) the termination of the sales agreement as permitted therein. We and Jefferies may each terminate the sales agreement at any time upon ten days’ prior notice.</w:t>
      </w:r>
    </w:p>
    <w:p>
      <w:pPr>
        <w:spacing w:after="0" w:line="176" w:lineRule="exact"/>
        <w:rPr>
          <w:sz w:val="20"/>
          <w:szCs w:val="20"/>
          <w:color w:val="auto"/>
        </w:rPr>
      </w:pPr>
    </w:p>
    <w:p>
      <w:pPr>
        <w:ind w:right="20" w:firstLine="415"/>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a current report on Form 6-K filed under the Exchange Act , and incorporated by reference in this prospectus supplement.</w:t>
      </w:r>
    </w:p>
    <w:p>
      <w:pPr>
        <w:spacing w:after="0" w:line="176" w:lineRule="exact"/>
        <w:rPr>
          <w:sz w:val="20"/>
          <w:szCs w:val="20"/>
          <w:color w:val="auto"/>
        </w:rPr>
      </w:pPr>
    </w:p>
    <w:p>
      <w:pPr>
        <w:ind w:right="140" w:firstLine="415"/>
        <w:spacing w:after="0" w:line="266" w:lineRule="auto"/>
        <w:rPr>
          <w:sz w:val="20"/>
          <w:szCs w:val="20"/>
          <w:color w:val="auto"/>
        </w:rPr>
      </w:pPr>
      <w:r>
        <w:rPr>
          <w:rFonts w:ascii="Times New Roman" w:cs="Times New Roman" w:eastAsia="Times New Roman" w:hAnsi="Times New Roman"/>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76" w:lineRule="exact"/>
        <w:rPr>
          <w:sz w:val="20"/>
          <w:szCs w:val="20"/>
          <w:color w:val="auto"/>
        </w:rPr>
      </w:pPr>
    </w:p>
    <w:p>
      <w:pPr>
        <w:ind w:right="340" w:firstLine="415"/>
        <w:spacing w:after="0" w:line="282"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The address of Jefferies is Jefferies LLC, 520 Madison Avenue, New York, NY 10022.</w:t>
      </w:r>
    </w:p>
    <w:p>
      <w:pPr>
        <w:sectPr>
          <w:pgSz w:w="11900" w:h="16838" w:orient="portrait"/>
          <w:cols w:equalWidth="0" w:num="1">
            <w:col w:w="9719"/>
          </w:cols>
          <w:pgMar w:left="740" w:top="580" w:right="1440" w:bottom="1440" w:gutter="0" w:footer="0" w:header="0"/>
        </w:sectPr>
      </w:pPr>
    </w:p>
    <w:p>
      <w:pPr>
        <w:spacing w:after="0" w:line="3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24765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19"/>
          </w:cols>
          <w:pgMar w:left="740" w:top="580" w:right="1440"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 w:firstLine="415"/>
        <w:spacing w:after="0" w:line="266" w:lineRule="auto"/>
        <w:rPr>
          <w:sz w:val="20"/>
          <w:szCs w:val="20"/>
          <w:color w:val="auto"/>
        </w:rPr>
      </w:pPr>
      <w:r>
        <w:rPr>
          <w:rFonts w:ascii="Times New Roman" w:cs="Times New Roman" w:eastAsia="Times New Roman" w:hAnsi="Times New Roman"/>
          <w:sz w:val="18"/>
          <w:szCs w:val="18"/>
          <w:color w:val="auto"/>
        </w:rPr>
        <w:t>The validity of the securities and certain other matters of Swiss law will be passed upon for us by Bär &amp; Karrer AG, Zurich, Switzerland. Certain matters of U.S. federal and New York State law will be passed upon for us by Davis Polk &amp; Wardwell LLP, New York, New York, and for Jefferies by Paul Hastings LLP, New York, New York.</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20-F for the year ended December 31, 2023 have been so incorporated in reliance on the report of PricewaterhouseCoopers SA, an independent registered public accounting firm, given on the authority of said firm as experts in auditing and accounting. PricewaterhouseCoopers SA is a member of EXPERTsuisse — Swiss Expert Association for Audit, Tax and Fiduciary.</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color w:val="auto"/>
        </w:rPr>
        <w:t>We have filed with the U.S. Securities and Exchange Commission, or the SEC, a registration statement (including amendments and exhibits to the registration statement) on Form F-3 under the Securities Act. This prospectus supplement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220" w:firstLine="415"/>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1300" w:hanging="658"/>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2023 Annual Report on Form 20-F for the fiscal year ended </w:t>
      </w:r>
      <w:hyperlink r:id="rId36">
        <w:r>
          <w:rPr>
            <w:rFonts w:ascii="Times New Roman" w:cs="Times New Roman" w:eastAsia="Times New Roman" w:hAnsi="Times New Roman"/>
            <w:sz w:val="18"/>
            <w:szCs w:val="18"/>
            <w:u w:val="single" w:color="auto"/>
            <w:color w:val="0000FF"/>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14, 2024;</w:t>
      </w:r>
    </w:p>
    <w:p>
      <w:pPr>
        <w:spacing w:after="0" w:line="225" w:lineRule="exact"/>
        <w:rPr>
          <w:rFonts w:ascii="Times New Roman" w:cs="Times New Roman" w:eastAsia="Times New Roman" w:hAnsi="Times New Roman"/>
          <w:sz w:val="18"/>
          <w:szCs w:val="18"/>
          <w:color w:val="auto"/>
        </w:rPr>
      </w:pPr>
    </w:p>
    <w:p>
      <w:pPr>
        <w:ind w:left="1300" w:right="40" w:hanging="658"/>
        <w:spacing w:after="0" w:line="256" w:lineRule="auto"/>
        <w:tabs>
          <w:tab w:leader="none" w:pos="1300" w:val="left"/>
        </w:tabs>
        <w:numPr>
          <w:ilvl w:val="0"/>
          <w:numId w:val="6"/>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reports on Form 6-K furnished to the SEC on </w:t>
      </w:r>
      <w:hyperlink r:id="rId37">
        <w:r>
          <w:rPr>
            <w:rFonts w:ascii="Times New Roman" w:cs="Times New Roman" w:eastAsia="Times New Roman" w:hAnsi="Times New Roman"/>
            <w:sz w:val="18"/>
            <w:szCs w:val="18"/>
            <w:u w:val="single" w:color="auto"/>
            <w:color w:val="0000FF"/>
          </w:rPr>
          <w:t>January 3, 2024</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FF"/>
          </w:rPr>
          <w:t>January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 99.1 filed as an exhibit thereto), </w:t>
      </w:r>
      <w:hyperlink r:id="rId39">
        <w:r>
          <w:rPr>
            <w:rFonts w:ascii="Times New Roman" w:cs="Times New Roman" w:eastAsia="Times New Roman" w:hAnsi="Times New Roman"/>
            <w:sz w:val="18"/>
            <w:szCs w:val="18"/>
            <w:u w:val="single" w:color="auto"/>
            <w:color w:val="0000FF"/>
          </w:rPr>
          <w:t>March 14, 2024</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(only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respect to “Item 2.C—2023 and 2022 Board Compensation” and “Item 3.C—2023 and 2022 Executive</w:t>
      </w:r>
      <w:r>
        <w:rPr>
          <w:rFonts w:ascii="Times New Roman" w:cs="Times New Roman" w:eastAsia="Times New Roman" w:hAnsi="Times New Roman"/>
          <w:sz w:val="18"/>
          <w:szCs w:val="18"/>
          <w:color w:val="0000FF"/>
        </w:rPr>
        <w:t xml:space="preserve"> </w:t>
      </w:r>
      <w:hyperlink r:id="rId40">
        <w:r>
          <w:rPr>
            <w:rFonts w:ascii="Times New Roman" w:cs="Times New Roman" w:eastAsia="Times New Roman" w:hAnsi="Times New Roman"/>
            <w:sz w:val="18"/>
            <w:szCs w:val="18"/>
            <w:color w:val="000000"/>
          </w:rPr>
          <w:t xml:space="preserve">Compensation” of Exhibit 99.2), </w:t>
        </w:r>
        <w:r>
          <w:rPr>
            <w:rFonts w:ascii="Times New Roman" w:cs="Times New Roman" w:eastAsia="Times New Roman" w:hAnsi="Times New Roman"/>
            <w:sz w:val="18"/>
            <w:szCs w:val="18"/>
            <w:u w:val="single" w:color="auto"/>
            <w:color w:val="0000FF"/>
          </w:rPr>
          <w:t>May 13, 2024 (Film No. 24936707)</w:t>
        </w:r>
        <w:r>
          <w:rPr>
            <w:rFonts w:ascii="Times New Roman" w:cs="Times New Roman" w:eastAsia="Times New Roman" w:hAnsi="Times New Roman"/>
            <w:sz w:val="18"/>
            <w:szCs w:val="18"/>
            <w:color w:val="000000"/>
          </w:rPr>
          <w:t xml:space="preserve"> (other than Exhibit 99.1 filed as an exhibit thereto), </w:t>
        </w:r>
        <w:r>
          <w:rPr>
            <w:rFonts w:ascii="Times New Roman" w:cs="Times New Roman" w:eastAsia="Times New Roman" w:hAnsi="Times New Roman"/>
            <w:sz w:val="18"/>
            <w:szCs w:val="18"/>
            <w:u w:val="single" w:color="auto"/>
            <w:color w:val="0000FF"/>
          </w:rPr>
          <w:t>May 13, 2024</w:t>
        </w:r>
      </w:hyperlink>
      <w:r>
        <w:rPr>
          <w:rFonts w:ascii="Times New Roman" w:cs="Times New Roman" w:eastAsia="Times New Roman" w:hAnsi="Times New Roman"/>
          <w:sz w:val="18"/>
          <w:szCs w:val="18"/>
          <w:color w:val="000000"/>
        </w:rPr>
        <w:t xml:space="preserve"> </w:t>
      </w:r>
      <w:hyperlink r:id="rId40">
        <w:r>
          <w:rPr>
            <w:rFonts w:ascii="Times New Roman" w:cs="Times New Roman" w:eastAsia="Times New Roman" w:hAnsi="Times New Roman"/>
            <w:sz w:val="18"/>
            <w:szCs w:val="18"/>
            <w:u w:val="single" w:color="auto"/>
            <w:color w:val="0000FF"/>
          </w:rPr>
          <w:t>(Film No. 24936766)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 than Exhibit 99.3 filed as an exhibit thereto),</w:t>
        </w:r>
        <w:r>
          <w:rPr>
            <w:rFonts w:ascii="Times New Roman" w:cs="Times New Roman" w:eastAsia="Times New Roman" w:hAnsi="Times New Roman"/>
            <w:sz w:val="18"/>
            <w:szCs w:val="18"/>
            <w:color w:val="0000FF"/>
          </w:rPr>
          <w:t xml:space="preserve"> </w:t>
        </w:r>
      </w:hyperlink>
      <w:hyperlink r:id="rId41">
        <w:r>
          <w:rPr>
            <w:rFonts w:ascii="Times New Roman" w:cs="Times New Roman" w:eastAsia="Times New Roman" w:hAnsi="Times New Roman"/>
            <w:sz w:val="18"/>
            <w:szCs w:val="18"/>
            <w:u w:val="single" w:color="auto"/>
            <w:color w:val="0000FF"/>
          </w:rPr>
          <w:t>May 21, 2024</w:t>
        </w:r>
      </w:hyperlink>
      <w:hyperlink r:id="rId4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2">
        <w:r>
          <w:rPr>
            <w:rFonts w:ascii="Times New Roman" w:cs="Times New Roman" w:eastAsia="Times New Roman" w:hAnsi="Times New Roman"/>
            <w:sz w:val="18"/>
            <w:szCs w:val="18"/>
            <w:u w:val="single" w:color="auto"/>
            <w:color w:val="0000FF"/>
          </w:rPr>
          <w:t>June 20, 2024</w:t>
        </w:r>
      </w:hyperlink>
      <w:hyperlink r:id="rId4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3">
        <w:r>
          <w:rPr>
            <w:rFonts w:ascii="Times New Roman" w:cs="Times New Roman" w:eastAsia="Times New Roman" w:hAnsi="Times New Roman"/>
            <w:sz w:val="18"/>
            <w:szCs w:val="18"/>
            <w:u w:val="single" w:color="auto"/>
            <w:color w:val="0000FF"/>
          </w:rPr>
          <w:t xml:space="preserve">July 25, 2024 </w:t>
        </w:r>
      </w:hyperlink>
      <w:hyperlink r:id="rId40">
        <w:r>
          <w:rPr>
            <w:rFonts w:ascii="Times New Roman" w:cs="Times New Roman" w:eastAsia="Times New Roman" w:hAnsi="Times New Roman"/>
            <w:sz w:val="18"/>
            <w:szCs w:val="18"/>
            <w:color w:val="000000"/>
          </w:rPr>
          <w:t>(other than Exhibit</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99.1 filed as an exhibit thereto), </w:t>
      </w:r>
      <w:hyperlink r:id="rId44">
        <w:r>
          <w:rPr>
            <w:rFonts w:ascii="Times New Roman" w:cs="Times New Roman" w:eastAsia="Times New Roman" w:hAnsi="Times New Roman"/>
            <w:sz w:val="18"/>
            <w:szCs w:val="18"/>
            <w:u w:val="single" w:color="auto"/>
            <w:color w:val="0000FF"/>
          </w:rPr>
          <w:t>July 31,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Exhibit 99.1 filed as an exhibit thereto), </w:t>
      </w:r>
      <w:hyperlink r:id="rId45">
        <w:r>
          <w:rPr>
            <w:rFonts w:ascii="Times New Roman" w:cs="Times New Roman" w:eastAsia="Times New Roman" w:hAnsi="Times New Roman"/>
            <w:sz w:val="18"/>
            <w:szCs w:val="18"/>
            <w:u w:val="single" w:color="auto"/>
            <w:color w:val="0000FF"/>
          </w:rPr>
          <w:t>August 6, 2024 (Film No. 241177075)</w:t>
        </w:r>
      </w:hyperlink>
      <w:r>
        <w:rPr>
          <w:rFonts w:ascii="Times New Roman" w:cs="Times New Roman" w:eastAsia="Times New Roman" w:hAnsi="Times New Roman"/>
          <w:sz w:val="18"/>
          <w:szCs w:val="18"/>
          <w:color w:val="000000"/>
        </w:rPr>
        <w:t xml:space="preserve"> (other than Exhibit 99.3 filed as an exhibit thereto) and </w:t>
      </w:r>
      <w:hyperlink r:id="rId46">
        <w:r>
          <w:rPr>
            <w:rFonts w:ascii="Times New Roman" w:cs="Times New Roman" w:eastAsia="Times New Roman" w:hAnsi="Times New Roman"/>
            <w:sz w:val="18"/>
            <w:szCs w:val="18"/>
            <w:u w:val="single" w:color="auto"/>
            <w:color w:val="0000FF"/>
          </w:rPr>
          <w:t>August 6, 2024 (Film No. 241179188)</w:t>
        </w:r>
      </w:hyperlink>
      <w:r>
        <w:rPr>
          <w:rFonts w:ascii="Times New Roman" w:cs="Times New Roman" w:eastAsia="Times New Roman" w:hAnsi="Times New Roman"/>
          <w:sz w:val="18"/>
          <w:szCs w:val="18"/>
          <w:color w:val="000000"/>
        </w:rPr>
        <w:t>; and</w:t>
      </w:r>
    </w:p>
    <w:p>
      <w:pPr>
        <w:spacing w:after="0" w:line="187" w:lineRule="exact"/>
        <w:rPr>
          <w:rFonts w:ascii="Times New Roman" w:cs="Times New Roman" w:eastAsia="Times New Roman" w:hAnsi="Times New Roman"/>
          <w:sz w:val="18"/>
          <w:szCs w:val="18"/>
          <w:color w:val="000000"/>
        </w:rPr>
      </w:pPr>
    </w:p>
    <w:p>
      <w:pPr>
        <w:ind w:left="1300" w:right="220" w:hanging="658"/>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shares contained in our registration statement on Form 8-A filed with the SEC on </w:t>
      </w:r>
      <w:hyperlink r:id="rId47">
        <w:r>
          <w:rPr>
            <w:rFonts w:ascii="Times New Roman" w:cs="Times New Roman" w:eastAsia="Times New Roman" w:hAnsi="Times New Roman"/>
            <w:sz w:val="18"/>
            <w:szCs w:val="18"/>
            <w:u w:val="single" w:color="auto"/>
            <w:color w:val="0000FF"/>
          </w:rPr>
          <w:t>September 23, 2016</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000000"/>
        </w:rPr>
      </w:pPr>
    </w:p>
    <w:p>
      <w:pPr>
        <w:ind w:right="60" w:firstLine="415"/>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288" w:lineRule="exact"/>
        <w:rPr>
          <w:rFonts w:ascii="Times New Roman" w:cs="Times New Roman" w:eastAsia="Times New Roman" w:hAnsi="Times New Roman"/>
          <w:sz w:val="18"/>
          <w:szCs w:val="18"/>
          <w:color w:val="000000"/>
        </w:rPr>
      </w:pPr>
    </w:p>
    <w:p>
      <w:pPr>
        <w:jc w:val="center"/>
        <w:ind w:right="-7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5" w:name="page26"/>
    <w:bookmarkEnd w:id="25"/>
    <w:p>
      <w:pPr>
        <w:ind w:firstLine="415"/>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Each person, including any beneficial owner, to whom a prospectus is delivered can obtain documents incorporated by reference in this document by requesting them from us in writing or at AC Immune SA, EPFL Innovation Park Building B, 1015 Lausanne, Switzerland or via telephone at +41 21 345 91 21.</w:t>
      </w:r>
    </w:p>
    <w:p>
      <w:pPr>
        <w:spacing w:after="0" w:line="2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$350,000,000</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2540</wp:posOffset>
            </wp:positionV>
            <wp:extent cx="1877060" cy="488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18770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(incorporated in Switzerland)</w:t>
      </w:r>
    </w:p>
    <w:p>
      <w:pPr>
        <w:spacing w:after="0" w:line="23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30.</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 On July 25, 2024, the last sale price of our common shares as reported by the NASDAQ Global Market was $3.91 per common share. As of July 25, 2024, the aggregate market value of our outstanding common shares held by non-affiliates was approximately $210,286,967 based on approximately 99,680,403 shares of outstanding common shares, of which approximately 53,781,833 shares were held by non-affiliates.</w:t>
      </w:r>
    </w:p>
    <w:p>
      <w:pPr>
        <w:spacing w:after="0" w:line="176"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4 of this prospectus and, if applicable, any risk factors described in our U.S. Securities and Exchange Commission filings that are incorporated by reference in this prospectus.</w:t>
      </w:r>
    </w:p>
    <w:p>
      <w:pPr>
        <w:spacing w:after="0" w:line="15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7" w:name="page28"/>
    <w:bookmarkEnd w:id="27"/>
    <w:p>
      <w:pPr>
        <w:ind w:right="10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100" w:type="dxa"/>
            <w:vAlign w:val="bottom"/>
          </w:tcPr>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8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86"/>
        </w:trPr>
        <w:tc>
          <w:tcPr>
            <w:tcW w:w="9100" w:type="dxa"/>
            <w:vAlign w:val="bottom"/>
          </w:tcPr>
          <w:p>
            <w:pPr>
              <w:ind w:left="3960"/>
              <w:spacing w:after="0"/>
              <w:rPr>
                <w:sz w:val="20"/>
                <w:szCs w:val="20"/>
                <w:color w:val="auto"/>
              </w:rPr>
            </w:pPr>
            <w:r>
              <w:rPr>
                <w:rFonts w:ascii="Times New Roman" w:cs="Times New Roman" w:eastAsia="Times New Roman" w:hAnsi="Times New Roman"/>
                <w:sz w:val="22"/>
                <w:szCs w:val="22"/>
                <w:b w:val="1"/>
                <w:bCs w:val="1"/>
                <w:color w:val="auto"/>
              </w:rPr>
              <w:t>_______________________________</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7"/>
        </w:trPr>
        <w:tc>
          <w:tcPr>
            <w:tcW w:w="91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18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AC Immune SA</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 and Articles of Association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Comparison of Swiss Law and Delaware Law</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Purchase Contracts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Subscription Rights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Undertakings</w:t>
            </w:r>
          </w:p>
        </w:tc>
        <w:tc>
          <w:tcPr>
            <w:tcW w:w="1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II-2</w:t>
            </w:r>
          </w:p>
        </w:tc>
      </w:tr>
      <w:tr>
        <w:trPr>
          <w:trHeight w:val="351"/>
        </w:trPr>
        <w:tc>
          <w:tcPr>
            <w:tcW w:w="9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8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5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3" w:lineRule="exact"/>
        <w:rPr>
          <w:sz w:val="20"/>
          <w:szCs w:val="20"/>
          <w:color w:val="auto"/>
        </w:rPr>
      </w:pPr>
    </w:p>
    <w:p>
      <w:pPr>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to commercialize our active immunotherapies (ACI-35.030, ACI-24.060 and ACI-7104.056), monoclonal antibodies (semorinemab and crenezumab) and diagnostics (Tau-PET tracer PI-2620 and a-syn-PET tracer ACI-12589) and to a lesser extent our preclinical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our most recent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development and progression and the urgent need for more tailored therapeutic regimens.</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with one in a Phase 3 and five in Phase 2 clinical trials,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spacing w:after="0" w:line="187" w:lineRule="exact"/>
        <w:rPr>
          <w:sz w:val="20"/>
          <w:szCs w:val="20"/>
          <w:color w:val="auto"/>
        </w:rPr>
      </w:pPr>
    </w:p>
    <w:p>
      <w:pPr>
        <w:ind w:right="280" w:firstLine="324"/>
        <w:spacing w:after="0" w:line="277" w:lineRule="auto"/>
        <w:rPr>
          <w:sz w:val="20"/>
          <w:szCs w:val="20"/>
          <w:color w:val="auto"/>
        </w:rPr>
      </w:pPr>
      <w:r>
        <w:rPr>
          <w:rFonts w:ascii="Times New Roman" w:cs="Times New Roman" w:eastAsia="Times New Roman" w:hAnsi="Times New Roman"/>
          <w:sz w:val="17"/>
          <w:szCs w:val="17"/>
          <w:color w:val="auto"/>
        </w:rPr>
        <w:t>We are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organized under the laws of Switzerland. We were formed as a Swiss limited liability company (</w:t>
      </w:r>
      <w:r>
        <w:rPr>
          <w:rFonts w:ascii="Times New Roman" w:cs="Times New Roman" w:eastAsia="Times New Roman" w:hAnsi="Times New Roman"/>
          <w:sz w:val="17"/>
          <w:szCs w:val="17"/>
          <w:i w:val="1"/>
          <w:iCs w:val="1"/>
          <w:color w:val="auto"/>
        </w:rPr>
        <w:t>société à responsabilité limitée</w:t>
      </w:r>
      <w:r>
        <w:rPr>
          <w:rFonts w:ascii="Times New Roman" w:cs="Times New Roman" w:eastAsia="Times New Roman" w:hAnsi="Times New Roman"/>
          <w:sz w:val="17"/>
          <w:szCs w:val="17"/>
          <w:color w:val="auto"/>
        </w:rPr>
        <w:t>) on February 13, 2003 with our registered office and domicile in Basel, Switzerland. We converted to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7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we currently intend to use the net proceeds from future offerings to strategically invest in research and clinical development of current and/or additional pipeline candidates, our technology platforms, working capital, capital expenditures and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issued share capital is CHF 2,196,858.10, consisting of 109,842,905 common shares of which 10,902,617 are held as treasury shares, leaving 98,940,288 common shares outstanding with a nominal value of CHF 0.02 each. We have no dividend rights certificates (</w:t>
      </w:r>
      <w:r>
        <w:rPr>
          <w:rFonts w:ascii="Times New Roman" w:cs="Times New Roman" w:eastAsia="Times New Roman" w:hAnsi="Times New Roman"/>
          <w:sz w:val="18"/>
          <w:szCs w:val="18"/>
          <w:i w:val="1"/>
          <w:iCs w:val="1"/>
          <w:color w:val="auto"/>
        </w:rPr>
        <w:t>bons de jouissance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June 21, 2024, we adopted amended articles of association and when we refer to our articles of association, we refer to the articles of association as filed as Exhibit 3.1 to this registration statement.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Conditional Share Capital</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Furthermore, under the Swiss Code of Obligations,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 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the exercise of conversion and/or option or warrant rights granted on a standalone basis or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3" w:name="page34"/>
    <w:bookmarkEnd w:id="3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7" w:lineRule="exact"/>
        <w:rPr>
          <w:sz w:val="20"/>
          <w:szCs w:val="20"/>
          <w:color w:val="auto"/>
        </w:rPr>
      </w:pPr>
    </w:p>
    <w:p>
      <w:pPr>
        <w:ind w:right="360" w:firstLine="324"/>
        <w:spacing w:after="0" w:line="267" w:lineRule="auto"/>
        <w:rPr>
          <w:sz w:val="20"/>
          <w:szCs w:val="20"/>
          <w:color w:val="auto"/>
        </w:rPr>
      </w:pPr>
      <w:r>
        <w:rPr>
          <w:rFonts w:ascii="Times New Roman" w:cs="Times New Roman" w:eastAsia="Times New Roman" w:hAnsi="Times New Roman"/>
          <w:sz w:val="18"/>
          <w:szCs w:val="18"/>
          <w:color w:val="auto"/>
        </w:rPr>
        <w:t>Pursuant to the CO, shareholders have in principle pre-emptive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With respect to conditional capital in connection with the issuance of conversion rights, convertible bonds or similar debt instruments, shareholders have in principle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Financing and Other Purposes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Article 3b of our articles of association, our share capital may be increased by a maximum aggregate amount of CHF 100,000 through the issue of a maximum of 5,000,000 common shares, payable in full, each with a nominal value of CHF 0.02, through the optional or mandatory exercise of conversion, exchange, option, warrant or similar rights or obligations for the subscription of shares granted to shareholders or third parties on a standalone basis or in connection with bonds, notes, options, warrants or other securities or contractual obligations of the Company or any subsidiaries of the Company, including convertible debt instruments. Shareholders do not have pre-emptive subscription rights in such circumstances.</w:t>
      </w:r>
    </w:p>
    <w:p>
      <w:pPr>
        <w:spacing w:after="0" w:line="183"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Shareholders’ subscription rights are excluded. Shareholders’ advance subscription rights with regard to the new bonds, warrants or similar instruments may be restricted or excluded by decision of the board of directors in order to finance or re-finance the acquisition of companies, parts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share capital may, to the exclusion of the pre-emptive subscription rights of shareholders, be increased by a maximum aggregate amount of CHF 91,844.20 through the issue of a maximum of 4,592,210 registered shares, payable in full, each with a nominal value of CHF 0.02, in connection with the exercise of option rights granted to employee of the Company or a subsidiary, members of the board of directors or any consultant, or other persons providing services to the Company or a subsidiary. The board of directors specifies the precise conditions of issue including the issue price of the shares.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27"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within the meaning of the FISA). In accordance with Article 973c of the CO, we maintain a non-public register of uncertificated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w:t>
      </w:r>
    </w:p>
    <w:p>
      <w:pPr>
        <w:spacing w:after="0" w:line="225"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and removal of the members of the board of directors, the chairman of the board of directors, the members of the compensation committee, the auditors and the independent proxy;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management report and the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5" w:name="page36"/>
    <w:bookmarkEnd w:id="35"/>
    <w:p>
      <w:pPr>
        <w:ind w:left="660" w:right="1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accounts and resolutions on the allocation of the disposable profits, and in particular setting the dividend and the shares of profit to board members;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total compensation paid to members of the board of directors and executive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interim dividend and approve the interim account required therefor;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repaying the statutory capital reserve;</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 and executive management from liability with respect to their tenure in the previous financial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to delist the equity securities of the company;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passing resolutions concerning all matters which are reserved to the authority of the general meeting of shareholders by law or by the articles of association.</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our articles of association require the board of directors to convene an extraordinary general meeting of shareholders if shareholders representing at least 10% of the share capital request such general meeting of shareholders in writing. The amended Swiss corporation law requires the board of directors of a listed company to convene an extraordinary general meeting of shareholders if shareholders representing at least 5% of the share capital or of the voting rights so request in writing. Our current articles of association do not yet reflect this amendment in law. Such request to convene an extraordinary general meeting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unless the consent of all the shareholders concerned is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shares with privileged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transferability of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conditional share capital or a capital band;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assets and granting of special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withdrawing shareholder’s pre-emptive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6" w:name="page37"/>
    <w:bookmarkEnd w:id="36"/>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casting vote for the person chairing the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provision on holding the general meeting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delisting of the equity securities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an arbitration clause in the articles of association;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alleviating or withdrawing of restrictions upon the transfer of common shares and the removal of the voting cap of 33 1∕3% as contained in article 4 of the articles of association;</w:t>
      </w:r>
    </w:p>
    <w:p>
      <w:pPr>
        <w:spacing w:after="0" w:line="16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 as contained in article 29 of the articles of association;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common shares into bearer shares and vice versa;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eliminating article 17 (</w:t>
      </w:r>
      <w:r>
        <w:rPr>
          <w:rFonts w:ascii="Times New Roman" w:cs="Times New Roman" w:eastAsia="Times New Roman" w:hAnsi="Times New Roman"/>
          <w:sz w:val="18"/>
          <w:szCs w:val="18"/>
          <w:i w:val="1"/>
          <w:iCs w:val="1"/>
          <w:color w:val="auto"/>
        </w:rPr>
        <w:t>resolutions and elections</w:t>
      </w:r>
      <w:r>
        <w:rPr>
          <w:rFonts w:ascii="Times New Roman" w:cs="Times New Roman" w:eastAsia="Times New Roman" w:hAnsi="Times New Roman"/>
          <w:sz w:val="18"/>
          <w:szCs w:val="18"/>
          <w:color w:val="auto"/>
        </w:rPr>
        <w:t>) of the articles of association.</w:t>
      </w:r>
    </w:p>
    <w:p>
      <w:pPr>
        <w:spacing w:after="0" w:line="227"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76"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2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our current articles of association,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7" w:name="page38"/>
    <w:bookmarkEnd w:id="37"/>
    <w:p>
      <w:pPr>
        <w:ind w:left="660" w:right="1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our share register, of the shareholder proposing such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Company which are beneficially owned by such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upon which the shareholder acquired such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support for any claim of beneficial ownership;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such shareholder in such business;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support of the matter and, for proposals sought to be included in the Company’s proxy statement, any other information required by Securities and Exchange Commission Rule 14a-8.</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62"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8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8" w:name="page39"/>
    <w:bookmarkEnd w:id="38"/>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8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An ordinary capital reduction must be completed within six months after the resolution of shareholders, otherwise such resolution becomes invalid.</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Voting rights may be exercised only after a shareholder (or usufructuaries) has been entered in our share register (</w:t>
      </w:r>
      <w:r>
        <w:rPr>
          <w:rFonts w:ascii="Times New Roman" w:cs="Times New Roman" w:eastAsia="Times New Roman" w:hAnsi="Times New Roman"/>
          <w:sz w:val="18"/>
          <w:szCs w:val="18"/>
          <w:i w:val="1"/>
          <w:iCs w:val="1"/>
          <w:color w:val="auto"/>
        </w:rPr>
        <w:t>registre des actions</w:t>
      </w:r>
      <w:r>
        <w:rPr>
          <w:rFonts w:ascii="Times New Roman" w:cs="Times New Roman" w:eastAsia="Times New Roman" w:hAnsi="Times New Roman"/>
          <w:sz w:val="18"/>
          <w:szCs w:val="18"/>
          <w:color w:val="auto"/>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voting caps apply to shareholders acquiring shares for other persons (nominees).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Investigation</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5 percent of the share capital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87"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6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Company’s organization;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supervision of the persons entrusted with managing the Company, in particular with regard to compliance with the law, articles of association, operational regulations and directives;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compilation of the annual report, and the preparation for the general meeting of shareholders and implementing its resolutions;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compensation report and to request approval by the general meeting of shareholders regarding the compensation of the board of directors and the executive committee;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court in the event that the Company is over-indebted.</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assigns the persons with signatory power for the Company and the kind of signatory power.</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Indemnification of Executive Management and Directors</w:t>
      </w:r>
    </w:p>
    <w:p>
      <w:pPr>
        <w:spacing w:after="0" w:line="227"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5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1" w:name="page42"/>
    <w:bookmarkEnd w:id="41"/>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21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7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4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6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meeting of shareholders annually votes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board of directors for the period until the next Ordinary General Meeting;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executive committee for the following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2" w:name="page43"/>
    <w:bookmarkEnd w:id="42"/>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hold 10,902,617 fully paid up common shares of par value CHF 0.02 each, as treasury shares.</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3" w:name="page44"/>
    <w:bookmarkEnd w:id="4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COMPARISON OF SWISS LAW AND DELAWARE LAW</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Times New Roman" w:cs="Times New Roman" w:eastAsia="Times New Roman" w:hAnsi="Times New Roman"/>
          <w:sz w:val="18"/>
          <w:szCs w:val="18"/>
          <w:i w:val="1"/>
          <w:iCs w:val="1"/>
          <w:color w:val="auto"/>
        </w:rPr>
        <w:t>Code des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Suisse</w:t>
      </w:r>
      <w:r>
        <w:rPr>
          <w:rFonts w:ascii="Times New Roman" w:cs="Times New Roman" w:eastAsia="Times New Roman" w:hAnsi="Times New Roman"/>
          <w:sz w:val="18"/>
          <w:szCs w:val="18"/>
          <w:color w:val="auto"/>
        </w:rPr>
        <w:t>) and the Swiss Ordinance against excessive compensation in listed stock corporations applicable to our Company, as implemented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91" w:lineRule="exact"/>
        <w:rPr>
          <w:sz w:val="20"/>
          <w:szCs w:val="20"/>
          <w:color w:val="auto"/>
        </w:rPr>
      </w:pPr>
    </w:p>
    <w:p>
      <w:pPr>
        <w:ind w:left="142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ectPr>
          <w:pgSz w:w="11900" w:h="16838" w:orient="portrait"/>
          <w:cols w:equalWidth="0" w:num="1">
            <w:col w:w="11120"/>
          </w:cols>
          <w:pgMar w:left="320" w:top="792" w:right="459" w:bottom="1440" w:gutter="0" w:footer="0" w:header="0"/>
        </w:sectPr>
      </w:pPr>
    </w:p>
    <w:p>
      <w:pPr>
        <w:spacing w:after="0" w:line="2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Times New Roman" w:cs="Times New Roman" w:eastAsia="Times New Roman" w:hAnsi="Times New Roman"/>
          <w:sz w:val="18"/>
          <w:szCs w:val="18"/>
          <w:i w:val="1"/>
          <w:iCs w:val="1"/>
          <w:color w:val="auto"/>
        </w:rPr>
        <w:t>Loi sur la fusion</w:t>
      </w:r>
      <w:r>
        <w:rPr>
          <w:rFonts w:ascii="Times New Roman" w:cs="Times New Roman" w:eastAsia="Times New Roman" w:hAnsi="Times New Roman"/>
          <w:sz w:val="18"/>
          <w:szCs w:val="18"/>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193" w:lineRule="exact"/>
        <w:rPr>
          <w:sz w:val="20"/>
          <w:szCs w:val="20"/>
          <w:color w:val="auto"/>
        </w:rPr>
      </w:pPr>
    </w:p>
    <w:p>
      <w:pPr>
        <w:sectPr>
          <w:pgSz w:w="11900" w:h="16838" w:orient="portrait"/>
          <w:cols w:equalWidth="0" w:num="2">
            <w:col w:w="5440" w:space="520"/>
            <w:col w:w="5160"/>
          </w:cols>
          <w:pgMar w:left="320" w:top="792"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i w:val="1"/>
          <w:iCs w:val="1"/>
          <w:color w:val="auto"/>
        </w:rPr>
        <w:t>Shareholders’ suits</w:t>
      </w:r>
    </w:p>
    <w:p>
      <w:pPr>
        <w:sectPr>
          <w:pgSz w:w="11900" w:h="16838" w:orient="portrait"/>
          <w:cols w:equalWidth="0" w:num="1">
            <w:col w:w="11120"/>
          </w:cols>
          <w:pgMar w:left="320" w:top="792" w:right="459" w:bottom="1440" w:gutter="0" w:footer="0" w:header="0"/>
          <w:type w:val="continuous"/>
        </w:sectPr>
      </w:pPr>
    </w:p>
    <w:p>
      <w:pPr>
        <w:spacing w:after="0" w:line="2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00" w:right="60"/>
        <w:spacing w:after="0" w:line="254"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ectPr>
          <w:pgSz w:w="11900" w:h="16838" w:orient="portrait"/>
          <w:cols w:equalWidth="0" w:num="2">
            <w:col w:w="5440" w:space="420"/>
            <w:col w:w="5260"/>
          </w:cols>
          <w:pgMar w:left="320" w:top="792" w:right="459" w:bottom="1440" w:gutter="0" w:footer="0" w:header="0"/>
          <w:type w:val="continuous"/>
        </w:sectPr>
      </w:pPr>
    </w:p>
    <w:bookmarkStart w:id="44" w:name="page45"/>
    <w:bookmarkEnd w:id="44"/>
    <w:p>
      <w:pPr>
        <w:ind w:left="1304"/>
        <w:spacing w:after="0"/>
        <w:tabs>
          <w:tab w:leader="none" w:pos="7284"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84" w:right="439" w:bottom="1440" w:gutter="0" w:footer="0" w:header="0"/>
        </w:sectPr>
      </w:pPr>
    </w:p>
    <w:p>
      <w:pPr>
        <w:spacing w:after="0" w:line="24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i w:val="1"/>
          <w:iCs w:val="1"/>
          <w:color w:val="auto"/>
        </w:rPr>
        <w:t>Shareholder vote on board and management compensation</w:t>
      </w:r>
    </w:p>
    <w:p>
      <w:pPr>
        <w:sectPr>
          <w:pgSz w:w="11900" w:h="16838" w:orient="portrait"/>
          <w:cols w:equalWidth="0" w:num="1">
            <w:col w:w="11024"/>
          </w:cols>
          <w:pgMar w:left="436" w:top="684" w:right="439" w:bottom="1440" w:gutter="0" w:footer="0" w:header="0"/>
          <w:type w:val="continuous"/>
        </w:sectPr>
      </w:pPr>
    </w:p>
    <w:p>
      <w:pPr>
        <w:spacing w:after="0" w:line="23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Swiss law, the general meeting of shareholders has the non-transferable right, amongst others, to vote on the aggregate amount of compensation of the members of the board of directors, of the executive committee and of the advisory boards.</w:t>
      </w:r>
    </w:p>
    <w:p>
      <w:pPr>
        <w:spacing w:after="0" w:line="178" w:lineRule="exact"/>
        <w:rPr>
          <w:sz w:val="20"/>
          <w:szCs w:val="20"/>
          <w:color w:val="auto"/>
        </w:rPr>
      </w:pPr>
    </w:p>
    <w:p>
      <w:pPr>
        <w:sectPr>
          <w:pgSz w:w="11900" w:h="16838" w:orient="portrait"/>
          <w:cols w:equalWidth="0" w:num="2">
            <w:col w:w="5244" w:space="620"/>
            <w:col w:w="5160"/>
          </w:cols>
          <w:pgMar w:left="436" w:top="684"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7"/>
          <w:szCs w:val="17"/>
          <w:i w:val="1"/>
          <w:iCs w:val="1"/>
          <w:color w:val="auto"/>
        </w:rPr>
        <w:t>Annual vote on board renewal</w:t>
      </w:r>
    </w:p>
    <w:p>
      <w:pPr>
        <w:sectPr>
          <w:pgSz w:w="11900" w:h="16838" w:orient="portrait"/>
          <w:cols w:equalWidth="0" w:num="1">
            <w:col w:w="11024"/>
          </w:cols>
          <w:pgMar w:left="436" w:top="684" w:right="439" w:bottom="1440" w:gutter="0" w:footer="0" w:header="0"/>
          <w:type w:val="continuous"/>
        </w:sectPr>
      </w:pPr>
    </w:p>
    <w:p>
      <w:pPr>
        <w:spacing w:after="0" w:line="23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p>
      <w:pPr>
        <w:spacing w:after="0" w:line="374" w:lineRule="exact"/>
        <w:rPr>
          <w:sz w:val="20"/>
          <w:szCs w:val="20"/>
          <w:color w:val="auto"/>
        </w:rPr>
      </w:pPr>
    </w:p>
    <w:p>
      <w:pPr>
        <w:sectPr>
          <w:pgSz w:w="11900" w:h="16838" w:orient="portrait"/>
          <w:cols w:equalWidth="0" w:num="2">
            <w:col w:w="5264" w:space="600"/>
            <w:col w:w="5160"/>
          </w:cols>
          <w:pgMar w:left="436" w:top="684" w:right="439" w:bottom="1440" w:gutter="0" w:footer="0" w:header="0"/>
          <w:type w:val="continuous"/>
        </w:sectPr>
      </w:pP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i w:val="1"/>
          <w:iCs w:val="1"/>
          <w:color w:val="auto"/>
        </w:rPr>
        <w:t>Indemnification of directors and executive management and limitation of liability</w:t>
      </w:r>
    </w:p>
    <w:p>
      <w:pPr>
        <w:sectPr>
          <w:pgSz w:w="11900" w:h="16838" w:orient="portrait"/>
          <w:cols w:equalWidth="0" w:num="1">
            <w:col w:w="11024"/>
          </w:cols>
          <w:pgMar w:left="436" w:top="684" w:right="439" w:bottom="1440" w:gutter="0" w:footer="0" w:header="0"/>
          <w:type w:val="continuous"/>
        </w:sectPr>
      </w:pPr>
    </w:p>
    <w:p>
      <w:pPr>
        <w:spacing w:after="0" w:line="23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and officers (but not other controlling persons) of the corporation for monetary damages for breach of a fiduciary duty as a director, except no provision in the certificate of incorporation may eliminate or limit liability of:</w:t>
      </w:r>
    </w:p>
    <w:p>
      <w:pPr>
        <w:spacing w:after="0" w:line="201" w:lineRule="exact"/>
        <w:rPr>
          <w:sz w:val="20"/>
          <w:szCs w:val="20"/>
          <w:color w:val="auto"/>
        </w:rPr>
      </w:pPr>
    </w:p>
    <w:p>
      <w:pPr>
        <w:ind w:left="324" w:right="520"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duty of loyalty to the corporation or its shareholders;</w:t>
      </w:r>
    </w:p>
    <w:p>
      <w:pPr>
        <w:spacing w:after="0" w:line="188" w:lineRule="exact"/>
        <w:rPr>
          <w:rFonts w:ascii="Times New Roman" w:cs="Times New Roman" w:eastAsia="Times New Roman" w:hAnsi="Times New Roman"/>
          <w:sz w:val="18"/>
          <w:szCs w:val="18"/>
          <w:color w:val="auto"/>
        </w:rPr>
      </w:pPr>
    </w:p>
    <w:p>
      <w:pPr>
        <w:ind w:left="324" w:right="160" w:hanging="324"/>
        <w:spacing w:after="0" w:line="312" w:lineRule="auto"/>
        <w:tabs>
          <w:tab w:leader="none" w:pos="3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or officer for acts or omissions not in good faith or which involve intentional misconduct or a knowing violation of law;</w:t>
      </w:r>
    </w:p>
    <w:p>
      <w:pPr>
        <w:spacing w:after="0" w:line="153" w:lineRule="exact"/>
        <w:rPr>
          <w:rFonts w:ascii="Times New Roman" w:cs="Times New Roman" w:eastAsia="Times New Roman" w:hAnsi="Times New Roman"/>
          <w:sz w:val="17"/>
          <w:szCs w:val="17"/>
          <w:color w:val="auto"/>
        </w:rPr>
      </w:pPr>
    </w:p>
    <w:p>
      <w:pPr>
        <w:ind w:left="324" w:right="60"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statutory liability for unlawful payment of dividends or unlawful stock purchase or redemption;</w:t>
      </w:r>
    </w:p>
    <w:p>
      <w:pPr>
        <w:spacing w:after="0" w:line="175" w:lineRule="exact"/>
        <w:rPr>
          <w:rFonts w:ascii="Times New Roman" w:cs="Times New Roman" w:eastAsia="Times New Roman" w:hAnsi="Times New Roman"/>
          <w:sz w:val="18"/>
          <w:szCs w:val="18"/>
          <w:color w:val="auto"/>
        </w:rPr>
      </w:pPr>
    </w:p>
    <w:p>
      <w:pPr>
        <w:ind w:left="324" w:right="280"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or</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right of the corporation.</w:t>
      </w:r>
    </w:p>
    <w:p>
      <w:pPr>
        <w:spacing w:after="0" w:line="225"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434340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9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ectPr>
          <w:pgSz w:w="11900" w:h="16838" w:orient="portrait"/>
          <w:cols w:equalWidth="0" w:num="2">
            <w:col w:w="5344" w:space="520"/>
            <w:col w:w="5160"/>
          </w:cols>
          <w:pgMar w:left="436" w:top="684" w:right="439" w:bottom="1440" w:gutter="0" w:footer="0" w:header="0"/>
          <w:type w:val="continuous"/>
        </w:sectPr>
      </w:pPr>
    </w:p>
    <w:bookmarkStart w:id="45" w:name="page46"/>
    <w:bookmarkEnd w:id="45"/>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83"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Unless ordered by a court, any foregoing indemnification is‎ subject to a determination that the director or officer has‎ met the applicable standard of conduct:‎</w:t>
      </w:r>
    </w:p>
    <w:p>
      <w:pPr>
        <w:spacing w:after="0" w:line="243" w:lineRule="exact"/>
        <w:rPr>
          <w:sz w:val="20"/>
          <w:szCs w:val="20"/>
          <w:color w:val="auto"/>
        </w:rPr>
      </w:pPr>
    </w:p>
    <w:p>
      <w:pPr>
        <w:ind w:left="324" w:right="700" w:hanging="324"/>
        <w:spacing w:after="0" w:line="229" w:lineRule="auto"/>
        <w:tabs>
          <w:tab w:leader="none" w:pos="324" w:val="left"/>
        </w:tabs>
        <w:numPr>
          <w:ilvl w:val="0"/>
          <w:numId w:val="18"/>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by a majority vote of the directors who are not parties‎ to the proceeding, even though less than a quorum;‎‎</w:t>
      </w:r>
    </w:p>
    <w:p>
      <w:pPr>
        <w:spacing w:after="0" w:line="279" w:lineRule="exact"/>
        <w:rPr>
          <w:rFonts w:ascii="Times New Roman" w:cs="Times New Roman" w:eastAsia="Times New Roman" w:hAnsi="Times New Roman"/>
          <w:sz w:val="23"/>
          <w:szCs w:val="23"/>
          <w:color w:val="auto"/>
        </w:rPr>
      </w:pPr>
    </w:p>
    <w:p>
      <w:pPr>
        <w:ind w:left="324" w:right="400" w:hanging="324"/>
        <w:spacing w:after="0" w:line="229" w:lineRule="auto"/>
        <w:tabs>
          <w:tab w:leader="none" w:pos="324" w:val="left"/>
        </w:tabs>
        <w:numPr>
          <w:ilvl w:val="0"/>
          <w:numId w:val="18"/>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by a committee of directors designated by a majority vote‎ of the eligible directors, even though less than a quorum;‎‎</w:t>
      </w:r>
    </w:p>
    <w:p>
      <w:pPr>
        <w:spacing w:after="0" w:line="235" w:lineRule="exact"/>
        <w:rPr>
          <w:rFonts w:ascii="Times New Roman" w:cs="Times New Roman" w:eastAsia="Times New Roman" w:hAnsi="Times New Roman"/>
          <w:sz w:val="23"/>
          <w:szCs w:val="23"/>
          <w:color w:val="auto"/>
        </w:rPr>
      </w:pPr>
    </w:p>
    <w:p>
      <w:pPr>
        <w:ind w:left="324" w:hanging="324"/>
        <w:spacing w:after="0"/>
        <w:tabs>
          <w:tab w:leader="none" w:pos="324" w:val="left"/>
        </w:tabs>
        <w:numPr>
          <w:ilvl w:val="0"/>
          <w:numId w:val="18"/>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by independent legal counsel in a written opinion if there‎ are no</w:t>
      </w:r>
    </w:p>
    <w:p>
      <w:pPr>
        <w:ind w:left="324"/>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eligible directors, or if the eligible directors‎ so direct; or ‎</w:t>
      </w:r>
    </w:p>
    <w:p>
      <w:pPr>
        <w:spacing w:after="0" w:line="244" w:lineRule="exact"/>
        <w:rPr>
          <w:rFonts w:ascii="Times New Roman" w:cs="Times New Roman" w:eastAsia="Times New Roman" w:hAnsi="Times New Roman"/>
          <w:sz w:val="23"/>
          <w:szCs w:val="23"/>
          <w:color w:val="auto"/>
        </w:rPr>
      </w:pPr>
    </w:p>
    <w:p>
      <w:pPr>
        <w:ind w:left="324" w:hanging="324"/>
        <w:spacing w:after="0"/>
        <w:tabs>
          <w:tab w:leader="none" w:pos="324" w:val="left"/>
        </w:tabs>
        <w:numPr>
          <w:ilvl w:val="0"/>
          <w:numId w:val="18"/>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by the shareholders.‎</w:t>
      </w:r>
    </w:p>
    <w:p>
      <w:pPr>
        <w:spacing w:after="0" w:line="198"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17"/>
          <w:szCs w:val="17"/>
          <w:color w:val="auto"/>
        </w:rPr>
        <w:t>Moreover, a Delaware corporation may not indemnify a ‎director or officer in connection with any proceeding in ‎which the director or officer has</w:t>
      </w:r>
    </w:p>
    <w:p>
      <w:pPr>
        <w:spacing w:after="0" w:line="1"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been adjudged to be liable‎ to the corporation unless and only to the extent that ‎the court determines that, despite the adjudication of ‎liability but in view of all the circumstances of the case, ‎the director or officer is fairly</w:t>
      </w:r>
    </w:p>
    <w:p>
      <w:pPr>
        <w:ind w:left="4" w:right="180"/>
        <w:spacing w:after="0" w:line="260" w:lineRule="auto"/>
        <w:rPr>
          <w:sz w:val="20"/>
          <w:szCs w:val="20"/>
          <w:color w:val="auto"/>
        </w:rPr>
      </w:pPr>
      <w:r>
        <w:rPr>
          <w:rFonts w:ascii="Times New Roman" w:cs="Times New Roman" w:eastAsia="Times New Roman" w:hAnsi="Times New Roman"/>
          <w:sz w:val="18"/>
          <w:szCs w:val="18"/>
          <w:color w:val="auto"/>
        </w:rPr>
        <w:t>and reasonably entitled to indemnity‎ for those expenses which the court deems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435610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may cover negligent acts as well.</w:t>
      </w:r>
    </w:p>
    <w:p>
      <w:pPr>
        <w:sectPr>
          <w:pgSz w:w="11900" w:h="16838" w:orient="portrait"/>
          <w:cols w:equalWidth="0" w:num="2">
            <w:col w:w="5344" w:space="520"/>
            <w:col w:w="5020"/>
          </w:cols>
          <w:pgMar w:left="436" w:top="688" w:right="579" w:bottom="1440" w:gutter="0" w:footer="0" w:header="0"/>
        </w:sectPr>
      </w:pPr>
    </w:p>
    <w:bookmarkStart w:id="46" w:name="page47"/>
    <w:bookmarkEnd w:id="46"/>
    <w:p>
      <w:pPr>
        <w:ind w:left="1364"/>
        <w:spacing w:after="0"/>
        <w:tabs>
          <w:tab w:leader="none" w:pos="7324"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88265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ectPr>
          <w:pgSz w:w="11900" w:h="16838" w:orient="portrait"/>
          <w:cols w:equalWidth="0" w:num="1">
            <w:col w:w="10984"/>
          </w:cols>
          <w:pgMar w:left="436" w:top="684" w:right="479" w:bottom="1440" w:gutter="0" w:footer="0" w:header="0"/>
        </w:sectPr>
      </w:pPr>
    </w:p>
    <w:p>
      <w:pPr>
        <w:spacing w:after="0" w:line="227" w:lineRule="exact"/>
        <w:rPr>
          <w:sz w:val="20"/>
          <w:szCs w:val="20"/>
          <w:color w:val="auto"/>
        </w:rPr>
      </w:pPr>
    </w:p>
    <w:p>
      <w:pPr>
        <w:jc w:val="both"/>
        <w:ind w:left="4" w:right="720"/>
        <w:spacing w:after="0" w:line="312" w:lineRule="auto"/>
        <w:rPr>
          <w:sz w:val="20"/>
          <w:szCs w:val="20"/>
          <w:color w:val="auto"/>
        </w:rPr>
      </w:pPr>
      <w:r>
        <w:rPr>
          <w:rFonts w:ascii="Times New Roman" w:cs="Times New Roman" w:eastAsia="Times New Roman" w:hAnsi="Times New Roman"/>
          <w:sz w:val="17"/>
          <w:szCs w:val="17"/>
          <w:color w:val="auto"/>
        </w:rPr>
        <w:t>A director of a Delaware corporation has a fiduciary duty to the corporation and its shareholders. This duty has two components:</w:t>
      </w:r>
    </w:p>
    <w:p>
      <w:pPr>
        <w:spacing w:after="0" w:line="177" w:lineRule="exact"/>
        <w:rPr>
          <w:sz w:val="20"/>
          <w:szCs w:val="20"/>
          <w:color w:val="auto"/>
        </w:rPr>
      </w:pPr>
    </w:p>
    <w:p>
      <w:pPr>
        <w:ind w:left="324" w:hanging="324"/>
        <w:spacing w:after="0"/>
        <w:tabs>
          <w:tab w:leader="none" w:pos="324" w:val="left"/>
        </w:tabs>
        <w:numPr>
          <w:ilvl w:val="0"/>
          <w:numId w:val="19"/>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duty of care; and</w:t>
      </w:r>
    </w:p>
    <w:p>
      <w:pPr>
        <w:spacing w:after="0" w:line="248" w:lineRule="exact"/>
        <w:rPr>
          <w:rFonts w:ascii="Times New Roman" w:cs="Times New Roman" w:eastAsia="Times New Roman" w:hAnsi="Times New Roman"/>
          <w:sz w:val="23"/>
          <w:szCs w:val="23"/>
          <w:color w:val="auto"/>
        </w:rPr>
      </w:pPr>
    </w:p>
    <w:p>
      <w:pPr>
        <w:ind w:left="324" w:hanging="324"/>
        <w:spacing w:after="0"/>
        <w:tabs>
          <w:tab w:leader="none" w:pos="324" w:val="left"/>
        </w:tabs>
        <w:numPr>
          <w:ilvl w:val="0"/>
          <w:numId w:val="19"/>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duty of loyalty.</w:t>
      </w:r>
    </w:p>
    <w:p>
      <w:pPr>
        <w:spacing w:after="0" w:line="225"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5"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251" w:lineRule="exact"/>
        <w:rPr>
          <w:sz w:val="20"/>
          <w:szCs w:val="20"/>
          <w:color w:val="auto"/>
        </w:rPr>
      </w:pPr>
    </w:p>
    <w:p>
      <w:pPr>
        <w:ind w:left="325" w:right="200" w:hanging="325"/>
        <w:spacing w:after="0" w:line="229" w:lineRule="auto"/>
        <w:tabs>
          <w:tab w:leader="none" w:pos="325" w:val="left"/>
        </w:tabs>
        <w:numPr>
          <w:ilvl w:val="0"/>
          <w:numId w:val="20"/>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spacing w:after="0" w:line="249" w:lineRule="exact"/>
        <w:rPr>
          <w:rFonts w:ascii="Times New Roman" w:cs="Times New Roman" w:eastAsia="Times New Roman" w:hAnsi="Times New Roman"/>
          <w:sz w:val="23"/>
          <w:szCs w:val="23"/>
          <w:color w:val="auto"/>
        </w:rPr>
      </w:pPr>
    </w:p>
    <w:p>
      <w:pPr>
        <w:ind w:left="325" w:hanging="325"/>
        <w:spacing w:after="0"/>
        <w:tabs>
          <w:tab w:leader="none" w:pos="325" w:val="left"/>
        </w:tabs>
        <w:numPr>
          <w:ilvl w:val="0"/>
          <w:numId w:val="20"/>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determination of the corporation’s organization;</w:t>
      </w:r>
    </w:p>
    <w:p>
      <w:pPr>
        <w:spacing w:after="0" w:line="265" w:lineRule="exact"/>
        <w:rPr>
          <w:rFonts w:ascii="Times New Roman" w:cs="Times New Roman" w:eastAsia="Times New Roman" w:hAnsi="Times New Roman"/>
          <w:sz w:val="23"/>
          <w:szCs w:val="23"/>
          <w:color w:val="auto"/>
        </w:rPr>
      </w:pPr>
    </w:p>
    <w:p>
      <w:pPr>
        <w:jc w:val="both"/>
        <w:ind w:left="325" w:right="100" w:hanging="325"/>
        <w:spacing w:after="0" w:line="242" w:lineRule="auto"/>
        <w:tabs>
          <w:tab w:leader="none" w:pos="32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7"/>
          <w:szCs w:val="17"/>
          <w:color w:val="auto"/>
        </w:rPr>
        <w:t>the organization of the accounting, financial control and financial planning systems as required for management of the corporation;</w:t>
      </w:r>
    </w:p>
    <w:p>
      <w:pPr>
        <w:spacing w:after="0" w:line="263" w:lineRule="exact"/>
        <w:rPr>
          <w:rFonts w:ascii="Times New Roman" w:cs="Times New Roman" w:eastAsia="Times New Roman" w:hAnsi="Times New Roman"/>
          <w:sz w:val="22"/>
          <w:szCs w:val="22"/>
          <w:color w:val="auto"/>
        </w:rPr>
      </w:pPr>
    </w:p>
    <w:p>
      <w:pPr>
        <w:ind w:left="325" w:hanging="325"/>
        <w:spacing w:after="0" w:line="229" w:lineRule="auto"/>
        <w:tabs>
          <w:tab w:leader="none" w:pos="325" w:val="left"/>
        </w:tabs>
        <w:numPr>
          <w:ilvl w:val="0"/>
          <w:numId w:val="20"/>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appointment and dismissal of persons entrusted with managing and representing the corporation;</w:t>
      </w:r>
    </w:p>
    <w:p>
      <w:pPr>
        <w:spacing w:after="0" w:line="279" w:lineRule="exact"/>
        <w:rPr>
          <w:rFonts w:ascii="Times New Roman" w:cs="Times New Roman" w:eastAsia="Times New Roman" w:hAnsi="Times New Roman"/>
          <w:sz w:val="23"/>
          <w:szCs w:val="23"/>
          <w:color w:val="auto"/>
        </w:rPr>
      </w:pPr>
    </w:p>
    <w:p>
      <w:pPr>
        <w:ind w:left="325" w:right="120" w:hanging="325"/>
        <w:spacing w:after="0" w:line="251" w:lineRule="auto"/>
        <w:tabs>
          <w:tab w:leader="none" w:pos="32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7"/>
          <w:szCs w:val="17"/>
          <w:color w:val="auto"/>
        </w:rPr>
        <w:t>overall supervision of the persons entrusted with managing the corporation, in particular with regard to compliance with the law, articles of association, operational regulations and directives;</w:t>
      </w:r>
    </w:p>
    <w:p>
      <w:pPr>
        <w:spacing w:after="0" w:line="258" w:lineRule="exact"/>
        <w:rPr>
          <w:rFonts w:ascii="Times New Roman" w:cs="Times New Roman" w:eastAsia="Times New Roman" w:hAnsi="Times New Roman"/>
          <w:sz w:val="22"/>
          <w:szCs w:val="22"/>
          <w:color w:val="auto"/>
        </w:rPr>
      </w:pPr>
    </w:p>
    <w:p>
      <w:pPr>
        <w:jc w:val="both"/>
        <w:ind w:left="325" w:right="480" w:hanging="325"/>
        <w:spacing w:after="0" w:line="235" w:lineRule="auto"/>
        <w:tabs>
          <w:tab w:leader="none" w:pos="325" w:val="left"/>
        </w:tabs>
        <w:numPr>
          <w:ilvl w:val="0"/>
          <w:numId w:val="20"/>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compilation of the annual report, preparation for the general meeting, the compensation report and implementation of its resolutions;</w:t>
      </w:r>
    </w:p>
    <w:p>
      <w:pPr>
        <w:spacing w:after="0" w:line="267" w:lineRule="exact"/>
        <w:rPr>
          <w:rFonts w:ascii="Times New Roman" w:cs="Times New Roman" w:eastAsia="Times New Roman" w:hAnsi="Times New Roman"/>
          <w:sz w:val="23"/>
          <w:szCs w:val="23"/>
          <w:color w:val="auto"/>
        </w:rPr>
      </w:pPr>
    </w:p>
    <w:p>
      <w:pPr>
        <w:ind w:left="325" w:hanging="325"/>
        <w:spacing w:after="0" w:line="239" w:lineRule="auto"/>
        <w:tabs>
          <w:tab w:leader="none" w:pos="325" w:val="left"/>
        </w:tabs>
        <w:numPr>
          <w:ilvl w:val="0"/>
          <w:numId w:val="20"/>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preparation of the compensation report and to request approval by the general meeting of shareholders regarding the compensation of the board of directors and the executive committee; and</w:t>
      </w:r>
    </w:p>
    <w:p>
      <w:pPr>
        <w:spacing w:after="0" w:line="279" w:lineRule="exact"/>
        <w:rPr>
          <w:rFonts w:ascii="Times New Roman" w:cs="Times New Roman" w:eastAsia="Times New Roman" w:hAnsi="Times New Roman"/>
          <w:sz w:val="23"/>
          <w:szCs w:val="23"/>
          <w:color w:val="auto"/>
        </w:rPr>
      </w:pPr>
    </w:p>
    <w:p>
      <w:pPr>
        <w:ind w:left="325" w:right="760" w:hanging="325"/>
        <w:spacing w:after="0" w:line="229" w:lineRule="auto"/>
        <w:tabs>
          <w:tab w:leader="none" w:pos="325" w:val="left"/>
        </w:tabs>
        <w:numPr>
          <w:ilvl w:val="0"/>
          <w:numId w:val="20"/>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notification of the court in the event that the company is overindebted.</w:t>
      </w:r>
    </w:p>
    <w:p>
      <w:pPr>
        <w:spacing w:after="0" w:line="198" w:lineRule="exact"/>
        <w:rPr>
          <w:sz w:val="20"/>
          <w:szCs w:val="20"/>
          <w:color w:val="auto"/>
        </w:rPr>
      </w:pPr>
    </w:p>
    <w:p>
      <w:pPr>
        <w:ind w:left="5" w:right="60"/>
        <w:spacing w:after="0" w:line="261" w:lineRule="auto"/>
        <w:rPr>
          <w:sz w:val="20"/>
          <w:szCs w:val="20"/>
          <w:color w:val="auto"/>
        </w:rPr>
      </w:pPr>
      <w:r>
        <w:rPr>
          <w:rFonts w:ascii="Times New Roman" w:cs="Times New Roman" w:eastAsia="Times New Roman" w:hAnsi="Times New Roman"/>
          <w:sz w:val="18"/>
          <w:szCs w:val="18"/>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180" w:lineRule="exact"/>
        <w:rPr>
          <w:sz w:val="20"/>
          <w:szCs w:val="20"/>
          <w:color w:val="auto"/>
        </w:rPr>
      </w:pPr>
    </w:p>
    <w:p>
      <w:pPr>
        <w:ind w:left="5" w:right="40"/>
        <w:spacing w:after="0" w:line="312" w:lineRule="auto"/>
        <w:rPr>
          <w:sz w:val="20"/>
          <w:szCs w:val="20"/>
          <w:color w:val="auto"/>
        </w:rPr>
      </w:pPr>
      <w:r>
        <w:rPr>
          <w:rFonts w:ascii="Times New Roman" w:cs="Times New Roman" w:eastAsia="Times New Roman" w:hAnsi="Times New Roman"/>
          <w:sz w:val="17"/>
          <w:szCs w:val="17"/>
          <w:color w:val="auto"/>
        </w:rPr>
        <w:t>The burden of proof for a violation of these duties is with the corporation or with the shareholder bringing a suit against the director.</w:t>
      </w:r>
    </w:p>
    <w:p>
      <w:pPr>
        <w:spacing w:after="0" w:line="138" w:lineRule="exact"/>
        <w:rPr>
          <w:sz w:val="20"/>
          <w:szCs w:val="20"/>
          <w:color w:val="auto"/>
        </w:rPr>
      </w:pPr>
    </w:p>
    <w:p>
      <w:pPr>
        <w:sectPr>
          <w:pgSz w:w="11900" w:h="16838" w:orient="portrait"/>
          <w:cols w:equalWidth="0" w:num="2">
            <w:col w:w="5364" w:space="495"/>
            <w:col w:w="5125"/>
          </w:cols>
          <w:pgMar w:left="436" w:top="684" w:right="47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7"/>
          <w:szCs w:val="17"/>
          <w:i w:val="1"/>
          <w:iCs w:val="1"/>
          <w:color w:val="auto"/>
        </w:rPr>
        <w:t>Shareholder action by written consent</w:t>
      </w:r>
    </w:p>
    <w:p>
      <w:pPr>
        <w:sectPr>
          <w:pgSz w:w="11900" w:h="16838" w:orient="portrait"/>
          <w:cols w:equalWidth="0" w:num="1">
            <w:col w:w="10984"/>
          </w:cols>
          <w:pgMar w:left="436" w:top="684" w:right="479" w:bottom="1440" w:gutter="0" w:footer="0" w:header="0"/>
          <w:type w:val="continuous"/>
        </w:sectPr>
      </w:pPr>
    </w:p>
    <w:p>
      <w:pPr>
        <w:spacing w:after="0" w:line="23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971550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of a Swiss corporation may exercise their voting rights in a general meeting of shareholders and can only act by written consents if no shareholder requests a general meeting of shareholders to be held. The articles of association must allow for (independent) proxies to be present at a general meeting of shareholders. The instruction of such (independent) proxies may occur in writing or electronically.</w:t>
      </w:r>
    </w:p>
    <w:p>
      <w:pPr>
        <w:sectPr>
          <w:pgSz w:w="11900" w:h="16838" w:orient="portrait"/>
          <w:cols w:equalWidth="0" w:num="2">
            <w:col w:w="5264" w:space="600"/>
            <w:col w:w="5120"/>
          </w:cols>
          <w:pgMar w:left="436" w:top="684" w:right="479" w:bottom="1440" w:gutter="0" w:footer="0" w:header="0"/>
          <w:type w:val="continuous"/>
        </w:sectPr>
      </w:pPr>
    </w:p>
    <w:bookmarkStart w:id="47" w:name="page48"/>
    <w:bookmarkEnd w:id="47"/>
    <w:p>
      <w:pPr>
        <w:ind w:left="136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88265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ectPr>
          <w:pgSz w:w="11900" w:h="16838" w:orient="portrait"/>
          <w:cols w:equalWidth="0" w:num="1">
            <w:col w:w="11000"/>
          </w:cols>
          <w:pgMar w:left="440" w:top="684" w:right="459" w:bottom="1440" w:gutter="0" w:footer="0" w:header="0"/>
        </w:sectPr>
      </w:pP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5" w:right="120"/>
        <w:spacing w:after="0" w:line="258"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251" w:lineRule="exact"/>
        <w:rPr>
          <w:sz w:val="20"/>
          <w:szCs w:val="20"/>
          <w:color w:val="auto"/>
        </w:rPr>
      </w:pPr>
    </w:p>
    <w:p>
      <w:pPr>
        <w:ind w:left="325" w:hanging="325"/>
        <w:spacing w:after="0" w:line="235" w:lineRule="auto"/>
        <w:tabs>
          <w:tab w:leader="none" w:pos="325" w:val="left"/>
        </w:tabs>
        <w:numPr>
          <w:ilvl w:val="0"/>
          <w:numId w:val="21"/>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shareholders together representing at least 10% of the share capital may demand that a general meeting of shareholders be called for specific agenda items and specific proposals; and</w:t>
      </w:r>
    </w:p>
    <w:p>
      <w:pPr>
        <w:spacing w:after="0" w:line="280" w:lineRule="exact"/>
        <w:rPr>
          <w:rFonts w:ascii="Times New Roman" w:cs="Times New Roman" w:eastAsia="Times New Roman" w:hAnsi="Times New Roman"/>
          <w:sz w:val="23"/>
          <w:szCs w:val="23"/>
          <w:color w:val="auto"/>
        </w:rPr>
      </w:pPr>
    </w:p>
    <w:p>
      <w:pPr>
        <w:ind w:left="325" w:right="80" w:hanging="325"/>
        <w:spacing w:after="0" w:line="258" w:lineRule="auto"/>
        <w:tabs>
          <w:tab w:leader="none" w:pos="32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7"/>
          <w:szCs w:val="17"/>
          <w:color w:val="auto"/>
        </w:rPr>
        <w:t>shareholders together representing shares with a nominal value of at least 0.5% of the share capital or the voting rights may demand that an agenda item including a specific proposal be put on the agenda for a regularly scheduled general meeting of shareholders, provided such request is made with appropriate notice.</w:t>
      </w:r>
    </w:p>
    <w:p>
      <w:pPr>
        <w:spacing w:after="0" w:line="210" w:lineRule="exact"/>
        <w:rPr>
          <w:sz w:val="20"/>
          <w:szCs w:val="20"/>
          <w:color w:val="auto"/>
        </w:rPr>
      </w:pPr>
    </w:p>
    <w:p>
      <w:pPr>
        <w:jc w:val="both"/>
        <w:ind w:left="5" w:right="180" w:firstLine="324"/>
        <w:spacing w:after="0" w:line="266"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provided that the election of board members has been included as an agenda item.</w:t>
      </w:r>
    </w:p>
    <w:p>
      <w:pPr>
        <w:spacing w:after="0" w:line="176" w:lineRule="exact"/>
        <w:rPr>
          <w:sz w:val="20"/>
          <w:szCs w:val="20"/>
          <w:color w:val="auto"/>
        </w:rPr>
      </w:pPr>
    </w:p>
    <w:p>
      <w:pPr>
        <w:ind w:left="5"/>
        <w:spacing w:after="0" w:line="254" w:lineRule="auto"/>
        <w:rPr>
          <w:sz w:val="20"/>
          <w:szCs w:val="20"/>
          <w:color w:val="auto"/>
        </w:rPr>
      </w:pPr>
      <w:r>
        <w:rPr>
          <w:rFonts w:ascii="Times New Roman" w:cs="Times New Roman" w:eastAsia="Times New Roman" w:hAnsi="Times New Roman"/>
          <w:sz w:val="18"/>
          <w:szCs w:val="18"/>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 examiner to carry out a special examination.</w:t>
      </w:r>
    </w:p>
    <w:p>
      <w:pPr>
        <w:spacing w:after="0" w:line="200" w:lineRule="exact"/>
        <w:rPr>
          <w:sz w:val="20"/>
          <w:szCs w:val="20"/>
          <w:color w:val="auto"/>
        </w:rPr>
      </w:pPr>
    </w:p>
    <w:p>
      <w:pPr>
        <w:sectPr>
          <w:pgSz w:w="11900" w:h="16838" w:orient="portrait"/>
          <w:cols w:equalWidth="0" w:num="2">
            <w:col w:w="5340" w:space="515"/>
            <w:col w:w="5145"/>
          </w:cols>
          <w:pgMar w:left="440" w:top="684" w:right="459" w:bottom="1440" w:gutter="0" w:footer="0" w:header="0"/>
          <w:type w:val="continuous"/>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Cumulative voting</w:t>
      </w:r>
    </w:p>
    <w:p>
      <w:pPr>
        <w:sectPr>
          <w:pgSz w:w="11900" w:h="16838" w:orient="portrait"/>
          <w:cols w:equalWidth="0" w:num="1">
            <w:col w:w="11000"/>
          </w:cols>
          <w:pgMar w:left="440" w:top="684" w:right="459" w:bottom="1440" w:gutter="0" w:footer="0" w:header="0"/>
          <w:type w:val="continuous"/>
        </w:sect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1666240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aggregate amount of compensation for the members of the board of directors and the executive committee as well as for the members of the advisory board, if applicable, is mandatory for listed companies. Re-election is permitted.</w:t>
      </w:r>
    </w:p>
    <w:p>
      <w:pPr>
        <w:sectPr>
          <w:pgSz w:w="11900" w:h="16838" w:orient="portrait"/>
          <w:cols w:equalWidth="0" w:num="2">
            <w:col w:w="5200" w:space="660"/>
            <w:col w:w="5140"/>
          </w:cols>
          <w:pgMar w:left="440" w:top="684" w:right="459" w:bottom="1440" w:gutter="0" w:footer="0" w:header="0"/>
          <w:type w:val="continuous"/>
        </w:sectPr>
      </w:pPr>
    </w:p>
    <w:bookmarkStart w:id="48" w:name="page49"/>
    <w:bookmarkEnd w:id="48"/>
    <w:p>
      <w:pPr>
        <w:ind w:left="136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88265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ectPr>
          <w:pgSz w:w="11900" w:h="16838" w:orient="portrait"/>
          <w:cols w:equalWidth="0" w:num="1">
            <w:col w:w="11020"/>
          </w:cols>
          <w:pgMar w:left="440" w:top="684" w:right="439" w:bottom="1440" w:gutter="0" w:footer="0" w:header="0"/>
        </w:sect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p>
      <w:pPr>
        <w:spacing w:after="0" w:line="166" w:lineRule="exact"/>
        <w:rPr>
          <w:sz w:val="20"/>
          <w:szCs w:val="20"/>
          <w:color w:val="auto"/>
        </w:rPr>
      </w:pPr>
    </w:p>
    <w:p>
      <w:pPr>
        <w:sectPr>
          <w:pgSz w:w="11900" w:h="16838" w:orient="portrait"/>
          <w:cols w:equalWidth="0" w:num="2">
            <w:col w:w="5280" w:space="580"/>
            <w:col w:w="5160"/>
          </w:cols>
          <w:pgMar w:left="440" w:top="684"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Transactions with interested shareholders</w:t>
      </w:r>
    </w:p>
    <w:p>
      <w:pPr>
        <w:sectPr>
          <w:pgSz w:w="11900" w:h="16838" w:orient="portrait"/>
          <w:cols w:equalWidth="0" w:num="1">
            <w:col w:w="11020"/>
          </w:cols>
          <w:pgMar w:left="440" w:top="684" w:right="439" w:bottom="1440" w:gutter="0" w:footer="0" w:header="0"/>
          <w:type w:val="continuous"/>
        </w:sectPr>
      </w:pPr>
    </w:p>
    <w:p>
      <w:pPr>
        <w:spacing w:after="0" w:line="2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such rule applies to a Swiss corporation.</w:t>
      </w:r>
    </w:p>
    <w:p>
      <w:pPr>
        <w:spacing w:after="0" w:line="1530" w:lineRule="exact"/>
        <w:rPr>
          <w:sz w:val="20"/>
          <w:szCs w:val="20"/>
          <w:color w:val="auto"/>
        </w:rPr>
      </w:pPr>
    </w:p>
    <w:p>
      <w:pPr>
        <w:sectPr>
          <w:pgSz w:w="11900" w:h="16838" w:orient="portrait"/>
          <w:cols w:equalWidth="0" w:num="2">
            <w:col w:w="5160" w:space="700"/>
            <w:col w:w="5160"/>
          </w:cols>
          <w:pgMar w:left="440" w:top="684"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Dissolution; Winding up</w:t>
      </w:r>
    </w:p>
    <w:p>
      <w:pPr>
        <w:sectPr>
          <w:pgSz w:w="11900" w:h="16838" w:orient="portrait"/>
          <w:cols w:equalWidth="0" w:num="1">
            <w:col w:w="11020"/>
          </w:cols>
          <w:pgMar w:left="440" w:top="684" w:right="439" w:bottom="1440" w:gutter="0" w:footer="0" w:header="0"/>
          <w:type w:val="continuous"/>
        </w:sectPr>
      </w:pP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617" w:lineRule="exact"/>
        <w:rPr>
          <w:sz w:val="20"/>
          <w:szCs w:val="20"/>
          <w:color w:val="auto"/>
        </w:rPr>
      </w:pPr>
    </w:p>
    <w:p>
      <w:pPr>
        <w:sectPr>
          <w:pgSz w:w="11900" w:h="16838" w:orient="portrait"/>
          <w:cols w:equalWidth="0" w:num="2">
            <w:col w:w="5340" w:space="520"/>
            <w:col w:w="5160"/>
          </w:cols>
          <w:pgMar w:left="440" w:top="684"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Variation of rights of shares</w:t>
      </w:r>
    </w:p>
    <w:p>
      <w:pPr>
        <w:sectPr>
          <w:pgSz w:w="11900" w:h="16838" w:orient="portrait"/>
          <w:cols w:equalWidth="0" w:num="1">
            <w:col w:w="11020"/>
          </w:cols>
          <w:pgMar w:left="440" w:top="684" w:right="43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1803400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with preferential voting rights are not regarded a special class for these purposes.</w:t>
      </w:r>
    </w:p>
    <w:p>
      <w:pPr>
        <w:sectPr>
          <w:pgSz w:w="11900" w:h="16838" w:orient="portrait"/>
          <w:cols w:equalWidth="0" w:num="2">
            <w:col w:w="5200" w:space="660"/>
            <w:col w:w="5160"/>
          </w:cols>
          <w:pgMar w:left="440" w:top="684" w:right="439" w:bottom="1440" w:gutter="0" w:footer="0" w:header="0"/>
          <w:type w:val="continuous"/>
        </w:sectPr>
      </w:pPr>
    </w:p>
    <w:bookmarkStart w:id="49" w:name="page50"/>
    <w:bookmarkEnd w:id="49"/>
    <w:p>
      <w:pPr>
        <w:ind w:left="1304"/>
        <w:spacing w:after="0"/>
        <w:tabs>
          <w:tab w:leader="none" w:pos="7284"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684" w:right="459" w:bottom="1440" w:gutter="0" w:footer="0" w:header="0"/>
        </w:sect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i w:val="1"/>
          <w:iCs w:val="1"/>
          <w:color w:val="auto"/>
        </w:rPr>
        <w:t>Amendment of governing documents</w:t>
      </w:r>
    </w:p>
    <w:p>
      <w:pPr>
        <w:sectPr>
          <w:pgSz w:w="11900" w:h="16838" w:orient="portrait"/>
          <w:cols w:equalWidth="0" w:num="1">
            <w:col w:w="11004"/>
          </w:cols>
          <w:pgMar w:left="436" w:top="684" w:right="459" w:bottom="1440" w:gutter="0" w:footer="0" w:header="0"/>
          <w:type w:val="continuous"/>
        </w:sectPr>
      </w:pPr>
    </w:p>
    <w:p>
      <w:pPr>
        <w:spacing w:after="0" w:line="23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192" w:lineRule="exact"/>
        <w:rPr>
          <w:sz w:val="20"/>
          <w:szCs w:val="20"/>
          <w:color w:val="auto"/>
        </w:rPr>
      </w:pPr>
    </w:p>
    <w:p>
      <w:pPr>
        <w:sectPr>
          <w:pgSz w:w="11900" w:h="16838" w:orient="portrait"/>
          <w:cols w:equalWidth="0" w:num="2">
            <w:col w:w="5364" w:space="500"/>
            <w:col w:w="5140"/>
          </w:cols>
          <w:pgMar w:left="436" w:top="684"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7"/>
          <w:szCs w:val="17"/>
          <w:i w:val="1"/>
          <w:iCs w:val="1"/>
          <w:color w:val="auto"/>
        </w:rPr>
        <w:t>Inspection of Books and Records</w:t>
      </w:r>
    </w:p>
    <w:p>
      <w:pPr>
        <w:sectPr>
          <w:pgSz w:w="11900" w:h="16838" w:orient="portrait"/>
          <w:cols w:equalWidth="0" w:num="1">
            <w:col w:w="11004"/>
          </w:cols>
          <w:pgMar w:left="436" w:top="684" w:right="459" w:bottom="1440" w:gutter="0" w:footer="0" w:header="0"/>
          <w:type w:val="continuous"/>
        </w:sectPr>
      </w:pPr>
    </w:p>
    <w:p>
      <w:pPr>
        <w:spacing w:after="0" w:line="23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Shareholders of a Swiss corporation holding in the aggregate at least 5% of the nominal share capital or voting rights have the right to inspect ‎books and records, subject to the safeguarding of the company’s business secrets and other interests warranting protection. A shareholder is only entitled to receive information to the extent required to exercise such shareholders’ rights, subject to the interests of the corporation. The board of directors has to decide on an inspection request within four months after receipt of such request. Denial of the request will need to be justified in writing. If the board of directors denies an inspection request, shareholders may request the order of an inspection by the court within thirty days. The right to inspect the share register is limited to the right to inspect that shareholder’s own entry in the share register.</w:t>
      </w:r>
    </w:p>
    <w:p>
      <w:pPr>
        <w:spacing w:after="0" w:line="185" w:lineRule="exact"/>
        <w:rPr>
          <w:sz w:val="20"/>
          <w:szCs w:val="20"/>
          <w:color w:val="auto"/>
        </w:rPr>
      </w:pPr>
    </w:p>
    <w:p>
      <w:pPr>
        <w:sectPr>
          <w:pgSz w:w="11900" w:h="16838" w:orient="portrait"/>
          <w:cols w:equalWidth="0" w:num="2">
            <w:col w:w="5304" w:space="560"/>
            <w:col w:w="5140"/>
          </w:cols>
          <w:pgMar w:left="436" w:top="684"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Payment of dividends</w:t>
      </w:r>
    </w:p>
    <w:p>
      <w:pPr>
        <w:sectPr>
          <w:pgSz w:w="11900" w:h="16838" w:orient="portrait"/>
          <w:cols w:equalWidth="0" w:num="1">
            <w:col w:w="11004"/>
          </w:cols>
          <w:pgMar w:left="436" w:top="684" w:right="459" w:bottom="1440" w:gutter="0" w:footer="0" w:header="0"/>
          <w:type w:val="continuous"/>
        </w:sectPr>
      </w:pP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of directors may approve a dividend without shareholder‎</w:t>
      </w:r>
    </w:p>
    <w:p>
      <w:pPr>
        <w:spacing w:after="0" w:line="27" w:lineRule="exact"/>
        <w:rPr>
          <w:sz w:val="20"/>
          <w:szCs w:val="20"/>
          <w:color w:val="auto"/>
        </w:rPr>
      </w:pPr>
    </w:p>
    <w:p>
      <w:pPr>
        <w:ind w:left="164" w:right="40"/>
        <w:spacing w:after="0" w:line="255" w:lineRule="auto"/>
        <w:rPr>
          <w:sz w:val="20"/>
          <w:szCs w:val="20"/>
          <w:color w:val="auto"/>
        </w:rPr>
      </w:pPr>
      <w:r>
        <w:rPr>
          <w:rFonts w:ascii="Times New Roman" w:cs="Times New Roman" w:eastAsia="Times New Roman" w:hAnsi="Times New Roman"/>
          <w:sz w:val="18"/>
          <w:szCs w:val="18"/>
          <w:color w:val="auto"/>
        </w:rPr>
        <w:t>approval. Subject to any restrictions contained‎ in its certificate of incorporation, the board may‎ declare and pay dividends upon the shares of its ‎capital stock either:‎</w:t>
      </w:r>
    </w:p>
    <w:p>
      <w:pPr>
        <w:spacing w:after="0" w:line="223" w:lineRule="exact"/>
        <w:rPr>
          <w:sz w:val="20"/>
          <w:szCs w:val="20"/>
          <w:color w:val="auto"/>
        </w:rPr>
      </w:pPr>
    </w:p>
    <w:p>
      <w:pPr>
        <w:ind w:left="324" w:hanging="324"/>
        <w:spacing w:after="0"/>
        <w:tabs>
          <w:tab w:leader="none" w:pos="324" w:val="left"/>
        </w:tabs>
        <w:numPr>
          <w:ilvl w:val="0"/>
          <w:numId w:val="22"/>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out of its surplus, or</w:t>
      </w:r>
    </w:p>
    <w:p>
      <w:pPr>
        <w:spacing w:after="0" w:line="278" w:lineRule="exact"/>
        <w:rPr>
          <w:rFonts w:ascii="Times New Roman" w:cs="Times New Roman" w:eastAsia="Times New Roman" w:hAnsi="Times New Roman"/>
          <w:sz w:val="23"/>
          <w:szCs w:val="23"/>
          <w:color w:val="auto"/>
        </w:rPr>
      </w:pPr>
    </w:p>
    <w:p>
      <w:pPr>
        <w:ind w:left="324" w:hanging="324"/>
        <w:spacing w:after="0" w:line="242" w:lineRule="auto"/>
        <w:tabs>
          <w:tab w:leader="none" w:pos="32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7"/>
          <w:szCs w:val="17"/>
          <w:color w:val="auto"/>
        </w:rPr>
        <w:t>in case there is no such surplus, out of its net profits for the fiscal year in which the dividend is declared and/or the preceding fiscal year.</w:t>
      </w:r>
    </w:p>
    <w:p>
      <w:pPr>
        <w:spacing w:after="0" w:line="196"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474980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Dividend payments are subject to the approval of the general meeting of shareholders. The board of directors may propose to shareholders that a dividend shall be paid but cannot itself authorize the distribution.</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Payments out of the Company’s share capital (in other words, the aggregate nominal value of the Company’s registered share capital) in the form of dividends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ectPr>
          <w:pgSz w:w="11900" w:h="16838" w:orient="portrait"/>
          <w:cols w:equalWidth="0" w:num="2">
            <w:col w:w="5364" w:space="500"/>
            <w:col w:w="5140"/>
          </w:cols>
          <w:pgMar w:left="436" w:top="684" w:right="459" w:bottom="1440" w:gutter="0" w:footer="0" w:header="0"/>
          <w:type w:val="continuous"/>
        </w:sectPr>
      </w:pPr>
    </w:p>
    <w:bookmarkStart w:id="50" w:name="page51"/>
    <w:bookmarkEnd w:id="50"/>
    <w:p>
      <w:pPr>
        <w:ind w:left="130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684" w:right="499"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Creation and issuance of new shares</w:t>
      </w:r>
    </w:p>
    <w:p>
      <w:pPr>
        <w:sectPr>
          <w:pgSz w:w="11900" w:h="16838" w:orient="portrait"/>
          <w:cols w:equalWidth="0" w:num="1">
            <w:col w:w="10960"/>
          </w:cols>
          <w:pgMar w:left="440" w:top="684" w:right="499" w:bottom="1440" w:gutter="0" w:footer="0" w:header="0"/>
          <w:type w:val="continuous"/>
        </w:sectPr>
      </w:pPr>
    </w:p>
    <w:p>
      <w:pPr>
        <w:spacing w:after="0" w:line="23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1226185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creation of shares require a shareholders’ resolution. The creation of capital band or conditional capital requires at least two-thirds of the voting rights represented at the general meeting of shareholders and an absolute majority of the nominal value of shares represented. The board of directors ‎may issue or cancel shares out of the capital band ‎during a period of up to five years by a maximum amount of 50% of the current share capital. Conditional shares are created and issued through the exercise of options and conversion rights related to debt instruments issued by the board of directors or such rights issued to employees.</w:t>
      </w:r>
    </w:p>
    <w:p>
      <w:pPr>
        <w:sectPr>
          <w:pgSz w:w="11900" w:h="16838" w:orient="portrait"/>
          <w:cols w:equalWidth="0" w:num="2">
            <w:col w:w="5220" w:space="640"/>
            <w:col w:w="5100"/>
          </w:cols>
          <w:pgMar w:left="440" w:top="684" w:right="499" w:bottom="1440" w:gutter="0" w:footer="0" w:header="0"/>
          <w:type w:val="continuous"/>
        </w:sectPr>
      </w:pPr>
    </w:p>
    <w:bookmarkStart w:id="51" w:name="page52"/>
    <w:bookmarkEnd w:id="5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52" w:name="page53"/>
    <w:bookmarkEnd w:id="5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76" w:right="539" w:bottom="1440" w:gutter="0" w:footer="0" w:header="0"/>
        </w:sectPr>
      </w:pPr>
    </w:p>
    <w:bookmarkStart w:id="53" w:name="page54"/>
    <w:bookmarkEnd w:id="53"/>
    <w:p>
      <w:pPr>
        <w:ind w:left="374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purchase contracts for the purchase or sale of equity securities issued by us.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54" w:name="page55"/>
    <w:bookmarkEnd w:id="5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common shares, debt securities, warrants or any combination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576" w:right="5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specific terms of any offering of subscription rights for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common shares or warrants for those securities will be offered under the shareholder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security upon the exercise of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the unsubscribed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Standby Arrangements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340" w:right="2340" w:firstLine="316"/>
        <w:spacing w:after="0" w:line="500" w:lineRule="auto"/>
        <w:tabs>
          <w:tab w:leader="none" w:pos="9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 The prospectus supplement will state the terms of the offering of the securities, including:</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If underwriters are used in in the sale, the securities will be acquired by the underwriters for their own account and may be resold from time to time in one or more transactions, including:</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2023 Annual Report on </w:t>
      </w:r>
      <w:hyperlink r:id="rId88">
        <w:r>
          <w:rPr>
            <w:rFonts w:ascii="Times New Roman" w:cs="Times New Roman" w:eastAsia="Times New Roman" w:hAnsi="Times New Roman"/>
            <w:sz w:val="18"/>
            <w:szCs w:val="18"/>
            <w:u w:val="single" w:color="auto"/>
            <w:color w:val="0000FF"/>
          </w:rPr>
          <w:t>Form 20-F for the fiscal year ended December 31,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60" w:val="left"/>
        </w:tabs>
        <w:numPr>
          <w:ilvl w:val="0"/>
          <w:numId w:val="26"/>
        </w:numPr>
        <w:rPr>
          <w:rFonts w:ascii="Times New Roman" w:cs="Times New Roman" w:eastAsia="Times New Roman" w:hAnsi="Times New Roman"/>
          <w:sz w:val="17"/>
          <w:szCs w:val="17"/>
          <w:color w:val="000000"/>
        </w:rPr>
      </w:pPr>
      <w:hyperlink r:id="rId39">
        <w:r>
          <w:rPr>
            <w:rFonts w:ascii="Times New Roman" w:cs="Times New Roman" w:eastAsia="Times New Roman" w:hAnsi="Times New Roman"/>
            <w:sz w:val="17"/>
            <w:szCs w:val="17"/>
            <w:color w:val="auto"/>
          </w:rPr>
          <w:t xml:space="preserve">Our reports on Form 6-K furnished to the SEC on </w:t>
        </w:r>
        <w:r>
          <w:rPr>
            <w:rFonts w:ascii="Times New Roman" w:cs="Times New Roman" w:eastAsia="Times New Roman" w:hAnsi="Times New Roman"/>
            <w:sz w:val="17"/>
            <w:szCs w:val="17"/>
            <w:u w:val="single" w:color="auto"/>
            <w:color w:val="0000FF"/>
          </w:rPr>
          <w:t>January 3,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January 22, 2024</w:t>
        </w:r>
        <w:r>
          <w:rPr>
            <w:rFonts w:ascii="Times New Roman" w:cs="Times New Roman" w:eastAsia="Times New Roman" w:hAnsi="Times New Roman"/>
            <w:sz w:val="17"/>
            <w:szCs w:val="17"/>
            <w:color w:val="auto"/>
          </w:rPr>
          <w:t xml:space="preserve"> (other than Exhibit 99.1 filed as an exhibit thereto), </w:t>
        </w:r>
        <w:r>
          <w:rPr>
            <w:rFonts w:ascii="Times New Roman" w:cs="Times New Roman" w:eastAsia="Times New Roman" w:hAnsi="Times New Roman"/>
            <w:sz w:val="17"/>
            <w:szCs w:val="17"/>
            <w:u w:val="single" w:color="auto"/>
            <w:color w:val="0000FF"/>
          </w:rPr>
          <w:t>March</w:t>
        </w:r>
      </w:hyperlink>
      <w:r>
        <w:rPr>
          <w:rFonts w:ascii="Times New Roman" w:cs="Times New Roman" w:eastAsia="Times New Roman" w:hAnsi="Times New Roman"/>
          <w:sz w:val="17"/>
          <w:szCs w:val="17"/>
          <w:color w:val="auto"/>
        </w:rPr>
        <w:t xml:space="preserve"> </w:t>
      </w:r>
      <w:hyperlink r:id="rId39">
        <w:r>
          <w:rPr>
            <w:rFonts w:ascii="Times New Roman" w:cs="Times New Roman" w:eastAsia="Times New Roman" w:hAnsi="Times New Roman"/>
            <w:sz w:val="17"/>
            <w:szCs w:val="17"/>
            <w:u w:val="single" w:color="auto"/>
            <w:color w:val="0000FF"/>
          </w:rPr>
          <w:t>14, 2024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(only with respect to “Item 2.C – 2023 and 2022 Board Compensation” and “Item 3.C – 2023 and 2022 Executive Compensation” of</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Exhibit 99.2), </w:t>
      </w:r>
      <w:hyperlink r:id="rId89">
        <w:r>
          <w:rPr>
            <w:rFonts w:ascii="Times New Roman" w:cs="Times New Roman" w:eastAsia="Times New Roman" w:hAnsi="Times New Roman"/>
            <w:sz w:val="17"/>
            <w:szCs w:val="17"/>
            <w:u w:val="single" w:color="auto"/>
            <w:color w:val="0000FF"/>
          </w:rPr>
          <w:t>May 13,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(Film No. 24936707) (other than Exhibit 99.1 filed as an exhibit thereto), </w:t>
      </w:r>
      <w:hyperlink r:id="rId40">
        <w:r>
          <w:rPr>
            <w:rFonts w:ascii="Times New Roman" w:cs="Times New Roman" w:eastAsia="Times New Roman" w:hAnsi="Times New Roman"/>
            <w:sz w:val="17"/>
            <w:szCs w:val="17"/>
            <w:u w:val="single" w:color="auto"/>
            <w:color w:val="0000FF"/>
          </w:rPr>
          <w:t>May 13,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(Film No. 24936766) (other than Exhibit 99.3 filed as an exhibit thereto), </w:t>
      </w:r>
      <w:hyperlink r:id="rId41">
        <w:r>
          <w:rPr>
            <w:rFonts w:ascii="Times New Roman" w:cs="Times New Roman" w:eastAsia="Times New Roman" w:hAnsi="Times New Roman"/>
            <w:sz w:val="17"/>
            <w:szCs w:val="17"/>
            <w:u w:val="single" w:color="auto"/>
            <w:color w:val="0000FF"/>
          </w:rPr>
          <w:t>May 21, 2024</w:t>
        </w:r>
      </w:hyperlink>
      <w:r>
        <w:rPr>
          <w:rFonts w:ascii="Times New Roman" w:cs="Times New Roman" w:eastAsia="Times New Roman" w:hAnsi="Times New Roman"/>
          <w:sz w:val="17"/>
          <w:szCs w:val="17"/>
          <w:color w:val="000000"/>
        </w:rPr>
        <w:t xml:space="preserve">, </w:t>
      </w:r>
      <w:hyperlink r:id="rId42">
        <w:r>
          <w:rPr>
            <w:rFonts w:ascii="Times New Roman" w:cs="Times New Roman" w:eastAsia="Times New Roman" w:hAnsi="Times New Roman"/>
            <w:sz w:val="17"/>
            <w:szCs w:val="17"/>
            <w:u w:val="single" w:color="auto"/>
            <w:color w:val="0000FF"/>
          </w:rPr>
          <w:t>June 20,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and </w:t>
      </w:r>
      <w:hyperlink r:id="rId43">
        <w:r>
          <w:rPr>
            <w:rFonts w:ascii="Times New Roman" w:cs="Times New Roman" w:eastAsia="Times New Roman" w:hAnsi="Times New Roman"/>
            <w:sz w:val="17"/>
            <w:szCs w:val="17"/>
            <w:u w:val="single" w:color="auto"/>
            <w:color w:val="0000FF"/>
          </w:rPr>
          <w:t>July 25,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(other than Exhibit 99.1 filed as an exhibit thereto).</w:t>
      </w:r>
    </w:p>
    <w:p>
      <w:pPr>
        <w:spacing w:after="0" w:line="164" w:lineRule="exact"/>
        <w:rPr>
          <w:rFonts w:ascii="Times New Roman" w:cs="Times New Roman" w:eastAsia="Times New Roman" w:hAnsi="Times New Roman"/>
          <w:sz w:val="17"/>
          <w:szCs w:val="17"/>
          <w:color w:val="000000"/>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0" w:lineRule="exact"/>
        <w:rPr>
          <w:rFonts w:ascii="Times New Roman" w:cs="Times New Roman" w:eastAsia="Times New Roman" w:hAnsi="Times New Roman"/>
          <w:sz w:val="17"/>
          <w:szCs w:val="17"/>
          <w:color w:val="000000"/>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76" w:lineRule="exact"/>
        <w:rPr>
          <w:rFonts w:ascii="Times New Roman" w:cs="Times New Roman" w:eastAsia="Times New Roman" w:hAnsi="Times New Roman"/>
          <w:sz w:val="17"/>
          <w:szCs w:val="17"/>
          <w:color w:val="000000"/>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rFonts w:ascii="Times New Roman" w:cs="Times New Roman" w:eastAsia="Times New Roman" w:hAnsi="Times New Roman"/>
          <w:sz w:val="17"/>
          <w:szCs w:val="17"/>
          <w:color w:val="000000"/>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72" w:lineRule="exact"/>
        <w:rPr>
          <w:rFonts w:ascii="Times New Roman" w:cs="Times New Roman" w:eastAsia="Times New Roman" w:hAnsi="Times New Roman"/>
          <w:sz w:val="17"/>
          <w:szCs w:val="17"/>
          <w:color w:val="000000"/>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990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 Be Paid</w:t>
            </w:r>
          </w:p>
        </w:tc>
      </w:tr>
      <w:tr>
        <w:trPr>
          <w:trHeight w:val="209"/>
        </w:trPr>
        <w:tc>
          <w:tcPr>
            <w:tcW w:w="99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51,660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w:t>
            </w: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8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576"/>
        </w:trPr>
        <w:tc>
          <w:tcPr>
            <w:tcW w:w="9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860" w:type="dxa"/>
            <w:vAlign w:val="bottom"/>
            <w:shd w:val="clear" w:color="auto" w:fill="D5EAEA"/>
          </w:tcPr>
          <w:p>
            <w:pPr>
              <w:spacing w:after="0"/>
              <w:rPr>
                <w:sz w:val="18"/>
                <w:szCs w:val="18"/>
                <w:color w:val="auto"/>
              </w:rPr>
            </w:pPr>
          </w:p>
        </w:tc>
        <w:tc>
          <w:tcPr>
            <w:tcW w:w="620" w:type="dxa"/>
            <w:vAlign w:val="bottom"/>
            <w:shd w:val="clear" w:color="auto" w:fill="D5EAEA"/>
          </w:tcPr>
          <w:p>
            <w:pPr>
              <w:spacing w:after="0"/>
              <w:rPr>
                <w:sz w:val="18"/>
                <w:szCs w:val="18"/>
                <w:color w:val="auto"/>
              </w:rPr>
            </w:pPr>
          </w:p>
        </w:tc>
        <w:tc>
          <w:tcPr>
            <w:tcW w:w="7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860" w:type="dxa"/>
            <w:vAlign w:val="bottom"/>
            <w:tcBorders>
              <w:bottom w:val="single" w:sz="8" w:color="D5EAEA"/>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Borders>
              <w:bottom w:val="single" w:sz="8" w:color="D5EAEA"/>
            </w:tcBorders>
            <w:shd w:val="clear" w:color="auto" w:fill="D5EAEA"/>
          </w:tcPr>
          <w:p>
            <w:pPr>
              <w:spacing w:after="0"/>
              <w:rPr>
                <w:sz w:val="18"/>
                <w:szCs w:val="18"/>
                <w:color w:val="auto"/>
              </w:rPr>
            </w:pPr>
          </w:p>
        </w:tc>
        <w:tc>
          <w:tcPr>
            <w:tcW w:w="620" w:type="dxa"/>
            <w:vAlign w:val="bottom"/>
            <w:tcBorders>
              <w:bottom w:val="single" w:sz="8" w:color="auto"/>
            </w:tcBorders>
            <w:shd w:val="clear" w:color="auto" w:fill="D5EAEA"/>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940" w:firstLine="8"/>
        <w:spacing w:after="0" w:line="282"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 prospectus supplement or as an exhibit to a Report on Form 6-K that is incorporated by reference into this prospectus. ** Includes the $43,061.67 previously paid in connection with unsold securities pursuant to Rule 415(a)(6).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our common shares and certain other matters of Swiss law will be passed upon for us by Bär &amp; Karrer Ltd., Zurich,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matters of U.S. federal and New York State law will be passed upon for us by Davis Polk &amp; Wardwell LLP, New York, New York.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20-F for the year ended December 31, 2023 have been so incorporated in reliance on the report of PricewaterhouseCoopers SA, an independent registered accounting firm given the authority of said firm as experts in auditing and accounting. PricewaterhouseCoopers SA is a member of EXPERTsuisse — Swiss Expert Association for Audit, Tax and Fiduciary.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380365</wp:posOffset>
            </wp:positionV>
            <wp:extent cx="2125980" cy="668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21259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$80,000,000</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Jefferies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jpe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jpeg"/><Relationship Id="rId92" Type="http://schemas.openxmlformats.org/officeDocument/2006/relationships/image" Target="media/image71.png"/><Relationship Id="rId36" Type="http://schemas.openxmlformats.org/officeDocument/2006/relationships/hyperlink" Target="https://www.sec.gov/ix?doc=/Archives/edgar/data/0001651625/000155837024003164/aciu-20231231x20f.htm" TargetMode="External"/><Relationship Id="rId37" Type="http://schemas.openxmlformats.org/officeDocument/2006/relationships/hyperlink" Target="https://www.sec.gov/Archives/edgar/data/1651625/000095010324000177/dp204778_6k.htm" TargetMode="External"/><Relationship Id="rId38" Type="http://schemas.openxmlformats.org/officeDocument/2006/relationships/hyperlink" Target="https://www.sec.gov/Archives/edgar/data/1651625/000095010324000942/dp205552_6k.htm" TargetMode="External"/><Relationship Id="rId39" Type="http://schemas.openxmlformats.org/officeDocument/2006/relationships/hyperlink" Target="https://www.sec.gov/Archives/edgar/data/1651625/000110465924034238/tm2328688d2_6k.htm" TargetMode="External"/><Relationship Id="rId40" Type="http://schemas.openxmlformats.org/officeDocument/2006/relationships/hyperlink" Target="https://www.sec.gov/Archives/edgar/data/1651625/000155837024007857/aciu-20240513x6k.htm" TargetMode="External"/><Relationship Id="rId41" Type="http://schemas.openxmlformats.org/officeDocument/2006/relationships/hyperlink" Target="https://www.sec.gov/Archives/edgar/data/1651625/000095010324006931/dp211395_6k.htm" TargetMode="External"/><Relationship Id="rId42" Type="http://schemas.openxmlformats.org/officeDocument/2006/relationships/hyperlink" Target="https://www.sec.gov/Archives/edgar/data/1651625/000095010324008566/dp213075_6k.htm" TargetMode="External"/><Relationship Id="rId43" Type="http://schemas.openxmlformats.org/officeDocument/2006/relationships/hyperlink" Target="https://www.sec.gov/Archives/edgar/data/1651625/000095010324010718/dp215229_6k.htm" TargetMode="External"/><Relationship Id="rId44" Type="http://schemas.openxmlformats.org/officeDocument/2006/relationships/hyperlink" Target="https://www.sec.gov/Archives/edgar/data/1651625/000095010324011251/dp215741_6k.htm" TargetMode="External"/><Relationship Id="rId45" Type="http://schemas.openxmlformats.org/officeDocument/2006/relationships/hyperlink" Target="https://www.sec.gov/Archives/edgar/data/1651625/000155837024010944/aciu-20240630x6k.htm" TargetMode="External"/><Relationship Id="rId46" Type="http://schemas.openxmlformats.org/officeDocument/2006/relationships/hyperlink" Target="https://www.sec.gov/Archives/edgar/data/1651625/000095010324011753/dp216020_6k.htm" TargetMode="External"/><Relationship Id="rId47" Type="http://schemas.openxmlformats.org/officeDocument/2006/relationships/hyperlink" Target="https://www.sec.gov/Archives/edgar/data/1651625/000119312516717617/d252179d8a12b.htm" TargetMode="External"/><Relationship Id="rId88" Type="http://schemas.openxmlformats.org/officeDocument/2006/relationships/hyperlink" Target="https://www.sec.gov/Archives/edgar/data/1651625/000155837024003164/aciu-20231231x20f.htm" TargetMode="External"/><Relationship Id="rId89" Type="http://schemas.openxmlformats.org/officeDocument/2006/relationships/hyperlink" Target="https://www.sec.gov/Archives/edgar/data/1651625/000095010324006573/dp211110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2024-08-06T16:25:20Z</dcterms:created>
  <dcterms:modified xsi:type="dcterms:W3CDTF">2024-08-06T16:25:20Z</dcterms:modified>
</cp:coreProperties>
</file>