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509270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29"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October, 2022</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AC IMMUNE SA</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3" w:lineRule="exact"/>
        <w:rPr>
          <w:sz w:val="24"/>
          <w:szCs w:val="24"/>
          <w:color w:val="auto"/>
        </w:rPr>
      </w:pPr>
    </w:p>
    <w:p>
      <w:pPr>
        <w:jc w:val="center"/>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96" w:lineRule="exact"/>
        <w:rPr>
          <w:sz w:val="24"/>
          <w:szCs w:val="24"/>
          <w:color w:val="auto"/>
        </w:rPr>
      </w:pPr>
    </w:p>
    <w:p>
      <w:pPr>
        <w:jc w:val="center"/>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83" w:lineRule="exact"/>
        <w:rPr>
          <w:sz w:val="24"/>
          <w:szCs w:val="24"/>
          <w:color w:val="auto"/>
        </w:rPr>
      </w:pPr>
    </w:p>
    <w:p>
      <w:pPr>
        <w:jc w:val="center"/>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-146050</wp:posOffset>
            </wp:positionH>
            <wp:positionV relativeFrom="paragraph">
              <wp:posOffset>601345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172720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224155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440"/>
          </w:cols>
          <w:pgMar w:left="1220" w:top="980" w:right="1239" w:bottom="1440" w:gutter="0" w:footer="0" w:header="0"/>
        </w:sectPr>
      </w:pPr>
    </w:p>
    <w:bookmarkStart w:id="1" w:name="page2"/>
    <w:bookmarkEnd w:id="1"/>
    <w:p>
      <w:pPr>
        <w:ind w:firstLine="324"/>
        <w:spacing w:after="0" w:line="282" w:lineRule="auto"/>
        <w:rPr>
          <w:sz w:val="20"/>
          <w:szCs w:val="20"/>
          <w:color w:val="auto"/>
        </w:rPr>
      </w:pPr>
      <w:r>
        <w:rPr>
          <w:rFonts w:ascii="Times New Roman" w:cs="Times New Roman" w:eastAsia="Times New Roman" w:hAnsi="Times New Roman"/>
          <w:sz w:val="18"/>
          <w:szCs w:val="18"/>
          <w:color w:val="auto"/>
        </w:rPr>
        <w:t>This Report on Form 6-K (excluding Exhibit 99.3 herewith) is incorporated by reference into the Registrant’s registration statement on Form F-3 (File Nos. 333-227016, 333-249655 and 333-255576) and Form S-8 (File No. 333-233019).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817245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Finance and interim Chief Financial</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340"/>
        <w:spacing w:after="0"/>
        <w:tabs>
          <w:tab w:leader="none" w:pos="920" w:val="left"/>
        </w:tabs>
        <w:rPr>
          <w:sz w:val="20"/>
          <w:szCs w:val="20"/>
          <w:color w:val="auto"/>
        </w:rPr>
      </w:pPr>
      <w:r>
        <w:rPr>
          <w:rFonts w:ascii="Times New Roman" w:cs="Times New Roman" w:eastAsia="Times New Roman" w:hAnsi="Times New Roman"/>
          <w:sz w:val="18"/>
          <w:szCs w:val="18"/>
          <w:color w:val="auto"/>
        </w:rPr>
        <w:t>Date:</w:t>
        <w:tab/>
        <w:t>October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7"/>
        </w:trPr>
        <w:tc>
          <w:tcPr>
            <w:tcW w:w="20" w:type="dxa"/>
            <w:vAlign w:val="bottom"/>
          </w:tcPr>
          <w:p>
            <w:pPr>
              <w:spacing w:after="0"/>
              <w:rPr>
                <w:sz w:val="24"/>
                <w:szCs w:val="24"/>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7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28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6"/>
        </w:trPr>
        <w:tc>
          <w:tcPr>
            <w:tcW w:w="20" w:type="dxa"/>
            <w:vAlign w:val="bottom"/>
          </w:tcPr>
          <w:p>
            <w:pPr>
              <w:spacing w:after="0"/>
              <w:rPr>
                <w:sz w:val="15"/>
                <w:szCs w:val="15"/>
                <w:color w:val="auto"/>
              </w:rPr>
            </w:pPr>
          </w:p>
        </w:tc>
        <w:tc>
          <w:tcPr>
            <w:tcW w:w="700" w:type="dxa"/>
            <w:vAlign w:val="bottom"/>
          </w:tcPr>
          <w:p>
            <w:pPr>
              <w:jc w:val="right"/>
              <w:ind w:right="322"/>
              <w:spacing w:after="0" w:line="176" w:lineRule="exact"/>
              <w:rPr>
                <w:sz w:val="20"/>
                <w:szCs w:val="20"/>
                <w:color w:val="auto"/>
              </w:rPr>
            </w:pPr>
            <w:r>
              <w:rPr>
                <w:rFonts w:ascii="Times New Roman" w:cs="Times New Roman" w:eastAsia="Times New Roman" w:hAnsi="Times New Roman"/>
                <w:sz w:val="18"/>
                <w:szCs w:val="18"/>
                <w:color w:val="auto"/>
                <w:w w:val="88"/>
              </w:rPr>
              <w:t>99.1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Financial Statements (Unaudited) (IFRS) as of and for the three and nine months ended</w:t>
            </w: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9"/>
              </w:rPr>
              <w:t>September 30, 2022</w:t>
            </w:r>
          </w:p>
        </w:tc>
        <w:tc>
          <w:tcPr>
            <w:tcW w:w="7260" w:type="dxa"/>
            <w:vAlign w:val="bottom"/>
            <w:tcBorders>
              <w:top w:val="single" w:sz="8" w:color="0000EE"/>
            </w:tcBorders>
            <w:gridSpan w:val="3"/>
          </w:tcPr>
          <w:p>
            <w:pPr>
              <w:spacing w:after="0"/>
              <w:rPr>
                <w:sz w:val="15"/>
                <w:szCs w:val="15"/>
                <w:color w:val="auto"/>
              </w:rPr>
            </w:pPr>
          </w:p>
        </w:tc>
        <w:tc>
          <w:tcPr>
            <w:tcW w:w="280" w:type="dxa"/>
            <w:vAlign w:val="bottom"/>
          </w:tcPr>
          <w:p>
            <w:pPr>
              <w:spacing w:after="0"/>
              <w:rPr>
                <w:sz w:val="15"/>
                <w:szCs w:val="15"/>
                <w:color w:val="auto"/>
              </w:rPr>
            </w:pPr>
          </w:p>
        </w:tc>
      </w:tr>
      <w:tr>
        <w:trPr>
          <w:trHeight w:val="209"/>
        </w:trPr>
        <w:tc>
          <w:tcPr>
            <w:tcW w:w="720" w:type="dxa"/>
            <w:vAlign w:val="bottom"/>
            <w:gridSpan w:val="2"/>
          </w:tcPr>
          <w:p>
            <w:pPr>
              <w:jc w:val="right"/>
              <w:ind w:right="322"/>
              <w:spacing w:after="0"/>
              <w:rPr>
                <w:sz w:val="20"/>
                <w:szCs w:val="20"/>
                <w:color w:val="auto"/>
              </w:rPr>
            </w:pPr>
            <w:r>
              <w:rPr>
                <w:rFonts w:ascii="Times New Roman" w:cs="Times New Roman" w:eastAsia="Times New Roman" w:hAnsi="Times New Roman"/>
                <w:sz w:val="18"/>
                <w:szCs w:val="18"/>
                <w:color w:val="auto"/>
                <w:w w:val="95"/>
              </w:rPr>
              <w:t>99.2</w:t>
            </w:r>
          </w:p>
        </w:tc>
        <w:tc>
          <w:tcPr>
            <w:tcW w:w="200" w:type="dxa"/>
            <w:vAlign w:val="bottom"/>
          </w:tcPr>
          <w:p>
            <w:pPr>
              <w:spacing w:after="0"/>
              <w:rPr>
                <w:sz w:val="18"/>
                <w:szCs w:val="18"/>
                <w:color w:val="auto"/>
              </w:rPr>
            </w:pPr>
          </w:p>
        </w:tc>
        <w:tc>
          <w:tcPr>
            <w:tcW w:w="9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r>
      <w:tr>
        <w:trPr>
          <w:trHeight w:val="196"/>
        </w:trPr>
        <w:tc>
          <w:tcPr>
            <w:tcW w:w="720" w:type="dxa"/>
            <w:vAlign w:val="bottom"/>
            <w:gridSpan w:val="2"/>
          </w:tcPr>
          <w:p>
            <w:pPr>
              <w:jc w:val="right"/>
              <w:ind w:right="322"/>
              <w:spacing w:after="0" w:line="196" w:lineRule="exact"/>
              <w:rPr>
                <w:sz w:val="20"/>
                <w:szCs w:val="20"/>
                <w:color w:val="auto"/>
              </w:rPr>
            </w:pPr>
            <w:r>
              <w:rPr>
                <w:rFonts w:ascii="Times New Roman" w:cs="Times New Roman" w:eastAsia="Times New Roman" w:hAnsi="Times New Roman"/>
                <w:sz w:val="18"/>
                <w:szCs w:val="18"/>
                <w:color w:val="auto"/>
                <w:w w:val="95"/>
              </w:rPr>
              <w:t>99.3</w:t>
            </w:r>
          </w:p>
        </w:tc>
        <w:tc>
          <w:tcPr>
            <w:tcW w:w="200" w:type="dxa"/>
            <w:vAlign w:val="bottom"/>
          </w:tcPr>
          <w:p>
            <w:pPr>
              <w:spacing w:after="0"/>
              <w:rPr>
                <w:sz w:val="17"/>
                <w:szCs w:val="17"/>
                <w:color w:val="auto"/>
              </w:rPr>
            </w:pPr>
          </w:p>
        </w:tc>
        <w:tc>
          <w:tcPr>
            <w:tcW w:w="64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October 28, 2022</w:t>
            </w:r>
          </w:p>
        </w:tc>
        <w:tc>
          <w:tcPr>
            <w:tcW w:w="2540" w:type="dxa"/>
            <w:vAlign w:val="bottom"/>
            <w:gridSpan w:val="2"/>
          </w:tcPr>
          <w:p>
            <w:pPr>
              <w:spacing w:after="0"/>
              <w:rPr>
                <w:sz w:val="17"/>
                <w:szCs w:val="17"/>
                <w:color w:val="auto"/>
              </w:rPr>
            </w:pPr>
          </w:p>
        </w:tc>
      </w:tr>
      <w:tr>
        <w:trPr>
          <w:trHeight w:val="1593"/>
        </w:trPr>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4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4" w:name="page5"/>
    <w:bookmarkEnd w:id="4"/>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c>
          <w:tcPr>
            <w:tcW w:w="0" w:type="dxa"/>
            <w:vAlign w:val="bottom"/>
          </w:tcPr>
          <w:p>
            <w:pPr>
              <w:spacing w:after="0"/>
              <w:rPr>
                <w:sz w:val="1"/>
                <w:szCs w:val="1"/>
                <w:color w:val="auto"/>
              </w:rPr>
            </w:pPr>
          </w:p>
        </w:tc>
      </w:tr>
      <w:tr>
        <w:trPr>
          <w:trHeight w:val="41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568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2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financial assets</w:t>
            </w:r>
          </w:p>
        </w:tc>
        <w:tc>
          <w:tcPr>
            <w:tcW w:w="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57,955</w:t>
            </w: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44,503</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147,602</w:t>
            </w:r>
          </w:p>
        </w:tc>
        <w:tc>
          <w:tcPr>
            <w:tcW w:w="1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202,634</w:t>
            </w:r>
          </w:p>
        </w:tc>
        <w:tc>
          <w:tcPr>
            <w:tcW w:w="0" w:type="dxa"/>
            <w:vAlign w:val="bottom"/>
          </w:tcPr>
          <w:p>
            <w:pPr>
              <w:spacing w:after="0"/>
              <w:rPr>
                <w:sz w:val="1"/>
                <w:szCs w:val="1"/>
                <w:color w:val="auto"/>
              </w:rPr>
            </w:pPr>
          </w:p>
        </w:tc>
      </w:tr>
      <w:tr>
        <w:trPr>
          <w:trHeight w:val="249"/>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205,557</w:t>
            </w:r>
          </w:p>
        </w:tc>
        <w:tc>
          <w:tcPr>
            <w:tcW w:w="16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261,443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431,303</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(242,994)</w:t>
            </w:r>
          </w:p>
        </w:tc>
        <w:tc>
          <w:tcPr>
            <w:tcW w:w="1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(200,942)</w:t>
            </w:r>
          </w:p>
        </w:tc>
        <w:tc>
          <w:tcPr>
            <w:tcW w:w="0" w:type="dxa"/>
            <w:vAlign w:val="bottom"/>
          </w:tcPr>
          <w:p>
            <w:pPr>
              <w:spacing w:after="0"/>
              <w:rPr>
                <w:sz w:val="1"/>
                <w:szCs w:val="1"/>
                <w:color w:val="auto"/>
              </w:rPr>
            </w:pPr>
          </w:p>
        </w:tc>
      </w:tr>
      <w:tr>
        <w:trPr>
          <w:trHeight w:val="25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190,054</w:t>
            </w:r>
          </w:p>
        </w:tc>
        <w:tc>
          <w:tcPr>
            <w:tcW w:w="16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231,979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w:t>
            </w:r>
          </w:p>
        </w:tc>
        <w:tc>
          <w:tcPr>
            <w:tcW w:w="1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29,464</w:t>
            </w:r>
          </w:p>
        </w:tc>
        <w:tc>
          <w:tcPr>
            <w:tcW w:w="0" w:type="dxa"/>
            <w:vAlign w:val="bottom"/>
          </w:tcPr>
          <w:p>
            <w:pPr>
              <w:spacing w:after="0"/>
              <w:rPr>
                <w:sz w:val="1"/>
                <w:szCs w:val="1"/>
                <w:color w:val="auto"/>
              </w:rPr>
            </w:pPr>
          </w:p>
        </w:tc>
      </w:tr>
      <w:tr>
        <w:trPr>
          <w:trHeight w:val="21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205,557</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Income/(Loss)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 except for per share data)</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 w:type="dxa"/>
            <w:vAlign w:val="bottom"/>
          </w:tcPr>
          <w:p>
            <w:pPr>
              <w:spacing w:after="0"/>
              <w:rPr>
                <w:sz w:val="15"/>
                <w:szCs w:val="15"/>
                <w:color w:val="auto"/>
              </w:rPr>
            </w:pPr>
          </w:p>
        </w:tc>
        <w:tc>
          <w:tcPr>
            <w:tcW w:w="168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60" w:type="dxa"/>
            <w:vAlign w:val="bottom"/>
            <w:tcBorders>
              <w:top w:val="single" w:sz="8" w:color="auto"/>
            </w:tcBorders>
            <w:gridSpan w:val="2"/>
          </w:tcPr>
          <w:p>
            <w:pPr>
              <w:jc w:val="right"/>
              <w:ind w:right="12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operating income/(expense)</w:t>
            </w:r>
          </w:p>
        </w:tc>
        <w:tc>
          <w:tcPr>
            <w:tcW w:w="50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(17,397)</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(20,283)</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(56,084)</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(56,223)</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(13,463)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(20,283)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(52,150)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(56,223)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loss per share for the period attributable to</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holders</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353"/>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 Income/(Loss) (Unaudited)</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4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CHF thousands)</w:t>
            </w:r>
          </w:p>
        </w:tc>
        <w:tc>
          <w:tcPr>
            <w:tcW w:w="20" w:type="dxa"/>
            <w:vAlign w:val="bottom"/>
          </w:tcPr>
          <w:p>
            <w:pPr>
              <w:spacing w:after="0"/>
              <w:rPr>
                <w:sz w:val="12"/>
                <w:szCs w:val="12"/>
                <w:color w:val="auto"/>
              </w:rPr>
            </w:pPr>
          </w:p>
        </w:tc>
        <w:tc>
          <w:tcPr>
            <w:tcW w:w="68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Notes</w:t>
            </w: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8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(52,004)</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Items that will be reclassified to income or loss in subsequent</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periods (net of tax):</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Items that will not to be reclassified to income or loss in</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subsequent periods (net of tax):</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gains on defined-benefit plans (net of tax)</w:t>
            </w:r>
          </w:p>
        </w:tc>
        <w:tc>
          <w:tcPr>
            <w:tcW w:w="5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(13,315)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(44,373)</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gridSpan w:val="2"/>
            <w:vMerge w:val="restart"/>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6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Differences</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346,890</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(132,850)</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(51,720)</w:t>
            </w:r>
          </w:p>
        </w:tc>
        <w:tc>
          <w:tcPr>
            <w:tcW w:w="14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(51,720)</w:t>
            </w:r>
          </w:p>
        </w:tc>
        <w:tc>
          <w:tcPr>
            <w:tcW w:w="1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4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sale of treasury shares in public</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offerings, net of underwriting fees and</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4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net of transaction costs: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 as treasury shares</w:t>
            </w:r>
          </w:p>
        </w:tc>
        <w:tc>
          <w:tcPr>
            <w:tcW w:w="4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awards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9"/>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359,421</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(181,665)</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gridSpan w:val="2"/>
            <w:vMerge w:val="restart"/>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6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Differences</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431,251</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(200,942)</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(52,004)</w:t>
            </w:r>
          </w:p>
        </w:tc>
        <w:tc>
          <w:tcPr>
            <w:tcW w:w="14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48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8"/>
                <w:szCs w:val="18"/>
                <w:color w:val="auto"/>
                <w:w w:val="88"/>
              </w:rPr>
              <w:t>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(44,445)</w:t>
            </w:r>
          </w:p>
        </w:tc>
        <w:tc>
          <w:tcPr>
            <w:tcW w:w="1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4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net of transaction costs: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awards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431,303</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(242,994)</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14"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ind w:left="7440"/>
        <w:spacing w:after="0" w:line="236" w:lineRule="auto"/>
        <w:rPr>
          <w:sz w:val="20"/>
          <w:szCs w:val="20"/>
          <w:color w:val="auto"/>
        </w:rPr>
      </w:pPr>
      <w:r>
        <w:rPr>
          <w:rFonts w:ascii="Times New Roman" w:cs="Times New Roman" w:eastAsia="Times New Roman" w:hAnsi="Times New Roman"/>
          <w:sz w:val="13"/>
          <w:szCs w:val="13"/>
          <w:b w:val="1"/>
          <w:bCs w:val="1"/>
          <w:color w:val="auto"/>
        </w:rPr>
        <w:t>Ended September 30,</w:t>
      </w:r>
    </w:p>
    <w:tbl>
      <w:tblPr>
        <w:tblLayout w:type="fixed"/>
        <w:tblInd w:w="6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72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Notes</w:t>
            </w:r>
          </w:p>
        </w:tc>
        <w:tc>
          <w:tcPr>
            <w:tcW w:w="720" w:type="dxa"/>
            <w:vAlign w:val="bottom"/>
            <w:tcBorders>
              <w:top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Loss for the period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(52,004)</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(51,720)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Adjustments to reconcile net loss for the period to net cash flows: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Depreciation of property, plant and equipment</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5</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1,331</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1,411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Depreciation of right-of-use assets</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6</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423</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Finance (income), net</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13</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(743)</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(4,954)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2,441</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3,081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Change in net employee defined benefit liability</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461</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13</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349</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Changes in working capital:</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(Increase)/decrease in prepaid expenses</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Decrease in accrued income</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3</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940</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(Increase) in other current receivables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(3,802)</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(Decrease) / increase in accrued expenses</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8</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(4,440)</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(Decrease) in deferred income</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3</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(207)</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(Decrease) in trade and other payables</w:t>
            </w:r>
          </w:p>
        </w:tc>
        <w:tc>
          <w:tcPr>
            <w:tcW w:w="5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(372)</w:t>
            </w: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(1,897)</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used in operating activities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(55,788)</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(47,522)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 received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Interest paid</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(376)</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Finance costs</w:t>
            </w:r>
          </w:p>
        </w:tc>
        <w:tc>
          <w:tcPr>
            <w:tcW w:w="5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flows used in operating activities</w:t>
            </w:r>
          </w:p>
        </w:tc>
        <w:tc>
          <w:tcPr>
            <w:tcW w:w="5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(56,161)</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(47,861)</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Investing activities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Short-term financial assets, net</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11</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20,000</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Purchases of property, plant and equipment</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5</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(1,198)</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(1,913)</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Rental deposits</w:t>
            </w:r>
          </w:p>
        </w:tc>
        <w:tc>
          <w:tcPr>
            <w:tcW w:w="580" w:type="dxa"/>
            <w:vAlign w:val="bottom"/>
            <w:tcBorders>
              <w:bottom w:val="single" w:sz="8" w:color="CCEEFF"/>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6</w:t>
            </w: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flows provided by/(used in) investing activities</w:t>
            </w:r>
          </w:p>
        </w:tc>
        <w:tc>
          <w:tcPr>
            <w:tcW w:w="5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18,804</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(31,942)</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Principal payments of lease obligations</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6</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(426)</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Proceeds from sale of treasury shares in public offerings, net of underwriting fees and transaction costs</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12</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9"/>
              </w:rPr>
              <w:t>Transaction costs associated with issuance of shares in relation to asset acquisition previously recorded in accrued expenses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(776)</w:t>
            </w: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Proceeds from issuance of common shares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4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flows (used in)/provided by financing activities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(1,195)</w:t>
            </w:r>
          </w:p>
        </w:tc>
        <w:tc>
          <w:tcPr>
            <w:tcW w:w="14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12,013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decrease in cash and cash equivalents</w:t>
            </w:r>
          </w:p>
        </w:tc>
        <w:tc>
          <w:tcPr>
            <w:tcW w:w="5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(38,552)</w:t>
            </w: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(67,790)</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 at January 1</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82,216</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160,893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Exchange gain on cash and cash equivalents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839</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 at September 30</w:t>
            </w:r>
          </w:p>
        </w:tc>
        <w:tc>
          <w:tcPr>
            <w:tcW w:w="5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44,503</w:t>
            </w: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93,584</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decrease in cash and cash equivalents</w:t>
            </w:r>
          </w:p>
        </w:tc>
        <w:tc>
          <w:tcPr>
            <w:tcW w:w="5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(38,552)</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(67,790)</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non-cash activity</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Capital expenditures in Trade and other payables or Accrued expenses</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 except share and per share amounts)</w:t>
      </w:r>
    </w:p>
    <w:p>
      <w:pPr>
        <w:spacing w:after="0" w:line="203" w:lineRule="exact"/>
        <w:rPr>
          <w:sz w:val="20"/>
          <w:szCs w:val="20"/>
          <w:color w:val="auto"/>
        </w:rPr>
      </w:pPr>
    </w:p>
    <w:p>
      <w:pPr>
        <w:ind w:left="380" w:hanging="330"/>
        <w:spacing w:after="0"/>
        <w:tabs>
          <w:tab w:leader="none" w:pos="3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AC Immune SA was founded in 2003. The Company controls a fully-owned subsidiary, AC Immune USA, Inc. (“AC Immune USA” or “Subsidiary” and, together with AC Immune SA, “AC Immune,” “ACIU,” “Company,” “we,” “our,” “ours,” “us”), which was organized under the laws of Delaware, USA in June 2021. The Company and its Subsidiary form the Group (See “Note 2. Basis of preparation and changes to the Company’s accounting policies”).</w:t>
      </w:r>
    </w:p>
    <w:p>
      <w:pPr>
        <w:spacing w:after="0" w:line="180"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88"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AC Immune SA as of and for the three and nine months ended September 30, 2022 were authorized for issuance by the Company’s Audit and Finance Committee on October 27, 2022.</w:t>
      </w:r>
    </w:p>
    <w:p>
      <w:pPr>
        <w:spacing w:after="0" w:line="172" w:lineRule="exact"/>
        <w:rPr>
          <w:sz w:val="20"/>
          <w:szCs w:val="20"/>
          <w:color w:val="auto"/>
        </w:rPr>
      </w:pPr>
    </w:p>
    <w:p>
      <w:pPr>
        <w:ind w:left="60" w:right="3199" w:hanging="10"/>
        <w:spacing w:after="0" w:line="503" w:lineRule="auto"/>
        <w:tabs>
          <w:tab w:leader="none" w:pos="38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changes to the Company’s accounting policies Statement of compliance</w:t>
      </w:r>
    </w:p>
    <w:p>
      <w:pPr>
        <w:ind w:left="60" w:right="3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These Interim Condensed Consolidated Financial Statements as of September 30, 2022 and for the three and nine months ended September 30, 2022 and 2021, have been prepared in accordance with International Accounting Standard 34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as issued by the International Accounting Standards Board (IASB), and such financial information should be read in conjunction with the audited consolidated financial statements in AC Immune’s Annual Report on Form 20-F for the year ended December 31, 2021.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These Interim Condensed Consolidated Financial Statements have been prepared under the historical cost convention.</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reporting currency</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These Interim Condensed Consolidated Financial Statements and accompanying notes are presented in Swiss Francs (CHF), which is AC Immune SA’s functional currency and the Group’s reporting currency. The Company’s subsidiary has a functional currency of the US Dollar (USD). The following exchange rates have been used for the translation of the financial statements of AC Immune USA:</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54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54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CHF/USD</w:t>
            </w:r>
          </w:p>
        </w:tc>
        <w:tc>
          <w:tcPr>
            <w:tcW w:w="2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Closing rate, USD 1</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0.985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0.943</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exchange rate, USD 1</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0.962</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0.920</w:t>
            </w:r>
          </w:p>
        </w:tc>
      </w:tr>
      <w:tr>
        <w:trPr>
          <w:trHeight w:val="86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the Company’s Interim Condensed Consolidated Financial Statements in conformity with IAS 34 requires management to make judgments, estimates and assumptions that affect the amounts reported in the Interim Condensed Consolidated Financial Statements and accompanying notes, and the related application of accounting policies as it relates to the reported amounts of assets, liabilities, income and expenses.</w:t>
      </w:r>
    </w:p>
    <w:p>
      <w:pPr>
        <w:spacing w:after="0" w:line="180" w:lineRule="exact"/>
        <w:rPr>
          <w:sz w:val="20"/>
          <w:szCs w:val="20"/>
          <w:color w:val="auto"/>
        </w:rPr>
      </w:pPr>
    </w:p>
    <w:p>
      <w:pPr>
        <w:jc w:val="both"/>
        <w:ind w:left="60" w:right="159" w:firstLine="324"/>
        <w:spacing w:after="0" w:line="276" w:lineRule="auto"/>
        <w:rPr>
          <w:sz w:val="20"/>
          <w:szCs w:val="20"/>
          <w:color w:val="auto"/>
        </w:rPr>
      </w:pPr>
      <w:r>
        <w:rPr>
          <w:rFonts w:ascii="Times New Roman" w:cs="Times New Roman" w:eastAsia="Times New Roman" w:hAnsi="Times New Roman"/>
          <w:sz w:val="17"/>
          <w:szCs w:val="17"/>
          <w:color w:val="auto"/>
        </w:rPr>
        <w:t>The areas where AC Immune has had to make judgments, estimates and assumptions relate to (i) revenue recognition on Licensing and Collaboration Agreements, (ii) clinical development accruals, (iii) net employee defined benefit liability,</w:t>
      </w:r>
    </w:p>
    <w:p>
      <w:pPr>
        <w:spacing w:after="0" w:line="1" w:lineRule="exact"/>
        <w:rPr>
          <w:sz w:val="20"/>
          <w:szCs w:val="20"/>
          <w:color w:val="auto"/>
        </w:rPr>
      </w:pPr>
    </w:p>
    <w:p>
      <w:pPr>
        <w:jc w:val="both"/>
        <w:ind w:left="60" w:right="159" w:hanging="10"/>
        <w:spacing w:after="0" w:line="253" w:lineRule="auto"/>
        <w:tabs>
          <w:tab w:leader="none" w:pos="3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(v) share-based compensation, (vi) right-of-use assets and lease liabilities and (vii) our IPR&amp;D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229" w:lineRule="exact"/>
        <w:rPr>
          <w:sz w:val="20"/>
          <w:szCs w:val="20"/>
          <w:color w:val="auto"/>
        </w:rPr>
      </w:pPr>
    </w:p>
    <w:p>
      <w:pPr>
        <w:jc w:val="both"/>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are composed of receivables, short-term and long-term financial assets, cash and cash equivalents, trade and other payables, accrued expenses and lease liabilities. The fair value of these financial instruments approximates their respective carrying values due to the short-term maturity of these instruments, and are held at their amortized cost in accordance with IFRS 9, unless otherwise explicitly noted.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accounting policies adopted in the preparation of the Interim Condensed Consolidated Financial Statements are consistent with those followed in the preparation of the Company’s annual consolidated financial statements for the year ended December 31, 2021.</w:t>
      </w:r>
    </w:p>
    <w:p>
      <w:pPr>
        <w:spacing w:after="0" w:line="176"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has not adopted any other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that it will be able to meet all of its obligations as they fall due for at least 12 months from September 30, 2022, after considering the Company’s cash position of CHF 44.5 million and short-term financial assets of CHF 96.0 million as of September 30, 2022. Hence, the unaudited Interim Condensed Consolidated Financial Statements have been prepared on a going-concern basis.</w:t>
      </w:r>
    </w:p>
    <w:p>
      <w:pPr>
        <w:spacing w:after="0" w:line="180" w:lineRule="exact"/>
        <w:rPr>
          <w:sz w:val="20"/>
          <w:szCs w:val="20"/>
          <w:color w:val="auto"/>
        </w:rPr>
      </w:pPr>
    </w:p>
    <w:p>
      <w:pPr>
        <w:ind w:left="60" w:right="179" w:firstLine="324"/>
        <w:spacing w:after="0" w:line="273" w:lineRule="auto"/>
        <w:rPr>
          <w:sz w:val="20"/>
          <w:szCs w:val="20"/>
          <w:color w:val="auto"/>
        </w:rPr>
      </w:pPr>
      <w:r>
        <w:rPr>
          <w:rFonts w:ascii="Times New Roman" w:cs="Times New Roman" w:eastAsia="Times New Roman" w:hAnsi="Times New Roman"/>
          <w:sz w:val="17"/>
          <w:szCs w:val="17"/>
          <w:color w:val="auto"/>
        </w:rPr>
        <w:t>To date, the Company has financed its cash requirements primarily from its public offerings, share issuances, contract revenues from license and collaboration agreements and grants. The Company is a clinical-stage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w:t>
      </w:r>
    </w:p>
    <w:p>
      <w:pPr>
        <w:spacing w:after="0" w:line="171" w:lineRule="exact"/>
        <w:rPr>
          <w:sz w:val="20"/>
          <w:szCs w:val="20"/>
          <w:color w:val="auto"/>
        </w:rPr>
      </w:pPr>
    </w:p>
    <w:p>
      <w:pPr>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In addition to the foregoing, based on the Company’s current assessment, the Company does not expect any material impact on its long-term development timeline, its liquidity or ability to remain a going concern due to the worldwide spread of the Covid-19 virus. The Company continues to assess the effect on its operations by carefully monitoring the spread of Covid-19 and taking appropriate steps intended to offset any negative impacts from the Covid-19 virus.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 w:name="page11"/>
    <w:bookmarkEnd w:id="10"/>
    <w:p>
      <w:pPr>
        <w:ind w:left="380" w:hanging="330"/>
        <w:spacing w:after="0"/>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revenues and other operating income</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2022, AC Immune generated CHF 3.9 million in contract revenues compared with no contract revenues in the prior comparable periods, respectively.</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6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209"/>
        </w:trPr>
        <w:tc>
          <w:tcPr>
            <w:tcW w:w="7200" w:type="dxa"/>
            <w:vAlign w:val="bottom"/>
            <w:gridSpan w:val="2"/>
          </w:tcPr>
          <w:p>
            <w:pPr>
              <w:ind w:left="29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Molecular Imaging</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contract revenue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20" w:type="dxa"/>
            <w:vAlign w:val="bottom"/>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7200" w:type="dxa"/>
            <w:vAlign w:val="bottom"/>
            <w:gridSpan w:val="2"/>
            <w:vMerge w:val="restart"/>
          </w:tcPr>
          <w:p>
            <w:pPr>
              <w:ind w:left="29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7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7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7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Molecular Imaging</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contract revenue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20" w:type="dxa"/>
            <w:vAlign w:val="bottom"/>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changes in the Company’s contract assets and liabilities during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2022 and 2021:</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the</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end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the</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gridSpan w:val="2"/>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reporting</w:t>
            </w: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gridSpan w:val="2"/>
            <w:vMerge w:val="continue"/>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3.1 Licensing and collaboration agreements</w:t>
      </w:r>
    </w:p>
    <w:p>
      <w:pPr>
        <w:spacing w:after="0" w:line="229"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our licensing and collaboration agreements for the fiscal year ended December 31, 2021, please refer to Note 13.1 “Licensing and Collaboration agreements” of our Annual Report on Form 20-F for the year ended December 31, 2021 filed on March 22, 2022.</w:t>
      </w:r>
    </w:p>
    <w:p>
      <w:pPr>
        <w:spacing w:after="0" w:line="176"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and 2021, the Company recognized the following contract revenues as a result of performance obligations satisfied in previous periods: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0" w:type="dxa"/>
            <w:vAlign w:val="bottom"/>
            <w:gridSpan w:val="2"/>
            <w:vMerge w:val="restart"/>
          </w:tcPr>
          <w:p>
            <w:pPr>
              <w:ind w:left="29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7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gridSpan w:val="2"/>
            <w:vMerge w:val="continue"/>
          </w:tcPr>
          <w:p>
            <w:pPr>
              <w:spacing w:after="0"/>
              <w:rPr>
                <w:sz w:val="12"/>
                <w:szCs w:val="12"/>
                <w:color w:val="auto"/>
              </w:rPr>
            </w:pPr>
          </w:p>
        </w:tc>
        <w:tc>
          <w:tcPr>
            <w:tcW w:w="7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7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included in the contract liability at the beginning of the period</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0" w:type="dxa"/>
            <w:vAlign w:val="bottom"/>
            <w:gridSpan w:val="2"/>
            <w:vMerge w:val="restart"/>
          </w:tcPr>
          <w:p>
            <w:pPr>
              <w:ind w:left="29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7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gridSpan w:val="2"/>
            <w:vMerge w:val="continue"/>
          </w:tcPr>
          <w:p>
            <w:pPr>
              <w:spacing w:after="0"/>
              <w:rPr>
                <w:sz w:val="12"/>
                <w:szCs w:val="12"/>
                <w:color w:val="auto"/>
              </w:rPr>
            </w:pPr>
          </w:p>
        </w:tc>
        <w:tc>
          <w:tcPr>
            <w:tcW w:w="7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7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included in the contract liability at the beginning of the period</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8"/>
        </w:trPr>
        <w:tc>
          <w:tcPr>
            <w:tcW w:w="7000" w:type="dxa"/>
            <w:vAlign w:val="bottom"/>
            <w:gridSpan w:val="2"/>
          </w:tcPr>
          <w:p>
            <w:pPr>
              <w:jc w:val="right"/>
              <w:ind w:right="2415"/>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11" w:name="page12"/>
    <w:bookmarkEnd w:id="11"/>
    <w:p>
      <w:pPr>
        <w:ind w:left="60" w:right="259" w:firstLine="324"/>
        <w:spacing w:after="0" w:line="277" w:lineRule="auto"/>
        <w:rPr>
          <w:sz w:val="20"/>
          <w:szCs w:val="20"/>
          <w:color w:val="auto"/>
        </w:rPr>
      </w:pPr>
      <w:r>
        <w:rPr>
          <w:rFonts w:ascii="Times New Roman" w:cs="Times New Roman" w:eastAsia="Times New Roman" w:hAnsi="Times New Roman"/>
          <w:sz w:val="17"/>
          <w:szCs w:val="17"/>
          <w:color w:val="auto"/>
        </w:rPr>
        <w:t>As it relates to contract revenue recognition, in September 2022, the Company earned a milestone linked to the progression of the Tau PET Tracer PI-2620 partnered with Life Molecular Imaging (LMI) into late-stage development in Alzheimer’s disease. The Company recorded EUR 4 (CHF 3.9) million in contract revenue for the three and nine months ended September 30, 2022 as a result of achieving this milestone. The Company recorded this EUR 4 (CHF 3.9) million milestone within other current receivables on its condensed consolidated balance sheets as of September 30, 2022.</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3.2 Grant income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Grants from the Michael J. Fox Foundation</w:t>
      </w:r>
    </w:p>
    <w:p>
      <w:pPr>
        <w:spacing w:after="0" w:line="227"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our Grants from the Michael J. Fox Foundation (MJFF) for the fiscal year ended December 31, 2021, please refer to Note 13.2 “Grant Income” of our Annual Report on Form 20-F for the year ended December 31, 2021 filed on March 22, 2022.</w:t>
      </w:r>
    </w:p>
    <w:p>
      <w:pPr>
        <w:spacing w:after="0" w:line="176" w:lineRule="exact"/>
        <w:rPr>
          <w:sz w:val="20"/>
          <w:szCs w:val="20"/>
          <w:color w:val="auto"/>
        </w:rPr>
      </w:pPr>
    </w:p>
    <w:p>
      <w:pPr>
        <w:jc w:val="both"/>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In August 2022, the Company received follow-om grant funding as part of its joint arrangement with Skåne University Hospital (Skåne) in Sweden totaling USD 0.5 (CHF 0.5) million for the continued development of its alpha-synuclein PET imaging diagnostic agent. As part of this grant, AC Immune received USD 0.4 (CHF 0.4) million directly from the MJFF. Skåne will receive USD 0.1 (CHF 0.1) million of the total grant directly from the MJFF duration of the grant period.</w:t>
      </w:r>
    </w:p>
    <w:p>
      <w:pPr>
        <w:spacing w:after="0" w:line="164"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and 2021, the Company has recognized CHF 0.2 million in grant income, respectively. For the nine months ended September 30, 2022 and 2021, the Company has recognized CHF 0.8 million in grant income, respectively. As of September 30, 2022, the Company has recorded CHF 0.5 million in deferred income, respectively.</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Grant from the Target ALS Foundation</w:t>
      </w:r>
    </w:p>
    <w:p>
      <w:pPr>
        <w:spacing w:after="0" w:line="227"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our Grants from the Target ALS Foundation (Target ALS) for the fiscal year ended December 31, 2021, please refer to Note 13.2 “Grant Income” of our Annual Report on Form 20-F for the year ended December 31, 2021 filed on March 22, 2022.</w:t>
      </w:r>
    </w:p>
    <w:p>
      <w:pPr>
        <w:spacing w:after="0" w:line="176"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the Company recognized less than CHF 0.1 million and CHF 0.1 million, respectively. As of September 30, 2022, the Company has recorded less than CHF 0.1 million in deferred income.</w:t>
      </w:r>
    </w:p>
    <w:p>
      <w:pPr>
        <w:spacing w:after="0" w:line="172"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6900" w:type="dxa"/>
            <w:vAlign w:val="bottom"/>
            <w:gridSpan w:val="4"/>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20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6900" w:type="dxa"/>
            <w:vAlign w:val="bottom"/>
            <w:gridSpan w:val="4"/>
            <w:vMerge w:val="continue"/>
          </w:tcPr>
          <w:p>
            <w:pPr>
              <w:spacing w:after="0"/>
              <w:rPr>
                <w:sz w:val="12"/>
                <w:szCs w:val="12"/>
                <w:color w:val="auto"/>
              </w:rPr>
            </w:pPr>
          </w:p>
        </w:tc>
        <w:tc>
          <w:tcPr>
            <w:tcW w:w="88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(EPS)</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equity holders of the Company</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0" w:type="dxa"/>
            <w:vAlign w:val="bottom"/>
          </w:tcPr>
          <w:p>
            <w:pPr>
              <w:spacing w:after="0"/>
              <w:rPr>
                <w:sz w:val="1"/>
                <w:szCs w:val="1"/>
                <w:color w:val="auto"/>
              </w:rPr>
            </w:pPr>
          </w:p>
        </w:tc>
      </w:tr>
      <w:tr>
        <w:trPr>
          <w:trHeight w:val="216"/>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EPS basic and diluted</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attributable to equity holders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83,590,948</w:t>
            </w: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72,887,967</w:t>
            </w:r>
          </w:p>
        </w:tc>
        <w:tc>
          <w:tcPr>
            <w:tcW w:w="0" w:type="dxa"/>
            <w:vAlign w:val="bottom"/>
          </w:tcPr>
          <w:p>
            <w:pPr>
              <w:spacing w:after="0"/>
              <w:rPr>
                <w:sz w:val="1"/>
                <w:szCs w:val="1"/>
                <w:color w:val="auto"/>
              </w:rPr>
            </w:pPr>
          </w:p>
        </w:tc>
      </w:tr>
      <w:tr>
        <w:trPr>
          <w:trHeight w:val="209"/>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6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96"/>
        </w:trPr>
        <w:tc>
          <w:tcPr>
            <w:tcW w:w="6900" w:type="dxa"/>
            <w:vAlign w:val="bottom"/>
            <w:gridSpan w:val="4"/>
          </w:tcPr>
          <w:p>
            <w:pPr>
              <w:ind w:left="166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8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(EPS)</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equity holders of the Company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(51,720)</w:t>
            </w:r>
          </w:p>
        </w:tc>
        <w:tc>
          <w:tcPr>
            <w:tcW w:w="0" w:type="dxa"/>
            <w:vAlign w:val="bottom"/>
          </w:tcPr>
          <w:p>
            <w:pPr>
              <w:spacing w:after="0"/>
              <w:rPr>
                <w:sz w:val="1"/>
                <w:szCs w:val="1"/>
                <w:color w:val="auto"/>
              </w:rPr>
            </w:pPr>
          </w:p>
        </w:tc>
      </w:tr>
      <w:tr>
        <w:trPr>
          <w:trHeight w:val="216"/>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EPS basic and diluted</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attributable to equity holders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83,537,655</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72,638,698</w:t>
            </w:r>
          </w:p>
        </w:tc>
        <w:tc>
          <w:tcPr>
            <w:tcW w:w="0" w:type="dxa"/>
            <w:vAlign w:val="bottom"/>
          </w:tcPr>
          <w:p>
            <w:pPr>
              <w:spacing w:after="0"/>
              <w:rPr>
                <w:sz w:val="1"/>
                <w:szCs w:val="1"/>
                <w:color w:val="auto"/>
              </w:rPr>
            </w:pPr>
          </w:p>
        </w:tc>
      </w:tr>
      <w:tr>
        <w:trPr>
          <w:trHeight w:val="209"/>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tc>
        <w:tc>
          <w:tcPr>
            <w:tcW w:w="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w:t>
      </w:r>
    </w:p>
    <w:p>
      <w:pPr>
        <w:spacing w:after="0" w:line="16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ind w:left="7340"/>
        <w:spacing w:after="0"/>
        <w:rPr>
          <w:sz w:val="20"/>
          <w:szCs w:val="20"/>
          <w:color w:val="auto"/>
        </w:rPr>
      </w:pPr>
      <w:r>
        <w:rPr>
          <w:rFonts w:ascii="Times New Roman" w:cs="Times New Roman" w:eastAsia="Times New Roman" w:hAnsi="Times New Roman"/>
          <w:sz w:val="14"/>
          <w:szCs w:val="14"/>
          <w:b w:val="1"/>
          <w:bCs w:val="1"/>
          <w:color w:val="auto"/>
        </w:rPr>
        <w:t>Ended September 30,</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 issued and outstanding</w:t>
            </w:r>
          </w:p>
        </w:tc>
        <w:tc>
          <w:tcPr>
            <w:tcW w:w="30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1,267,924</w:t>
            </w: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awards subject to future vesting</w:t>
            </w: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240,923</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33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00" w:type="dxa"/>
            <w:vAlign w:val="bottom"/>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9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2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 issued and outstanding</w:t>
            </w:r>
          </w:p>
        </w:tc>
        <w:tc>
          <w:tcPr>
            <w:tcW w:w="30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148,617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1,172,439</w:t>
            </w: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awards subject to future vesting</w:t>
            </w: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85,829</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w:t>
            </w:r>
          </w:p>
        </w:tc>
      </w:tr>
      <w:tr>
        <w:trPr>
          <w:trHeight w:val="8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6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6" w:right="1440" w:bottom="1440" w:gutter="0" w:footer="0" w:header="0"/>
        </w:sectPr>
      </w:pPr>
    </w:p>
    <w:bookmarkStart w:id="13" w:name="page14"/>
    <w:bookmarkEnd w:id="13"/>
    <w:p>
      <w:pPr>
        <w:ind w:left="380" w:hanging="330"/>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movement in the net book values of property, plant and equipment for the nine months ended September 30, 2022:</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20" w:type="dxa"/>
            <w:vAlign w:val="bottom"/>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160" w:type="dxa"/>
            <w:vAlign w:val="bottom"/>
          </w:tcPr>
          <w:p>
            <w:pPr>
              <w:spacing w:after="0"/>
              <w:rPr>
                <w:sz w:val="10"/>
                <w:szCs w:val="10"/>
                <w:color w:val="auto"/>
              </w:rPr>
            </w:pPr>
          </w:p>
        </w:tc>
        <w:tc>
          <w:tcPr>
            <w:tcW w:w="680" w:type="dxa"/>
            <w:vAlign w:val="bottom"/>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IT</w:t>
            </w:r>
          </w:p>
        </w:tc>
        <w:tc>
          <w:tcPr>
            <w:tcW w:w="160" w:type="dxa"/>
            <w:vAlign w:val="bottom"/>
          </w:tcPr>
          <w:p>
            <w:pPr>
              <w:spacing w:after="0"/>
              <w:rPr>
                <w:sz w:val="10"/>
                <w:szCs w:val="10"/>
                <w:color w:val="auto"/>
              </w:rPr>
            </w:pPr>
          </w:p>
        </w:tc>
        <w:tc>
          <w:tcPr>
            <w:tcW w:w="8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Lab</w:t>
            </w:r>
          </w:p>
        </w:tc>
        <w:tc>
          <w:tcPr>
            <w:tcW w:w="106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Leasehold</w:t>
            </w:r>
          </w:p>
        </w:tc>
        <w:tc>
          <w:tcPr>
            <w:tcW w:w="9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Assets Under</w:t>
            </w:r>
          </w:p>
        </w:tc>
        <w:tc>
          <w:tcPr>
            <w:tcW w:w="64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Acquisition Cost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Transfers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49"/>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4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6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6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AC Immune continues to enhance its laboratory equipment to support its R&amp;D functions and IT equipment. This effort has continued since the year ended December 31, 2021, with CHF 0.8 million invested in lab equipment, including the expansion of our leased lab space, and IT equipment, representing an increase of 7.0% from the beginning of the year in these categories.</w:t>
      </w:r>
    </w:p>
    <w:p>
      <w:pPr>
        <w:spacing w:after="0" w:line="176"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long-term financial assets and lease liabilities</w:t>
      </w:r>
    </w:p>
    <w:p>
      <w:pPr>
        <w:spacing w:after="0" w:line="229"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AC Immune recognized no additions for its right-of-use of leased assets for the nine months ended September 30, 2022.</w:t>
      </w:r>
    </w:p>
    <w:p>
      <w:pPr>
        <w:spacing w:after="0" w:line="162"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Regarding lease liabilities, the amortization depends on the rate implicit in the contract or the incremental borrowing rate for the respective lease component. The weighted averages of the incremental borrowing rates are 2.5% for buildings, 5.3% for office equipment and 2.6% for IT equipment, respectively.</w:t>
      </w:r>
    </w:p>
    <w:p>
      <w:pPr>
        <w:spacing w:after="0" w:line="176"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movements in the net book values of right-of-use of leased assets for the nine months ended September 30, 2022:</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80" w:type="dxa"/>
            <w:vAlign w:val="bottom"/>
            <w:gridSpan w:val="2"/>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60" w:type="dxa"/>
            <w:vAlign w:val="bottom"/>
          </w:tcPr>
          <w:p>
            <w:pPr>
              <w:spacing w:after="0"/>
              <w:rPr>
                <w:sz w:val="13"/>
                <w:szCs w:val="13"/>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6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IT</w:t>
            </w:r>
          </w:p>
        </w:tc>
        <w:tc>
          <w:tcPr>
            <w:tcW w:w="6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There are no variable lease payments that are not included in the measurement of lease obligations. All extension options have been included in the measurement of lease obligations.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 w:name="page15"/>
    <w:bookmarkEnd w:id="14"/>
    <w:p>
      <w:pPr>
        <w:ind w:left="60" w:right="779" w:firstLine="324"/>
        <w:spacing w:after="0" w:line="312"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the impact on the Company’s condensed consolidated statements of income/(loss) and the condensed consolidated statements of cash flows is as follows:</w:t>
      </w:r>
    </w:p>
    <w:p>
      <w:pPr>
        <w:spacing w:after="0" w:line="134"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9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94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Statements of income/(loss)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Expense for short-term leases and leases of low value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Statements of cash flows</w:t>
            </w:r>
          </w:p>
        </w:tc>
        <w:tc>
          <w:tcPr>
            <w:tcW w:w="8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cash outflow for leases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80" w:type="dxa"/>
            <w:vAlign w:val="bottom"/>
            <w:gridSpan w:val="2"/>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90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gridSpan w:val="2"/>
            <w:vMerge w:val="continue"/>
          </w:tcPr>
          <w:p>
            <w:pPr>
              <w:spacing w:after="0"/>
              <w:rPr>
                <w:sz w:val="12"/>
                <w:szCs w:val="12"/>
                <w:color w:val="auto"/>
              </w:rPr>
            </w:pPr>
          </w:p>
        </w:tc>
        <w:tc>
          <w:tcPr>
            <w:tcW w:w="84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86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Statements of income/(loss)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Expense for short-term leases and leases of low value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Statements of cash flows</w:t>
            </w:r>
          </w:p>
        </w:tc>
        <w:tc>
          <w:tcPr>
            <w:tcW w:w="8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cash outflow for leases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contractual undiscounted cash flows for lease obligations as of September 30, 2022:</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620" w:type="dxa"/>
            <w:vAlign w:val="bottom"/>
            <w:gridSpan w:val="2"/>
            <w:vMerge w:val="restart"/>
          </w:tcPr>
          <w:p>
            <w:pPr>
              <w:ind w:left="31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2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620" w:type="dxa"/>
            <w:vAlign w:val="bottom"/>
            <w:gridSpan w:val="2"/>
            <w:vMerge w:val="continue"/>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10"/>
        </w:trPr>
        <w:tc>
          <w:tcPr>
            <w:tcW w:w="7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years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3-5 years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0"/>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Company also has deposits in escrow accounts totaling CHF 0.4 million for leases of the Company’s premises as of both September 30, 2022 and December 31, 2021, respectively. These deposits are presented in Long-term financial assets on the Company’s condensed consolidated balance sheets.</w:t>
      </w:r>
    </w:p>
    <w:p>
      <w:pPr>
        <w:spacing w:after="0" w:line="172"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employee defined benefit liabilities</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Company used its independent actuaries to update the calculation of the defined benefit obligation and plan assets in Q2 2022. For the three and nine months ended September 30, 2022, the Company recognized a remeasurement gain of CHF 0.2 million and CHF 7.6 million on the Company’s condensed consolidated statements of comprehensive income/(loss) related to its net employee defined benefit liability, respectively. The primary component of the remeasurement gain as for the nine months period ended September 30, 2022 relates to the increase in the discount rate by 195 basis points to 2.25% from 0.3% as of December 31, 2021.</w:t>
      </w:r>
    </w:p>
    <w:p>
      <w:pPr>
        <w:spacing w:after="0" w:line="187"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resulting impact as a result of the asset ceiling test is to record nil for the net employee defined benefit liability on the Company’s condensed consolidated balance sheets as of September 30, 2022 compared to CHF 7.1 million as of December 31,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Accrued expenses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540" w:type="dxa"/>
            <w:vAlign w:val="bottom"/>
            <w:gridSpan w:val="2"/>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36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0" w:type="dxa"/>
            <w:vAlign w:val="bottom"/>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6540" w:type="dxa"/>
            <w:vAlign w:val="bottom"/>
            <w:gridSpan w:val="2"/>
            <w:vMerge w:val="continue"/>
          </w:tcPr>
          <w:p>
            <w:pPr>
              <w:spacing w:after="0"/>
              <w:rPr>
                <w:sz w:val="15"/>
                <w:szCs w:val="15"/>
                <w:color w:val="auto"/>
              </w:rPr>
            </w:pPr>
          </w:p>
        </w:tc>
        <w:tc>
          <w:tcPr>
            <w:tcW w:w="10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w:t>
            </w:r>
          </w:p>
        </w:tc>
        <w:tc>
          <w:tcPr>
            <w:tcW w:w="0" w:type="dxa"/>
            <w:vAlign w:val="bottom"/>
          </w:tcPr>
          <w:p>
            <w:pPr>
              <w:spacing w:after="0"/>
              <w:rPr>
                <w:sz w:val="1"/>
                <w:szCs w:val="1"/>
                <w:color w:val="auto"/>
              </w:rPr>
            </w:pPr>
          </w:p>
        </w:tc>
      </w:tr>
      <w:tr>
        <w:trPr>
          <w:trHeight w:val="21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16,736</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Company paid CHF 3.7 million in the period for a previous accrual associated with our cost sharing arrangement with Janssen and CHF 2.3 million related to performance-related remuneration for the nine months ended September 30, 2022.</w:t>
      </w:r>
    </w:p>
    <w:p>
      <w:pPr>
        <w:spacing w:after="0" w:line="172"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AC Immune’s acquired IPR&amp;D asset is a clinically-validated active vaccine candidate for the treatment of Parkinson’s disease. The asset is not yet ready for use until the asset obtains market approval and is therefore not currently being amortized. The carrying amount and net book value are detailed below:</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40" w:type="dxa"/>
            <w:vAlign w:val="bottom"/>
          </w:tcPr>
          <w:p>
            <w:pPr>
              <w:spacing w:after="0"/>
              <w:rPr>
                <w:sz w:val="15"/>
                <w:szCs w:val="15"/>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74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410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00" w:type="dxa"/>
            <w:vAlign w:val="bottom"/>
            <w:gridSpan w:val="2"/>
            <w:vMerge w:val="continue"/>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IPR&amp;D Asset</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0" w:type="dxa"/>
            <w:vAlign w:val="bottom"/>
          </w:tcPr>
          <w:p>
            <w:pPr>
              <w:spacing w:after="0"/>
              <w:rPr>
                <w:sz w:val="1"/>
                <w:szCs w:val="1"/>
                <w:color w:val="auto"/>
              </w:rPr>
            </w:pPr>
          </w:p>
        </w:tc>
      </w:tr>
      <w:tr>
        <w:trPr>
          <w:trHeight w:val="20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c>
          <w:tcPr>
            <w:tcW w:w="160" w:type="dxa"/>
            <w:vAlign w:val="bottom"/>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IAS 36 </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due to unobservable inputs used in the valuation. The Company has determined the IPR&amp;D asset not to be impaired as of September 30, 2022.</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Prepaid expenses</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Prepaid expenses include prepaid R&amp;D costs, administrative costs and employee social obligations totaling CHF 2.9 million and CHF 3.0 million as of September 30, 2022 and December 31, 2021,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Cash and cash equivalents and financial assets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 Immune’s cash and cash equivalents and short-term financial assets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2022 and December 31, 2021:</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340" w:type="dxa"/>
            <w:vAlign w:val="bottom"/>
            <w:gridSpan w:val="2"/>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560" w:type="dxa"/>
            <w:vAlign w:val="bottom"/>
            <w:tcBorders>
              <w:bottom w:val="single" w:sz="8" w:color="auto"/>
            </w:tcBorders>
            <w:gridSpan w:val="3"/>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1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44,503</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82,216</w:t>
            </w:r>
          </w:p>
        </w:tc>
        <w:tc>
          <w:tcPr>
            <w:tcW w:w="0" w:type="dxa"/>
            <w:vAlign w:val="bottom"/>
          </w:tcPr>
          <w:p>
            <w:pPr>
              <w:spacing w:after="0"/>
              <w:rPr>
                <w:sz w:val="1"/>
                <w:szCs w:val="1"/>
                <w:color w:val="auto"/>
              </w:rPr>
            </w:pPr>
          </w:p>
        </w:tc>
      </w:tr>
      <w:tr>
        <w:trPr>
          <w:trHeight w:val="209"/>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44,503</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82,216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40" w:type="dxa"/>
            <w:vAlign w:val="bottom"/>
            <w:gridSpan w:val="2"/>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560" w:type="dxa"/>
            <w:vAlign w:val="bottom"/>
            <w:tcBorders>
              <w:bottom w:val="single" w:sz="8" w:color="auto"/>
            </w:tcBorders>
            <w:gridSpan w:val="3"/>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1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financial assets due in one year or less</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0" w:type="dxa"/>
            <w:vAlign w:val="bottom"/>
          </w:tcPr>
          <w:p>
            <w:pPr>
              <w:spacing w:after="0"/>
              <w:rPr>
                <w:sz w:val="1"/>
                <w:szCs w:val="1"/>
                <w:color w:val="auto"/>
              </w:rPr>
            </w:pPr>
          </w:p>
        </w:tc>
      </w:tr>
      <w:tr>
        <w:trPr>
          <w:trHeight w:val="21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the Company sold a net CHF 20.0 million in short-term financial assets compared with purchasing a net CHF 30.0 million for the prior period.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b w:val="1"/>
          <w:bCs w:val="1"/>
          <w:color w:val="auto"/>
        </w:rPr>
        <w:t>12. Treasury shares</w:t>
      </w:r>
    </w:p>
    <w:p>
      <w:pPr>
        <w:spacing w:after="0" w:line="229"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our at the market offering program with Jefferies LLC for the fiscal year ended December 31, 2021, please refer to Note 11 “Share capital” of our Annual Report on Form 20-F for the year ended December 31, 2021 filed on March 22, 2022.</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2022, the Company has 6,221,617 treasury shares remaining.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Finance result, net</w:t>
      </w:r>
    </w:p>
    <w:p>
      <w:pPr>
        <w:spacing w:after="0" w:line="229" w:lineRule="exact"/>
        <w:rPr>
          <w:sz w:val="20"/>
          <w:szCs w:val="20"/>
          <w:color w:val="auto"/>
        </w:rPr>
      </w:pPr>
    </w:p>
    <w:p>
      <w:pPr>
        <w:ind w:left="60" w:right="459"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and 2021, AC Immune recorded less than CHF 0.1 million in net financial losses and CHF 4.4 million in net financial gains, respectively. The Company recorded CHF 4.4 million in finance income associated with the change in fair value of derivative financial assets in the prior period which did not repeat in the current period.</w:t>
      </w:r>
    </w:p>
    <w:p>
      <w:pPr>
        <w:spacing w:after="0" w:line="180"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and 2021, the Company recorded CHF 0.2 million and CHF 4.5 million in net financial gains, respectively. The Company recorded CHF 4.4 million in finance income associated with the change in fair value of derivative financial assets in the prior period which did not repeat in the current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Management has evaluated subsequent events after the balance sheet date, through the issuance of these Interim Condensed Consolidated Financial Statements, for appropriate accounting and disclosures. The Company has determined that there were no other such events that warrant disclosure or recognition in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 w:name="page18"/>
    <w:bookmarkEnd w:id="1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60" w:right="119" w:firstLine="324"/>
        <w:spacing w:after="0" w:line="271" w:lineRule="auto"/>
        <w:rPr>
          <w:sz w:val="20"/>
          <w:szCs w:val="20"/>
          <w:color w:val="auto"/>
        </w:rPr>
      </w:pPr>
      <w:r>
        <w:rPr>
          <w:rFonts w:ascii="Times New Roman" w:cs="Times New Roman" w:eastAsia="Times New Roman" w:hAnsi="Times New Roman"/>
          <w:sz w:val="17"/>
          <w:szCs w:val="17"/>
          <w:i w:val="1"/>
          <w:iCs w:val="1"/>
          <w:color w:val="auto"/>
        </w:rPr>
        <w:t>This management’s discussion and analysis is designed to provide you with a narrative explanation of our financial condition and results of operations. We recommend that you read this in conjunction with our unaudited interim condensed consolidated financial information as of and for the three and nine months ended September 30, 2022, included as Exhibit 99.1 to this Report on Form 6-K. We also recommend that you read our management’s discussion and analysis and our audited consolidated financial statements and the notes thereto, which appear in our Annual Report on Form 20-F for the year ended December 31, 2021 on file with the U.S. Securities and Exchange Commission (the “SEC”).</w:t>
      </w:r>
    </w:p>
    <w:p>
      <w:pPr>
        <w:spacing w:after="0" w:line="174" w:lineRule="exact"/>
        <w:rPr>
          <w:sz w:val="20"/>
          <w:szCs w:val="20"/>
          <w:color w:val="auto"/>
        </w:rPr>
      </w:pPr>
    </w:p>
    <w:p>
      <w:pPr>
        <w:ind w:left="60" w:right="21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the terms “Company,” “AC Immune,” “ACIU,” “we,” “our,” “ours,” or “us” refer to AC Immune SA together with its fully-owned subsidiary, AC Immune USA, Inc.</w:t>
      </w:r>
    </w:p>
    <w:p>
      <w:pPr>
        <w:spacing w:after="0" w:line="15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We prepare and report our consolidated financial statements and financial information in accordance with International Financial Reporting Standards (IFRS) as issued by the International Accounting Standards Board (IASB). None of our consolidated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This discussion and analysis is dated as of October 28, 2022.</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Our goal is to continue leveraging our proprietary discovery platforms, SupraAntigen and Morphomer, to become a global leader in precision medicine for the diagnosis and treatment of neurodegenerative diseases. We are executing a clear business strategy built on three pillars: (i) accelerate development of novel therapeutics in AD with our partners;</w:t>
      </w:r>
    </w:p>
    <w:p>
      <w:pPr>
        <w:spacing w:after="0" w:line="1" w:lineRule="exact"/>
        <w:rPr>
          <w:sz w:val="20"/>
          <w:szCs w:val="20"/>
          <w:color w:val="auto"/>
        </w:rPr>
      </w:pPr>
    </w:p>
    <w:p>
      <w:pPr>
        <w:jc w:val="both"/>
        <w:ind w:left="60" w:right="99" w:hanging="10"/>
        <w:spacing w:after="0" w:line="255" w:lineRule="auto"/>
        <w:tabs>
          <w:tab w:leader="none" w:pos="3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strategic focus in Parkinson’ disease (PD) and non-AD neurodegenerative diseases, including NeuroOrphan indications and limbic-predominant age-related TDP-43 encephalopathy (LATE); and (iii) a continued focus on diagnostics enabling precision medicine to be an ultimate differentiator for the Company.</w:t>
      </w:r>
    </w:p>
    <w:p>
      <w:pPr>
        <w:spacing w:after="0" w:line="186"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concert in order to slow or stop the disease course. Ultimately, it is our belief that precision medicine will increase the chance of treatment success by enabling clinical trial participants to be better defined by their various proteinopathies, affording treatment with the right therapies at the right time.</w:t>
      </w:r>
    </w:p>
    <w:p>
      <w:pPr>
        <w:spacing w:after="0" w:line="18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Leveraging our dual proprietary technology platforms, we have built a comprehensive pipeline of first-in-class or best-in-class candidates spanning multiple treatment modalities and targeting both established and emerging neurodegenerative pathologies. We are currently advancing eleven therapeutic and three diagnostic programs, with seven currently in clinical trials, targeting five different types of misfolded pathological proteins related to AD, PD and other neurodegenerative disorders. Our pipeline assets are further validated by the multiple partnerships we have established with leading global pharmaceutical companies. We believe our validated technology platforms and personalized medicine approach position AC Immune to revolutionize the treatment of neurodegenerative disease in the way precision diagnostics and targeted therapies are revolutionizing the treatment of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836295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18" w:name="page19"/>
    <w:bookmarkEnd w:id="18"/>
    <w:p>
      <w:pPr>
        <w:ind w:left="380"/>
        <w:spacing w:after="0"/>
        <w:rPr>
          <w:sz w:val="20"/>
          <w:szCs w:val="20"/>
          <w:color w:val="auto"/>
        </w:rPr>
      </w:pPr>
      <w:r>
        <w:rPr>
          <w:rFonts w:ascii="Times New Roman" w:cs="Times New Roman" w:eastAsia="Times New Roman" w:hAnsi="Times New Roman"/>
          <w:sz w:val="18"/>
          <w:szCs w:val="18"/>
          <w:color w:val="auto"/>
        </w:rPr>
        <w:t>Our clinical-stage product candidates include:</w:t>
      </w:r>
    </w:p>
    <w:p>
      <w:pPr>
        <w:spacing w:after="0" w:line="221" w:lineRule="exact"/>
        <w:rPr>
          <w:sz w:val="20"/>
          <w:szCs w:val="20"/>
          <w:color w:val="auto"/>
        </w:rPr>
      </w:pPr>
    </w:p>
    <w:p>
      <w:pPr>
        <w:ind w:left="700" w:right="99" w:hanging="326"/>
        <w:spacing w:after="0" w:line="269" w:lineRule="auto"/>
        <w:tabs>
          <w:tab w:leader="none" w:pos="7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ACI-35.030</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Janssen and AC Immune are evaluating the anti-phosphorylated-Tau (anti-pTau) vaccine candidate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ACI-35.030 in a Phase 1b/2a study in subjects with early AD. Interim results show that ACI-35.030 vaccination generated a strong antigen-specific antibody response against pTau in 100% of participants, achieving anti-pTau antibody levels of about two orders of magnitude higher than pre-vaccination levels, whereas anti-ePHF (enriched paired helical filaments) antibody titers increased by one order of magnitude from baseline as early as two weeks after the second injection at week 8 of the mid-dose of ACI-35.030. No clinically relevant safety concerns related to the vaccine candidate were observed. Based on these results, the second highest dose cohort was expanded in Q2 2021 to facilitate plans for further late-stage development. ACI-35.030 specifically targets pathological pTau species and is eventually intended as a disease-modifying treatment for AD and other Tauopathies.</w:t>
      </w:r>
    </w:p>
    <w:p>
      <w:pPr>
        <w:spacing w:after="0" w:line="174" w:lineRule="exact"/>
        <w:rPr>
          <w:rFonts w:ascii="Times New Roman" w:cs="Times New Roman" w:eastAsia="Times New Roman" w:hAnsi="Times New Roman"/>
          <w:sz w:val="17"/>
          <w:szCs w:val="17"/>
          <w:color w:val="auto"/>
        </w:rPr>
      </w:pPr>
    </w:p>
    <w:p>
      <w:pPr>
        <w:ind w:left="700" w:right="99" w:hanging="326"/>
        <w:spacing w:after="0" w:line="250"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ACI-24 for AD. </w:t>
      </w:r>
      <w:r>
        <w:rPr>
          <w:rFonts w:ascii="Times New Roman" w:cs="Times New Roman" w:eastAsia="Times New Roman" w:hAnsi="Times New Roman"/>
          <w:sz w:val="18"/>
          <w:szCs w:val="18"/>
          <w:color w:val="auto"/>
        </w:rPr>
        <w:t>A first Phase 1/2 study was completed and finalized in 2019. The subsequent Phase 2 study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 assessed the safety, tolerability, immunogenicity and target engagement of ACI-24 using intramuscular immunizations and analyzed the effects of ACI-24 on brain amyloid as assessed by PET imaging. This trial was completed and finalized in November 2021. ACI-24 was safe and well tolerated and triggered a clear IgM response with lower Abeta-specific IgG titers. While no apparent effect in amyloid-PET was observed in this limited study population, there was evidence of a pharmacodynamic effect observed by an increase of CSF Aβ1-40 and Aβ1-42 levels compared to the placebo, thus suggesting target engagement. These results support the clinical development of the optimized formulation of ACI-24 (i.e. ACI-24.060) with Abeta unrelated T-helper cell epitopes to increase the magnitude and the boost-ability of the antibody response. A phase 1b/2, multicenter, adaptive, double-blind, randomized, placebo-controlled study to assess the safety, tolerability, immunogenicity, and pharmacodynamic effects of ACl-24.060 is being evaluated in subjects with prodromal Alzheimer’s disease and subsequently in adults with Down syndrome. The Clinical Trial Application (CTA) for a study evaluating the optimized formulation of ACI-24 in AD and Down syndrome populations has been approved and the first patient dosed in Q2 2022.</w:t>
      </w:r>
    </w:p>
    <w:p>
      <w:pPr>
        <w:spacing w:after="0" w:line="194" w:lineRule="exact"/>
        <w:rPr>
          <w:rFonts w:ascii="Times New Roman" w:cs="Times New Roman" w:eastAsia="Times New Roman" w:hAnsi="Times New Roman"/>
          <w:sz w:val="18"/>
          <w:szCs w:val="18"/>
          <w:color w:val="auto"/>
        </w:rPr>
      </w:pPr>
    </w:p>
    <w:p>
      <w:pPr>
        <w:ind w:left="700" w:right="119" w:hanging="326"/>
        <w:spacing w:after="0" w:line="255"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ACI-24 for DS. </w:t>
      </w:r>
      <w:r>
        <w:rPr>
          <w:rFonts w:ascii="Times New Roman" w:cs="Times New Roman" w:eastAsia="Times New Roman" w:hAnsi="Times New Roman"/>
          <w:sz w:val="18"/>
          <w:szCs w:val="18"/>
          <w:color w:val="auto"/>
        </w:rPr>
        <w:t>Our Phase 1b clinical study of ACI-24 for individuals with DS, intended to assess safety,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tolerability and immunogenicity at two doses, was completed and results reported in Q1 2021. The results support a favorable safety and tolerability profile of ACI-24 and show a pharmacodynamic response in this vulnerable patient population and the advancement of this program with the optimized formulation of ACI-24 (i.e. ACI-24.060).</w:t>
      </w:r>
    </w:p>
    <w:p>
      <w:pPr>
        <w:spacing w:after="0" w:line="182" w:lineRule="exact"/>
        <w:rPr>
          <w:rFonts w:ascii="Times New Roman" w:cs="Times New Roman" w:eastAsia="Times New Roman" w:hAnsi="Times New Roman"/>
          <w:sz w:val="18"/>
          <w:szCs w:val="18"/>
          <w:color w:val="auto"/>
        </w:rPr>
      </w:pPr>
    </w:p>
    <w:p>
      <w:pPr>
        <w:ind w:left="700" w:right="159" w:hanging="326"/>
        <w:spacing w:after="0" w:line="253"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ACI-7104. </w:t>
      </w:r>
      <w:r>
        <w:rPr>
          <w:rFonts w:ascii="Times New Roman" w:cs="Times New Roman" w:eastAsia="Times New Roman" w:hAnsi="Times New Roman"/>
          <w:sz w:val="18"/>
          <w:szCs w:val="18"/>
          <w:color w:val="auto"/>
        </w:rPr>
        <w:t>ACI-7104, the optimized formulation of the clinically-validated PD vaccine candidate PD01,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 into an adaptive, biomarker-based Phase 2 study following the recent approval of the Clinical Trial Application. This trial will evaluate an initial dose-response of the optimized formulation focusing on immunogenicity against a-syn and pathological a-syn species. Additionally, the identification or verification of disease-specific biomarkers and progression of motor and non-motor symptoms of Parkinson’s disease will be monitored, together with digital, imaging and fluid biomarkers, in the second part of the study. The trial initiation is planned in Q4 2022.</w:t>
      </w:r>
    </w:p>
    <w:p>
      <w:pPr>
        <w:spacing w:after="0" w:line="187" w:lineRule="exact"/>
        <w:rPr>
          <w:rFonts w:ascii="Times New Roman" w:cs="Times New Roman" w:eastAsia="Times New Roman" w:hAnsi="Times New Roman"/>
          <w:sz w:val="18"/>
          <w:szCs w:val="18"/>
          <w:color w:val="auto"/>
        </w:rPr>
      </w:pPr>
    </w:p>
    <w:p>
      <w:pPr>
        <w:ind w:left="700" w:right="79" w:hanging="326"/>
        <w:spacing w:after="0" w:line="251"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Semorinemab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collaboration partner, Genentech, a member of the Roche Group, completed a first Phase 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study (Tauriel) conducted in patients with prodromal-to-mild AD in Q3 2020. This trial did not meet its primary efficacy endpoint of reducing decline on Clinical Dementia Rating-Sum of Boxes (CDR-SB) compared to placebo; the primary safety endpoint was met. A second Phase 2 study (Lauriet) conducted in patients with mild-to-moderate AD was completed in Q3 2021 and top-line data showed a statistically significant reduction on one of two co-primary endpoints, ADAS-Cog11. The second co-primary endpoint, ADCS-ADL, and secondary endpoints were not met. Safety data showed that semorinemab is well tolerated with no unanticipated safety signals. Genentech reported that the open label portion of the study will continue as planned and that further analyses are ongoing. Semorinemab is designed to slow the prion-like propagation of Tau pathology, which coincides with both clinical symptoms and disease progression in AD.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9" w:name="page20"/>
    <w:bookmarkEnd w:id="19"/>
    <w:p>
      <w:pPr>
        <w:ind w:left="700" w:right="99" w:hanging="326"/>
        <w:spacing w:after="0" w:line="254"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Crenezumab. </w:t>
      </w:r>
      <w:r>
        <w:rPr>
          <w:rFonts w:ascii="Times New Roman" w:cs="Times New Roman" w:eastAsia="Times New Roman" w:hAnsi="Times New Roman"/>
          <w:sz w:val="18"/>
          <w:szCs w:val="18"/>
          <w:color w:val="auto"/>
        </w:rPr>
        <w:t>In Q2 2022, the Company provided an update on its Alzheimer’s Prevention Initiative study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evaluating crenezumab in autosomal dominant Alzheimer’s disease. Crenezumab did not statistically significantly slow or prevent cognitive decline in people with a specific genetic mutation which causes early-onset Alzheimer’s disease. However, numerical differences favoring crenezumab over placebo were observed across the co-primary, multiple secondary and exploratory endpoints. Initial data was presented at the Alzheimer’s Association International Conference (AAIC) on August 2, 2022.</w:t>
      </w:r>
    </w:p>
    <w:p>
      <w:pPr>
        <w:spacing w:after="0" w:line="184" w:lineRule="exact"/>
        <w:rPr>
          <w:rFonts w:ascii="Times New Roman" w:cs="Times New Roman" w:eastAsia="Times New Roman" w:hAnsi="Times New Roman"/>
          <w:sz w:val="18"/>
          <w:szCs w:val="18"/>
          <w:color w:val="auto"/>
        </w:rPr>
      </w:pPr>
    </w:p>
    <w:p>
      <w:pPr>
        <w:ind w:left="700" w:right="79" w:hanging="326"/>
        <w:spacing w:after="0" w:line="270" w:lineRule="auto"/>
        <w:tabs>
          <w:tab w:leader="none" w:pos="7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Morphomer Tau aggregation inhibitors. </w:t>
      </w:r>
      <w:r>
        <w:rPr>
          <w:rFonts w:ascii="Times New Roman" w:cs="Times New Roman" w:eastAsia="Times New Roman" w:hAnsi="Times New Roman"/>
          <w:sz w:val="17"/>
          <w:szCs w:val="17"/>
          <w:color w:val="auto"/>
        </w:rPr>
        <w:t>In collaboration with our partner, Lilly, we are researching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developing small molecule Tau aggregation inhibitors with plans to evaluate candidates in AD and NeuroOrphan indications. We completed a Phase 1 clinical study in healthy volunteers with ACI-3024, in Q2 2020, which showed a dose-dependent exposure and brain penetration, achieving the desired levels of ACI-3024 in the CSF. In addition to AD, the program was expanded to NeuroOrphan indications and ACI-3024 will be further evaluated for efficacy in models of rare Tauopathies. Continued candidate characterization across the research program has also identified new and highly differentiated candidates with excellent cerebrospinal fluid exposure and selectivity for pathological aggregated Tau. These will be broadly developed in Tau-dependent neurodegenerative diseases.</w:t>
      </w:r>
    </w:p>
    <w:p>
      <w:pPr>
        <w:spacing w:after="0" w:line="171" w:lineRule="exact"/>
        <w:rPr>
          <w:rFonts w:ascii="Times New Roman" w:cs="Times New Roman" w:eastAsia="Times New Roman" w:hAnsi="Times New Roman"/>
          <w:sz w:val="17"/>
          <w:szCs w:val="17"/>
          <w:color w:val="auto"/>
        </w:rPr>
      </w:pPr>
    </w:p>
    <w:p>
      <w:pPr>
        <w:ind w:left="700" w:right="139" w:hanging="326"/>
        <w:spacing w:after="0" w:line="255"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Tau-PET tracer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PI-2620 is our Tau-PET imaging agent. We are working with our partner, LMI, to advance PI-2620 as a highly differentiated, best-in-class Tau diagnostic for AD as well as non-AD Tauopathies such as progressive supranuclear palsy (PSP) and corticobasal degeneration (CBD). Results have demonstrated PI-2620’s differentiated characteristics as a diagnostic tool for studying Tau-related diseases. PI-2620 completed a Phase 2 clinical trial in AD in Q4 2021 and submitted a late-stage study protocol to regulators in Q3 2022.</w:t>
      </w:r>
    </w:p>
    <w:p>
      <w:pPr>
        <w:spacing w:after="0" w:line="186" w:lineRule="exact"/>
        <w:rPr>
          <w:rFonts w:ascii="Times New Roman" w:cs="Times New Roman" w:eastAsia="Times New Roman" w:hAnsi="Times New Roman"/>
          <w:sz w:val="18"/>
          <w:szCs w:val="18"/>
          <w:color w:val="auto"/>
        </w:rPr>
      </w:pPr>
    </w:p>
    <w:p>
      <w:pPr>
        <w:ind w:left="700" w:right="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study published in Movement Disorders indicated a value of PI-2620 for evaluating corticobasal syndrome, providing quantitatively and regionally distinct signals in beta-amyloid-positive as well as beta-amyloid-negative corticobasal syndrome. Further, results demonstrated PI-2620’s excellent characteristics as a diagnostic tool for studying Tau-related diseases following a recent publication (J Cereb Blood Flow Metab) that PI-2620 binding characteristics in cortical regions differentiated between 3/4R- and 4R-tauopathies and might serve as a supportive readout in the diagnostic workup of neurodegenerative disorders. Two test-retest studies in PSP (Phase 1) are open and recruiting with data anticipated in Q4 2022.</w:t>
      </w:r>
    </w:p>
    <w:p>
      <w:pPr>
        <w:spacing w:after="0" w:line="183" w:lineRule="exact"/>
        <w:rPr>
          <w:rFonts w:ascii="Times New Roman" w:cs="Times New Roman" w:eastAsia="Times New Roman" w:hAnsi="Times New Roman"/>
          <w:sz w:val="18"/>
          <w:szCs w:val="18"/>
          <w:color w:val="auto"/>
        </w:rPr>
      </w:pPr>
    </w:p>
    <w:p>
      <w:pPr>
        <w:ind w:left="700" w:right="139" w:hanging="326"/>
        <w:spacing w:after="0" w:line="238"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A-syn-PET tracer. </w:t>
      </w:r>
      <w:r>
        <w:rPr>
          <w:rFonts w:ascii="Times New Roman" w:cs="Times New Roman" w:eastAsia="Times New Roman" w:hAnsi="Times New Roman"/>
          <w:sz w:val="18"/>
          <w:szCs w:val="18"/>
          <w:color w:val="auto"/>
        </w:rPr>
        <w:t>Our next-generation PET imaging tracer, derived from our Morphomer platform, has shown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potential to reliably detect and map deposits of pathological alpha-synuclein protein in the brain. Supported by the Michael J. Fox Foundation for Parkinson’s Research (MJFF), a first-in-human study and an investigator-initiated study of our latest diagnostic agent targeting a-syn, ACI-12589, were initiated in Q1 and Q3 2021, respectively. The readouts of these trials in patients with PD, multiple system atrophy (MSA) and other synucleinopathies were reported at the AD/PD</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2022 Conference. These images provided the first clinical proof-of-concept for an a-syn PET tracer, as ACI-12589 clearly distinguished patients with MSA from those with other alpha-synucleinopathies and healthy controls.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Interim 2022 Company Highlights</w:t>
      </w:r>
    </w:p>
    <w:p>
      <w:pPr>
        <w:spacing w:after="0" w:line="229" w:lineRule="exact"/>
        <w:rPr>
          <w:sz w:val="20"/>
          <w:szCs w:val="20"/>
          <w:color w:val="auto"/>
        </w:rPr>
      </w:pPr>
    </w:p>
    <w:p>
      <w:pPr>
        <w:ind w:left="700" w:right="119" w:hanging="326"/>
        <w:spacing w:after="0" w:line="25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results from the Phase 2 Alzheimer’s Prevention Initiative (API) study evaluating the anti-Abeta monoclonal antibody crenezumab in autosomal dominant Alzheimer’s disease (ADAD), presented at AAIC by AC Immune’s partner Genentech, a member of the Roche group, and the Banner Alzheimer’s Institute. Numerical differences favoring crenezumab were observed across both co-primary endpoints, as well as multiple secondary and exploratory endpoints, though none were statistically significant. Demographic and baseline biomarker data indicate a confluence of factors (e.g. dose and slower than expected disease progression) may have led the study to have lower than expected statistical power. All mutation carriers may continue to receive crenezumab while the data are further analyzed.</w:t>
      </w:r>
    </w:p>
    <w:p>
      <w:pPr>
        <w:spacing w:after="0" w:line="191" w:lineRule="exact"/>
        <w:rPr>
          <w:rFonts w:ascii="Times New Roman" w:cs="Times New Roman" w:eastAsia="Times New Roman" w:hAnsi="Times New Roman"/>
          <w:sz w:val="18"/>
          <w:szCs w:val="18"/>
          <w:color w:val="auto"/>
        </w:rPr>
      </w:pPr>
    </w:p>
    <w:p>
      <w:pPr>
        <w:jc w:val="both"/>
        <w:ind w:left="700" w:right="139" w:hanging="326"/>
        <w:spacing w:after="0" w:line="258"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an update on the Phase 1b/2 ABATE study of the Abeta vaccine ACI-24.060 in patients with prodromal Alzheimer’s disease (AD) and individuals with Down syndrome (DS). Clinical sites in the UK and Spain are now open and recruiting following regulatory clearances in both countries. Interim safety and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0" w:name="page21"/>
    <w:bookmarkEnd w:id="20"/>
    <w:p>
      <w:pPr>
        <w:ind w:left="700"/>
        <w:spacing w:after="0"/>
        <w:rPr>
          <w:sz w:val="20"/>
          <w:szCs w:val="20"/>
          <w:color w:val="auto"/>
        </w:rPr>
      </w:pPr>
      <w:r>
        <w:rPr>
          <w:rFonts w:ascii="Times New Roman" w:cs="Times New Roman" w:eastAsia="Times New Roman" w:hAnsi="Times New Roman"/>
          <w:sz w:val="18"/>
          <w:szCs w:val="18"/>
          <w:color w:val="auto"/>
        </w:rPr>
        <w:t>immunogenicity data from the Phase 1b portion of the trial in AD are expected around year end 2022. U.S.</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Investigational New Drug (IND) application planned for submission in Q1 2023.</w:t>
      </w:r>
    </w:p>
    <w:p>
      <w:pPr>
        <w:spacing w:after="0" w:line="207" w:lineRule="exact"/>
        <w:rPr>
          <w:sz w:val="20"/>
          <w:szCs w:val="20"/>
          <w:color w:val="auto"/>
        </w:rPr>
      </w:pPr>
    </w:p>
    <w:p>
      <w:pPr>
        <w:jc w:val="both"/>
        <w:ind w:left="700" w:right="379" w:hanging="326"/>
        <w:spacing w:after="0" w:line="26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clearance for a clinical trial application to initiate an adaptive, biomarker-based Phase 2 study of the anti-alpha-synuclein vaccine ACI-7104 in patients with early Parkinson’s disease (PD). Initiation of the trial is expected in Q4 2022.</w:t>
      </w:r>
    </w:p>
    <w:p>
      <w:pPr>
        <w:spacing w:after="0" w:line="175" w:lineRule="exact"/>
        <w:rPr>
          <w:rFonts w:ascii="Times New Roman" w:cs="Times New Roman" w:eastAsia="Times New Roman" w:hAnsi="Times New Roman"/>
          <w:sz w:val="18"/>
          <w:szCs w:val="18"/>
          <w:color w:val="auto"/>
        </w:rPr>
      </w:pPr>
    </w:p>
    <w:p>
      <w:pPr>
        <w:ind w:left="700" w:right="119" w:hanging="326"/>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Tau PET tracer, PI-2620, is being advanced into late-stage development in AD by our partner, Life Molecular Imaging.</w:t>
      </w:r>
    </w:p>
    <w:p>
      <w:pPr>
        <w:spacing w:after="0" w:line="161" w:lineRule="exact"/>
        <w:rPr>
          <w:rFonts w:ascii="Times New Roman" w:cs="Times New Roman" w:eastAsia="Times New Roman" w:hAnsi="Times New Roman"/>
          <w:sz w:val="18"/>
          <w:szCs w:val="18"/>
          <w:color w:val="auto"/>
        </w:rPr>
      </w:pPr>
    </w:p>
    <w:p>
      <w:pPr>
        <w:ind w:left="700" w:right="139" w:hanging="326"/>
        <w:spacing w:after="0" w:line="26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 MJFF grant to support the continued development of ACI-12589, AC Immune’s wholly-owned alpha-synuclein (a-syn) PET tracer. The new grant brings the total MJFF funding for this program up to USD 3.7 million.</w:t>
      </w:r>
    </w:p>
    <w:p>
      <w:pPr>
        <w:spacing w:after="0" w:line="175" w:lineRule="exact"/>
        <w:rPr>
          <w:rFonts w:ascii="Times New Roman" w:cs="Times New Roman" w:eastAsia="Times New Roman" w:hAnsi="Times New Roman"/>
          <w:sz w:val="18"/>
          <w:szCs w:val="18"/>
          <w:color w:val="auto"/>
        </w:rPr>
      </w:pPr>
    </w:p>
    <w:p>
      <w:pPr>
        <w:ind w:left="700" w:right="899" w:hanging="326"/>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Showcased pipeline of potentially first- and best-in-class therapeutic and diagnostic candidates with 10 presentations at the 2022 Alzheimer’s Association International Conference (AAIC).</w:t>
      </w:r>
    </w:p>
    <w:p>
      <w:pPr>
        <w:spacing w:after="0" w:line="161" w:lineRule="exact"/>
        <w:rPr>
          <w:rFonts w:ascii="Times New Roman" w:cs="Times New Roman" w:eastAsia="Times New Roman" w:hAnsi="Times New Roman"/>
          <w:sz w:val="18"/>
          <w:szCs w:val="18"/>
          <w:color w:val="auto"/>
        </w:rPr>
      </w:pPr>
    </w:p>
    <w:p>
      <w:pPr>
        <w:ind w:left="700" w:right="159" w:hanging="326"/>
        <w:spacing w:after="0" w:line="26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Hosted a key opinion leader webinar on vaccines for Alzheimer’s and Parkinson’s diseases. The webinar featured a presentation by Cynthia A. Lemere, Ph.D., of the Ann Romney Center for Neurologic Diseases at Brigham &amp; Women's Hospital and Harvard Medical School.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Covid-19 global pandemic has impacted various countries in which AC Immune currently operates clinical trials and business operations. The extent to which Covid-19 may impact us will depend on future developments, which are currently uncertain and cannot be predicted with confidence, such as the duration of the outbreak, the severity of Covid-19, or the effectiveness of actions to contain and treat Covid-19.</w:t>
      </w:r>
    </w:p>
    <w:p>
      <w:pPr>
        <w:spacing w:after="0" w:line="187"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The Company continues to execute its business continuity plan and adapt as the situation evolves. Currently, we have resumed normal operations at full capacity, with minimal disruption to our business. We are continuously assessing and adapting our working practices and business operations to ensure compliance with official guidance and orders related to the pandemic and are working proactively with our partners and other stakeholders to take steps intended to mitigate and minimize any negative impact to our research, clinical programs and other business operations.</w:t>
      </w:r>
    </w:p>
    <w:p>
      <w:pPr>
        <w:spacing w:after="0" w:line="170"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The Company does not currently have or project material impacts to the ongoing key trials. Additionally, the Company has drug supplies that are expected to be sufficient to complete ongoing trials as well as additional drug substance supplies expected to be sufficient to support ongoing cohorts of clinical trials for a period of at least three to six months. The Company will refrain from starting new clinical trials if a minimum of a six-month supply on hand cannot be secured. Finally, the Company currently does not expect delays to its clinical trials due to manufacturing or supply-chain issues.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2022 and 2021</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revenues</w:t>
      </w:r>
    </w:p>
    <w:p>
      <w:pPr>
        <w:spacing w:after="0" w:line="214" w:lineRule="exact"/>
        <w:rPr>
          <w:sz w:val="20"/>
          <w:szCs w:val="20"/>
          <w:color w:val="auto"/>
        </w:rPr>
      </w:pPr>
    </w:p>
    <w:p>
      <w:pPr>
        <w:jc w:val="both"/>
        <w:ind w:left="60" w:right="639" w:firstLine="324"/>
        <w:spacing w:after="0" w:line="266" w:lineRule="auto"/>
        <w:rPr>
          <w:sz w:val="20"/>
          <w:szCs w:val="20"/>
          <w:color w:val="auto"/>
        </w:rPr>
      </w:pPr>
      <w:r>
        <w:rPr>
          <w:rFonts w:ascii="Times New Roman" w:cs="Times New Roman" w:eastAsia="Times New Roman" w:hAnsi="Times New Roman"/>
          <w:sz w:val="18"/>
          <w:szCs w:val="18"/>
          <w:color w:val="auto"/>
        </w:rPr>
        <w:t>The Company generated CHF 3.9 million in contract revenues for the three months ended September 30, 2022, compared to nil in the comparable prior period. This represents an increase of CHF 3.9 million. The following table summarizes our contact revenues during the three months ended September 30, 2022 and 2021:</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340" w:type="dxa"/>
            <w:vAlign w:val="bottom"/>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60" w:type="dxa"/>
            <w:vAlign w:val="bottom"/>
            <w:vMerge w:val="restart"/>
          </w:tcPr>
          <w:p>
            <w:pPr>
              <w:spacing w:after="0"/>
              <w:rPr>
                <w:sz w:val="16"/>
                <w:szCs w:val="16"/>
                <w:color w:val="auto"/>
              </w:rPr>
            </w:pPr>
          </w:p>
        </w:tc>
        <w:tc>
          <w:tcPr>
            <w:tcW w:w="2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53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12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6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3,934</w:t>
            </w:r>
          </w:p>
        </w:tc>
        <w:tc>
          <w:tcPr>
            <w:tcW w:w="0" w:type="dxa"/>
            <w:vAlign w:val="bottom"/>
          </w:tcPr>
          <w:p>
            <w:pPr>
              <w:spacing w:after="0"/>
              <w:rPr>
                <w:sz w:val="1"/>
                <w:szCs w:val="1"/>
                <w:color w:val="auto"/>
              </w:rPr>
            </w:pPr>
          </w:p>
        </w:tc>
      </w:tr>
      <w:tr>
        <w:trPr>
          <w:trHeight w:val="425"/>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contract 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60" w:type="dxa"/>
            <w:vAlign w:val="bottom"/>
          </w:tcPr>
          <w:p>
            <w:pPr>
              <w:spacing w:after="0"/>
              <w:rPr>
                <w:sz w:val="24"/>
                <w:szCs w:val="24"/>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3,934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the CHF 3.9 million increase compared with the prior period is predominantly related to:</w:t>
      </w:r>
    </w:p>
    <w:p>
      <w:pPr>
        <w:sectPr>
          <w:pgSz w:w="11900" w:h="16838" w:orient="portrait"/>
          <w:cols w:equalWidth="0" w:num="1">
            <w:col w:w="9019"/>
          </w:cols>
          <w:pgMar w:left="1440" w:top="87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21" w:name="page22"/>
    <w:bookmarkEnd w:id="21"/>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CHF 3.9 million for a milestone associated with our agreement with Life Molecular Imaging (LMI).</w:t>
      </w:r>
    </w:p>
    <w:p>
      <w:pPr>
        <w:spacing w:after="0" w:line="225"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the Company generated CHF 3.9 million in contract revenues compared to nil in the comparable period. This represents an increase of CHF 3.9 million. The following table summarizes our contact revenues during the nine months ended September 30, 2022 and 2021:</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440" w:type="dxa"/>
            <w:vAlign w:val="bottom"/>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40" w:type="dxa"/>
            <w:vAlign w:val="bottom"/>
            <w:vMerge w:val="restart"/>
          </w:tcPr>
          <w:p>
            <w:pPr>
              <w:spacing w:after="0"/>
              <w:rPr>
                <w:sz w:val="16"/>
                <w:szCs w:val="16"/>
                <w:color w:val="auto"/>
              </w:rPr>
            </w:pPr>
          </w:p>
        </w:tc>
        <w:tc>
          <w:tcPr>
            <w:tcW w:w="2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54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2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6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3,934</w:t>
            </w:r>
          </w:p>
        </w:tc>
        <w:tc>
          <w:tcPr>
            <w:tcW w:w="0" w:type="dxa"/>
            <w:vAlign w:val="bottom"/>
          </w:tcPr>
          <w:p>
            <w:pPr>
              <w:spacing w:after="0"/>
              <w:rPr>
                <w:sz w:val="1"/>
                <w:szCs w:val="1"/>
                <w:color w:val="auto"/>
              </w:rPr>
            </w:pPr>
          </w:p>
        </w:tc>
      </w:tr>
      <w:tr>
        <w:trPr>
          <w:trHeight w:val="42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60" w:type="dxa"/>
            <w:vAlign w:val="bottom"/>
          </w:tcPr>
          <w:p>
            <w:pPr>
              <w:spacing w:after="0"/>
              <w:rPr>
                <w:sz w:val="24"/>
                <w:szCs w:val="24"/>
                <w:color w:val="auto"/>
              </w:rPr>
            </w:pP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3,934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the CHF 3.9 million increase compared with the prior period is predominantly related to:</w:t>
      </w:r>
    </w:p>
    <w:p>
      <w:pPr>
        <w:spacing w:after="0" w:line="162" w:lineRule="exact"/>
        <w:rPr>
          <w:sz w:val="20"/>
          <w:szCs w:val="20"/>
          <w:color w:val="auto"/>
        </w:rPr>
      </w:pPr>
    </w:p>
    <w:p>
      <w:pPr>
        <w:ind w:left="700" w:hanging="326"/>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CHF 3.9 million for a milestone associated with our agreement with LMI.</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39" w:firstLine="324"/>
        <w:spacing w:after="0" w:line="281" w:lineRule="auto"/>
        <w:rPr>
          <w:sz w:val="20"/>
          <w:szCs w:val="20"/>
          <w:color w:val="auto"/>
        </w:rPr>
      </w:pPr>
      <w:r>
        <w:rPr>
          <w:rFonts w:ascii="Times New Roman" w:cs="Times New Roman" w:eastAsia="Times New Roman" w:hAnsi="Times New Roman"/>
          <w:sz w:val="17"/>
          <w:szCs w:val="17"/>
          <w:color w:val="auto"/>
        </w:rPr>
        <w:t>Research and development (R&amp;D)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have different arrangements to share costs for the development of our product candidates.</w:t>
      </w:r>
    </w:p>
    <w:p>
      <w:pPr>
        <w:spacing w:after="0" w:line="151"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We have completed our R&amp;D spending in both of our Genentech collaborations. We and Janssen are co-developing second-generation therapeutic vaccines, ACI-35.030 and JACI-35.054, through Phase 1b/2a completion. AC Immune and Janssen will jointly share R&amp;D costs until the completion of the first Phase 2b. AC Immune’s contribution to the first Phase 2b trial is capped. From Phase 2b and onwards, Janssen will assume responsibility for the clinical development, manufacturing and commercialization of the vaccines. We also expect to incur additional R&amp;D expenditures associated with the expansion of our Morphomer Tau program into AD and NeuroOrphan indications.</w:t>
      </w:r>
    </w:p>
    <w:p>
      <w:pPr>
        <w:spacing w:after="0" w:line="187"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also intend to increase our R&amp;D costs associated with the advancement of our ACI-24 vaccine program (i.e. ACI-24 AD and ACI-24 DS) and ACI-7104 in Parkinson’s disease and through mid- and late-stage clinical development.</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Finally, we intend to further characterize our other clinical and preclinical candidates. In addition to</w:t>
      </w:r>
    </w:p>
    <w:p>
      <w:pPr>
        <w:spacing w:after="0" w:line="27" w:lineRule="exact"/>
        <w:rPr>
          <w:sz w:val="20"/>
          <w:szCs w:val="20"/>
          <w:color w:val="auto"/>
        </w:rPr>
      </w:pPr>
    </w:p>
    <w:p>
      <w:pPr>
        <w:ind w:left="60" w:right="539"/>
        <w:spacing w:after="0" w:line="255" w:lineRule="auto"/>
        <w:rPr>
          <w:sz w:val="20"/>
          <w:szCs w:val="20"/>
          <w:color w:val="auto"/>
        </w:rPr>
      </w:pPr>
      <w:r>
        <w:rPr>
          <w:rFonts w:ascii="Times New Roman" w:cs="Times New Roman" w:eastAsia="Times New Roman" w:hAnsi="Times New Roman"/>
          <w:sz w:val="18"/>
          <w:szCs w:val="18"/>
          <w:color w:val="auto"/>
        </w:rPr>
        <w:t>these arrangements and proprietarily held assets, we expect that our total future R&amp;D costs will increase over current levels, in line with our three-pillar strategy that focuses on (i) AD, (ii) focused non-AD NDD including Parkinson’s disease, ALS and NeuroOrphan indications and (iii) diagnostics.</w:t>
      </w:r>
    </w:p>
    <w:p>
      <w:pPr>
        <w:spacing w:after="0" w:line="186"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table below provides a breakdown of our R&amp;D costs, including direct R&amp;D costs, manufacturing costs related to R&amp;D and other R&amp;D costs not allocated directly to programs for the periods covered by these Interim Condensed Consolidated Financial Statements. The R&amp;D costs not allocated to specific programs include employment costs, regulatory, QA and intellectual property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R&amp;D programs.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2" w:name="page23"/>
    <w:bookmarkEnd w:id="22"/>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R&amp;D expenses totaled CHF 14.4 million compared with CHF 15.1 million for the comparable period in 2021, respectively. This represents a decrease of CHF 0.7 million. The following table presents the R&amp;D expenses during the three months ended September 30, 2022 and 2021:</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gridSpan w:val="3"/>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80" w:type="dxa"/>
            <w:vAlign w:val="bottom"/>
            <w:gridSpan w:val="3"/>
            <w:vMerge w:val="continue"/>
          </w:tcPr>
          <w:p>
            <w:pPr>
              <w:spacing w:after="0"/>
              <w:rPr>
                <w:sz w:val="15"/>
                <w:szCs w:val="15"/>
                <w:color w:val="auto"/>
              </w:rPr>
            </w:pPr>
          </w:p>
        </w:tc>
        <w:tc>
          <w:tcPr>
            <w:tcW w:w="74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Discovery and preclinical expenses</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function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50"/>
        </w:trPr>
        <w:tc>
          <w:tcPr>
            <w:tcW w:w="63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Direct R&amp;D</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2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18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Payroll expenses</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4,013</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3,870</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non-allocated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09"/>
        </w:trPr>
        <w:tc>
          <w:tcPr>
            <w:tcW w:w="63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R&amp;D</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gridSpan w:val="3"/>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80" w:type="dxa"/>
            <w:vAlign w:val="bottom"/>
            <w:gridSpan w:val="3"/>
            <w:vMerge w:val="continue"/>
          </w:tcPr>
          <w:p>
            <w:pPr>
              <w:spacing w:after="0"/>
              <w:rPr>
                <w:sz w:val="15"/>
                <w:szCs w:val="15"/>
                <w:color w:val="auto"/>
              </w:rPr>
            </w:pPr>
          </w:p>
        </w:tc>
        <w:tc>
          <w:tcPr>
            <w:tcW w:w="74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tabs>
          <w:tab w:leader="none" w:pos="38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spacing w:after="0" w:line="1" w:lineRule="exact"/>
        <w:rPr>
          <w:sz w:val="20"/>
          <w:szCs w:val="20"/>
          <w:color w:val="auto"/>
        </w:rPr>
      </w:pPr>
    </w:p>
    <w:p>
      <w:pPr>
        <w:jc w:val="both"/>
        <w:ind w:left="60" w:right="5459" w:hanging="10"/>
        <w:spacing w:after="0" w:line="409" w:lineRule="auto"/>
        <w:tabs>
          <w:tab w:leader="none" w:pos="384"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share-based compensation expense For the three months ended September 30, 2022:</w:t>
      </w:r>
    </w:p>
    <w:p>
      <w:pPr>
        <w:spacing w:after="0" w:line="1" w:lineRule="exact"/>
        <w:rPr>
          <w:rFonts w:ascii="Times New Roman" w:cs="Times New Roman" w:eastAsia="Times New Roman" w:hAnsi="Times New Roman"/>
          <w:sz w:val="26"/>
          <w:szCs w:val="26"/>
          <w:color w:val="auto"/>
          <w:vertAlign w:val="superscript"/>
        </w:rPr>
      </w:pPr>
    </w:p>
    <w:p>
      <w:pPr>
        <w:ind w:left="38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Discovery and preclinical expenses decreased by CHF 0.8 million, primarily due to:</w:t>
      </w:r>
    </w:p>
    <w:p>
      <w:pPr>
        <w:spacing w:after="0" w:line="225" w:lineRule="exact"/>
        <w:rPr>
          <w:sz w:val="20"/>
          <w:szCs w:val="20"/>
          <w:color w:val="auto"/>
        </w:rPr>
      </w:pPr>
    </w:p>
    <w:p>
      <w:pPr>
        <w:ind w:left="700" w:right="939" w:hanging="326"/>
        <w:spacing w:after="0" w:line="282"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0.7 million in ACI-24 for DS for the development costs associated with the vaccine formulation and CHF 0.8 million for certain discovery programs,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ind w:left="700" w:right="99" w:hanging="326"/>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0.6 million associated with investments in our ACI-7104 vaccine, our alpha-synuclein vaccine for Parkinson’s disease acquired in Q4 2021.</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Clinical expenses decreased by CHF 0.6 million, primarily due to:</w:t>
      </w:r>
    </w:p>
    <w:p>
      <w:pPr>
        <w:spacing w:after="0" w:line="212" w:lineRule="exact"/>
        <w:rPr>
          <w:sz w:val="20"/>
          <w:szCs w:val="20"/>
          <w:color w:val="auto"/>
        </w:rPr>
      </w:pPr>
    </w:p>
    <w:p>
      <w:pPr>
        <w:ind w:left="700" w:right="139" w:hanging="326"/>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2.0 million for the clinical development of ACI-35.030 driven by timing of activities across various cohorts started in prior years and expenses associated with the R&amp;D cost sharing and CHF 0.5 million for ACI-24 for AD as the prior clinical trial completed,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ind w:left="700" w:right="359" w:hanging="326"/>
        <w:spacing w:after="0" w:line="282"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1.2 million for the clinical development of ACI-7104, which were not incurred in the prior period and CHF 0.5 million for the new clinical development of our ACI-24 vaccine program.</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variances in Group function expenses relate to regulatory and quality assurance, and intellectual property costs.</w:t>
      </w:r>
    </w:p>
    <w:p>
      <w:pPr>
        <w:spacing w:after="0" w:line="225"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variances in Other non-allocated expenses relate to administrative R&amp;D and certain non-allocated functional expenses, primarily due to:</w:t>
      </w:r>
    </w:p>
    <w:p>
      <w:pPr>
        <w:spacing w:after="0" w:line="162" w:lineRule="exact"/>
        <w:rPr>
          <w:sz w:val="20"/>
          <w:szCs w:val="20"/>
          <w:color w:val="auto"/>
        </w:rPr>
      </w:pPr>
    </w:p>
    <w:p>
      <w:pPr>
        <w:ind w:left="700" w:right="279" w:hanging="326"/>
        <w:spacing w:after="0" w:line="282"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0.7 million associated with the reallocation of certain IT and facilities expenditures made in Q3 2022 that were not reclassified in the prior year period,</w:t>
      </w:r>
    </w:p>
    <w:p>
      <w:pPr>
        <w:sectPr>
          <w:pgSz w:w="11900" w:h="16838" w:orient="portrait"/>
          <w:cols w:equalWidth="0" w:num="1">
            <w:col w:w="9019"/>
          </w:cols>
          <w:pgMar w:left="1440" w:top="87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ind w:left="700" w:hanging="326"/>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0.2 million across various other cost centers.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salaries and related costs increased by CHF 0.1 million, primarily due to:</w:t>
      </w:r>
    </w:p>
    <w:p>
      <w:pPr>
        <w:spacing w:after="0" w:line="225" w:lineRule="exact"/>
        <w:rPr>
          <w:sz w:val="20"/>
          <w:szCs w:val="20"/>
          <w:color w:val="auto"/>
        </w:rPr>
      </w:pPr>
    </w:p>
    <w:p>
      <w:pPr>
        <w:ind w:left="700" w:right="619" w:hanging="326"/>
        <w:spacing w:after="0" w:line="266"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salary- and benefit-related costs of CHF 0.1 million primarily related to new hires during the quarter and annualization of 2021 hires.</w:t>
      </w:r>
    </w:p>
    <w:p>
      <w:pPr>
        <w:spacing w:after="0" w:line="18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R&amp;D expenses totaled CHF 45.2 million compared with CHF 42.2 million for the comparable period in 2021. This represents an increase of CHF 3.0 million. The following table presents the R&amp;D expenses during the nine months ended September 30, 2022 and 2021:</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7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8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300" w:type="dxa"/>
            <w:vAlign w:val="bottom"/>
            <w:gridSpan w:val="2"/>
            <w:vMerge w:val="continue"/>
          </w:tcPr>
          <w:p>
            <w:pPr>
              <w:spacing w:after="0"/>
              <w:rPr>
                <w:sz w:val="15"/>
                <w:szCs w:val="15"/>
                <w:color w:val="auto"/>
              </w:rPr>
            </w:pPr>
          </w:p>
        </w:tc>
        <w:tc>
          <w:tcPr>
            <w:tcW w:w="6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Discovery and preclinical expenses</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function expenses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49"/>
        </w:trPr>
        <w:tc>
          <w:tcPr>
            <w:tcW w:w="65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Direct R&amp;D</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23,573</w:t>
            </w:r>
          </w:p>
        </w:tc>
        <w:tc>
          <w:tcPr>
            <w:tcW w:w="20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24,450</w:t>
            </w:r>
          </w:p>
        </w:tc>
        <w:tc>
          <w:tcPr>
            <w:tcW w:w="1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Payroll expenses</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13,098</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12,393</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non-allocated</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10"/>
        </w:trPr>
        <w:tc>
          <w:tcPr>
            <w:tcW w:w="65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R&amp;D</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42,158</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7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8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300" w:type="dxa"/>
            <w:vAlign w:val="bottom"/>
            <w:gridSpan w:val="2"/>
            <w:vMerge w:val="continue"/>
          </w:tcPr>
          <w:p>
            <w:pPr>
              <w:spacing w:after="0"/>
              <w:rPr>
                <w:sz w:val="15"/>
                <w:szCs w:val="15"/>
                <w:color w:val="auto"/>
              </w:rPr>
            </w:pPr>
          </w:p>
        </w:tc>
        <w:tc>
          <w:tcPr>
            <w:tcW w:w="6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30,877</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28,619</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42,158</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tabs>
          <w:tab w:leader="none" w:pos="380"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spacing w:after="0" w:line="1" w:lineRule="exact"/>
        <w:rPr>
          <w:sz w:val="20"/>
          <w:szCs w:val="20"/>
          <w:color w:val="auto"/>
        </w:rPr>
      </w:pPr>
    </w:p>
    <w:p>
      <w:pPr>
        <w:jc w:val="both"/>
        <w:ind w:left="60" w:right="5479" w:hanging="10"/>
        <w:spacing w:after="0" w:line="409" w:lineRule="auto"/>
        <w:tabs>
          <w:tab w:leader="none" w:pos="384" w:val="left"/>
        </w:tabs>
        <w:numPr>
          <w:ilvl w:val="0"/>
          <w:numId w:val="2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share-based compensation expense For the nine months ended September 30, 2022:</w:t>
      </w:r>
    </w:p>
    <w:p>
      <w:pPr>
        <w:spacing w:after="0" w:line="1" w:lineRule="exact"/>
        <w:rPr>
          <w:rFonts w:ascii="Times New Roman" w:cs="Times New Roman" w:eastAsia="Times New Roman" w:hAnsi="Times New Roman"/>
          <w:sz w:val="26"/>
          <w:szCs w:val="26"/>
          <w:color w:val="auto"/>
          <w:vertAlign w:val="superscript"/>
        </w:rPr>
      </w:pPr>
    </w:p>
    <w:p>
      <w:pPr>
        <w:ind w:left="38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Discovery and preclinical expenses decreased by CHF 1.9 million, primarily due to:</w:t>
      </w:r>
    </w:p>
    <w:p>
      <w:pPr>
        <w:spacing w:after="0" w:line="211" w:lineRule="exact"/>
        <w:rPr>
          <w:rFonts w:ascii="Times New Roman" w:cs="Times New Roman" w:eastAsia="Times New Roman" w:hAnsi="Times New Roman"/>
          <w:sz w:val="26"/>
          <w:szCs w:val="26"/>
          <w:color w:val="auto"/>
          <w:vertAlign w:val="superscript"/>
        </w:rPr>
      </w:pPr>
    </w:p>
    <w:p>
      <w:pPr>
        <w:ind w:left="700" w:right="379" w:hanging="326"/>
        <w:spacing w:after="0" w:line="266" w:lineRule="auto"/>
        <w:tabs>
          <w:tab w:leader="none" w:pos="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1.7 million in ACI-24 for DS for the development costs associated with the vaccine formulation as the program advances into clinical testing, CHF 0.3 million for our inflammation programs and CHF 0.8 million for certain discovery programs,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ind w:left="700" w:right="99" w:hanging="326"/>
        <w:spacing w:after="0" w:line="282"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0.9 million associated with investments in our ACI-7104 vaccine, our alpha-synuclein vaccine for Parkinson’s disease acquired in Q4 2021.</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Clinical expenses increased by CHF 0.6 million, primarily due to:</w:t>
      </w:r>
    </w:p>
    <w:p>
      <w:pPr>
        <w:spacing w:after="0" w:line="225" w:lineRule="exact"/>
        <w:rPr>
          <w:sz w:val="20"/>
          <w:szCs w:val="20"/>
          <w:color w:val="auto"/>
        </w:rPr>
      </w:pPr>
    </w:p>
    <w:p>
      <w:pPr>
        <w:ind w:left="700" w:right="79" w:hanging="326"/>
        <w:spacing w:after="0" w:line="282"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2.2 million for the clinical development of ACI-7104 and CHF 1.8 million for the new clinical development of our ACI-24 vaccine program,</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jc w:val="both"/>
        <w:ind w:left="700" w:right="359" w:hanging="326"/>
        <w:spacing w:after="0" w:line="280" w:lineRule="auto"/>
        <w:tabs>
          <w:tab w:leader="none" w:pos="7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CHF 2.3 million for the clinical development of ACI-35.030 driven by timing of activities across various cohorts started in prior years and expenses associated with the R&amp;D cost sharing, CHF 0.9 million for ACI-24 for AD as the prior clinical trial completed and CHF 0.2 million for other clinical programs.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variances in Group function expenses relate to regulatory and quality assurance, and intellectual property costs.</w:t>
      </w:r>
    </w:p>
    <w:p>
      <w:pPr>
        <w:spacing w:after="0" w:line="225" w:lineRule="exact"/>
        <w:rPr>
          <w:sz w:val="20"/>
          <w:szCs w:val="20"/>
          <w:color w:val="auto"/>
        </w:rPr>
      </w:pPr>
    </w:p>
    <w:p>
      <w:pPr>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The variances in Other non-allocated expenses relate to administrative R&amp;D and certain non-allocated functional expenses, primarily due to:</w:t>
      </w:r>
    </w:p>
    <w:p>
      <w:pPr>
        <w:spacing w:after="0" w:line="176" w:lineRule="exact"/>
        <w:rPr>
          <w:sz w:val="20"/>
          <w:szCs w:val="20"/>
          <w:color w:val="auto"/>
        </w:rPr>
      </w:pPr>
    </w:p>
    <w:p>
      <w:pPr>
        <w:ind w:left="700" w:right="279" w:hanging="326"/>
        <w:spacing w:after="0" w:line="266"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2.1 million associated with the reallocation of certain IT and facilities expenditures for the nine months ended September 30, 2022 that were not reclassified in the prior period, CHF 0.4 million in certain IT related investments and CHF 0.6 million across various cost centers particularly in research.</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salaries and related costs increased by CHF 0.8 million, primarily due to:</w:t>
      </w:r>
    </w:p>
    <w:p>
      <w:pPr>
        <w:spacing w:after="0" w:line="225" w:lineRule="exact"/>
        <w:rPr>
          <w:sz w:val="20"/>
          <w:szCs w:val="20"/>
          <w:color w:val="auto"/>
        </w:rPr>
      </w:pPr>
    </w:p>
    <w:p>
      <w:pPr>
        <w:ind w:left="700" w:right="119" w:hanging="326"/>
        <w:spacing w:after="0" w:line="282"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salary- and benefit-related costs of CHF 0.7 million primarily related to new hires during the period and annualization of 2021 hires.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519" w:firstLine="324"/>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consist of salaries and related costs, including share-based compensation, professional fees such as legal and accounting related services, infrastructure expenses, and other operating expenses.</w:t>
      </w:r>
    </w:p>
    <w:p>
      <w:pPr>
        <w:spacing w:after="0" w:line="1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For the three months ended September 30, 2022, general and administrative expenses totaled CHF 3.3 million</w:t>
      </w:r>
    </w:p>
    <w:p>
      <w:pPr>
        <w:spacing w:after="0" w:line="27" w:lineRule="exact"/>
        <w:rPr>
          <w:sz w:val="20"/>
          <w:szCs w:val="20"/>
          <w:color w:val="auto"/>
        </w:rPr>
      </w:pPr>
    </w:p>
    <w:p>
      <w:pPr>
        <w:ind w:left="60" w:right="299"/>
        <w:spacing w:after="0" w:line="247" w:lineRule="auto"/>
        <w:rPr>
          <w:sz w:val="20"/>
          <w:szCs w:val="20"/>
          <w:color w:val="auto"/>
        </w:rPr>
      </w:pPr>
      <w:r>
        <w:rPr>
          <w:rFonts w:ascii="Times New Roman" w:cs="Times New Roman" w:eastAsia="Times New Roman" w:hAnsi="Times New Roman"/>
          <w:sz w:val="18"/>
          <w:szCs w:val="18"/>
          <w:color w:val="auto"/>
        </w:rPr>
        <w:t>compared with CHF 5.4 million for the comparable period in 2021. This represents a decrease of CHF 2.1 million. The following table presents the general and administrative expenses during the three months ended September 30, 2022 and 2021:</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3"/>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8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gridSpan w:val="3"/>
            <w:vMerge w:val="continue"/>
          </w:tcPr>
          <w:p>
            <w:pPr>
              <w:spacing w:after="0"/>
              <w:rPr>
                <w:sz w:val="15"/>
                <w:szCs w:val="15"/>
                <w:color w:val="auto"/>
              </w:rPr>
            </w:pPr>
          </w:p>
        </w:tc>
        <w:tc>
          <w:tcPr>
            <w:tcW w:w="8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tabs>
          <w:tab w:leader="none" w:pos="38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ind w:left="380" w:hanging="330"/>
        <w:spacing w:after="0" w:line="180" w:lineRule="auto"/>
        <w:tabs>
          <w:tab w:leader="none" w:pos="380"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Includes share-based compensation expense</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September 30, 2022, this decrease is primarily due to:</w:t>
      </w:r>
    </w:p>
    <w:p>
      <w:pPr>
        <w:spacing w:after="0" w:line="225" w:lineRule="exact"/>
        <w:rPr>
          <w:sz w:val="20"/>
          <w:szCs w:val="20"/>
          <w:color w:val="auto"/>
        </w:rPr>
      </w:pPr>
    </w:p>
    <w:p>
      <w:pPr>
        <w:ind w:left="700" w:right="79" w:hanging="326"/>
        <w:spacing w:after="0" w:line="282"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0.7 million associated with the reallocation of certain IT and facilities expenditures made in Q3 2022 that were not reclassified in the prior period,</w:t>
      </w:r>
    </w:p>
    <w:p>
      <w:pPr>
        <w:spacing w:after="0" w:line="134" w:lineRule="exact"/>
        <w:rPr>
          <w:rFonts w:ascii="Times New Roman" w:cs="Times New Roman" w:eastAsia="Times New Roman" w:hAnsi="Times New Roman"/>
          <w:sz w:val="18"/>
          <w:szCs w:val="18"/>
          <w:color w:val="auto"/>
        </w:rPr>
      </w:pPr>
    </w:p>
    <w:p>
      <w:pPr>
        <w:ind w:left="700" w:right="619" w:hanging="326"/>
        <w:spacing w:after="0" w:line="312" w:lineRule="auto"/>
        <w:tabs>
          <w:tab w:leader="none" w:pos="7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CHF 0.3 million for transaction costs associated with our asset acquisition for a portfolio of therapeutics targeting alpha-synuclein and cash in 2021, which were not incurred in the current period; and</w:t>
      </w:r>
    </w:p>
    <w:p>
      <w:pPr>
        <w:spacing w:after="0" w:line="126" w:lineRule="exact"/>
        <w:rPr>
          <w:rFonts w:ascii="Times New Roman" w:cs="Times New Roman" w:eastAsia="Times New Roman" w:hAnsi="Times New Roman"/>
          <w:sz w:val="17"/>
          <w:szCs w:val="17"/>
          <w:color w:val="auto"/>
        </w:rPr>
      </w:pPr>
    </w:p>
    <w:p>
      <w:pPr>
        <w:ind w:left="700" w:right="299" w:hanging="326"/>
        <w:spacing w:after="0" w:line="282"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CHF 1.3 million decrease in personnel expenses, largely driven by a CHF 0.8 million decrease in share-based compensation expense associated with the forfeiture of awards to a former member of management.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5" w:name="page26"/>
    <w:bookmarkEnd w:id="25"/>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2022, general and administrative expenses totaled CHF 11.8 million compared with CHF 15.0 million for the comparable period in 2021. This represents a decrease of CHF 3.2 million. The following table presents the general and administrative expenses during the nine months ended September 30, 2022 and 2021:</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5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7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8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540" w:type="dxa"/>
            <w:vAlign w:val="bottom"/>
            <w:gridSpan w:val="4"/>
            <w:vMerge w:val="continue"/>
          </w:tcPr>
          <w:p>
            <w:pPr>
              <w:spacing w:after="0"/>
              <w:rPr>
                <w:sz w:val="15"/>
                <w:szCs w:val="15"/>
                <w:color w:val="auto"/>
              </w:rPr>
            </w:pPr>
          </w:p>
        </w:tc>
        <w:tc>
          <w:tcPr>
            <w:tcW w:w="6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tabs>
          <w:tab w:leader="none" w:pos="380" w:val="left"/>
        </w:tabs>
        <w:numPr>
          <w:ilvl w:val="0"/>
          <w:numId w:val="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ind w:left="380" w:hanging="330"/>
        <w:spacing w:after="0" w:line="180" w:lineRule="auto"/>
        <w:tabs>
          <w:tab w:leader="none" w:pos="38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Includes share-based compensation expense</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nine months ended September 30, 2022, this decrease is primarily due to:</w:t>
      </w:r>
    </w:p>
    <w:p>
      <w:pPr>
        <w:spacing w:after="0" w:line="225" w:lineRule="exact"/>
        <w:rPr>
          <w:sz w:val="20"/>
          <w:szCs w:val="20"/>
          <w:color w:val="auto"/>
        </w:rPr>
      </w:pPr>
    </w:p>
    <w:p>
      <w:pPr>
        <w:ind w:left="700" w:right="99" w:hanging="326"/>
        <w:spacing w:after="0" w:line="282" w:lineRule="auto"/>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2.1 million associated with the reallocation of certain IT and facilities expenditures for the nine months ended September 30, 2022 that were not reclassified in the prior period,</w:t>
      </w:r>
    </w:p>
    <w:p>
      <w:pPr>
        <w:spacing w:after="0" w:line="148" w:lineRule="exact"/>
        <w:rPr>
          <w:rFonts w:ascii="Times New Roman" w:cs="Times New Roman" w:eastAsia="Times New Roman" w:hAnsi="Times New Roman"/>
          <w:sz w:val="18"/>
          <w:szCs w:val="18"/>
          <w:color w:val="auto"/>
        </w:rPr>
      </w:pPr>
    </w:p>
    <w:p>
      <w:pPr>
        <w:ind w:left="700" w:right="619" w:hanging="326"/>
        <w:spacing w:after="0" w:line="296" w:lineRule="auto"/>
        <w:tabs>
          <w:tab w:leader="none" w:pos="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CHF 0.7 million for transaction costs associated with our asset acquisition for a portfolio of therapeutics targeting alpha-synuclein and cash in 2021, which were not incurred in the current period; and</w:t>
      </w:r>
    </w:p>
    <w:p>
      <w:pPr>
        <w:spacing w:after="0" w:line="138" w:lineRule="exact"/>
        <w:rPr>
          <w:rFonts w:ascii="Times New Roman" w:cs="Times New Roman" w:eastAsia="Times New Roman" w:hAnsi="Times New Roman"/>
          <w:sz w:val="17"/>
          <w:szCs w:val="17"/>
          <w:color w:val="auto"/>
        </w:rPr>
      </w:pPr>
    </w:p>
    <w:p>
      <w:pPr>
        <w:ind w:left="700" w:right="299" w:hanging="326"/>
        <w:spacing w:after="0" w:line="282" w:lineRule="auto"/>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CHF 0.8 million decrease in personnel expenses, largely driven by a CHF 0.7 million decrease in share-based compensation expense associated with the forfeiture of awards to a former member of management,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ind w:left="700" w:hanging="326"/>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0.4 million across various other cost centers.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operating income/(expense)</w:t>
      </w:r>
    </w:p>
    <w:p>
      <w:pPr>
        <w:spacing w:after="0" w:line="227"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Other operating income/(expense) consists primarily of income associated with foundation grants such as those from the MJFF or Target ALS.</w:t>
      </w:r>
    </w:p>
    <w:p>
      <w:pPr>
        <w:spacing w:after="0" w:line="16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2022, other operating income/(expense) totaled CHF 0.3 million compared with CHF 0.3 million for the comparable period in 2021. This represents an increase of less than CHF 0.1 million. The following table presents the other operating income/(expense) during the three months ended September 30, 2022 and 2021:</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6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5960" w:type="dxa"/>
            <w:vAlign w:val="bottom"/>
            <w:gridSpan w:val="2"/>
            <w:vMerge w:val="continue"/>
          </w:tcPr>
          <w:p>
            <w:pPr>
              <w:spacing w:after="0"/>
              <w:rPr>
                <w:sz w:val="15"/>
                <w:szCs w:val="15"/>
                <w:color w:val="auto"/>
              </w:rPr>
            </w:pPr>
          </w:p>
        </w:tc>
        <w:tc>
          <w:tcPr>
            <w:tcW w:w="86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income/(expense)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three months ended September 30, 2022, this increase is immaterial.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6" w:name="page27"/>
    <w:bookmarkEnd w:id="26"/>
    <w:p>
      <w:pPr>
        <w:ind w:left="60" w:right="79" w:firstLine="324"/>
        <w:spacing w:after="0" w:line="289" w:lineRule="auto"/>
        <w:rPr>
          <w:sz w:val="20"/>
          <w:szCs w:val="20"/>
          <w:color w:val="auto"/>
        </w:rPr>
      </w:pPr>
      <w:r>
        <w:rPr>
          <w:rFonts w:ascii="Times New Roman" w:cs="Times New Roman" w:eastAsia="Times New Roman" w:hAnsi="Times New Roman"/>
          <w:sz w:val="17"/>
          <w:szCs w:val="17"/>
          <w:color w:val="auto"/>
        </w:rPr>
        <w:t>For the nine months ended September 30, 2022, other operating income/(expense) totaled CHF 0.9 million compared with CHF 0.9 million for the comparable period in 2021. This represents an increase of less than CHF 0.1 million. The following table presents the other operating income/(expense) during the nine months ended September 30, 2022 and 2021:</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02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2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020" w:type="dxa"/>
            <w:vAlign w:val="bottom"/>
            <w:gridSpan w:val="2"/>
            <w:vMerge w:val="continue"/>
          </w:tcPr>
          <w:p>
            <w:pPr>
              <w:spacing w:after="0"/>
              <w:rPr>
                <w:sz w:val="15"/>
                <w:szCs w:val="15"/>
                <w:color w:val="auto"/>
              </w:rPr>
            </w:pPr>
          </w:p>
        </w:tc>
        <w:tc>
          <w:tcPr>
            <w:tcW w:w="80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income/(expense)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nine months ended September 30, 2022, this increase is immaterial.</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Finance result, net</w:t>
      </w:r>
    </w:p>
    <w:p>
      <w:pPr>
        <w:spacing w:after="0" w:line="227"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finance result was less than a CHF 0.1 million loss compared with a CHF 4.4 million gain for the comparable period in 2021. This represents a decrease of CHF 4.5 million. The following table presents the finance result during the three months ended September 30, 2022 and 2021:</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80" w:type="dxa"/>
            <w:vAlign w:val="bottom"/>
            <w:gridSpan w:val="2"/>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5980" w:type="dxa"/>
            <w:vAlign w:val="bottom"/>
            <w:gridSpan w:val="2"/>
            <w:vMerge w:val="continue"/>
          </w:tcPr>
          <w:p>
            <w:pPr>
              <w:spacing w:after="0"/>
              <w:rPr>
                <w:sz w:val="15"/>
                <w:szCs w:val="15"/>
                <w:color w:val="auto"/>
              </w:rPr>
            </w:pPr>
          </w:p>
        </w:tc>
        <w:tc>
          <w:tcPr>
            <w:tcW w:w="840" w:type="dxa"/>
            <w:vAlign w:val="bottom"/>
            <w:tcBorders>
              <w:top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three months ended September 30, 2022, a change in net finance result of CHF 4.4 million primarily related to:</w:t>
      </w:r>
    </w:p>
    <w:p>
      <w:pPr>
        <w:spacing w:after="0" w:line="225" w:lineRule="exact"/>
        <w:rPr>
          <w:sz w:val="20"/>
          <w:szCs w:val="20"/>
          <w:color w:val="auto"/>
        </w:rPr>
      </w:pPr>
    </w:p>
    <w:p>
      <w:pPr>
        <w:ind w:left="700" w:right="319" w:hanging="326"/>
        <w:spacing w:after="0" w:line="282" w:lineRule="auto"/>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CHF 4.4 million gain associated with the change in fair value of derivative financial assets in the prior period which did not repeat in the current period.</w:t>
      </w:r>
    </w:p>
    <w:p>
      <w:pPr>
        <w:spacing w:after="0" w:line="162"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finance result was a CHF 0.2 million gain compared with a CHF 4.5 million gain for the comparable period in 2021. This represents a decrease of CHF 4.3 million. The following table presents the finance result during the nine months ended September 30, 2022 and 2021:</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020" w:type="dxa"/>
            <w:vAlign w:val="bottom"/>
            <w:gridSpan w:val="2"/>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2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020" w:type="dxa"/>
            <w:vAlign w:val="bottom"/>
            <w:gridSpan w:val="2"/>
            <w:vMerge w:val="continue"/>
          </w:tcPr>
          <w:p>
            <w:pPr>
              <w:spacing w:after="0"/>
              <w:rPr>
                <w:sz w:val="15"/>
                <w:szCs w:val="15"/>
                <w:color w:val="auto"/>
              </w:rPr>
            </w:pPr>
          </w:p>
        </w:tc>
        <w:tc>
          <w:tcPr>
            <w:tcW w:w="80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(356)</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nine months ended September 30, 2022, a change in net finance result of CHF 4.3 million primarily related to:</w:t>
      </w:r>
    </w:p>
    <w:p>
      <w:pPr>
        <w:spacing w:after="0" w:line="225" w:lineRule="exact"/>
        <w:rPr>
          <w:sz w:val="20"/>
          <w:szCs w:val="20"/>
          <w:color w:val="auto"/>
        </w:rPr>
      </w:pPr>
    </w:p>
    <w:p>
      <w:pPr>
        <w:ind w:left="700" w:right="319" w:hanging="326"/>
        <w:spacing w:after="0" w:line="282" w:lineRule="auto"/>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CHF 4.4 million gain associated with the change in fair value of derivative financial assets in the prior period which did not repeat in the current period.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7" w:name="page28"/>
    <w:bookmarkEnd w:id="27"/>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To date, AC Immune has financed its cash requirements primarily from its public offerings, share issuances, contract revenues from license and collaboration agreements and grants. The Company is a clinical-stage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 As of September 30, 2022, we had cash and cash equivalents of CHF 44.5 million and short-term financial assets of CHF 96.0 million for a total liquidity balance of CHF 140.5 million.</w:t>
      </w:r>
    </w:p>
    <w:p>
      <w:pPr>
        <w:spacing w:after="0" w:line="177" w:lineRule="exact"/>
        <w:rPr>
          <w:sz w:val="20"/>
          <w:szCs w:val="20"/>
          <w:color w:val="auto"/>
        </w:rPr>
      </w:pPr>
    </w:p>
    <w:p>
      <w:pPr>
        <w:ind w:left="60" w:right="319" w:firstLine="324"/>
        <w:spacing w:after="0" w:line="269" w:lineRule="auto"/>
        <w:rPr>
          <w:sz w:val="20"/>
          <w:szCs w:val="20"/>
          <w:color w:val="auto"/>
        </w:rPr>
      </w:pPr>
      <w:r>
        <w:rPr>
          <w:rFonts w:ascii="Times New Roman" w:cs="Times New Roman" w:eastAsia="Times New Roman" w:hAnsi="Times New Roman"/>
          <w:sz w:val="17"/>
          <w:szCs w:val="17"/>
          <w:color w:val="auto"/>
        </w:rPr>
        <w:t>Our primary uses of capital are, and we expect will continue to be, R&amp;D expenses, compensation and related expenses, and other operating expenses including rent. Cash and cash equivalents used to fund operating expenses are impacted by the timing of when we pay expenses, as reflected in the change in our outstanding accounts payable and accrued expenses. We expect to incur substantial expenses in connection with a number of our product candidates in various stages of clinical development. We and Janssen are co-developing second-generation therapeutic vaccines, ACI-</w:t>
      </w:r>
    </w:p>
    <w:p>
      <w:pPr>
        <w:spacing w:after="0" w:line="3" w:lineRule="exact"/>
        <w:rPr>
          <w:sz w:val="20"/>
          <w:szCs w:val="20"/>
          <w:color w:val="auto"/>
        </w:rPr>
      </w:pPr>
    </w:p>
    <w:p>
      <w:pPr>
        <w:ind w:left="60" w:right="59"/>
        <w:spacing w:after="0" w:line="249" w:lineRule="auto"/>
        <w:rPr>
          <w:sz w:val="20"/>
          <w:szCs w:val="20"/>
          <w:color w:val="auto"/>
        </w:rPr>
      </w:pPr>
      <w:r>
        <w:rPr>
          <w:rFonts w:ascii="Times New Roman" w:cs="Times New Roman" w:eastAsia="Times New Roman" w:hAnsi="Times New Roman"/>
          <w:sz w:val="18"/>
          <w:szCs w:val="18"/>
          <w:color w:val="auto"/>
        </w:rPr>
        <w:t>35.030 and JACI-35.054, through Phase 1b/2a completion. AC Immune and Janssen will jointly share R&amp;D costs until the completion of the first Phase 2b. AC Immune’s contribution to the first Phase 2b trial is capped. From Phase 2b and onwards, Janssen will assume responsibility for the clinical development, manufacturing and commercialization of the vaccines. We expect to incur additional R&amp;D expenditures associated with the expansion of our Morphomer Tau program into AD and NeuroOrphan indications. We intend to increase our R&amp;D costs associated with the advancement of ACI-7104 in Parkinson’s disease and our ACI-24 vaccine program (i.e. ACI-24 AD and ACI-24 DS) through mid-stage clinical development. We also intend to further characterize our preclinical candidates.</w:t>
      </w:r>
    </w:p>
    <w:p>
      <w:pPr>
        <w:spacing w:after="0" w:line="193"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We plan to continue to fund our operating and capital funding needs through proceeds received from licensing and collaboration agreements (LCAs) and through equity or other forms of financing. For example, in Q3 2020 we entered into the Open Market Sale Agreement (Sale Agreement) with Jefferies LLC (Jefferies), which provides that, upon the terms and subject to the conditions and limitations set forth in the Sale Agreement, we may elect to issue and sell, from time to time, shares of our common shares having an aggregate offering price of up to USD 80.0 (CHF 78.8) million through Jefferies acting as our sales agent. We replaced this Sale Agreement in Q2 2021 to continue the ATM program. Under the new Sale Agreement, Jefferies may sell the shares of common shares by any method permitted by law deemed to be an “at the market offering” as defined under the Securities Act of 1933, as amended, in privately negotiated transactions with our consent or in block transactions. Jefferies will use commercially reasonable efforts to sell the shares of common shares subject to the new Sales Agreement from time to time, consistent with its normal sales and trading practices, on mutually agreed terms. We will pay Jefferies a commission of up to 3.0% of the gross sales proceeds of any common shares sold through Jefferies under the new Sales Agreement. We are not obligated to make any sales of common shares under the new Sales Agreement, and we have not yet sold any common shares pursuant to the new Sales Agreement.</w:t>
      </w:r>
    </w:p>
    <w:p>
      <w:pPr>
        <w:spacing w:after="0" w:line="194"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We may also consider entering into additional LCAs and selectively partnering for clinical development and commercialization.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 Immune’s cash flows for the periods indicated:</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0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vMerge w:val="continue"/>
          </w:tcPr>
          <w:p>
            <w:pPr>
              <w:spacing w:after="0"/>
              <w:rPr>
                <w:sz w:val="15"/>
                <w:szCs w:val="15"/>
                <w:color w:val="auto"/>
              </w:rPr>
            </w:pPr>
          </w:p>
        </w:tc>
        <w:tc>
          <w:tcPr>
            <w:tcW w:w="2300" w:type="dxa"/>
            <w:vAlign w:val="bottom"/>
            <w:gridSpan w:val="2"/>
          </w:tcPr>
          <w:p>
            <w:pPr>
              <w:spacing w:after="0"/>
              <w:rPr>
                <w:sz w:val="15"/>
                <w:szCs w:val="15"/>
                <w:color w:val="auto"/>
              </w:rPr>
            </w:pPr>
          </w:p>
        </w:tc>
        <w:tc>
          <w:tcPr>
            <w:tcW w:w="68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w:t>
            </w:r>
          </w:p>
        </w:tc>
        <w:tc>
          <w:tcPr>
            <w:tcW w:w="2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(56,161)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12,013</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12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73" w:right="1440" w:bottom="1440" w:gutter="0" w:footer="0" w:header="0"/>
        </w:sectPr>
      </w:pPr>
    </w:p>
    <w:bookmarkStart w:id="28" w:name="page29"/>
    <w:bookmarkEnd w:id="28"/>
    <w:p>
      <w:pPr>
        <w:ind w:left="3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was CHF 56.2 million for the nine months ended September 30, 2022, compared with net cash used in operating activities of CHF 47.9 million for the nine months ended September 30, 2021. The change in cash used in operating activities for the nine months ended September 30, 2022 was due to (i) the Company’s reporting a net loss of CHF 53.0 million for the period, compared with a net loss of CHF 51.7 million for the same period in 2021, driven by a CHF 3.8 million increase in R&amp;D expenditures for the nine months ended September 30, 2022, (ii) an increase of CHF 3.8 million in other current receivables and a (iii) a decrease of CHF 4.4 million in accrued expenses, representing cash outflows associated with the timing of certain accrual payments during the period.</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0" w:right="339" w:firstLine="324"/>
        <w:spacing w:after="0" w:line="254" w:lineRule="auto"/>
        <w:rPr>
          <w:sz w:val="20"/>
          <w:szCs w:val="20"/>
          <w:color w:val="auto"/>
        </w:rPr>
      </w:pPr>
      <w:r>
        <w:rPr>
          <w:rFonts w:ascii="Times New Roman" w:cs="Times New Roman" w:eastAsia="Times New Roman" w:hAnsi="Times New Roman"/>
          <w:sz w:val="18"/>
          <w:szCs w:val="18"/>
          <w:color w:val="auto"/>
        </w:rPr>
        <w:t>Net cash provided by investing activities was CHF 18.8 million for the nine months ended September 30, 2022, compared with net cash used in investing activities of CHF 31.9 million for the nine months ended September 30, 2021. The Company settled short-term financial assets totaling CHF 20.0 million for the current period compared to the investment of a net CHF 30.0 million in the prior period. The Company additionally acquired CHF 1.2 million in fixed assets in the current period compared to CHF 1.9 million in the prior period.</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Net cash used in financing activities was CHF 1.2 million for the nine months ended September 30, 2022, compared with net cash provided by financing activities of CHF 12.0 million for the nine months ended September 30, 2021. The decrease of CHF 13.2 million is predominantly related to CHF 12.1 million received from proceeds from the sale of treasury shares in public offerings, net of underwriting fees and transaction costs in the prior period which were not received in the current comparable period. Additionally, the Company paid CHF 0.8 million in stamp duty associated with issuance of shares in relation to the asset acquisition that were previously accrued.</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Capital Requirements and Plan of Operations</w:t>
      </w:r>
    </w:p>
    <w:p>
      <w:pPr>
        <w:spacing w:after="0" w:line="22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do not expect to generate revenues from royalties based on product sales unless and until our partners obtain regulatory approval of, and successfully commercialize, our current or any future product candidates. As of September 30, 2022, we had cash and cash equivalents of CHF 44.5 million and short-term financial assets of CHF 96.0 million, resulting in CHF 140.5 million of liquidity. The decrease relative to December 31, 2021 was predominantly related to R&amp;D spending on our major discovery and R&amp;D programs, the strengthening of the Company’s infrastructure, systems and organization and other operating expenditures. There can be no certainty as to the exact timing of future milestone payments, or in fact, whether any of these will ever be made, given that they are contingent on clear milestones being reached. Accordingly, assuming that we do not receive potential milestone payments and based upon our currently contemplated R&amp;D strategy, we believe that our existing capital resources will be sufficient to meet our projected operating requirements into Q3 2024.</w:t>
      </w:r>
    </w:p>
    <w:p>
      <w:pPr>
        <w:spacing w:after="0" w:line="17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700" w:right="479" w:hanging="326"/>
        <w:spacing w:after="0" w:line="282"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preclinical and clinical studies and other related activities, according to our long-term strategic plan;</w:t>
      </w:r>
    </w:p>
    <w:p>
      <w:pPr>
        <w:spacing w:after="0" w:line="161" w:lineRule="exact"/>
        <w:rPr>
          <w:rFonts w:ascii="Times New Roman" w:cs="Times New Roman" w:eastAsia="Times New Roman" w:hAnsi="Times New Roman"/>
          <w:sz w:val="18"/>
          <w:szCs w:val="18"/>
          <w:color w:val="auto"/>
        </w:rPr>
      </w:pPr>
    </w:p>
    <w:p>
      <w:pPr>
        <w:ind w:left="700" w:right="279" w:hanging="326"/>
        <w:spacing w:after="0" w:line="282"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other products we may develop;</w:t>
      </w:r>
    </w:p>
    <w:p>
      <w:pPr>
        <w:sectPr>
          <w:pgSz w:w="11900" w:h="16838" w:orient="portrait"/>
          <w:cols w:equalWidth="0" w:num="1">
            <w:col w:w="9019"/>
          </w:cols>
          <w:pgMar w:left="1440" w:top="875"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type w:val="continuous"/>
        </w:sectPr>
      </w:pPr>
    </w:p>
    <w:bookmarkStart w:id="29" w:name="page30"/>
    <w:bookmarkEnd w:id="29"/>
    <w:p>
      <w:pPr>
        <w:ind w:left="700" w:hanging="326"/>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regulatory approvals;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700" w:right="139" w:hanging="326"/>
        <w:spacing w:after="0" w:line="282"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 including any required milestone and royalty payments thereunder;</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 and</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managing, protecting and defending our intellectual property portfolio.</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Quantitative and Qualitative Disclosures about Market Risk</w:t>
      </w:r>
    </w:p>
    <w:p>
      <w:pPr>
        <w:spacing w:after="0" w:line="227" w:lineRule="exact"/>
        <w:rPr>
          <w:sz w:val="20"/>
          <w:szCs w:val="20"/>
          <w:color w:val="auto"/>
        </w:rPr>
      </w:pPr>
    </w:p>
    <w:p>
      <w:pPr>
        <w:jc w:val="both"/>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Critical Judgments and Accounting Estimates</w:t>
      </w:r>
    </w:p>
    <w:p>
      <w:pPr>
        <w:spacing w:after="0" w:line="227"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and estimates described under the heading “Management’s Discussion and Analysis of Financial Condition and Results of Operations – Critical Judgments and Accounting Estimates” in the Annual Report on Form 20-F.</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16"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In addition to AC Immune’s operating results, as calculated in accordance with International Financial Reporting Standards (IFRS), as issued by the International Accounting Standards Board, we use adjusted loss and adjusted loss per share when monitoring and evaluating our operational performance. Adjusted loss is defined as loss for the relevant period, as adjusted for certain items that we believe are not indicative of our ongoing operating performance. Adjusted loss per share is defined as adjusted loss for the relevant period divided by the weighted-average number of shares for such period.</w:t>
      </w:r>
    </w:p>
    <w:p>
      <w:pPr>
        <w:spacing w:after="0" w:line="168"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believe that these measures assist our shareholders because they enhance the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the Company’s consolidated financial statements prepared in accordance with IFRS. The most directly comparable IFRS measure to these non-IFRS measures is net loss. The following table reconciles net loss to adjusted loss and adjusted loss per share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Loss to Adjusted Loss and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Loss Per Share to Adjusted Loss Per Share</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 unaudited</w:t>
            </w:r>
          </w:p>
        </w:tc>
        <w:tc>
          <w:tcPr>
            <w:tcW w:w="21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0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gridSpan w:val="2"/>
            <w:vMerge w:val="continue"/>
          </w:tcPr>
          <w:p>
            <w:pPr>
              <w:spacing w:after="0"/>
              <w:rPr>
                <w:sz w:val="15"/>
                <w:szCs w:val="15"/>
                <w:color w:val="auto"/>
              </w:rPr>
            </w:pPr>
          </w:p>
        </w:tc>
        <w:tc>
          <w:tcPr>
            <w:tcW w:w="9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9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(15,918)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(52,004)</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(51,720)</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Non-cash share-based payments</w:t>
            </w:r>
            <w:r>
              <w:rPr>
                <w:rFonts w:ascii="Times New Roman" w:cs="Times New Roman" w:eastAsia="Times New Roman" w:hAnsi="Times New Roman"/>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Foreign currency (gains)/losses</w:t>
            </w:r>
            <w:r>
              <w:rPr>
                <w:rFonts w:ascii="Times New Roman" w:cs="Times New Roman" w:eastAsia="Times New Roman" w:hAnsi="Times New Roman"/>
                <w:sz w:val="25"/>
                <w:szCs w:val="25"/>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Change in fair value of derivative financial assets</w:t>
            </w:r>
            <w:r>
              <w:rPr>
                <w:rFonts w:ascii="Times New Roman" w:cs="Times New Roman" w:eastAsia="Times New Roman" w:hAnsi="Times New Roman"/>
                <w:sz w:val="25"/>
                <w:szCs w:val="25"/>
                <w:color w:val="auto"/>
                <w:vertAlign w:val="superscript"/>
              </w:rPr>
              <w:t>3</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Transaction costs</w:t>
            </w:r>
            <w:r>
              <w:rPr>
                <w:rFonts w:ascii="Times New Roman" w:cs="Times New Roman" w:eastAsia="Times New Roman" w:hAnsi="Times New Roman"/>
                <w:sz w:val="25"/>
                <w:szCs w:val="25"/>
                <w:color w:val="auto"/>
                <w:vertAlign w:val="superscript"/>
              </w:rPr>
              <w:t>4</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Loss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(52,799)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to loss per share – basic and diluted</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loss per share – basic and diluted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Adjusted loss</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basic and diluted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83,590,948</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72,887,967</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83,537,655</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72,638,698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right="259" w:hanging="330"/>
        <w:spacing w:after="0" w:line="220" w:lineRule="auto"/>
        <w:tabs>
          <w:tab w:leader="none" w:pos="380" w:val="left"/>
        </w:tabs>
        <w:numPr>
          <w:ilvl w:val="0"/>
          <w:numId w:val="4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2" w:lineRule="exact"/>
        <w:rPr>
          <w:sz w:val="20"/>
          <w:szCs w:val="20"/>
          <w:color w:val="auto"/>
        </w:rPr>
      </w:pPr>
    </w:p>
    <w:p>
      <w:pPr>
        <w:ind w:left="380" w:right="319" w:hanging="330"/>
        <w:spacing w:after="0" w:line="200" w:lineRule="auto"/>
        <w:tabs>
          <w:tab w:leader="none" w:pos="380" w:val="left"/>
        </w:tabs>
        <w:numPr>
          <w:ilvl w:val="0"/>
          <w:numId w:val="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foreign currency re-measurement gains and losses for the period, predominantly impacted by the change in the exchange rate between the US Dollar and Euro with the Swiss Franc.</w:t>
      </w:r>
    </w:p>
    <w:p>
      <w:pPr>
        <w:spacing w:after="0" w:line="1" w:lineRule="exact"/>
        <w:rPr>
          <w:sz w:val="20"/>
          <w:szCs w:val="20"/>
          <w:color w:val="auto"/>
        </w:rPr>
      </w:pPr>
    </w:p>
    <w:p>
      <w:pPr>
        <w:ind w:left="380" w:right="99" w:hanging="330"/>
        <w:spacing w:after="0" w:line="200" w:lineRule="auto"/>
        <w:tabs>
          <w:tab w:leader="none" w:pos="380" w:val="left"/>
        </w:tabs>
        <w:numPr>
          <w:ilvl w:val="0"/>
          <w:numId w:val="4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the change in the fair value of the derivative financial instruments associated with the convertible notes due to Investors as part of the prior year asset acquisition.</w:t>
      </w:r>
    </w:p>
    <w:p>
      <w:pPr>
        <w:spacing w:after="0" w:line="1" w:lineRule="exact"/>
        <w:rPr>
          <w:sz w:val="20"/>
          <w:szCs w:val="20"/>
          <w:color w:val="auto"/>
        </w:rPr>
      </w:pPr>
    </w:p>
    <w:p>
      <w:pPr>
        <w:ind w:left="380" w:right="119" w:hanging="330"/>
        <w:spacing w:after="0" w:line="200" w:lineRule="auto"/>
        <w:tabs>
          <w:tab w:leader="none" w:pos="380" w:val="left"/>
        </w:tabs>
        <w:numPr>
          <w:ilvl w:val="0"/>
          <w:numId w:val="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transaction costs associated with our asset acquisition for a portfolio of therapeutics targeting alpha-synuclein and cash completed in the prior year.</w:t>
      </w:r>
    </w:p>
    <w:p>
      <w:pPr>
        <w:spacing w:after="0" w:line="198"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Adjustments for the three and nine months ended September 30, 2022, decreased net loss by CHF 0.4 million and CHF 1.6 million, respectively compared with an increase to net loss of CHF 2.8 million and CHF 1.1 million, respectively, for the comparable periods in 2021. The Company recorded CHF 0.6 million and CHF 2.4 million for share-based compensation expenses, respectively, in each of these periods, and there were foreign currency re-measurement gains of CHF 0.1 million and CHF 0.8 million, respectively, primarily related to movement in the USD-CHF exchange rate during the respective periods. In the prior comparable periods, the Company also recognized a CHF 4.4 million gain on the change in fair value of the derivative financial assets associated with the convertible notes. This gain did not arise in the current periods. Finally, the Company incurred CHF 0.3 million and CHF 0.7 million in transaction costs associated with its acquisition of a portfolio of therapeutics targeting alpha-synuclein in the three and nine months ended September 30, 2021 that did not repeat in the current periods.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1" w:name="page32"/>
    <w:bookmarkEnd w:id="31"/>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 Looking Statements</w:t>
      </w:r>
    </w:p>
    <w:p>
      <w:pPr>
        <w:spacing w:after="0" w:line="229"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R&amp;D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including the impact of Covid-19 on our business, suppliers, patients and employees, and any other impact of Covid-19. These forward-looking statements speak only as of the date of this discussion and analysis, and are subject to a number of risks, uncertainties and assumptions as described under the sections in our Annual Report on Form 20-F entitled “Risk Factors” and in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such as the global pandemic originating with Covid-19,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2" w:name="page33"/>
    <w:bookmarkEnd w:id="3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165735</wp:posOffset>
            </wp:positionV>
            <wp:extent cx="1774190" cy="548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74190" cy="54864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20"/>
          <w:szCs w:val="20"/>
          <w:b w:val="1"/>
          <w:bCs w:val="1"/>
          <w:color w:val="auto"/>
        </w:rPr>
        <w:t>PRESS RELEASE</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 Immune Reports Third Quarter 2022 Financial Results and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Provides a Corporate Update</w:t>
      </w:r>
    </w:p>
    <w:p>
      <w:pPr>
        <w:spacing w:after="0" w:line="178" w:lineRule="exact"/>
        <w:rPr>
          <w:sz w:val="20"/>
          <w:szCs w:val="20"/>
          <w:color w:val="auto"/>
        </w:rPr>
      </w:pPr>
    </w:p>
    <w:p>
      <w:pPr>
        <w:ind w:left="700" w:right="79" w:hanging="326"/>
        <w:spacing w:after="0" w:line="285"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initiation of dosing of anti-Abeta vaccine ACI-24.060 in the biomarker-based Phase 1b/2 ABATE study in patients with prodromal Alzheimer</w:t>
      </w:r>
      <w:r>
        <w:rPr>
          <w:rFonts w:ascii="Arial" w:cs="Arial" w:eastAsia="Arial" w:hAnsi="Arial"/>
          <w:sz w:val="18"/>
          <w:szCs w:val="18"/>
          <w:color w:val="auto"/>
        </w:rPr>
        <w:t>’</w:t>
      </w:r>
      <w:r>
        <w:rPr>
          <w:rFonts w:ascii="Times New Roman" w:cs="Times New Roman" w:eastAsia="Times New Roman" w:hAnsi="Times New Roman"/>
          <w:sz w:val="18"/>
          <w:szCs w:val="18"/>
          <w:color w:val="auto"/>
        </w:rPr>
        <w:t>s disease and individuals with Down syndrome</w:t>
      </w:r>
    </w:p>
    <w:p>
      <w:pPr>
        <w:spacing w:after="0" w:line="114" w:lineRule="exact"/>
        <w:rPr>
          <w:rFonts w:ascii="Times New Roman" w:cs="Times New Roman" w:eastAsia="Times New Roman" w:hAnsi="Times New Roman"/>
          <w:sz w:val="18"/>
          <w:szCs w:val="18"/>
          <w:color w:val="auto"/>
        </w:rPr>
      </w:pPr>
    </w:p>
    <w:p>
      <w:pPr>
        <w:ind w:left="700" w:right="79" w:hanging="326"/>
        <w:spacing w:after="0" w:line="285"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regulatory clearance to initiate an adaptive, biomarker-based Phase 2 study of the anti-alpha-synuclein vaccine ACI-7104 in patients with early Parkinson</w:t>
      </w:r>
      <w:r>
        <w:rPr>
          <w:rFonts w:ascii="Arial" w:cs="Arial" w:eastAsia="Arial" w:hAnsi="Arial"/>
          <w:sz w:val="18"/>
          <w:szCs w:val="18"/>
          <w:color w:val="auto"/>
        </w:rPr>
        <w:t>’</w:t>
      </w:r>
      <w:r>
        <w:rPr>
          <w:rFonts w:ascii="Times New Roman" w:cs="Times New Roman" w:eastAsia="Times New Roman" w:hAnsi="Times New Roman"/>
          <w:sz w:val="18"/>
          <w:szCs w:val="18"/>
          <w:color w:val="auto"/>
        </w:rPr>
        <w:t>s disease</w:t>
      </w:r>
    </w:p>
    <w:p>
      <w:pPr>
        <w:spacing w:after="0" w:line="114"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API ADAD study results presented at AAIC 2022 showed numerical differences across multiple endpoints favoring crenezumab anti-Abeta antibody over placebo, though none were statistically significant</w:t>
      </w:r>
    </w:p>
    <w:p>
      <w:pPr>
        <w:spacing w:after="0" w:line="134"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Tau positron emission tomography (PET) tracer PI-2620 advanced into late-stage development for which we have recognized milestone revenue from our partner Life Molecular Imaging</w:t>
      </w:r>
    </w:p>
    <w:p>
      <w:pPr>
        <w:spacing w:after="0" w:line="12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Follow-on grant from the Michael J. Fox Foundation paves the way for enhanced clinical studies of alpha-synuclein PET tracer ACI-12589</w:t>
      </w:r>
    </w:p>
    <w:p>
      <w:pPr>
        <w:spacing w:after="0" w:line="12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clinical readouts delivered to date; three more expected by year-end</w:t>
      </w:r>
    </w:p>
    <w:p>
      <w:pPr>
        <w:spacing w:after="0" w:line="198" w:lineRule="exact"/>
        <w:rPr>
          <w:rFonts w:ascii="Times New Roman" w:cs="Times New Roman" w:eastAsia="Times New Roman" w:hAnsi="Times New Roman"/>
          <w:sz w:val="18"/>
          <w:szCs w:val="18"/>
          <w:color w:val="auto"/>
        </w:rPr>
      </w:pPr>
    </w:p>
    <w:p>
      <w:pPr>
        <w:ind w:left="700" w:right="79" w:hanging="326"/>
        <w:spacing w:after="0" w:line="266"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end of quarter financial position of CHF 140.5 million is now expected to extend cash for operations into Q3 2024 without considering potential milestone payments</w:t>
      </w:r>
    </w:p>
    <w:p>
      <w:pPr>
        <w:spacing w:after="0" w:line="14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Lausanne, Switzerland, October 28, 2022 </w:t>
      </w:r>
      <w:r>
        <w:rPr>
          <w:rFonts w:ascii="Times New Roman" w:cs="Times New Roman" w:eastAsia="Times New Roman" w:hAnsi="Times New Roman"/>
          <w:sz w:val="18"/>
          <w:szCs w:val="18"/>
          <w:color w:val="auto"/>
        </w:rPr>
        <w:t>– AC Immune SA (NASDAQ: ACIU), a clinical-stage biopharmaceutical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pioneering precision medicine for neurodegenerative diseases, today reported results for the third quarter ended September 30, 2022, and provided a corporate update.</w:t>
      </w:r>
    </w:p>
    <w:p>
      <w:pPr>
        <w:spacing w:after="0" w:line="13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Prof. Andrea Pfeifer, CEO of AC Immune SA, commented: </w:t>
      </w:r>
      <w:r>
        <w:rPr>
          <w:rFonts w:ascii="Times New Roman" w:cs="Times New Roman" w:eastAsia="Times New Roman" w:hAnsi="Times New Roman"/>
          <w:sz w:val="18"/>
          <w:szCs w:val="18"/>
          <w:color w:val="auto"/>
        </w:rPr>
        <w:t>“With the recent positive data for an anti-Abeta antibody,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lecanemab, further supporting the amyloid hypothesis in Alzheimer’s disease (AD), we are advancing towards year-end with strong momentum and renewed enthusiasm for the amazing potential of our development programs. The recent data also highlight the importance of intervening early in AD, further underlining the fundamental need for precision medicine in neurodegenerative diseases. This bodes well for our wholly owned vaccine ACI-24.060, which targets the two most toxic forms of Abeta, soluble toxic Abeta oligomers and pyroglu-Abeta. Because ACI-24.060 is a vaccine, it also has the potential to offer safety, efficacy, and logistical advantages compared to monoclonal antibodies. A key Phase 1b readout from ACI-24.060’s translational, biomarker-based trial is planned later this year, and is expected to inform our advancement into Phase 2 cohorts in AD and Down syndrome-related AD.”</w:t>
      </w:r>
    </w:p>
    <w:p>
      <w:pPr>
        <w:spacing w:after="0" w:line="14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cutting-edge diagnostic programs also received key external validation last quarter, with our partner Life Molecular Imaging announcing initiation of late-stage clinical development of our Tau PET tracer – triggering a milestone payment. The Michael J. Fox Foundation (MJFF) also recognized our alpha-synuclein (a-syn) tracer with a follow-on grant to develop a-syn PET tracers that could accelerate clinical development. These accomplishments affirm our leadership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1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3" w:name="page34"/>
    <w:bookmarkEnd w:id="33"/>
    <w:p>
      <w:pPr>
        <w:ind w:left="60" w:right="79"/>
        <w:spacing w:after="0" w:line="282" w:lineRule="auto"/>
        <w:rPr>
          <w:sz w:val="20"/>
          <w:szCs w:val="20"/>
          <w:color w:val="auto"/>
        </w:rPr>
      </w:pPr>
      <w:r>
        <w:rPr>
          <w:rFonts w:ascii="Times New Roman" w:cs="Times New Roman" w:eastAsia="Times New Roman" w:hAnsi="Times New Roman"/>
          <w:sz w:val="18"/>
          <w:szCs w:val="18"/>
          <w:color w:val="auto"/>
        </w:rPr>
        <w:t>commitment to leveraging precision medicine to enable earlier diagnosis, treatment, and ultimately prevention of neurodegenerative disease.”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Q3 2022 and Subsequent Highlights</w:t>
      </w:r>
    </w:p>
    <w:p>
      <w:pPr>
        <w:spacing w:after="0" w:line="170" w:lineRule="exact"/>
        <w:rPr>
          <w:sz w:val="20"/>
          <w:szCs w:val="20"/>
          <w:color w:val="auto"/>
        </w:rPr>
      </w:pPr>
    </w:p>
    <w:p>
      <w:pPr>
        <w:ind w:left="700" w:right="79"/>
        <w:spacing w:after="0" w:line="252" w:lineRule="auto"/>
        <w:rPr>
          <w:sz w:val="20"/>
          <w:szCs w:val="20"/>
          <w:color w:val="auto"/>
        </w:rPr>
      </w:pPr>
      <w:r>
        <w:rPr>
          <w:rFonts w:ascii="Times New Roman" w:cs="Times New Roman" w:eastAsia="Times New Roman" w:hAnsi="Times New Roman"/>
          <w:sz w:val="18"/>
          <w:szCs w:val="18"/>
          <w:color w:val="auto"/>
        </w:rPr>
        <w:t>Detailed results from the Phase 2 Alzheimer’s Prevention Initiative (API) study evaluating the anti-Abeta monoclonal antibody crenezumab in autosomal dominant Alzheimer’s disease (ADAD) were presented at the 2022 Alzheimer’s Association International Conference (AAIC) by AC Immune’s partner Genentech, a member of the Roche group, and the Banner Alzheimer’s Institute. Numerical differences favoring crenezumab were observed across both co-primary endpoints, as well as multiple secondary and exploratory endpoints, though none were statistically significant. Demographic and baseline biomarker data indicate a confluence of factors may have led the study to have lower than expected statistical power. All mutation carriers in the study may continue to receive crenezumab while the data are further analyzed.</w:t>
      </w:r>
    </w:p>
    <w:p>
      <w:pPr>
        <w:spacing w:after="0" w:line="164" w:lineRule="exact"/>
        <w:rPr>
          <w:sz w:val="20"/>
          <w:szCs w:val="20"/>
          <w:color w:val="auto"/>
        </w:rPr>
      </w:pPr>
    </w:p>
    <w:p>
      <w:pPr>
        <w:ind w:left="700" w:right="79"/>
        <w:spacing w:after="0" w:line="255" w:lineRule="auto"/>
        <w:rPr>
          <w:sz w:val="20"/>
          <w:szCs w:val="20"/>
          <w:color w:val="auto"/>
        </w:rPr>
      </w:pPr>
      <w:r>
        <w:rPr>
          <w:rFonts w:ascii="Times New Roman" w:cs="Times New Roman" w:eastAsia="Times New Roman" w:hAnsi="Times New Roman"/>
          <w:sz w:val="18"/>
          <w:szCs w:val="18"/>
          <w:color w:val="auto"/>
        </w:rPr>
        <w:t>Provided an update on the Phase 1b/2 ABATE study of the anti-Abeta vaccine ACI-24.060 in patients with prodromal AD and individuals with Down syndrome (DS). Clinical sites in the UK and Spain are now open and recruiting following regulatory clearances in both countries. Interim results are expected around year end 2022 with plans to submit a U.S. Investigational New Drug (IND) application in Q1 2023.</w:t>
      </w:r>
    </w:p>
    <w:p>
      <w:pPr>
        <w:spacing w:after="0" w:line="146" w:lineRule="exact"/>
        <w:rPr>
          <w:sz w:val="20"/>
          <w:szCs w:val="20"/>
          <w:color w:val="auto"/>
        </w:rPr>
      </w:pPr>
    </w:p>
    <w:p>
      <w:pPr>
        <w:ind w:left="700" w:right="79"/>
        <w:spacing w:after="0" w:line="266" w:lineRule="auto"/>
        <w:rPr>
          <w:sz w:val="20"/>
          <w:szCs w:val="20"/>
          <w:color w:val="auto"/>
        </w:rPr>
      </w:pPr>
      <w:r>
        <w:rPr>
          <w:rFonts w:ascii="Times New Roman" w:cs="Times New Roman" w:eastAsia="Times New Roman" w:hAnsi="Times New Roman"/>
          <w:sz w:val="18"/>
          <w:szCs w:val="18"/>
          <w:color w:val="auto"/>
        </w:rPr>
        <w:t>Received clearance for a clinical trial application to initiate an adaptive, biomarker-based Phase 2 study of the anti-a-syn vaccine ACI-7104 in patients with early Parkinson’s disease (PD). Initiation of the trial is expected in Q4 2022.</w:t>
      </w:r>
    </w:p>
    <w:p>
      <w:pPr>
        <w:spacing w:after="0" w:line="135" w:lineRule="exact"/>
        <w:rPr>
          <w:sz w:val="20"/>
          <w:szCs w:val="20"/>
          <w:color w:val="auto"/>
        </w:rPr>
      </w:pPr>
    </w:p>
    <w:p>
      <w:pPr>
        <w:ind w:left="700" w:right="79"/>
        <w:spacing w:after="0" w:line="261" w:lineRule="auto"/>
        <w:rPr>
          <w:sz w:val="20"/>
          <w:szCs w:val="20"/>
          <w:color w:val="auto"/>
        </w:rPr>
      </w:pPr>
      <w:r>
        <w:rPr>
          <w:rFonts w:ascii="Times New Roman" w:cs="Times New Roman" w:eastAsia="Times New Roman" w:hAnsi="Times New Roman"/>
          <w:sz w:val="18"/>
          <w:szCs w:val="18"/>
          <w:color w:val="auto"/>
        </w:rPr>
        <w:t>The Tau PET tracer, PI-2620, is being advanced into late-stage development in AD by our partner, Life Molecular Imaging, following supportive results from an investigator-sponsored Phase 2 AD trial that showed its suitability as a targeted radiopharmaceutical for the detection of Tau deposits and for measuring longitudinal changes in subjects with mild cognitive impairment (MCI) as well as in patients with AD.</w:t>
      </w:r>
    </w:p>
    <w:p>
      <w:pPr>
        <w:spacing w:after="0" w:line="139" w:lineRule="exact"/>
        <w:rPr>
          <w:sz w:val="20"/>
          <w:szCs w:val="20"/>
          <w:color w:val="auto"/>
        </w:rPr>
      </w:pPr>
    </w:p>
    <w:p>
      <w:pPr>
        <w:ind w:left="700" w:right="79"/>
        <w:spacing w:after="0" w:line="266" w:lineRule="auto"/>
        <w:rPr>
          <w:sz w:val="20"/>
          <w:szCs w:val="20"/>
          <w:color w:val="auto"/>
        </w:rPr>
      </w:pPr>
      <w:r>
        <w:rPr>
          <w:rFonts w:ascii="Times New Roman" w:cs="Times New Roman" w:eastAsia="Times New Roman" w:hAnsi="Times New Roman"/>
          <w:sz w:val="18"/>
          <w:szCs w:val="18"/>
          <w:color w:val="auto"/>
        </w:rPr>
        <w:t>Received a MJFF follow-on grant to support the continued development of ACI-12589, AC Immune’s wholly-owned a-syn PET tracer. The new grant brings the total MJFF funding for this program up to USD 3.7 million.</w:t>
      </w:r>
    </w:p>
    <w:p>
      <w:pPr>
        <w:spacing w:after="0" w:line="148" w:lineRule="exact"/>
        <w:rPr>
          <w:sz w:val="20"/>
          <w:szCs w:val="20"/>
          <w:color w:val="auto"/>
        </w:rPr>
      </w:pPr>
    </w:p>
    <w:p>
      <w:pPr>
        <w:ind w:left="700" w:right="79"/>
        <w:spacing w:after="0" w:line="282" w:lineRule="auto"/>
        <w:rPr>
          <w:sz w:val="20"/>
          <w:szCs w:val="20"/>
          <w:color w:val="auto"/>
        </w:rPr>
      </w:pPr>
      <w:r>
        <w:rPr>
          <w:rFonts w:ascii="Times New Roman" w:cs="Times New Roman" w:eastAsia="Times New Roman" w:hAnsi="Times New Roman"/>
          <w:sz w:val="18"/>
          <w:szCs w:val="18"/>
          <w:color w:val="auto"/>
        </w:rPr>
        <w:t>Showcased pipeline of potentially first- and best-in-class therapeutic and diagnostic candidates with 10 presentations at the AAIC.</w:t>
      </w:r>
    </w:p>
    <w:p>
      <w:pPr>
        <w:spacing w:after="0" w:line="121" w:lineRule="exact"/>
        <w:rPr>
          <w:sz w:val="20"/>
          <w:szCs w:val="20"/>
          <w:color w:val="auto"/>
        </w:rPr>
      </w:pPr>
    </w:p>
    <w:p>
      <w:pPr>
        <w:ind w:left="700" w:right="79"/>
        <w:spacing w:after="0" w:line="282" w:lineRule="auto"/>
        <w:rPr>
          <w:sz w:val="20"/>
          <w:szCs w:val="20"/>
          <w:color w:val="auto"/>
        </w:rPr>
      </w:pPr>
      <w:r>
        <w:rPr>
          <w:rFonts w:ascii="Times New Roman" w:cs="Times New Roman" w:eastAsia="Times New Roman" w:hAnsi="Times New Roman"/>
          <w:sz w:val="18"/>
          <w:szCs w:val="18"/>
          <w:color w:val="auto"/>
        </w:rPr>
        <w:t>First-time presentation at AAIC of a biomarker-based, translational clinical trial of AC Immune’s wholly owned anti-Abeta vaccine, ACI-24.060, in patients with AD and individuals with DS.</w:t>
      </w:r>
    </w:p>
    <w:p>
      <w:pPr>
        <w:spacing w:after="0" w:line="134" w:lineRule="exact"/>
        <w:rPr>
          <w:sz w:val="20"/>
          <w:szCs w:val="20"/>
          <w:color w:val="auto"/>
        </w:rPr>
      </w:pPr>
    </w:p>
    <w:p>
      <w:pPr>
        <w:ind w:left="700" w:right="79"/>
        <w:spacing w:after="0" w:line="255" w:lineRule="auto"/>
        <w:rPr>
          <w:sz w:val="20"/>
          <w:szCs w:val="20"/>
          <w:color w:val="auto"/>
        </w:rPr>
      </w:pPr>
      <w:r>
        <w:rPr>
          <w:rFonts w:ascii="Times New Roman" w:cs="Times New Roman" w:eastAsia="Times New Roman" w:hAnsi="Times New Roman"/>
          <w:sz w:val="18"/>
          <w:szCs w:val="18"/>
          <w:color w:val="auto"/>
        </w:rPr>
        <w:t>Hosted a key opinion leader webinar on the potential benefits of vaccines for Alzheimer’s and Parkinson’s diseases. The webinar featured a presentation by Cynthia A. Lemere, Ph.D., of the Ann Romney Center for Neurologic Diseases at Brigham &amp; Women’s Hospital and Harvard Medical School. To view a replay of the webinar, click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2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b w:val="1"/>
          <w:bCs w:val="1"/>
          <w:color w:val="auto"/>
        </w:rPr>
        <w:t>Achieved and Anticipated 2022 Clinical Milestones</w:t>
      </w:r>
    </w:p>
    <w:p>
      <w:pPr>
        <w:spacing w:after="0" w:line="187" w:lineRule="exact"/>
        <w:rPr>
          <w:sz w:val="20"/>
          <w:szCs w:val="20"/>
          <w:color w:val="auto"/>
        </w:rPr>
      </w:pPr>
    </w:p>
    <w:tbl>
      <w:tblPr>
        <w:tblLayout w:type="fixed"/>
        <w:tblInd w:w="70" w:type="dxa"/>
        <w:tblCellMar>
          <w:top w:w="0" w:type="dxa"/>
          <w:left w:w="0" w:type="dxa"/>
          <w:bottom w:w="0" w:type="dxa"/>
          <w:right w:w="0" w:type="dxa"/>
        </w:tblCellMar>
      </w:tblPr>
      <w:tr>
        <w:trPr>
          <w:trHeight w:val="211"/>
        </w:trPr>
        <w:tc>
          <w:tcPr>
            <w:tcW w:w="2040" w:type="dxa"/>
            <w:vAlign w:val="bottom"/>
            <w:tcBorders>
              <w:top w:val="single" w:sz="8" w:color="auto"/>
              <w:left w:val="single" w:sz="8" w:color="auto"/>
              <w:right w:val="single" w:sz="8" w:color="auto"/>
            </w:tcBorders>
          </w:tcPr>
          <w:p>
            <w:pPr>
              <w:spacing w:after="0"/>
              <w:rPr>
                <w:sz w:val="18"/>
                <w:szCs w:val="18"/>
                <w:color w:val="auto"/>
              </w:rPr>
            </w:pPr>
          </w:p>
        </w:tc>
        <w:tc>
          <w:tcPr>
            <w:tcW w:w="68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Dosed first patient in Phase 1b/2 ABATE study of ACI-24.060 in patients with AD and</w:t>
            </w: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ACI-24.060</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individuals with DS.</w:t>
            </w:r>
          </w:p>
        </w:tc>
        <w:tc>
          <w:tcPr>
            <w:tcW w:w="0" w:type="dxa"/>
            <w:vAlign w:val="bottom"/>
          </w:tcPr>
          <w:p>
            <w:pPr>
              <w:spacing w:after="0"/>
              <w:rPr>
                <w:sz w:val="1"/>
                <w:szCs w:val="1"/>
                <w:color w:val="auto"/>
              </w:rPr>
            </w:pPr>
          </w:p>
        </w:tc>
      </w:tr>
      <w:tr>
        <w:trPr>
          <w:trHeight w:val="95"/>
        </w:trPr>
        <w:tc>
          <w:tcPr>
            <w:tcW w:w="2040" w:type="dxa"/>
            <w:vAlign w:val="bottom"/>
            <w:tcBorders>
              <w:left w:val="single" w:sz="8" w:color="auto"/>
              <w:right w:val="single" w:sz="8" w:color="auto"/>
            </w:tcBorders>
            <w:vMerge w:val="continue"/>
          </w:tcPr>
          <w:p>
            <w:pPr>
              <w:spacing w:after="0"/>
              <w:rPr>
                <w:sz w:val="8"/>
                <w:szCs w:val="8"/>
                <w:color w:val="auto"/>
              </w:rPr>
            </w:pPr>
          </w:p>
        </w:tc>
        <w:tc>
          <w:tcPr>
            <w:tcW w:w="68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Phase 1b safety and immunogenicity data readout in AD and decision to move into DS</w:t>
            </w: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anti-Abeta vaccine</w:t>
            </w:r>
          </w:p>
        </w:tc>
        <w:tc>
          <w:tcPr>
            <w:tcW w:w="6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40" w:type="dxa"/>
            <w:vAlign w:val="bottom"/>
            <w:tcBorders>
              <w:left w:val="single" w:sz="8" w:color="auto"/>
              <w:right w:val="single" w:sz="8" w:color="auto"/>
            </w:tcBorders>
            <w:vMerge w:val="continue"/>
          </w:tcPr>
          <w:p>
            <w:pPr>
              <w:spacing w:after="0"/>
              <w:rPr>
                <w:sz w:val="9"/>
                <w:szCs w:val="9"/>
                <w:color w:val="auto"/>
              </w:rPr>
            </w:pPr>
          </w:p>
        </w:tc>
        <w:tc>
          <w:tcPr>
            <w:tcW w:w="68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expected in Q4 2022. Submission of U.S. Investigational New Drug (IND) application</w:t>
            </w:r>
          </w:p>
        </w:tc>
        <w:tc>
          <w:tcPr>
            <w:tcW w:w="0" w:type="dxa"/>
            <w:vAlign w:val="bottom"/>
          </w:tcPr>
          <w:p>
            <w:pPr>
              <w:spacing w:after="0"/>
              <w:rPr>
                <w:sz w:val="1"/>
                <w:szCs w:val="1"/>
                <w:color w:val="auto"/>
              </w:rPr>
            </w:pPr>
          </w:p>
        </w:tc>
      </w:tr>
      <w:tr>
        <w:trPr>
          <w:trHeight w:val="103"/>
        </w:trPr>
        <w:tc>
          <w:tcPr>
            <w:tcW w:w="2040" w:type="dxa"/>
            <w:vAlign w:val="bottom"/>
            <w:tcBorders>
              <w:left w:val="single" w:sz="8" w:color="auto"/>
              <w:right w:val="single" w:sz="8" w:color="auto"/>
            </w:tcBorders>
          </w:tcPr>
          <w:p>
            <w:pPr>
              <w:spacing w:after="0"/>
              <w:rPr>
                <w:sz w:val="8"/>
                <w:szCs w:val="8"/>
                <w:color w:val="auto"/>
              </w:rPr>
            </w:pPr>
          </w:p>
        </w:tc>
        <w:tc>
          <w:tcPr>
            <w:tcW w:w="6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bottom w:val="single" w:sz="8" w:color="auto"/>
              <w:right w:val="single" w:sz="8" w:color="auto"/>
            </w:tcBorders>
          </w:tcPr>
          <w:p>
            <w:pPr>
              <w:spacing w:after="0"/>
              <w:rPr>
                <w:sz w:val="19"/>
                <w:szCs w:val="19"/>
                <w:color w:val="auto"/>
              </w:rPr>
            </w:pPr>
          </w:p>
        </w:tc>
        <w:tc>
          <w:tcPr>
            <w:tcW w:w="6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planned in Q1 2023.</w:t>
            </w:r>
          </w:p>
        </w:tc>
        <w:tc>
          <w:tcPr>
            <w:tcW w:w="0" w:type="dxa"/>
            <w:vAlign w:val="bottom"/>
          </w:tcPr>
          <w:p>
            <w:pPr>
              <w:spacing w:after="0"/>
              <w:rPr>
                <w:sz w:val="1"/>
                <w:szCs w:val="1"/>
                <w:color w:val="auto"/>
              </w:rPr>
            </w:pPr>
          </w:p>
        </w:tc>
      </w:tr>
      <w:tr>
        <w:trPr>
          <w:trHeight w:val="191"/>
        </w:trPr>
        <w:tc>
          <w:tcPr>
            <w:tcW w:w="204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ACI-35.030</w:t>
            </w:r>
          </w:p>
        </w:tc>
        <w:tc>
          <w:tcPr>
            <w:tcW w:w="686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Reported Phase 1b/2a interim analysis from highest dose group.</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anti-pTau vaccine</w:t>
            </w:r>
          </w:p>
        </w:tc>
        <w:tc>
          <w:tcPr>
            <w:tcW w:w="6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Expect the decision to move into late-stage development in Q4 2022.</w:t>
            </w:r>
          </w:p>
        </w:tc>
        <w:tc>
          <w:tcPr>
            <w:tcW w:w="0" w:type="dxa"/>
            <w:vAlign w:val="bottom"/>
          </w:tcPr>
          <w:p>
            <w:pPr>
              <w:spacing w:after="0"/>
              <w:rPr>
                <w:sz w:val="1"/>
                <w:szCs w:val="1"/>
                <w:color w:val="auto"/>
              </w:rPr>
            </w:pPr>
          </w:p>
        </w:tc>
      </w:tr>
      <w:tr>
        <w:trPr>
          <w:trHeight w:val="191"/>
        </w:trPr>
        <w:tc>
          <w:tcPr>
            <w:tcW w:w="204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ACI-7104</w:t>
            </w:r>
          </w:p>
        </w:tc>
        <w:tc>
          <w:tcPr>
            <w:tcW w:w="68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Initiation of Phase 2 trial in early PD expected in Q4 2022.</w:t>
            </w: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anti-a-syn vaccine</w:t>
            </w:r>
          </w:p>
        </w:tc>
        <w:tc>
          <w:tcPr>
            <w:tcW w:w="6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6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4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Crenezumab</w:t>
            </w:r>
          </w:p>
        </w:tc>
        <w:tc>
          <w:tcPr>
            <w:tcW w:w="686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Reported detailed results from Phase 2 API-ADAD study in autosomal dominant AD.</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anti-Abeta antibody</w:t>
            </w:r>
          </w:p>
        </w:tc>
        <w:tc>
          <w:tcPr>
            <w:tcW w:w="6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Additional fluid biomarker data to be presented at CTAD 2022 Conference</w:t>
            </w:r>
          </w:p>
        </w:tc>
        <w:tc>
          <w:tcPr>
            <w:tcW w:w="0" w:type="dxa"/>
            <w:vAlign w:val="bottom"/>
          </w:tcPr>
          <w:p>
            <w:pPr>
              <w:spacing w:after="0"/>
              <w:rPr>
                <w:sz w:val="1"/>
                <w:szCs w:val="1"/>
                <w:color w:val="auto"/>
              </w:rPr>
            </w:pPr>
          </w:p>
        </w:tc>
      </w:tr>
      <w:tr>
        <w:trPr>
          <w:trHeight w:val="191"/>
        </w:trPr>
        <w:tc>
          <w:tcPr>
            <w:tcW w:w="204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Semorinemab</w:t>
            </w:r>
          </w:p>
        </w:tc>
        <w:tc>
          <w:tcPr>
            <w:tcW w:w="686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Additional biomarker data from the Phase 2 Lauriet study in mild-to-moderate AD expected</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anti-Tau antibody</w:t>
            </w:r>
          </w:p>
        </w:tc>
        <w:tc>
          <w:tcPr>
            <w:tcW w:w="6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 CTAD 2022 Conference.</w:t>
            </w:r>
          </w:p>
        </w:tc>
        <w:tc>
          <w:tcPr>
            <w:tcW w:w="0" w:type="dxa"/>
            <w:vAlign w:val="bottom"/>
          </w:tcPr>
          <w:p>
            <w:pPr>
              <w:spacing w:after="0"/>
              <w:rPr>
                <w:sz w:val="1"/>
                <w:szCs w:val="1"/>
                <w:color w:val="auto"/>
              </w:rPr>
            </w:pPr>
          </w:p>
        </w:tc>
      </w:tr>
      <w:tr>
        <w:trPr>
          <w:trHeight w:val="191"/>
        </w:trPr>
        <w:tc>
          <w:tcPr>
            <w:tcW w:w="204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ACI-12589</w:t>
            </w:r>
          </w:p>
        </w:tc>
        <w:tc>
          <w:tcPr>
            <w:tcW w:w="68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Reported breakthrough results from first-in-human study at AD/PD</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2022 conference.</w:t>
            </w: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a-syn-PET tracer</w:t>
            </w:r>
          </w:p>
        </w:tc>
        <w:tc>
          <w:tcPr>
            <w:tcW w:w="6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6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PI-2620</w:t>
            </w:r>
          </w:p>
        </w:tc>
        <w:tc>
          <w:tcPr>
            <w:tcW w:w="686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Reported Phase 2 results in AD enabling entry into late-stage development connected to a</w:t>
            </w: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vMerge w:val="continue"/>
          </w:tcPr>
          <w:p>
            <w:pPr>
              <w:spacing w:after="0"/>
              <w:rPr>
                <w:sz w:val="9"/>
                <w:szCs w:val="9"/>
                <w:color w:val="auto"/>
              </w:rPr>
            </w:pPr>
          </w:p>
        </w:tc>
        <w:tc>
          <w:tcPr>
            <w:tcW w:w="68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milestone payment.</w:t>
            </w: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Tau-PET tracer</w:t>
            </w:r>
          </w:p>
        </w:tc>
        <w:tc>
          <w:tcPr>
            <w:tcW w:w="6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vMerge w:val="continue"/>
          </w:tcPr>
          <w:p>
            <w:pPr>
              <w:spacing w:after="0"/>
              <w:rPr>
                <w:sz w:val="10"/>
                <w:szCs w:val="10"/>
                <w:color w:val="auto"/>
              </w:rPr>
            </w:pPr>
          </w:p>
        </w:tc>
        <w:tc>
          <w:tcPr>
            <w:tcW w:w="68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Clinical PET study data in orphan indication in Q4 2022.</w:t>
            </w: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bottom w:val="single" w:sz="8" w:color="auto"/>
              <w:right w:val="single" w:sz="8" w:color="auto"/>
            </w:tcBorders>
          </w:tcPr>
          <w:p>
            <w:pPr>
              <w:spacing w:after="0"/>
              <w:rPr>
                <w:sz w:val="9"/>
                <w:szCs w:val="9"/>
                <w:color w:val="auto"/>
              </w:rPr>
            </w:pPr>
          </w:p>
        </w:tc>
        <w:tc>
          <w:tcPr>
            <w:tcW w:w="68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Financial Statements for the Quarter Ended September 30, 2022</w:t>
      </w:r>
    </w:p>
    <w:p>
      <w:pPr>
        <w:spacing w:after="0" w:line="170" w:lineRule="exact"/>
        <w:rPr>
          <w:sz w:val="20"/>
          <w:szCs w:val="20"/>
          <w:color w:val="auto"/>
        </w:rPr>
      </w:pPr>
    </w:p>
    <w:p>
      <w:pPr>
        <w:ind w:left="700" w:right="7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The Company had a total cash balance of CHF 140.5 million, composed of CHF 44.5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and cash equivalents and CHF 96.0 million in short-term financial assets. This compares to a total cash balance of CHF 198.2 million as of December 31, 2021. The Company’s cash balance provides cash for operations into Q3 2024 without consideration of potential incoming milestone payments.</w:t>
      </w:r>
    </w:p>
    <w:p>
      <w:pPr>
        <w:spacing w:after="0" w:line="139" w:lineRule="exact"/>
        <w:rPr>
          <w:sz w:val="20"/>
          <w:szCs w:val="20"/>
          <w:color w:val="auto"/>
        </w:rPr>
      </w:pPr>
    </w:p>
    <w:p>
      <w:pPr>
        <w:ind w:left="700" w:right="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R&amp;D Expenditures: </w:t>
      </w:r>
      <w:r>
        <w:rPr>
          <w:rFonts w:ascii="Times New Roman" w:cs="Times New Roman" w:eastAsia="Times New Roman" w:hAnsi="Times New Roman"/>
          <w:sz w:val="18"/>
          <w:szCs w:val="18"/>
          <w:color w:val="auto"/>
        </w:rPr>
        <w:t>R&amp;D expenses decreased by CHF 0.7 million for the three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to CHF 14.4 million.</w:t>
      </w:r>
    </w:p>
    <w:p>
      <w:pPr>
        <w:spacing w:after="0" w:line="129" w:lineRule="exact"/>
        <w:rPr>
          <w:sz w:val="20"/>
          <w:szCs w:val="20"/>
          <w:color w:val="auto"/>
        </w:rPr>
      </w:pPr>
    </w:p>
    <w:p>
      <w:pPr>
        <w:ind w:left="1340" w:right="79" w:hanging="318"/>
        <w:spacing w:after="0" w:line="269" w:lineRule="auto"/>
        <w:tabs>
          <w:tab w:leader="none" w:pos="1340" w:val="left"/>
        </w:tabs>
        <w:numPr>
          <w:ilvl w:val="1"/>
          <w:numId w:val="51"/>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Discovery and preclinical expenses (- CHF 0.8 million): </w:t>
      </w:r>
      <w:r>
        <w:rPr>
          <w:rFonts w:ascii="Times New Roman" w:cs="Times New Roman" w:eastAsia="Times New Roman" w:hAnsi="Times New Roman"/>
          <w:sz w:val="18"/>
          <w:szCs w:val="18"/>
          <w:color w:val="auto"/>
        </w:rPr>
        <w:t>The Company decreased expenditures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variety of its discovery and preclinical programs.</w:t>
      </w:r>
    </w:p>
    <w:p>
      <w:pPr>
        <w:spacing w:after="0" w:line="140" w:lineRule="exact"/>
        <w:rPr>
          <w:rFonts w:ascii="Courier New" w:cs="Courier New" w:eastAsia="Courier New" w:hAnsi="Courier New"/>
          <w:sz w:val="18"/>
          <w:szCs w:val="18"/>
          <w:color w:val="auto"/>
        </w:rPr>
      </w:pPr>
    </w:p>
    <w:p>
      <w:pPr>
        <w:jc w:val="both"/>
        <w:ind w:left="1340" w:right="79" w:hanging="318"/>
        <w:spacing w:after="0" w:line="251" w:lineRule="auto"/>
        <w:tabs>
          <w:tab w:leader="none" w:pos="1340" w:val="left"/>
        </w:tabs>
        <w:numPr>
          <w:ilvl w:val="1"/>
          <w:numId w:val="51"/>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Clinical expenses (- CHF 0.6 million): </w:t>
      </w:r>
      <w:r>
        <w:rPr>
          <w:rFonts w:ascii="Times New Roman" w:cs="Times New Roman" w:eastAsia="Times New Roman" w:hAnsi="Times New Roman"/>
          <w:sz w:val="18"/>
          <w:szCs w:val="18"/>
          <w:color w:val="auto"/>
        </w:rPr>
        <w:t>The Company’s increased expenditures for the accelerated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development programs of ACI-7104 and ACI-24.060 were offset by lower costs in various other clinical programs as they achieved anticipated goals.</w:t>
      </w:r>
    </w:p>
    <w:p>
      <w:pPr>
        <w:spacing w:after="0" w:line="158" w:lineRule="exact"/>
        <w:rPr>
          <w:rFonts w:ascii="Courier New" w:cs="Courier New" w:eastAsia="Courier New" w:hAnsi="Courier New"/>
          <w:sz w:val="18"/>
          <w:szCs w:val="18"/>
          <w:color w:val="auto"/>
        </w:rPr>
      </w:pPr>
    </w:p>
    <w:p>
      <w:pPr>
        <w:jc w:val="both"/>
        <w:ind w:left="1340" w:right="79" w:hanging="318"/>
        <w:spacing w:after="0" w:line="259" w:lineRule="auto"/>
        <w:tabs>
          <w:tab w:leader="none" w:pos="1340" w:val="left"/>
        </w:tabs>
        <w:numPr>
          <w:ilvl w:val="1"/>
          <w:numId w:val="51"/>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Other non-allocated (+ CHF 0.5 million): </w:t>
      </w:r>
      <w:r>
        <w:rPr>
          <w:rFonts w:ascii="Times New Roman" w:cs="Times New Roman" w:eastAsia="Times New Roman" w:hAnsi="Times New Roman"/>
          <w:sz w:val="18"/>
          <w:szCs w:val="18"/>
          <w:color w:val="auto"/>
        </w:rPr>
        <w:t>The Company’s other non-allocated R&amp;D expenditure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by CHF 0.5 million mostly related to the reallocation of certain IT and facilities costs and IT investments.</w:t>
      </w:r>
    </w:p>
    <w:p>
      <w:pPr>
        <w:spacing w:after="0" w:line="122" w:lineRule="exact"/>
        <w:rPr>
          <w:rFonts w:ascii="Courier New" w:cs="Courier New" w:eastAsia="Courier New" w:hAnsi="Courier New"/>
          <w:sz w:val="18"/>
          <w:szCs w:val="18"/>
          <w:color w:val="auto"/>
        </w:rPr>
      </w:pPr>
    </w:p>
    <w:p>
      <w:pPr>
        <w:ind w:left="700" w:right="79"/>
        <w:spacing w:after="0" w:line="262" w:lineRule="auto"/>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G&amp;A Expenditures: </w:t>
      </w:r>
      <w:r>
        <w:rPr>
          <w:rFonts w:ascii="Times New Roman" w:cs="Times New Roman" w:eastAsia="Times New Roman" w:hAnsi="Times New Roman"/>
          <w:sz w:val="18"/>
          <w:szCs w:val="18"/>
          <w:color w:val="auto"/>
        </w:rPr>
        <w:t>For the three months ended September 30, 2022, G&amp;A decreased by CHF 2.1 million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CHF 3.3 million. This decrease is mostly related to the reallocation of certain IT and facilities expenditures made in Q3 2022 that were not reclassified in the prior period and the reversal of certain share-based compensation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3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5" w:name="page36"/>
    <w:bookmarkEnd w:id="35"/>
    <w:p>
      <w:pPr>
        <w:ind w:left="700" w:right="7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Operating Income: </w:t>
      </w:r>
      <w:r>
        <w:rPr>
          <w:rFonts w:ascii="Times New Roman" w:cs="Times New Roman" w:eastAsia="Times New Roman" w:hAnsi="Times New Roman"/>
          <w:sz w:val="18"/>
          <w:szCs w:val="18"/>
          <w:color w:val="auto"/>
        </w:rPr>
        <w:t>The Company recognized CHF 0.3 million in grant income for R&amp;D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under our Michael J. Fox Foundation for Parkinson’s Research (MJFF) and Target ALS grants, an increase of less than CHF 0.1 million compared to the prior period.</w:t>
      </w:r>
    </w:p>
    <w:p>
      <w:pPr>
        <w:spacing w:after="0" w:line="129" w:lineRule="exact"/>
        <w:rPr>
          <w:sz w:val="20"/>
          <w:szCs w:val="20"/>
          <w:color w:val="auto"/>
        </w:rPr>
      </w:pPr>
    </w:p>
    <w:p>
      <w:pPr>
        <w:ind w:left="700" w:right="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IFRS Loss for the Period: </w:t>
      </w:r>
      <w:r>
        <w:rPr>
          <w:rFonts w:ascii="Times New Roman" w:cs="Times New Roman" w:eastAsia="Times New Roman" w:hAnsi="Times New Roman"/>
          <w:sz w:val="18"/>
          <w:szCs w:val="18"/>
          <w:color w:val="auto"/>
        </w:rPr>
        <w:t>The Company reported a net loss after taxes of CHF 13.5 million for the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2022, compared with a net loss of CHF 15.9 million for the comparable period in 2021.</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About AC Immune SA</w:t>
      </w:r>
    </w:p>
    <w:p>
      <w:pPr>
        <w:spacing w:after="0" w:line="189" w:lineRule="exact"/>
        <w:rPr>
          <w:sz w:val="20"/>
          <w:szCs w:val="20"/>
          <w:color w:val="auto"/>
        </w:rPr>
      </w:pPr>
    </w:p>
    <w:p>
      <w:pPr>
        <w:jc w:val="both"/>
        <w:ind w:left="60" w:right="59"/>
        <w:spacing w:after="0" w:line="237" w:lineRule="auto"/>
        <w:rPr>
          <w:sz w:val="20"/>
          <w:szCs w:val="20"/>
          <w:color w:val="auto"/>
        </w:rPr>
      </w:pPr>
      <w:r>
        <w:rPr>
          <w:rFonts w:ascii="Times New Roman" w:cs="Times New Roman" w:eastAsia="Times New Roman" w:hAnsi="Times New Roman"/>
          <w:sz w:val="18"/>
          <w:szCs w:val="18"/>
          <w:color w:val="auto"/>
        </w:rPr>
        <w:t>AC Immune SA is a clinical-stage biopharmaceutical company that aims to become a global leader in precision medicine for neurodegenerative diseases, including Alzheimer’s disease, Parkinson’s disease, and NeuroOrphan indications driven by misfolded proteins. The Company’s two clinically validated technology platforms, SupraAntigen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Morphomer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fuel its broad and diversified pipeline of first- and best-in-class assets, which currently features ten therapeutic and three diagnostic candidates, six of which are currently in phase 2 clinical trials. AC Immune has a strong track record of securing strategic partnerships with leading global pharmaceutical companies including Genentech, a member of the Roche Group, Eli Lilly and Company, and Janssen Pharmaceuticals, Inc., resulting in substantial non-dilutive funding to advance its proprietary programs and &gt;$3 billion in potential milestone payments.</w:t>
      </w:r>
    </w:p>
    <w:p>
      <w:pPr>
        <w:spacing w:after="0" w:line="1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SupraAntigen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registered trademark of AC Immune SA in the following territories: AU, EU, CH, GB, JP, RU and SG.</w:t>
      </w:r>
    </w:p>
    <w:p>
      <w:pPr>
        <w:ind w:left="60"/>
        <w:spacing w:after="0"/>
        <w:rPr>
          <w:sz w:val="20"/>
          <w:szCs w:val="20"/>
          <w:color w:val="auto"/>
        </w:rPr>
      </w:pPr>
      <w:r>
        <w:rPr>
          <w:rFonts w:ascii="Times New Roman" w:cs="Times New Roman" w:eastAsia="Times New Roman" w:hAnsi="Times New Roman"/>
          <w:sz w:val="18"/>
          <w:szCs w:val="18"/>
          <w:color w:val="auto"/>
        </w:rPr>
        <w:t>Morphomer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registered trademark of AC Immune SA in CN, CH, GB, JP, KR, NO and RU.</w:t>
      </w:r>
    </w:p>
    <w:p>
      <w:pPr>
        <w:spacing w:after="0" w:line="7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information on our website and any other websites referenced herein is expressely not incorporated by reference into, and does not constitute a part of, this press release.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ectPr>
          <w:pgSz w:w="11900" w:h="16838" w:orient="portrait"/>
          <w:cols w:equalWidth="0" w:num="1">
            <w:col w:w="9019"/>
          </w:cols>
          <w:pgMar w:left="1440" w:top="104" w:right="1440" w:bottom="1440" w:gutter="0" w:footer="0" w:header="0"/>
        </w:sect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Saoyuth Nidh</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 Immune</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Phone: +41 21 345 91 34</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Email: saoyuth.nidh@acimmune.com</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Waanders, Ph.D., MBA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 Immune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+41 21 345 91 91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gary.waanders@acimmune.com</w:t>
      </w:r>
    </w:p>
    <w:p>
      <w:pPr>
        <w:spacing w:after="0" w:line="165" w:lineRule="exact"/>
        <w:rPr>
          <w:sz w:val="20"/>
          <w:szCs w:val="20"/>
          <w:color w:val="auto"/>
        </w:rPr>
      </w:pPr>
    </w:p>
    <w:p>
      <w:pPr>
        <w:sectPr>
          <w:pgSz w:w="11900" w:h="16838" w:orient="portrait"/>
          <w:cols w:equalWidth="0" w:num="2">
            <w:col w:w="3800" w:space="720"/>
            <w:col w:w="4499"/>
          </w:cols>
          <w:pgMar w:left="1440" w:top="104"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Shani Lewis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LaVoieHealthScience</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Phone: +1 609 516 5761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Email: slewis@lavoiehealthscience.com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U.S. 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Corey Davis,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+1 212 915 2577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cdavis@lifesciadvisors.com</w:t>
      </w:r>
    </w:p>
    <w:p>
      <w:pPr>
        <w:spacing w:after="0" w:line="152" w:lineRule="exact"/>
        <w:rPr>
          <w:sz w:val="20"/>
          <w:szCs w:val="20"/>
          <w:color w:val="auto"/>
        </w:rPr>
      </w:pPr>
    </w:p>
    <w:p>
      <w:pPr>
        <w:sectPr>
          <w:pgSz w:w="11900" w:h="16838" w:orient="portrait"/>
          <w:cols w:equalWidth="0" w:num="2">
            <w:col w:w="3800" w:space="720"/>
            <w:col w:w="4499"/>
          </w:cols>
          <w:pgMar w:left="1440" w:top="104"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ectPr>
          <w:pgSz w:w="11900" w:h="16838" w:orient="portrait"/>
          <w:cols w:equalWidth="0" w:num="1">
            <w:col w:w="9019"/>
          </w:cols>
          <w:pgMar w:left="1440" w:top="104" w:right="1440" w:bottom="1440" w:gutter="0" w:footer="0" w:header="0"/>
          <w:type w:val="continuous"/>
        </w:sectPr>
      </w:pPr>
    </w:p>
    <w:p>
      <w:pPr>
        <w:spacing w:after="0" w:line="21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4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36" w:name="page37"/>
    <w:bookmarkEnd w:id="36"/>
    <w:p>
      <w:pPr>
        <w:ind w:left="60" w:right="139"/>
        <w:spacing w:after="0" w:line="271" w:lineRule="auto"/>
        <w:rPr>
          <w:sz w:val="20"/>
          <w:szCs w:val="20"/>
          <w:color w:val="auto"/>
        </w:rPr>
      </w:pPr>
      <w:r>
        <w:rPr>
          <w:rFonts w:ascii="Times New Roman" w:cs="Times New Roman" w:eastAsia="Times New Roman" w:hAnsi="Times New Roman"/>
          <w:sz w:val="18"/>
          <w:szCs w:val="18"/>
          <w:color w:val="auto"/>
        </w:rPr>
        <w:t>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5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24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5"/>
        </w:trPr>
        <w:tc>
          <w:tcPr>
            <w:tcW w:w="62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0" w:type="dxa"/>
            <w:vAlign w:val="bottom"/>
          </w:tcPr>
          <w:p>
            <w:pPr>
              <w:spacing w:after="0"/>
              <w:rPr>
                <w:sz w:val="1"/>
                <w:szCs w:val="1"/>
                <w:color w:val="auto"/>
              </w:rPr>
            </w:pPr>
          </w:p>
        </w:tc>
      </w:tr>
      <w:tr>
        <w:trPr>
          <w:trHeight w:val="230"/>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financial assets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57,955</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58,809</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30"/>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income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30"/>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44,503</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82,216</w:t>
            </w:r>
          </w:p>
        </w:tc>
        <w:tc>
          <w:tcPr>
            <w:tcW w:w="0" w:type="dxa"/>
            <w:vAlign w:val="bottom"/>
          </w:tcPr>
          <w:p>
            <w:pPr>
              <w:spacing w:after="0"/>
              <w:rPr>
                <w:sz w:val="1"/>
                <w:szCs w:val="1"/>
                <w:color w:val="auto"/>
              </w:rPr>
            </w:pPr>
          </w:p>
        </w:tc>
      </w:tr>
      <w:tr>
        <w:trPr>
          <w:trHeight w:val="26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147,602</w:t>
            </w:r>
          </w:p>
        </w:tc>
        <w:tc>
          <w:tcPr>
            <w:tcW w:w="14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202,634</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205,557</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261,443</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capital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29"/>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premium</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431,303</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431,251</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shares</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losses</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(242,994)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(200,942)</w:t>
            </w:r>
          </w:p>
        </w:tc>
        <w:tc>
          <w:tcPr>
            <w:tcW w:w="0" w:type="dxa"/>
            <w:vAlign w:val="bottom"/>
          </w:tcPr>
          <w:p>
            <w:pPr>
              <w:spacing w:after="0"/>
              <w:rPr>
                <w:sz w:val="1"/>
                <w:szCs w:val="1"/>
                <w:color w:val="auto"/>
              </w:rPr>
            </w:pPr>
          </w:p>
        </w:tc>
      </w:tr>
      <w:tr>
        <w:trPr>
          <w:trHeight w:val="26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190,054</w:t>
            </w:r>
          </w:p>
        </w:tc>
        <w:tc>
          <w:tcPr>
            <w:tcW w:w="14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231,979</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30"/>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employee defined-benefit liabilities</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w:t>
            </w:r>
          </w:p>
        </w:tc>
        <w:tc>
          <w:tcPr>
            <w:tcW w:w="0" w:type="dxa"/>
            <w:vAlign w:val="bottom"/>
          </w:tcPr>
          <w:p>
            <w:pPr>
              <w:spacing w:after="0"/>
              <w:rPr>
                <w:sz w:val="1"/>
                <w:szCs w:val="1"/>
                <w:color w:val="auto"/>
              </w:rPr>
            </w:pPr>
          </w:p>
        </w:tc>
      </w:tr>
      <w:tr>
        <w:trPr>
          <w:trHeight w:val="230"/>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6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4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20,026</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29,464</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205,557</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261,443</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7"/>
          <w:szCs w:val="17"/>
          <w:color w:val="auto"/>
        </w:rPr>
        <w:t>6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Income/(Loss)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CHF thousands, except for per-share data)</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94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60" w:type="dxa"/>
            <w:vAlign w:val="bottom"/>
          </w:tcPr>
          <w:p>
            <w:pPr>
              <w:spacing w:after="0"/>
              <w:rPr>
                <w:sz w:val="16"/>
                <w:szCs w:val="16"/>
                <w:color w:val="auto"/>
              </w:rPr>
            </w:pPr>
          </w:p>
        </w:tc>
        <w:tc>
          <w:tcPr>
            <w:tcW w:w="15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94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70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revenue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(14,385)</w:t>
            </w:r>
          </w:p>
        </w:tc>
        <w:tc>
          <w:tcPr>
            <w:tcW w:w="14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7"/>
              </w:rPr>
              <w:t>(15,118)</w:t>
            </w:r>
          </w:p>
        </w:tc>
        <w:tc>
          <w:tcPr>
            <w:tcW w:w="4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(45,200)</w:t>
            </w: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(3,274)</w:t>
            </w: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(5,420)</w:t>
            </w:r>
          </w:p>
        </w:tc>
        <w:tc>
          <w:tcPr>
            <w:tcW w:w="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(11,828)</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operating income/(expense)</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(17,397)</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(20,283)</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vMerge w:val="continue"/>
          </w:tcPr>
          <w:p>
            <w:pPr>
              <w:spacing w:after="0"/>
              <w:rPr>
                <w:sz w:val="21"/>
                <w:szCs w:val="21"/>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(20,283)</w:t>
            </w:r>
          </w:p>
        </w:tc>
        <w:tc>
          <w:tcPr>
            <w:tcW w:w="20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(52,150)</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(56,223)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income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Financial expense</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Exchange differences</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(13,512)</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(15,918)</w:t>
            </w: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(51,993)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2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(15,918)</w:t>
            </w:r>
          </w:p>
        </w:tc>
        <w:tc>
          <w:tcPr>
            <w:tcW w:w="20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(52,004)</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(51,720)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0"/>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Income/(Loss)</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60" w:type="dxa"/>
            <w:vAlign w:val="bottom"/>
          </w:tcPr>
          <w:p>
            <w:pPr>
              <w:spacing w:after="0"/>
              <w:rPr>
                <w:sz w:val="24"/>
                <w:szCs w:val="24"/>
                <w:color w:val="auto"/>
              </w:rPr>
            </w:pPr>
          </w:p>
        </w:tc>
        <w:tc>
          <w:tcPr>
            <w:tcW w:w="15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60" w:type="dxa"/>
            <w:vAlign w:val="bottom"/>
          </w:tcPr>
          <w:p>
            <w:pPr>
              <w:spacing w:after="0"/>
              <w:rPr>
                <w:sz w:val="16"/>
                <w:szCs w:val="16"/>
                <w:color w:val="auto"/>
              </w:rPr>
            </w:pPr>
          </w:p>
        </w:tc>
        <w:tc>
          <w:tcPr>
            <w:tcW w:w="15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(52,004)</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Items that will be reclassified to income or loss in subsequent periods (net of</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Items that will not to be reclassified to income or loss in subsequent periods</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of tax):</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Remeasurement gains on defined-benefit plans (net of tax)</w:t>
            </w: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(13,315)</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(44,373)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7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loss to adjusted loss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loss per share to adjusted loss per share</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980" w:type="dxa"/>
            <w:vAlign w:val="bottom"/>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980" w:type="dxa"/>
            <w:vAlign w:val="bottom"/>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89"/>
        </w:trPr>
        <w:tc>
          <w:tcPr>
            <w:tcW w:w="20" w:type="dxa"/>
            <w:vAlign w:val="bottom"/>
          </w:tcPr>
          <w:p>
            <w:pPr>
              <w:spacing w:after="0"/>
              <w:rPr>
                <w:sz w:val="16"/>
                <w:szCs w:val="16"/>
                <w:color w:val="auto"/>
              </w:rPr>
            </w:pPr>
          </w:p>
        </w:tc>
        <w:tc>
          <w:tcPr>
            <w:tcW w:w="47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9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20" w:type="dxa"/>
            <w:vAlign w:val="bottom"/>
          </w:tcPr>
          <w:p>
            <w:pPr>
              <w:spacing w:after="0"/>
              <w:rPr>
                <w:sz w:val="19"/>
                <w:szCs w:val="19"/>
                <w:color w:val="auto"/>
              </w:rPr>
            </w:pPr>
          </w:p>
        </w:tc>
        <w:tc>
          <w:tcPr>
            <w:tcW w:w="46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(52,004)</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(51,720)</w:t>
            </w:r>
          </w:p>
        </w:tc>
      </w:tr>
      <w:tr>
        <w:trPr>
          <w:trHeight w:val="223"/>
        </w:trPr>
        <w:tc>
          <w:tcPr>
            <w:tcW w:w="48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Non-cash share-based payments</w:t>
            </w:r>
            <w:r>
              <w:rPr>
                <w:rFonts w:ascii="Times New Roman" w:cs="Times New Roman" w:eastAsia="Times New Roman" w:hAnsi="Times New Roman"/>
                <w:sz w:val="26"/>
                <w:szCs w:val="26"/>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29"/>
        </w:trPr>
        <w:tc>
          <w:tcPr>
            <w:tcW w:w="20" w:type="dxa"/>
            <w:vAlign w:val="bottom"/>
          </w:tcPr>
          <w:p>
            <w:pPr>
              <w:spacing w:after="0"/>
              <w:rPr>
                <w:sz w:val="19"/>
                <w:szCs w:val="19"/>
                <w:color w:val="auto"/>
              </w:rPr>
            </w:pPr>
          </w:p>
        </w:tc>
        <w:tc>
          <w:tcPr>
            <w:tcW w:w="478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Foreign currency (gains)/losses</w:t>
            </w:r>
            <w:r>
              <w:rPr>
                <w:rFonts w:ascii="Times New Roman" w:cs="Times New Roman" w:eastAsia="Times New Roman" w:hAnsi="Times New Roman"/>
                <w:sz w:val="26"/>
                <w:szCs w:val="26"/>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29"/>
        </w:trPr>
        <w:tc>
          <w:tcPr>
            <w:tcW w:w="20" w:type="dxa"/>
            <w:vAlign w:val="bottom"/>
          </w:tcPr>
          <w:p>
            <w:pPr>
              <w:spacing w:after="0"/>
              <w:rPr>
                <w:sz w:val="19"/>
                <w:szCs w:val="19"/>
                <w:color w:val="auto"/>
              </w:rPr>
            </w:pPr>
          </w:p>
        </w:tc>
        <w:tc>
          <w:tcPr>
            <w:tcW w:w="478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Change in fair value of derivative financial assets</w:t>
            </w:r>
            <w:r>
              <w:rPr>
                <w:rFonts w:ascii="Times New Roman" w:cs="Times New Roman" w:eastAsia="Times New Roman" w:hAnsi="Times New Roman"/>
                <w:sz w:val="26"/>
                <w:szCs w:val="26"/>
                <w:color w:val="auto"/>
                <w:vertAlign w:val="superscript"/>
              </w:rPr>
              <w:t>3</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r>
      <w:tr>
        <w:trPr>
          <w:trHeight w:val="230"/>
        </w:trPr>
        <w:tc>
          <w:tcPr>
            <w:tcW w:w="20" w:type="dxa"/>
            <w:vAlign w:val="bottom"/>
          </w:tcPr>
          <w:p>
            <w:pPr>
              <w:spacing w:after="0"/>
              <w:rPr>
                <w:sz w:val="19"/>
                <w:szCs w:val="19"/>
                <w:color w:val="auto"/>
              </w:rPr>
            </w:pPr>
          </w:p>
        </w:tc>
        <w:tc>
          <w:tcPr>
            <w:tcW w:w="478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26"/>
                <w:szCs w:val="26"/>
                <w:color w:val="auto"/>
                <w:vertAlign w:val="superscript"/>
              </w:rPr>
              <w:t>4</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23"/>
        </w:trPr>
        <w:tc>
          <w:tcPr>
            <w:tcW w:w="20" w:type="dxa"/>
            <w:vAlign w:val="bottom"/>
          </w:tcPr>
          <w:p>
            <w:pPr>
              <w:spacing w:after="0"/>
              <w:rPr>
                <w:sz w:val="19"/>
                <w:szCs w:val="19"/>
                <w:color w:val="auto"/>
              </w:rPr>
            </w:pPr>
          </w:p>
        </w:tc>
        <w:tc>
          <w:tcPr>
            <w:tcW w:w="47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Loss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(18,736)</w:t>
            </w: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(50,402)</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(52,799)</w:t>
            </w:r>
          </w:p>
        </w:tc>
      </w:tr>
      <w:tr>
        <w:trPr>
          <w:trHeight w:val="230"/>
        </w:trPr>
        <w:tc>
          <w:tcPr>
            <w:tcW w:w="2240" w:type="dxa"/>
            <w:vAlign w:val="bottom"/>
            <w:gridSpan w:val="2"/>
          </w:tcPr>
          <w:p>
            <w:pPr>
              <w:spacing w:after="0"/>
              <w:rPr>
                <w:sz w:val="19"/>
                <w:szCs w:val="19"/>
                <w:color w:val="auto"/>
              </w:rPr>
            </w:pP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 basic and diluted</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23"/>
        </w:trPr>
        <w:tc>
          <w:tcPr>
            <w:tcW w:w="48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to loss per share – basic and diluted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3"/>
        </w:trPr>
        <w:tc>
          <w:tcPr>
            <w:tcW w:w="20" w:type="dxa"/>
            <w:vAlign w:val="bottom"/>
          </w:tcPr>
          <w:p>
            <w:pPr>
              <w:spacing w:after="0"/>
              <w:rPr>
                <w:sz w:val="19"/>
                <w:szCs w:val="19"/>
                <w:color w:val="auto"/>
              </w:rPr>
            </w:pPr>
          </w:p>
        </w:tc>
        <w:tc>
          <w:tcPr>
            <w:tcW w:w="47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loss per share – basic and diluted</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05"/>
        </w:trPr>
        <w:tc>
          <w:tcPr>
            <w:tcW w:w="20" w:type="dxa"/>
            <w:vAlign w:val="bottom"/>
          </w:tcPr>
          <w:p>
            <w:pPr>
              <w:spacing w:after="0"/>
              <w:rPr>
                <w:sz w:val="17"/>
                <w:szCs w:val="17"/>
                <w:color w:val="auto"/>
              </w:rPr>
            </w:pPr>
          </w:p>
        </w:tc>
        <w:tc>
          <w:tcPr>
            <w:tcW w:w="47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Weighted-average number of shares outstanding Adjusted loss –</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83,590,948</w:t>
            </w:r>
          </w:p>
        </w:tc>
        <w:tc>
          <w:tcPr>
            <w:tcW w:w="1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72,887,967</w:t>
            </w:r>
          </w:p>
        </w:tc>
        <w:tc>
          <w:tcPr>
            <w:tcW w:w="1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83,537,655</w:t>
            </w:r>
          </w:p>
        </w:tc>
        <w:tc>
          <w:tcPr>
            <w:tcW w:w="1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72,638,698</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90" w:lineRule="exact"/>
        <w:rPr>
          <w:sz w:val="20"/>
          <w:szCs w:val="20"/>
          <w:color w:val="auto"/>
        </w:rPr>
      </w:pPr>
    </w:p>
    <w:p>
      <w:pPr>
        <w:jc w:val="both"/>
        <w:ind w:left="380" w:right="79" w:hanging="330"/>
        <w:spacing w:after="0" w:line="216" w:lineRule="auto"/>
        <w:tabs>
          <w:tab w:leader="none" w:pos="380" w:val="left"/>
        </w:tabs>
        <w:numPr>
          <w:ilvl w:val="0"/>
          <w:numId w:val="5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 w:lineRule="exact"/>
        <w:rPr>
          <w:sz w:val="20"/>
          <w:szCs w:val="20"/>
          <w:color w:val="auto"/>
        </w:rPr>
      </w:pPr>
    </w:p>
    <w:p>
      <w:pPr>
        <w:ind w:left="380" w:right="79" w:hanging="330"/>
        <w:spacing w:after="0" w:line="200" w:lineRule="auto"/>
        <w:tabs>
          <w:tab w:leader="none" w:pos="380" w:val="left"/>
        </w:tabs>
        <w:numPr>
          <w:ilvl w:val="0"/>
          <w:numId w:val="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foreign currency re-measurement gains and losses for the period, predominantly impacted by the change in the exchange rate between the US Dollar and Euro with the Swiss Franc.</w:t>
      </w:r>
    </w:p>
    <w:p>
      <w:pPr>
        <w:spacing w:after="0" w:line="1" w:lineRule="exact"/>
        <w:rPr>
          <w:sz w:val="20"/>
          <w:szCs w:val="20"/>
          <w:color w:val="auto"/>
        </w:rPr>
      </w:pPr>
    </w:p>
    <w:p>
      <w:pPr>
        <w:ind w:left="380" w:right="79" w:hanging="330"/>
        <w:spacing w:after="0" w:line="200" w:lineRule="auto"/>
        <w:tabs>
          <w:tab w:leader="none" w:pos="380" w:val="left"/>
        </w:tabs>
        <w:numPr>
          <w:ilvl w:val="0"/>
          <w:numId w:val="5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the change in fair value of the derivative financial instruments associated with the convertible notes due to Investors as part of the prior year asset acquisition</w:t>
      </w:r>
    </w:p>
    <w:p>
      <w:pPr>
        <w:spacing w:after="0" w:line="1" w:lineRule="exact"/>
        <w:rPr>
          <w:sz w:val="20"/>
          <w:szCs w:val="20"/>
          <w:color w:val="auto"/>
        </w:rPr>
      </w:pPr>
    </w:p>
    <w:p>
      <w:pPr>
        <w:ind w:left="380" w:right="79" w:hanging="330"/>
        <w:spacing w:after="0" w:line="200" w:lineRule="auto"/>
        <w:tabs>
          <w:tab w:leader="none" w:pos="380" w:val="left"/>
        </w:tabs>
        <w:numPr>
          <w:ilvl w:val="0"/>
          <w:numId w:val="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transaction costs for the asset acquisition for a portfolio of therapeutics targeting alpha-synuclein and cash completed in the prior year.</w:t>
      </w:r>
    </w:p>
    <w:p>
      <w:pPr>
        <w:spacing w:after="0" w:line="17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Adjustments for the three and nine months ended September 30, 2022, decreased net loss by CHF 0.4 million and CHF 1.6 million, respectively compared with an increase to net loss of CHF 2.8 million and CHF 1.1 million, respectively, for the comparable periods in 2021. The Company recorded CHF 0.6 million and CHF 2.4 million for share-based compensation expenses, respectively, in each of these periods, and there were foreign currency re-measurement gains of CHF 0.1 million and CHF 0.8 million, respectively, primarily related to movement in the USD-CHF exchange rate during the respective periods. In the prior comparable periods, the Company also recognized a CHF 4.4 million gain on the change in fair value of the derivative financial assets associated with the convertible notes. This gain did not arise in the current periods. Finally, the Company incurred CHF 0.3 million and CHF 0.7 million in transaction costs associated with its acquisition of a portfolio of therapeutics targeting alpha-synuclein in the three and nine months ended September 30, 2021 that did not repeat in the current periods.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8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1."/>
      <w:numFmt w:val="decimal"/>
      <w:start w:val="2"/>
    </w:lvl>
  </w:abstractNum>
  <w:abstractNum w:abstractNumId="2">
    <w:nsid w:val="3A95F874"/>
    <w:multiLevelType w:val="hybridMultilevel"/>
    <w:lvl w:ilvl="0">
      <w:lvlJc w:val="left"/>
      <w:lvlText w:val="(%1)"/>
      <w:numFmt w:val="lowerRoman"/>
      <w:start w:val="4"/>
    </w:lvl>
  </w:abstractNum>
  <w:abstractNum w:abstractNumId="3">
    <w:nsid w:val="8138641"/>
    <w:multiLevelType w:val="hybridMultilevel"/>
    <w:lvl w:ilvl="0">
      <w:lvlJc w:val="left"/>
      <w:lvlText w:val="%1."/>
      <w:numFmt w:val="decimal"/>
      <w:start w:val="3"/>
    </w:lvl>
  </w:abstractNum>
  <w:abstractNum w:abstractNumId="4">
    <w:nsid w:val="1E7FF521"/>
    <w:multiLevelType w:val="hybridMultilevel"/>
    <w:lvl w:ilvl="0">
      <w:lvlJc w:val="left"/>
      <w:lvlText w:val="%1."/>
      <w:numFmt w:val="decimal"/>
      <w:start w:val="4"/>
    </w:lvl>
  </w:abstractNum>
  <w:abstractNum w:abstractNumId="5">
    <w:nsid w:val="7C3DBD3D"/>
    <w:multiLevelType w:val="hybridMultilevel"/>
    <w:lvl w:ilvl="0">
      <w:lvlJc w:val="left"/>
      <w:lvlText w:val="%1."/>
      <w:numFmt w:val="decimal"/>
      <w:start w:val="5"/>
    </w:lvl>
  </w:abstractNum>
  <w:abstractNum w:abstractNumId="6">
    <w:nsid w:val="737B8DDC"/>
    <w:multiLevelType w:val="hybridMultilevel"/>
    <w:lvl w:ilvl="0">
      <w:lvlJc w:val="left"/>
      <w:lvlText w:val="%1."/>
      <w:numFmt w:val="decimal"/>
      <w:start w:val="6"/>
    </w:lvl>
  </w:abstractNum>
  <w:abstractNum w:abstractNumId="7">
    <w:nsid w:val="6CEAF087"/>
    <w:multiLevelType w:val="hybridMultilevel"/>
    <w:lvl w:ilvl="0">
      <w:lvlJc w:val="left"/>
      <w:lvlText w:val="%1."/>
      <w:numFmt w:val="decimal"/>
      <w:start w:val="7"/>
    </w:lvl>
  </w:abstractNum>
  <w:abstractNum w:abstractNumId="8">
    <w:nsid w:val="22221A70"/>
    <w:multiLevelType w:val="hybridMultilevel"/>
    <w:lvl w:ilvl="0">
      <w:lvlJc w:val="left"/>
      <w:lvlText w:val="%1."/>
      <w:numFmt w:val="decimal"/>
      <w:start w:val="9"/>
    </w:lvl>
  </w:abstractNum>
  <w:abstractNum w:abstractNumId="9">
    <w:nsid w:val="4516DDE9"/>
    <w:multiLevelType w:val="hybridMultilevel"/>
    <w:lvl w:ilvl="0">
      <w:lvlJc w:val="left"/>
      <w:lvlText w:val="(%1)"/>
      <w:numFmt w:val="lowerRoman"/>
      <w:start w:val="2"/>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bullet"/>
      <w:start w:val="1"/>
    </w:lvl>
  </w:abstractNum>
  <w:abstractNum w:abstractNumId="17">
    <w:nsid w:val="77465F01"/>
    <w:multiLevelType w:val="hybridMultilevel"/>
    <w:lvl w:ilvl="0">
      <w:lvlJc w:val="left"/>
      <w:lvlText w:val="2"/>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bullet"/>
      <w:start w:val="1"/>
    </w:lvl>
  </w:abstractNum>
  <w:abstractNum w:abstractNumId="26">
    <w:nsid w:val="3855585C"/>
    <w:multiLevelType w:val="hybridMultilevel"/>
    <w:lvl w:ilvl="0">
      <w:lvlJc w:val="left"/>
      <w:lvlText w:val="2"/>
      <w:numFmt w:val="bullet"/>
      <w:start w:val="1"/>
    </w:lvl>
    <w:lvl w:ilvl="1">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bullet"/>
      <w:start w:val="1"/>
    </w:lvl>
  </w:abstractNum>
  <w:abstractNum w:abstractNumId="33">
    <w:nsid w:val="57E4CCAF"/>
    <w:multiLevelType w:val="hybridMultilevel"/>
    <w:lvl w:ilvl="0">
      <w:lvlJc w:val="left"/>
      <w:lvlText w:val="2"/>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bullet"/>
      <w:start w:val="1"/>
    </w:lvl>
  </w:abstractNum>
  <w:abstractNum w:abstractNumId="36">
    <w:nsid w:val="542289EC"/>
    <w:multiLevelType w:val="hybridMultilevel"/>
    <w:lvl w:ilvl="0">
      <w:lvlJc w:val="left"/>
      <w:lvlText w:val="2"/>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bullet"/>
      <w:start w:val="1"/>
    </w:lvl>
  </w:abstractNum>
  <w:abstractNum w:abstractNumId="44">
    <w:nsid w:val="3DC240FB"/>
    <w:multiLevelType w:val="hybridMultilevel"/>
    <w:lvl w:ilvl="0">
      <w:lvlJc w:val="left"/>
      <w:lvlText w:val="2"/>
      <w:numFmt w:val="bullet"/>
      <w:start w:val="1"/>
    </w:lvl>
  </w:abstractNum>
  <w:abstractNum w:abstractNumId="45">
    <w:nsid w:val="1BA026FA"/>
    <w:multiLevelType w:val="hybridMultilevel"/>
    <w:lvl w:ilvl="0">
      <w:lvlJc w:val="left"/>
      <w:lvlText w:val="3"/>
      <w:numFmt w:val="bullet"/>
      <w:start w:val="1"/>
    </w:lvl>
  </w:abstractNum>
  <w:abstractNum w:abstractNumId="46">
    <w:nsid w:val="79A1DEAA"/>
    <w:multiLevelType w:val="hybridMultilevel"/>
    <w:lvl w:ilvl="0">
      <w:lvlJc w:val="left"/>
      <w:lvlText w:val="4"/>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
      <w:numFmt w:val="bullet"/>
      <w:start w:val="1"/>
    </w:lvl>
  </w:abstractNum>
  <w:abstractNum w:abstractNumId="49">
    <w:nsid w:val="70C6A529"/>
    <w:multiLevelType w:val="hybridMultilevel"/>
    <w:lvl w:ilvl="0">
      <w:lvlJc w:val="left"/>
      <w:lvlText w:val=" "/>
      <w:numFmt w:val="bullet"/>
      <w:start w:val="1"/>
    </w:lvl>
  </w:abstractNum>
  <w:abstractNum w:abstractNumId="50">
    <w:nsid w:val="520EEDD1"/>
    <w:multiLevelType w:val="hybridMultilevel"/>
    <w:lvl w:ilvl="0">
      <w:lvlJc w:val="left"/>
      <w:lvlText w:val=" "/>
      <w:numFmt w:val="bullet"/>
      <w:start w:val="1"/>
    </w:lvl>
    <w:lvl w:ilvl="1">
      <w:lvlJc w:val="left"/>
      <w:lvlText w:val="o"/>
      <w:numFmt w:val="bullet"/>
      <w:start w:val="1"/>
    </w:lvl>
  </w:abstractNum>
  <w:abstractNum w:abstractNumId="51">
    <w:nsid w:val="374A3FE6"/>
    <w:multiLevelType w:val="hybridMultilevel"/>
    <w:lvl w:ilvl="0">
      <w:lvlJc w:val="left"/>
      <w:lvlText w:val=" "/>
      <w:numFmt w:val="bullet"/>
      <w:start w:val="1"/>
    </w:lvl>
  </w:abstractNum>
  <w:abstractNum w:abstractNumId="52">
    <w:nsid w:val="4F4EF005"/>
    <w:multiLevelType w:val="hybridMultilevel"/>
    <w:lvl w:ilvl="0">
      <w:lvlJc w:val="left"/>
      <w:lvlText w:val="1"/>
      <w:numFmt w:val="bullet"/>
      <w:start w:val="1"/>
    </w:lvl>
  </w:abstractNum>
  <w:abstractNum w:abstractNumId="53">
    <w:nsid w:val="23F9C13C"/>
    <w:multiLevelType w:val="hybridMultilevel"/>
    <w:lvl w:ilvl="0">
      <w:lvlJc w:val="left"/>
      <w:lvlText w:val="2"/>
      <w:numFmt w:val="bullet"/>
      <w:start w:val="1"/>
    </w:lvl>
  </w:abstractNum>
  <w:abstractNum w:abstractNumId="54">
    <w:nsid w:val="649BB77C"/>
    <w:multiLevelType w:val="hybridMultilevel"/>
    <w:lvl w:ilvl="0">
      <w:lvlJc w:val="left"/>
      <w:lvlText w:val="3"/>
      <w:numFmt w:val="bullet"/>
      <w:start w:val="1"/>
    </w:lvl>
  </w:abstractNum>
  <w:abstractNum w:abstractNumId="55">
    <w:nsid w:val="275AC794"/>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2022-10-28T07:03:39Z</dcterms:created>
  <dcterms:modified xsi:type="dcterms:W3CDTF">2022-10-28T07:03:39Z</dcterms:modified>
</cp:coreProperties>
</file>