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20, 2016</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Suzanne Hayes</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Erin K. Jaskot</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Christina Thomas</w:t>
      </w:r>
    </w:p>
    <w:p>
      <w:pPr>
        <w:spacing w:after="0" w:line="346"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AC Immune SA</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F-1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No. 333-211714</w:t>
      </w: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11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Rule 461 under the Securities Act of 1933, as amended, the undersigned registrant hereby requests that the effective date for the Registration Statement referred to above be accelerated so that it will be declared effective at 4:30 p.m. Eastern Daylight Time on September 22, 2016 or as soon thereafter as is practicable. By separate letter, the underwriters of the issuance of the securities being registered join in this request for acceleration. This acceleration request supersedes the Company’s acceleration request from earlier today.</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We hereby acknowledge that:</w:t>
      </w:r>
    </w:p>
    <w:p>
      <w:pPr>
        <w:spacing w:after="0" w:line="23" w:lineRule="exact"/>
        <w:rPr>
          <w:sz w:val="24"/>
          <w:szCs w:val="24"/>
          <w:color w:val="auto"/>
        </w:rPr>
      </w:pPr>
    </w:p>
    <w:p>
      <w:pPr>
        <w:ind w:left="900" w:right="40" w:hanging="325"/>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ind w:left="900" w:right="200" w:hanging="325"/>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ind w:left="900" w:right="200" w:hanging="325"/>
        <w:spacing w:after="0" w:line="261"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8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Please do not hesitate to contact Richard D. Truesdell, Jr. of Davis Polk &amp; Wardwell LLP at (212) 450-4674 or Derek J. Dostal of Davis Polk &amp; Wardwell LLP at (212) 450-4322 with any questions or comments with respect to this letter.</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  /s/ Andrea Pfeifer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Andrea Pfeifer</w:t>
            </w: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918"/>
        </w:trPr>
        <w:tc>
          <w:tcPr>
            <w:tcW w:w="4580" w:type="dxa"/>
            <w:vAlign w:val="bottom"/>
            <w:gridSpan w:val="3"/>
          </w:tcPr>
          <w:p>
            <w:pPr>
              <w:spacing w:after="0"/>
              <w:rPr>
                <w:sz w:val="20"/>
                <w:szCs w:val="20"/>
                <w:color w:val="auto"/>
              </w:rPr>
            </w:pPr>
            <w:r>
              <w:rPr>
                <w:rFonts w:ascii="Arial" w:cs="Arial" w:eastAsia="Arial" w:hAnsi="Arial"/>
                <w:sz w:val="18"/>
                <w:szCs w:val="18"/>
                <w:color w:val="auto"/>
              </w:rPr>
              <w:t>By:  /s/ George Pavey</w:t>
            </w:r>
          </w:p>
        </w:tc>
      </w:tr>
      <w:tr>
        <w:trPr>
          <w:trHeight w:val="195"/>
        </w:trPr>
        <w:tc>
          <w:tcPr>
            <w:tcW w:w="3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George Pavey</w:t>
            </w: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2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51" w:lineRule="exact"/>
        <w:rPr>
          <w:sz w:val="20"/>
          <w:szCs w:val="20"/>
          <w:color w:val="auto"/>
        </w:rPr>
      </w:pPr>
    </w:p>
    <w:p>
      <w:pPr>
        <w:ind w:left="460" w:right="5819" w:hanging="452"/>
        <w:spacing w:after="0" w:line="277" w:lineRule="auto"/>
        <w:tabs>
          <w:tab w:leader="none" w:pos="449"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D. Truesdell, Jr., Davis Polk &amp; Wardwell LLP Derek J. Dostal, Davis Polk &amp; Wardwell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2019-12-09T03:08:29Z</dcterms:created>
  <dcterms:modified xsi:type="dcterms:W3CDTF">2019-12-09T03:08:29Z</dcterms:modified>
</cp:coreProperties>
</file>