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8-A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169545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left="320" w:right="2480"/>
        <w:spacing w:after="0" w:line="243" w:lineRule="auto"/>
        <w:rPr>
          <w:sz w:val="20"/>
          <w:szCs w:val="20"/>
          <w:color w:val="auto"/>
        </w:rPr>
      </w:pPr>
      <w:r>
        <w:rPr>
          <w:rFonts w:ascii="Arial" w:cs="Arial" w:eastAsia="Arial" w:hAnsi="Arial"/>
          <w:sz w:val="22"/>
          <w:szCs w:val="22"/>
          <w:b w:val="1"/>
          <w:bCs w:val="1"/>
          <w:color w:val="auto"/>
        </w:rPr>
        <w:t>FOR REGISTRATION OF CERTAIN CLASSES OF SECURITIES PURSUANT TO SECTION 12(b) OR 12(g)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198120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AC IMMUNE SA</w:t>
      </w:r>
    </w:p>
    <w:p>
      <w:pPr>
        <w:spacing w:after="0" w:line="5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2320" w:type="dxa"/>
            <w:vAlign w:val="bottom"/>
          </w:tcPr>
          <w:p>
            <w:pPr>
              <w:spacing w:after="0"/>
              <w:rPr>
                <w:sz w:val="18"/>
                <w:szCs w:val="18"/>
                <w:color w:val="auto"/>
              </w:rPr>
            </w:pPr>
          </w:p>
        </w:tc>
        <w:tc>
          <w:tcPr>
            <w:tcW w:w="3780" w:type="dxa"/>
            <w:vAlign w:val="bottom"/>
            <w:gridSpan w:val="2"/>
          </w:tcPr>
          <w:p>
            <w:pPr>
              <w:jc w:val="center"/>
              <w:ind w:right="2620"/>
              <w:spacing w:after="0"/>
              <w:rPr>
                <w:sz w:val="20"/>
                <w:szCs w:val="20"/>
                <w:color w:val="auto"/>
              </w:rPr>
            </w:pPr>
            <w:r>
              <w:rPr>
                <w:rFonts w:ascii="Arial" w:cs="Arial" w:eastAsia="Arial" w:hAnsi="Arial"/>
                <w:sz w:val="18"/>
                <w:szCs w:val="18"/>
                <w:b w:val="1"/>
                <w:bCs w:val="1"/>
                <w:color w:val="auto"/>
                <w:w w:val="91"/>
              </w:rPr>
              <w:t>Switzerland</w:t>
            </w:r>
          </w:p>
        </w:tc>
        <w:tc>
          <w:tcPr>
            <w:tcW w:w="1480" w:type="dxa"/>
            <w:vAlign w:val="bottom"/>
          </w:tcPr>
          <w:p>
            <w:pPr>
              <w:spacing w:after="0"/>
              <w:rPr>
                <w:sz w:val="18"/>
                <w:szCs w:val="18"/>
                <w:color w:val="auto"/>
              </w:rPr>
            </w:pPr>
          </w:p>
        </w:tc>
        <w:tc>
          <w:tcPr>
            <w:tcW w:w="2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Not Applicable</w:t>
            </w:r>
          </w:p>
        </w:tc>
        <w:tc>
          <w:tcPr>
            <w:tcW w:w="0" w:type="dxa"/>
            <w:vAlign w:val="bottom"/>
          </w:tcPr>
          <w:p>
            <w:pPr>
              <w:spacing w:after="0"/>
              <w:rPr>
                <w:sz w:val="1"/>
                <w:szCs w:val="1"/>
                <w:color w:val="auto"/>
              </w:rPr>
            </w:pPr>
          </w:p>
        </w:tc>
      </w:tr>
      <w:tr>
        <w:trPr>
          <w:trHeight w:val="186"/>
        </w:trPr>
        <w:tc>
          <w:tcPr>
            <w:tcW w:w="61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5"/>
              </w:rPr>
              <w:t>(State of Incorporation or Organization)</w:t>
            </w:r>
          </w:p>
        </w:tc>
        <w:tc>
          <w:tcPr>
            <w:tcW w:w="3860" w:type="dxa"/>
            <w:vAlign w:val="bottom"/>
            <w:gridSpan w:val="3"/>
          </w:tcPr>
          <w:p>
            <w:pPr>
              <w:jc w:val="center"/>
              <w:ind w:left="1178"/>
              <w:spacing w:after="0"/>
              <w:rPr>
                <w:sz w:val="20"/>
                <w:szCs w:val="20"/>
                <w:color w:val="auto"/>
              </w:rPr>
            </w:pPr>
            <w:r>
              <w:rPr>
                <w:rFonts w:ascii="Arial" w:cs="Arial" w:eastAsia="Arial" w:hAnsi="Arial"/>
                <w:sz w:val="14"/>
                <w:szCs w:val="14"/>
                <w:b w:val="1"/>
                <w:bCs w:val="1"/>
                <w:color w:val="auto"/>
                <w:w w:val="95"/>
              </w:rPr>
              <w:t>(I.R.S. Employer Identification No.)</w:t>
            </w:r>
          </w:p>
        </w:tc>
        <w:tc>
          <w:tcPr>
            <w:tcW w:w="0" w:type="dxa"/>
            <w:vAlign w:val="bottom"/>
          </w:tcPr>
          <w:p>
            <w:pPr>
              <w:spacing w:after="0"/>
              <w:rPr>
                <w:sz w:val="1"/>
                <w:szCs w:val="1"/>
                <w:color w:val="auto"/>
              </w:rPr>
            </w:pPr>
          </w:p>
        </w:tc>
      </w:tr>
      <w:tr>
        <w:trPr>
          <w:trHeight w:val="412"/>
        </w:trPr>
        <w:tc>
          <w:tcPr>
            <w:tcW w:w="610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4"/>
              </w:rPr>
              <w:t>EPFL Innovation Park, Building B</w:t>
            </w:r>
          </w:p>
        </w:tc>
        <w:tc>
          <w:tcPr>
            <w:tcW w:w="14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610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0"/>
              </w:rPr>
              <w:t>Lausanne, Switzerland</w:t>
            </w:r>
          </w:p>
        </w:tc>
        <w:tc>
          <w:tcPr>
            <w:tcW w:w="3620" w:type="dxa"/>
            <w:vAlign w:val="bottom"/>
            <w:gridSpan w:val="2"/>
          </w:tcPr>
          <w:p>
            <w:pPr>
              <w:jc w:val="center"/>
              <w:ind w:left="1418"/>
              <w:spacing w:after="0"/>
              <w:rPr>
                <w:sz w:val="20"/>
                <w:szCs w:val="20"/>
                <w:color w:val="auto"/>
              </w:rPr>
            </w:pPr>
            <w:r>
              <w:rPr>
                <w:rFonts w:ascii="Arial" w:cs="Arial" w:eastAsia="Arial" w:hAnsi="Arial"/>
                <w:sz w:val="18"/>
                <w:szCs w:val="18"/>
                <w:b w:val="1"/>
                <w:bCs w:val="1"/>
                <w:color w:val="auto"/>
                <w:w w:val="89"/>
              </w:rPr>
              <w:t>1015</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61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1480" w:type="dxa"/>
            <w:vAlign w:val="bottom"/>
          </w:tcPr>
          <w:p>
            <w:pPr>
              <w:spacing w:after="0"/>
              <w:rPr>
                <w:sz w:val="16"/>
                <w:szCs w:val="16"/>
                <w:color w:val="auto"/>
              </w:rPr>
            </w:pPr>
          </w:p>
        </w:tc>
        <w:tc>
          <w:tcPr>
            <w:tcW w:w="2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431"/>
        </w:trPr>
        <w:tc>
          <w:tcPr>
            <w:tcW w:w="6100" w:type="dxa"/>
            <w:vAlign w:val="bottom"/>
            <w:gridSpan w:val="3"/>
          </w:tcPr>
          <w:p>
            <w:pPr>
              <w:spacing w:after="0"/>
              <w:rPr>
                <w:sz w:val="20"/>
                <w:szCs w:val="20"/>
                <w:color w:val="auto"/>
              </w:rPr>
            </w:pPr>
            <w:r>
              <w:rPr>
                <w:rFonts w:ascii="Arial" w:cs="Arial" w:eastAsia="Arial" w:hAnsi="Arial"/>
                <w:sz w:val="18"/>
                <w:szCs w:val="18"/>
                <w:color w:val="auto"/>
              </w:rPr>
              <w:t>Securities to be registered pursuant to Section 12(b) of the Act:</w:t>
            </w:r>
          </w:p>
        </w:tc>
        <w:tc>
          <w:tcPr>
            <w:tcW w:w="14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320" w:type="dxa"/>
            <w:vAlign w:val="bottom"/>
          </w:tcPr>
          <w:p>
            <w:pPr>
              <w:spacing w:after="0"/>
              <w:rPr>
                <w:sz w:val="24"/>
                <w:szCs w:val="24"/>
                <w:color w:val="auto"/>
              </w:rPr>
            </w:pPr>
          </w:p>
        </w:tc>
        <w:tc>
          <w:tcPr>
            <w:tcW w:w="3780" w:type="dxa"/>
            <w:vAlign w:val="bottom"/>
            <w:gridSpan w:val="2"/>
          </w:tcPr>
          <w:p>
            <w:pPr>
              <w:jc w:val="center"/>
              <w:ind w:right="2640"/>
              <w:spacing w:after="0"/>
              <w:rPr>
                <w:sz w:val="20"/>
                <w:szCs w:val="20"/>
                <w:color w:val="auto"/>
              </w:rPr>
            </w:pPr>
            <w:r>
              <w:rPr>
                <w:rFonts w:ascii="Arial" w:cs="Arial" w:eastAsia="Arial" w:hAnsi="Arial"/>
                <w:sz w:val="14"/>
                <w:szCs w:val="14"/>
                <w:b w:val="1"/>
                <w:bCs w:val="1"/>
                <w:color w:val="auto"/>
                <w:w w:val="91"/>
              </w:rPr>
              <w:t>Title of Each Class</w:t>
            </w:r>
          </w:p>
        </w:tc>
        <w:tc>
          <w:tcPr>
            <w:tcW w:w="1480" w:type="dxa"/>
            <w:vAlign w:val="bottom"/>
          </w:tcPr>
          <w:p>
            <w:pPr>
              <w:spacing w:after="0"/>
              <w:rPr>
                <w:sz w:val="24"/>
                <w:szCs w:val="24"/>
                <w:color w:val="auto"/>
              </w:rPr>
            </w:pPr>
          </w:p>
        </w:tc>
        <w:tc>
          <w:tcPr>
            <w:tcW w:w="2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Name of Each Exchange on Which</w:t>
            </w:r>
          </w:p>
        </w:tc>
        <w:tc>
          <w:tcPr>
            <w:tcW w:w="0" w:type="dxa"/>
            <w:vAlign w:val="bottom"/>
          </w:tcPr>
          <w:p>
            <w:pPr>
              <w:spacing w:after="0"/>
              <w:rPr>
                <w:sz w:val="1"/>
                <w:szCs w:val="1"/>
                <w:color w:val="auto"/>
              </w:rPr>
            </w:pPr>
          </w:p>
        </w:tc>
      </w:tr>
      <w:tr>
        <w:trPr>
          <w:trHeight w:val="185"/>
        </w:trPr>
        <w:tc>
          <w:tcPr>
            <w:tcW w:w="2320" w:type="dxa"/>
            <w:vAlign w:val="bottom"/>
          </w:tcPr>
          <w:p>
            <w:pPr>
              <w:spacing w:after="0"/>
              <w:rPr>
                <w:sz w:val="16"/>
                <w:szCs w:val="16"/>
                <w:color w:val="auto"/>
              </w:rPr>
            </w:pPr>
          </w:p>
        </w:tc>
        <w:tc>
          <w:tcPr>
            <w:tcW w:w="3780" w:type="dxa"/>
            <w:vAlign w:val="bottom"/>
            <w:gridSpan w:val="2"/>
          </w:tcPr>
          <w:p>
            <w:pPr>
              <w:jc w:val="center"/>
              <w:ind w:right="2640"/>
              <w:spacing w:after="0"/>
              <w:rPr>
                <w:sz w:val="20"/>
                <w:szCs w:val="20"/>
                <w:color w:val="auto"/>
              </w:rPr>
            </w:pPr>
            <w:r>
              <w:rPr>
                <w:rFonts w:ascii="Arial" w:cs="Arial" w:eastAsia="Arial" w:hAnsi="Arial"/>
                <w:sz w:val="14"/>
                <w:szCs w:val="14"/>
                <w:b w:val="1"/>
                <w:bCs w:val="1"/>
                <w:color w:val="auto"/>
                <w:w w:val="87"/>
              </w:rPr>
              <w:t>to be so Registered</w:t>
            </w:r>
          </w:p>
        </w:tc>
        <w:tc>
          <w:tcPr>
            <w:tcW w:w="1480" w:type="dxa"/>
            <w:vAlign w:val="bottom"/>
          </w:tcPr>
          <w:p>
            <w:pPr>
              <w:spacing w:after="0"/>
              <w:rPr>
                <w:sz w:val="16"/>
                <w:szCs w:val="16"/>
                <w:color w:val="auto"/>
              </w:rPr>
            </w:pPr>
          </w:p>
        </w:tc>
        <w:tc>
          <w:tcPr>
            <w:tcW w:w="2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Each Class is to be Registered</w:t>
            </w:r>
          </w:p>
        </w:tc>
        <w:tc>
          <w:tcPr>
            <w:tcW w:w="0" w:type="dxa"/>
            <w:vAlign w:val="bottom"/>
          </w:tcPr>
          <w:p>
            <w:pPr>
              <w:spacing w:after="0"/>
              <w:rPr>
                <w:sz w:val="1"/>
                <w:szCs w:val="1"/>
                <w:color w:val="auto"/>
              </w:rPr>
            </w:pPr>
          </w:p>
        </w:tc>
      </w:tr>
      <w:tr>
        <w:trPr>
          <w:trHeight w:val="20"/>
        </w:trPr>
        <w:tc>
          <w:tcPr>
            <w:tcW w:w="2320" w:type="dxa"/>
            <w:vAlign w:val="bottom"/>
            <w:vMerge w:val="restart"/>
          </w:tcPr>
          <w:p>
            <w:pPr>
              <w:ind w:left="900"/>
              <w:spacing w:after="0"/>
              <w:rPr>
                <w:sz w:val="20"/>
                <w:szCs w:val="20"/>
                <w:color w:val="auto"/>
              </w:rPr>
            </w:pPr>
            <w:r>
              <w:rPr>
                <w:rFonts w:ascii="Arial" w:cs="Arial" w:eastAsia="Arial" w:hAnsi="Arial"/>
                <w:sz w:val="18"/>
                <w:szCs w:val="18"/>
                <w:b w:val="1"/>
                <w:bCs w:val="1"/>
                <w:color w:val="auto"/>
                <w:w w:val="95"/>
              </w:rPr>
              <w:t>Common shares,</w:t>
            </w:r>
          </w:p>
        </w:tc>
        <w:tc>
          <w:tcPr>
            <w:tcW w:w="114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480" w:type="dxa"/>
            <w:vAlign w:val="bottom"/>
            <w:vMerge w:val="restart"/>
          </w:tcPr>
          <w:p>
            <w:pPr>
              <w:ind w:left="1240"/>
              <w:spacing w:after="0"/>
              <w:rPr>
                <w:sz w:val="20"/>
                <w:szCs w:val="20"/>
                <w:color w:val="auto"/>
              </w:rPr>
            </w:pPr>
            <w:r>
              <w:rPr>
                <w:rFonts w:ascii="Arial" w:cs="Arial" w:eastAsia="Arial" w:hAnsi="Arial"/>
                <w:sz w:val="17"/>
                <w:szCs w:val="17"/>
                <w:b w:val="1"/>
                <w:bCs w:val="1"/>
                <w:color w:val="auto"/>
                <w:w w:val="72"/>
              </w:rPr>
              <w:t>The</w:t>
            </w:r>
          </w:p>
        </w:tc>
        <w:tc>
          <w:tcPr>
            <w:tcW w:w="2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320" w:type="dxa"/>
            <w:vAlign w:val="bottom"/>
            <w:vMerge w:val="continue"/>
          </w:tcPr>
          <w:p>
            <w:pPr>
              <w:spacing w:after="0"/>
              <w:rPr>
                <w:sz w:val="19"/>
                <w:szCs w:val="19"/>
                <w:color w:val="auto"/>
              </w:rPr>
            </w:pPr>
          </w:p>
        </w:tc>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nominal value CHF 0.02 per share</w:t>
            </w:r>
          </w:p>
        </w:tc>
        <w:tc>
          <w:tcPr>
            <w:tcW w:w="1480" w:type="dxa"/>
            <w:vAlign w:val="bottom"/>
            <w:vMerge w:val="continue"/>
          </w:tcPr>
          <w:p>
            <w:pPr>
              <w:spacing w:after="0"/>
              <w:rPr>
                <w:sz w:val="19"/>
                <w:szCs w:val="19"/>
                <w:color w:val="auto"/>
              </w:rPr>
            </w:pPr>
          </w:p>
        </w:tc>
        <w:tc>
          <w:tcPr>
            <w:tcW w:w="2380" w:type="dxa"/>
            <w:vAlign w:val="bottom"/>
            <w:gridSpan w:val="2"/>
          </w:tcPr>
          <w:p>
            <w:pPr>
              <w:ind w:left="100"/>
              <w:spacing w:after="0"/>
              <w:rPr>
                <w:sz w:val="20"/>
                <w:szCs w:val="20"/>
                <w:color w:val="auto"/>
              </w:rPr>
            </w:pPr>
            <w:r>
              <w:rPr>
                <w:rFonts w:ascii="Arial" w:cs="Arial" w:eastAsia="Arial" w:hAnsi="Arial"/>
                <w:sz w:val="18"/>
                <w:szCs w:val="18"/>
                <w:b w:val="1"/>
                <w:bCs w:val="1"/>
                <w:color w:val="auto"/>
                <w:w w:val="96"/>
              </w:rPr>
              <w:t>NASDAQ Stock Market LLC</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228600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5" w:lineRule="exact"/>
        <w:rPr>
          <w:sz w:val="24"/>
          <w:szCs w:val="24"/>
          <w:color w:val="auto"/>
        </w:rPr>
      </w:pPr>
    </w:p>
    <w:p>
      <w:pPr>
        <w:spacing w:after="0"/>
        <w:rPr>
          <w:sz w:val="20"/>
          <w:szCs w:val="20"/>
          <w:color w:val="auto"/>
        </w:rPr>
      </w:pPr>
      <w:r>
        <w:rPr>
          <w:rFonts w:ascii="Arial" w:cs="Arial" w:eastAsia="Arial" w:hAnsi="Arial"/>
          <w:sz w:val="16"/>
          <w:szCs w:val="16"/>
          <w:color w:val="auto"/>
        </w:rPr>
        <w:t>If this form relates to the registration of a class of securities pursuant to Section 12(b) of the Exchange Act and is effective pursuant to General Instruction A.</w:t>
      </w:r>
    </w:p>
    <w:p>
      <w:pPr>
        <w:spacing w:after="0" w:line="4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(c), please check the following box.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211"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12(g) of the Exchange Act and is effective pursuant to General Instruction A. (d), please check the following box. </w:t>
      </w:r>
      <w:r>
        <w:rPr>
          <w:rFonts w:ascii="MS PGothic" w:cs="MS PGothic" w:eastAsia="MS PGothic" w:hAnsi="MS PGothic"/>
          <w:sz w:val="18"/>
          <w:szCs w:val="18"/>
          <w:color w:val="auto"/>
        </w:rPr>
        <w:t>☐</w:t>
      </w:r>
    </w:p>
    <w:p>
      <w:pPr>
        <w:spacing w:after="0" w:line="17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Act registration statement file number to which this form relates:</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333-211714</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(If applicable)</w:t>
      </w:r>
    </w:p>
    <w:p>
      <w:pPr>
        <w:spacing w:after="0" w:line="192"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to be registered pursuant to Section 12(g) of the Act:</w:t>
      </w:r>
    </w:p>
    <w:p>
      <w:pPr>
        <w:spacing w:after="0" w:line="2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(Title of Class)</w:t>
      </w:r>
    </w:p>
    <w:p>
      <w:pPr>
        <w:spacing w:after="0" w:line="12"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150495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368" w:right="319" w:bottom="1440" w:gutter="0" w:footer="0" w:header="0"/>
        </w:sectPr>
      </w:pPr>
    </w:p>
    <w:bookmarkStart w:id="1" w:name="page2"/>
    <w:bookmarkEnd w:id="1"/>
    <w:p>
      <w:pPr>
        <w:spacing w:after="0"/>
        <w:tabs>
          <w:tab w:leader="none" w:pos="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w:t>
      </w:r>
      <w:r>
        <w:rPr>
          <w:sz w:val="20"/>
          <w:szCs w:val="20"/>
          <w:color w:val="auto"/>
        </w:rPr>
        <w:tab/>
      </w:r>
      <w:r>
        <w:rPr>
          <w:rFonts w:ascii="Arial" w:cs="Arial" w:eastAsia="Arial" w:hAnsi="Arial"/>
          <w:sz w:val="15"/>
          <w:szCs w:val="15"/>
          <w:b w:val="1"/>
          <w:bCs w:val="1"/>
          <w:color w:val="auto"/>
        </w:rPr>
        <w:t>Description of Registrant’s Securities to be Registered</w:t>
      </w:r>
    </w:p>
    <w:p>
      <w:pPr>
        <w:spacing w:after="0" w:line="12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The description under the heading “Description of Share Capital and Articles of Association” relating to the Registrant’s common shares, CHF 0.02 nominal value per share (the “Common Shares”), in the prospectus included in the Registrant’s Registration Statement on Form F-1 (Registration No. 333-211714) originally filed with the Securities and Exchange Commission on May 31, 2016, as amended (the “Registration Statement”), is incorporated by reference herein. In addition, the description that will be included under the heading “Description of Share Capital and Articles of Association” relating to the Common Shares in the Registrant’s final prospectus relating to the Registration Statement to be subsequently filed with the Securities and Exchange Commission pursuant to Rule 424(b) under the Securities Act of 1933, as amended, shall be incorporated by reference herein.</w:t>
      </w:r>
    </w:p>
    <w:p>
      <w:pPr>
        <w:spacing w:after="0" w:line="30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auto"/>
        </w:rPr>
        <w:t>Pursuant to the Instructions as to Exhibits with respect to Form 8-A, no exhibits are required to be filed because no other securities of the Registrant are registered on The NASDAQ Stock Market LLC and the securities registered hereby are not being registered pursuant to Section 12(g) of the Securities Exchange Act of 1934, as amended.</w:t>
      </w:r>
    </w:p>
    <w:p>
      <w:pPr>
        <w:sectPr>
          <w:pgSz w:w="11900" w:h="16838" w:orient="portrait"/>
          <w:cols w:equalWidth="0" w:num="1">
            <w:col w:w="11360"/>
          </w:cols>
          <w:pgMar w:left="240" w:top="270" w:right="29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Section 12 of the Securities Exchange Act of 1934, the Registrant has duly caused this registration statement to be signed on its behalf by the undersigned, thereto duly authorized.</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AC IMMUNE SA</w:t>
      </w:r>
    </w:p>
    <w:p>
      <w:pPr>
        <w:spacing w:after="0" w:line="33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Andrea Pfeifer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Andrea Pfeifer</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Chief Executive Officer</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George Pavey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George Pavey</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Chief Financial Officer</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23, 2016</w:t>
      </w:r>
    </w:p>
    <w:sectPr>
      <w:pgSz w:w="11900" w:h="16838" w:orient="portrait"/>
      <w:cols w:equalWidth="0" w:num="1">
        <w:col w:w="11000"/>
      </w:cols>
      <w:pgMar w:left="240" w:top="274"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2019-12-09T02:29:08Z</dcterms:created>
  <dcterms:modified xsi:type="dcterms:W3CDTF">2019-12-09T02:29:08Z</dcterms:modified>
</cp:coreProperties>
</file>