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05" w:lineRule="exact"/>
        <w:rPr>
          <w:sz w:val="24"/>
          <w:szCs w:val="24"/>
          <w:color w:val="auto"/>
        </w:rPr>
      </w:pPr>
    </w:p>
    <w:p>
      <w:pPr>
        <w:ind w:left="3880"/>
        <w:spacing w:after="0"/>
        <w:rPr>
          <w:sz w:val="20"/>
          <w:szCs w:val="20"/>
          <w:color w:val="auto"/>
        </w:rPr>
      </w:pPr>
      <w:r>
        <w:rPr>
          <w:rFonts w:ascii="Arial" w:cs="Arial" w:eastAsia="Arial" w:hAnsi="Arial"/>
          <w:sz w:val="25"/>
          <w:szCs w:val="25"/>
          <w:b w:val="1"/>
          <w:bCs w:val="1"/>
          <w:color w:val="auto"/>
        </w:rPr>
        <w:t>FORM 6-K</w:t>
      </w:r>
    </w:p>
    <w:p>
      <w:pPr>
        <w:spacing w:after="0" w:line="226" w:lineRule="exact"/>
        <w:rPr>
          <w:sz w:val="24"/>
          <w:szCs w:val="24"/>
          <w:color w:val="auto"/>
        </w:rPr>
      </w:pPr>
    </w:p>
    <w:p>
      <w:pPr>
        <w:ind w:left="180"/>
        <w:spacing w:after="0"/>
        <w:rPr>
          <w:sz w:val="20"/>
          <w:szCs w:val="20"/>
          <w:color w:val="auto"/>
        </w:rPr>
      </w:pPr>
      <w:r>
        <w:rPr>
          <w:rFonts w:ascii="Arial" w:cs="Arial" w:eastAsia="Arial" w:hAnsi="Arial"/>
          <w:sz w:val="25"/>
          <w:szCs w:val="25"/>
          <w:b w:val="1"/>
          <w:bCs w:val="1"/>
          <w:color w:val="auto"/>
        </w:rPr>
        <w:t>REPORT OF FOREIGN PRIVATE ISSUER PURSUANT TO RULE 13a-16 OR</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15d-16 UNDER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March,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189865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549910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0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tbl>
      <w:tblPr>
        <w:tblLayout w:type="fixed"/>
        <w:tblInd w:w="564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5600" w:type="dxa"/>
            <w:vAlign w:val="bottom"/>
            <w:gridSpan w:val="3"/>
          </w:tcPr>
          <w:p>
            <w:pPr>
              <w:spacing w:after="0"/>
              <w:rPr>
                <w:sz w:val="20"/>
                <w:szCs w:val="20"/>
                <w:color w:val="auto"/>
              </w:rPr>
            </w:pPr>
            <w:r>
              <w:rPr>
                <w:rFonts w:ascii="Arial" w:cs="Arial" w:eastAsia="Arial" w:hAnsi="Arial"/>
                <w:sz w:val="18"/>
                <w:szCs w:val="18"/>
                <w:color w:val="auto"/>
              </w:rPr>
              <w:t>By: /s/ Joerg Hornstein</w:t>
            </w:r>
          </w:p>
        </w:tc>
      </w:tr>
      <w:tr>
        <w:trPr>
          <w:trHeight w:val="195"/>
        </w:trPr>
        <w:tc>
          <w:tcPr>
            <w:tcW w:w="3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c>
          <w:tcPr>
            <w:tcW w:w="6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9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0"/>
                <w:szCs w:val="20"/>
                <w:color w:val="auto"/>
              </w:rPr>
            </w:pPr>
          </w:p>
        </w:tc>
      </w:tr>
      <w:tr>
        <w:trPr>
          <w:trHeight w:val="224"/>
        </w:trPr>
        <w:tc>
          <w:tcPr>
            <w:tcW w:w="60" w:type="dxa"/>
            <w:vAlign w:val="bottom"/>
          </w:tcPr>
          <w:p>
            <w:pPr>
              <w:spacing w:after="0"/>
              <w:rPr>
                <w:sz w:val="19"/>
                <w:szCs w:val="19"/>
                <w:color w:val="auto"/>
              </w:rPr>
            </w:pPr>
          </w:p>
        </w:tc>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dated March 16, 2022</w:t>
            </w:r>
          </w:p>
        </w:tc>
        <w:tc>
          <w:tcPr>
            <w:tcW w:w="60" w:type="dxa"/>
            <w:vAlign w:val="bottom"/>
          </w:tcPr>
          <w:p>
            <w:pPr>
              <w:spacing w:after="0"/>
              <w:rPr>
                <w:sz w:val="19"/>
                <w:szCs w:val="19"/>
                <w:color w:val="auto"/>
              </w:rPr>
            </w:pPr>
          </w:p>
        </w:tc>
      </w:tr>
      <w:tr>
        <w:trPr>
          <w:trHeight w:val="728"/>
        </w:trPr>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46" w:lineRule="exact"/>
        <w:rPr>
          <w:sz w:val="20"/>
          <w:szCs w:val="20"/>
          <w:color w:val="auto"/>
        </w:rPr>
      </w:pPr>
    </w:p>
    <w:p>
      <w:pPr>
        <w:jc w:val="center"/>
        <w:spacing w:after="0" w:line="273" w:lineRule="auto"/>
        <w:rPr>
          <w:sz w:val="20"/>
          <w:szCs w:val="20"/>
          <w:color w:val="auto"/>
        </w:rPr>
      </w:pPr>
      <w:r>
        <w:rPr>
          <w:rFonts w:ascii="Arial" w:cs="Arial" w:eastAsia="Arial" w:hAnsi="Arial"/>
          <w:sz w:val="25"/>
          <w:szCs w:val="25"/>
          <w:b w:val="1"/>
          <w:bCs w:val="1"/>
          <w:color w:val="auto"/>
        </w:rPr>
        <w:t>AC Immune Reports First Live Images of Alpha-Synuclein in Human Brain with New PET Tracer for Neurodegenerative Disease at AD/PD</w:t>
      </w:r>
      <w:r>
        <w:rPr>
          <w:rFonts w:ascii="Arial" w:cs="Arial" w:eastAsia="Arial" w:hAnsi="Arial"/>
          <w:sz w:val="41"/>
          <w:szCs w:val="41"/>
          <w:b w:val="1"/>
          <w:bCs w:val="1"/>
          <w:color w:val="auto"/>
          <w:vertAlign w:val="superscript"/>
        </w:rPr>
        <w:t>TM</w:t>
      </w:r>
      <w:r>
        <w:rPr>
          <w:rFonts w:ascii="Arial" w:cs="Arial" w:eastAsia="Arial" w:hAnsi="Arial"/>
          <w:sz w:val="25"/>
          <w:szCs w:val="25"/>
          <w:b w:val="1"/>
          <w:bCs w:val="1"/>
          <w:color w:val="auto"/>
        </w:rPr>
        <w:t xml:space="preserve"> Conference</w:t>
      </w:r>
    </w:p>
    <w:p>
      <w:pPr>
        <w:ind w:left="1200"/>
        <w:spacing w:after="0"/>
        <w:rPr>
          <w:sz w:val="20"/>
          <w:szCs w:val="20"/>
          <w:color w:val="auto"/>
        </w:rPr>
      </w:pPr>
      <w:r>
        <w:rPr>
          <w:rFonts w:ascii="Arial" w:cs="Arial" w:eastAsia="Arial" w:hAnsi="Arial"/>
          <w:sz w:val="18"/>
          <w:szCs w:val="18"/>
          <w:i w:val="1"/>
          <w:iCs w:val="1"/>
          <w:color w:val="auto"/>
        </w:rPr>
        <w:t>ACI-12589 distinguished multiple system atrophy (MSA) from other a-synucleinopathies and healthy volunteers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A-syn PET tracers may be developed to diagnose a-synuclein pathologies, including Parkinson’s disease, Lewy Body Dementia, MSA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others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 Immune to host a-syn Key Opinion Leader webinar on March 29</w:t>
      </w:r>
      <w:r>
        <w:rPr>
          <w:rFonts w:ascii="Arial" w:cs="Arial" w:eastAsia="Arial" w:hAnsi="Arial"/>
          <w:sz w:val="29"/>
          <w:szCs w:val="29"/>
          <w:i w:val="1"/>
          <w:iCs w:val="1"/>
          <w:color w:val="auto"/>
          <w:vertAlign w:val="superscript"/>
        </w:rPr>
        <w:t>th</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March 16,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precision medicine for neurodegenerative diseases, today announced the first non-invasive images of pathological alpha-synuclein (a-syn) in human brain and presented positive clinical proof-of-concept data for an a-syn positron emission tomography (PET) tracer as an imaging agent to identify MSA patients. The clinical trial of AC Immune’s wholly owned experimental a-syn PET tracer was conducted by the team of Oskar Hansson MD, PhD, at Lund University and Skåne University Hospital, with the support of a </w:t>
      </w:r>
      <w:r>
        <w:rPr>
          <w:rFonts w:ascii="Arial" w:cs="Arial" w:eastAsia="Arial" w:hAnsi="Arial"/>
          <w:sz w:val="18"/>
          <w:szCs w:val="18"/>
          <w:u w:val="single" w:color="auto"/>
          <w:color w:val="0000E1"/>
        </w:rPr>
        <w:t>grant</w:t>
      </w:r>
      <w:r>
        <w:rPr>
          <w:rFonts w:ascii="Arial" w:cs="Arial" w:eastAsia="Arial" w:hAnsi="Arial"/>
          <w:sz w:val="18"/>
          <w:szCs w:val="18"/>
          <w:color w:val="auto"/>
        </w:rPr>
        <w:t xml:space="preserve"> from The Michael J. Fox Foundation for Parkinson’s Research (MJFF).</w:t>
      </w:r>
    </w:p>
    <w:p>
      <w:pPr>
        <w:spacing w:after="0" w:line="187"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The groundbreaking images of a-syn in the human subjects’ brains were presented for the first time today at the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Conference plenary session in Barcelona, Spain, by Oskar Hansson MD, PhD.</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Dr. Oskar Hansson, Senior Consultant in Neurology at Skåne University Hospital and Professor of Neurology at Lund University, Sweden, said</w:t>
      </w:r>
      <w:r>
        <w:rPr>
          <w:rFonts w:ascii="Arial" w:cs="Arial" w:eastAsia="Arial" w:hAnsi="Arial"/>
          <w:sz w:val="18"/>
          <w:szCs w:val="18"/>
          <w:color w:val="auto"/>
        </w:rPr>
        <w:t>: “This is the first time that a PET tracer has reliably detected a-syn aggregates in patients’ brains. The ACI-12589 patient brain</w:t>
      </w:r>
      <w:r>
        <w:rPr>
          <w:rFonts w:ascii="Arial" w:cs="Arial" w:eastAsia="Arial" w:hAnsi="Arial"/>
          <w:sz w:val="18"/>
          <w:szCs w:val="18"/>
          <w:b w:val="1"/>
          <w:bCs w:val="1"/>
          <w:color w:val="auto"/>
        </w:rPr>
        <w:t xml:space="preserve"> </w:t>
      </w:r>
      <w:r>
        <w:rPr>
          <w:rFonts w:ascii="Arial" w:cs="Arial" w:eastAsia="Arial" w:hAnsi="Arial"/>
          <w:sz w:val="18"/>
          <w:szCs w:val="18"/>
          <w:color w:val="auto"/>
        </w:rPr>
        <w:t>scans indicate the signal specificity for a-syn in MSA patients versus healthy volunteers and patients with other a-synucleinopathies. The results represent great clinical progress in the quest to provide a diagnostic tool for patients suffering from MSA and potentially other a-synucleinopathies. This could ultimately enable earlier and more reliable differentiation for this difficult-to-diagnose neurodegenerative disease.”</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“This first clinical validation for an a-syn PET tracer is a transformative step</w:t>
      </w:r>
      <w:r>
        <w:rPr>
          <w:rFonts w:ascii="Arial" w:cs="Arial" w:eastAsia="Arial" w:hAnsi="Arial"/>
          <w:sz w:val="18"/>
          <w:szCs w:val="18"/>
          <w:b w:val="1"/>
          <w:bCs w:val="1"/>
          <w:color w:val="auto"/>
        </w:rPr>
        <w:t xml:space="preserve"> </w:t>
      </w:r>
      <w:r>
        <w:rPr>
          <w:rFonts w:ascii="Arial" w:cs="Arial" w:eastAsia="Arial" w:hAnsi="Arial"/>
          <w:sz w:val="18"/>
          <w:szCs w:val="18"/>
          <w:color w:val="auto"/>
        </w:rPr>
        <w:t>towards achieving our vision for developing precision medicines to treat neurodegenerative diseases. It was made possible by the close collaboration between AC Immune, Skåne University Hospital, Lund University, and the MJFF. We look forward to continuing the collaboration to expand on these results in MSA and in other a-syn indications, such as Parkinson’s disease.”</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8"/>
          <w:szCs w:val="18"/>
          <w:b w:val="1"/>
          <w:bCs w:val="1"/>
          <w:color w:val="auto"/>
        </w:rPr>
        <w:t>Jamie Eberling, Ph.D., Senior Vice President of Research at MJFF, said</w:t>
      </w:r>
      <w:r>
        <w:rPr>
          <w:rFonts w:ascii="Arial" w:cs="Arial" w:eastAsia="Arial" w:hAnsi="Arial"/>
          <w:sz w:val="18"/>
          <w:szCs w:val="18"/>
          <w:color w:val="auto"/>
        </w:rPr>
        <w:t>: “We are energized by the scientific possibilities presented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these findings. Selective imaging tracers can make an enormous difference in advancement of new therapies for synucleinopathies such as Parkinson's disease. Our Foundation has long supported the development of these critical but elusive tools, and we are proud to see progress toward their widespread application. As they have for Alzheimer’s disease, PET tracers for a primary pathological protein would be pivotal in transforming the future of Parkinson’s research and care.”</w:t>
      </w:r>
    </w:p>
    <w:p>
      <w:pPr>
        <w:spacing w:after="0" w:line="185"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The data will be presented in more detail on Friday in two presentations at the peer-reviewed scientific conference</w:t>
      </w:r>
      <w:r>
        <w:rPr>
          <w:rFonts w:ascii="Arial" w:cs="Arial" w:eastAsia="Arial" w:hAnsi="Arial"/>
          <w:sz w:val="29"/>
          <w:szCs w:val="29"/>
          <w:color w:val="auto"/>
          <w:vertAlign w:val="superscript"/>
        </w:rPr>
        <w:t>1,2</w:t>
      </w:r>
      <w:r>
        <w:rPr>
          <w:rFonts w:ascii="Arial" w:cs="Arial" w:eastAsia="Arial" w:hAnsi="Arial"/>
          <w:sz w:val="18"/>
          <w:szCs w:val="18"/>
          <w:color w:val="auto"/>
        </w:rPr>
        <w:t>. Derived from AC Immune’s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platform, ACI-12589 showed target engagement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alpha-synucleinopathies with a pharmacokinetic and safety profile suitable for further development as a human brain PET imaging agent. The trial showed that non-invasive PET brain imaging with ACI-12589 successfully differentiated MSA from other types of a-synucleinopathies, like Parkinson’s disease (PD) and Lewy Body Dementia (LBD), as well as from healthy volunteers.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Specifically, the ACI-12589 PET tracer data showed enhanced contrast and a-syn target specificity in participants with MSA. Tracer retention was highest in areas affected by MSA disease processes, particularly cerebellar white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a-syn Key Opinion Leader webinar on March 29</w:t>
      </w:r>
      <w:r>
        <w:rPr>
          <w:rFonts w:ascii="Arial" w:cs="Arial" w:eastAsia="Arial" w:hAnsi="Arial"/>
          <w:sz w:val="29"/>
          <w:szCs w:val="29"/>
          <w:b w:val="1"/>
          <w:bCs w:val="1"/>
          <w:color w:val="auto"/>
          <w:vertAlign w:val="superscript"/>
        </w:rPr>
        <w:t>th</w:t>
      </w:r>
    </w:p>
    <w:p>
      <w:pPr>
        <w:spacing w:after="0" w:line="130"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In addition to the scientific presentations during AD/PD</w:t>
      </w:r>
      <w:r>
        <w:rPr>
          <w:rFonts w:ascii="Arial" w:cs="Arial" w:eastAsia="Arial" w:hAnsi="Arial"/>
          <w:sz w:val="29"/>
          <w:szCs w:val="29"/>
          <w:color w:val="auto"/>
          <w:vertAlign w:val="superscript"/>
        </w:rPr>
        <w:t>TM</w:t>
      </w:r>
      <w:r>
        <w:rPr>
          <w:rFonts w:ascii="Arial" w:cs="Arial" w:eastAsia="Arial" w:hAnsi="Arial"/>
          <w:sz w:val="18"/>
          <w:szCs w:val="18"/>
          <w:color w:val="auto"/>
        </w:rPr>
        <w:t>, AC Immune has organized a KOL webinar on March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at 10:00am ET / 4:00pm CET, where Dr. Hansson and AC Immune’s management will discuss ACI-12589 findings as well as the importance of biomarkers and precision medicine in neurodegenerative diseases. Additionally, members of the AC Immune management team will provide an overview of the Company’s clinical stage a-syn targeted therapeutic and diagnostic candidates.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To register for the webinar, please click </w:t>
      </w:r>
      <w:r>
        <w:rPr>
          <w:rFonts w:ascii="Arial" w:cs="Arial" w:eastAsia="Arial" w:hAnsi="Arial"/>
          <w:sz w:val="18"/>
          <w:szCs w:val="18"/>
          <w:u w:val="single" w:color="auto"/>
          <w:color w:val="0000E1"/>
        </w:rPr>
        <w:t>here</w:t>
      </w:r>
      <w:r>
        <w:rPr>
          <w:rFonts w:ascii="Arial" w:cs="Arial" w:eastAsia="Arial" w:hAnsi="Arial"/>
          <w:sz w:val="18"/>
          <w:szCs w:val="18"/>
          <w:color w:val="auto"/>
        </w:rPr>
        <w:t xml:space="preserve">. The materials from the presentation and a replay of the webinar will be available on the </w:t>
      </w:r>
      <w:r>
        <w:rPr>
          <w:rFonts w:ascii="Arial" w:cs="Arial" w:eastAsia="Arial" w:hAnsi="Arial"/>
          <w:sz w:val="18"/>
          <w:szCs w:val="18"/>
          <w:u w:val="single" w:color="auto"/>
          <w:color w:val="0000E1"/>
        </w:rPr>
        <w:t>Events</w:t>
      </w:r>
      <w:r>
        <w:rPr>
          <w:rFonts w:ascii="Arial" w:cs="Arial" w:eastAsia="Arial" w:hAnsi="Arial"/>
          <w:sz w:val="18"/>
          <w:szCs w:val="18"/>
          <w:color w:val="auto"/>
        </w:rPr>
        <w:t xml:space="preserve"> </w:t>
      </w:r>
      <w:r>
        <w:rPr>
          <w:rFonts w:ascii="Arial" w:cs="Arial" w:eastAsia="Arial" w:hAnsi="Arial"/>
          <w:sz w:val="18"/>
          <w:szCs w:val="18"/>
          <w:u w:val="single" w:color="auto"/>
          <w:color w:val="0000E1"/>
        </w:rPr>
        <w:t>Page</w:t>
      </w:r>
      <w:r>
        <w:rPr>
          <w:rFonts w:ascii="Arial" w:cs="Arial" w:eastAsia="Arial" w:hAnsi="Arial"/>
          <w:sz w:val="18"/>
          <w:szCs w:val="18"/>
          <w:color w:val="0000E1"/>
        </w:rPr>
        <w:t xml:space="preserve"> </w:t>
      </w:r>
      <w:r>
        <w:rPr>
          <w:rFonts w:ascii="Arial" w:cs="Arial" w:eastAsia="Arial" w:hAnsi="Arial"/>
          <w:sz w:val="18"/>
          <w:szCs w:val="18"/>
          <w:color w:val="000000"/>
        </w:rPr>
        <w:t>of AC Immune’s website following its conclusion.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0" w:lineRule="exact"/>
        <w:rPr>
          <w:sz w:val="20"/>
          <w:szCs w:val="20"/>
          <w:color w:val="auto"/>
        </w:rPr>
      </w:pPr>
    </w:p>
    <w:p>
      <w:pPr>
        <w:jc w:val="both"/>
        <w:spacing w:after="0" w:line="20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Capotosti F.; </w:t>
      </w:r>
      <w:r>
        <w:rPr>
          <w:rFonts w:ascii="Arial" w:cs="Arial" w:eastAsia="Arial" w:hAnsi="Arial"/>
          <w:sz w:val="18"/>
          <w:szCs w:val="18"/>
          <w:i w:val="1"/>
          <w:iCs w:val="1"/>
          <w:color w:val="auto"/>
        </w:rPr>
        <w:t>Discovery of [18F] ACI-12589, a novel and promising PET-tracer for alpha-synuclein;</w:t>
      </w:r>
      <w:r>
        <w:rPr>
          <w:rFonts w:ascii="Arial" w:cs="Arial" w:eastAsia="Arial" w:hAnsi="Arial"/>
          <w:sz w:val="18"/>
          <w:szCs w:val="18"/>
          <w:color w:val="auto"/>
        </w:rPr>
        <w:t xml:space="preserve"> Oral presentation; ADPD 2022 International Conference; Barcelona, Spain; March 18, 2022</w:t>
      </w:r>
    </w:p>
    <w:p>
      <w:pPr>
        <w:spacing w:after="0" w:line="189" w:lineRule="exact"/>
        <w:rPr>
          <w:sz w:val="20"/>
          <w:szCs w:val="20"/>
          <w:color w:val="auto"/>
        </w:rPr>
      </w:pPr>
    </w:p>
    <w:p>
      <w:pPr>
        <w:jc w:val="both"/>
        <w:ind w:right="20"/>
        <w:spacing w:after="0" w:line="204"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Smith R.; </w:t>
      </w:r>
      <w:r>
        <w:rPr>
          <w:rFonts w:ascii="Arial" w:cs="Arial" w:eastAsia="Arial" w:hAnsi="Arial"/>
          <w:sz w:val="18"/>
          <w:szCs w:val="18"/>
          <w:i w:val="1"/>
          <w:iCs w:val="1"/>
          <w:color w:val="auto"/>
        </w:rPr>
        <w:t>Initial scans using [18F] ACI-12589, a novel PET-tracer for alpha-synuclein;</w:t>
      </w:r>
      <w:r>
        <w:rPr>
          <w:rFonts w:ascii="Arial" w:cs="Arial" w:eastAsia="Arial" w:hAnsi="Arial"/>
          <w:sz w:val="18"/>
          <w:szCs w:val="18"/>
          <w:color w:val="auto"/>
        </w:rPr>
        <w:t xml:space="preserve"> Oral presentation; ADPD 2022 International Conference; Barcelona, Spain; March 18, 2022</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Multiple System Atrophy (MSA)</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MSA is a rare, degenerative neurological disorder affecting the body’s involuntary (autonomic) functions, including blood pressure, breathing, bladder function and motor control. MSA causes deterioration and shrinkage (atrophy) of portions of the brain (cerebellum, basal ganglia and brainstem) that regulate internal body functions, digestion and motor control. Under a microscope, the damaged brain tissue of people with MSA shows nerve cells (neurons) that contain an abnormally high amount of pathological a-syn protein. MSA is difficult to diagnose and is often confused with PD (about 1 in 40 PD patients has MSA), and, currently, many MSA patients never receive a proper diagnosis. While there is overlap, therapeutic treatment strategies are different in MSA and PD; so, achieving a correct diagnosis is very important.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91"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7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91"/>
        </w:trPr>
        <w:tc>
          <w:tcPr>
            <w:tcW w:w="4560" w:type="dxa"/>
            <w:vAlign w:val="bottom"/>
            <w:gridSpan w:val="3"/>
          </w:tcPr>
          <w:p>
            <w:pPr>
              <w:ind w:left="120"/>
              <w:spacing w:after="0"/>
              <w:rPr>
                <w:sz w:val="20"/>
                <w:szCs w:val="20"/>
                <w:color w:val="auto"/>
              </w:rPr>
            </w:pPr>
            <w:r>
              <w:rPr>
                <w:rFonts w:ascii="Arial" w:cs="Arial" w:eastAsia="Arial" w:hAnsi="Arial"/>
                <w:sz w:val="18"/>
                <w:szCs w:val="18"/>
                <w:b w:val="1"/>
                <w:bCs w:val="1"/>
                <w:color w:val="auto"/>
              </w:rPr>
              <w:t>Media Relations</w:t>
            </w:r>
          </w:p>
        </w:tc>
        <w:tc>
          <w:tcPr>
            <w:tcW w:w="4300" w:type="dxa"/>
            <w:vAlign w:val="bottom"/>
            <w:gridSpan w:val="2"/>
          </w:tcPr>
          <w:p>
            <w:pPr>
              <w:ind w:left="118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Saoyuth Nidh</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AC Immune</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5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Phone: +41 21 345 91 34</w:t>
            </w:r>
          </w:p>
        </w:tc>
        <w:tc>
          <w:tcPr>
            <w:tcW w:w="43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Phone: +41 21 345 91 91</w:t>
            </w:r>
          </w:p>
        </w:tc>
      </w:tr>
      <w:tr>
        <w:trPr>
          <w:trHeight w:val="176"/>
        </w:trPr>
        <w:tc>
          <w:tcPr>
            <w:tcW w:w="456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E1"/>
              </w:rPr>
              <w:t>saoyuth.nidh@acimmune.com</w:t>
            </w:r>
          </w:p>
        </w:tc>
        <w:tc>
          <w:tcPr>
            <w:tcW w:w="4300" w:type="dxa"/>
            <w:vAlign w:val="bottom"/>
            <w:gridSpan w:val="2"/>
          </w:tcPr>
          <w:p>
            <w:pPr>
              <w:ind w:left="1180"/>
              <w:spacing w:after="0" w:line="176"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E1"/>
                <w:w w:val="98"/>
              </w:rPr>
              <w:t>gary.waanders@acimmune.com</w:t>
            </w:r>
          </w:p>
        </w:tc>
      </w:tr>
      <w:tr>
        <w:trPr>
          <w:trHeight w:val="20"/>
        </w:trPr>
        <w:tc>
          <w:tcPr>
            <w:tcW w:w="660" w:type="dxa"/>
            <w:vAlign w:val="bottom"/>
          </w:tcPr>
          <w:p>
            <w:pPr>
              <w:spacing w:after="0" w:line="20" w:lineRule="exact"/>
              <w:rPr>
                <w:sz w:val="1"/>
                <w:szCs w:val="1"/>
                <w:color w:val="auto"/>
              </w:rPr>
            </w:pPr>
          </w:p>
        </w:tc>
        <w:tc>
          <w:tcPr>
            <w:tcW w:w="2420" w:type="dxa"/>
            <w:vAlign w:val="bottom"/>
            <w:shd w:val="clear" w:color="auto" w:fill="0000E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80" w:type="dxa"/>
            <w:vAlign w:val="bottom"/>
            <w:shd w:val="clear" w:color="auto" w:fill="0000E1"/>
          </w:tcPr>
          <w:p>
            <w:pPr>
              <w:spacing w:after="0" w:line="20" w:lineRule="exact"/>
              <w:rPr>
                <w:sz w:val="1"/>
                <w:szCs w:val="1"/>
                <w:color w:val="auto"/>
              </w:rPr>
            </w:pPr>
          </w:p>
        </w:tc>
      </w:tr>
    </w:tbl>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5180" w:type="dxa"/>
            <w:vAlign w:val="bottom"/>
            <w:gridSpan w:val="2"/>
          </w:tcPr>
          <w:p>
            <w:pPr>
              <w:ind w:left="244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5180" w:type="dxa"/>
            <w:vAlign w:val="bottom"/>
            <w:gridSpan w:val="2"/>
          </w:tcPr>
          <w:p>
            <w:pPr>
              <w:ind w:left="244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LaVoieHealthScience</w:t>
            </w:r>
          </w:p>
        </w:tc>
        <w:tc>
          <w:tcPr>
            <w:tcW w:w="5180" w:type="dxa"/>
            <w:vAlign w:val="bottom"/>
            <w:gridSpan w:val="2"/>
          </w:tcPr>
          <w:p>
            <w:pPr>
              <w:ind w:left="244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18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5180" w:type="dxa"/>
            <w:vAlign w:val="bottom"/>
            <w:gridSpan w:val="2"/>
          </w:tcPr>
          <w:p>
            <w:pPr>
              <w:ind w:left="244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318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E1"/>
                <w:w w:val="99"/>
              </w:rPr>
              <w:t>slewis@lavoiehealthscience.com</w:t>
            </w:r>
          </w:p>
        </w:tc>
        <w:tc>
          <w:tcPr>
            <w:tcW w:w="5180" w:type="dxa"/>
            <w:vAlign w:val="bottom"/>
            <w:gridSpan w:val="2"/>
          </w:tcPr>
          <w:p>
            <w:pPr>
              <w:ind w:left="2440"/>
              <w:spacing w:after="0" w:line="176"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E1"/>
                <w:w w:val="98"/>
              </w:rPr>
              <w:t>cdavis@lifesciadvisors.com</w:t>
            </w:r>
          </w:p>
        </w:tc>
      </w:tr>
      <w:tr>
        <w:trPr>
          <w:trHeight w:val="20"/>
        </w:trPr>
        <w:tc>
          <w:tcPr>
            <w:tcW w:w="540" w:type="dxa"/>
            <w:vAlign w:val="bottom"/>
          </w:tcPr>
          <w:p>
            <w:pPr>
              <w:spacing w:after="0" w:line="20" w:lineRule="exact"/>
              <w:rPr>
                <w:sz w:val="1"/>
                <w:szCs w:val="1"/>
                <w:color w:val="auto"/>
              </w:rPr>
            </w:pPr>
          </w:p>
        </w:tc>
        <w:tc>
          <w:tcPr>
            <w:tcW w:w="2640" w:type="dxa"/>
            <w:vAlign w:val="bottom"/>
            <w:shd w:val="clear" w:color="auto" w:fill="0000E1"/>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0" w:type="dxa"/>
            <w:vAlign w:val="bottom"/>
            <w:shd w:val="clear" w:color="auto" w:fill="0000E1"/>
          </w:tcPr>
          <w:p>
            <w:pPr>
              <w:spacing w:after="0" w:line="20" w:lineRule="exact"/>
              <w:rPr>
                <w:sz w:val="1"/>
                <w:szCs w:val="1"/>
                <w:color w:val="auto"/>
              </w:rPr>
            </w:pP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594360</wp:posOffset>
            </wp:positionV>
            <wp:extent cx="5511800" cy="4834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11800" cy="483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780"/>
        <w:spacing w:after="0"/>
        <w:rPr>
          <w:sz w:val="20"/>
          <w:szCs w:val="20"/>
          <w:color w:val="auto"/>
        </w:rPr>
      </w:pPr>
      <w:r>
        <w:rPr>
          <w:rFonts w:ascii="Arial" w:cs="Arial" w:eastAsia="Arial" w:hAnsi="Arial"/>
          <w:sz w:val="17"/>
          <w:szCs w:val="17"/>
          <w:color w:val="auto"/>
        </w:rPr>
        <w:t>5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2022-03-16T06:53:25Z</dcterms:created>
  <dcterms:modified xsi:type="dcterms:W3CDTF">2022-03-16T06:53:25Z</dcterms:modified>
</cp:coreProperties>
</file>