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12"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September,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Building B</w:t>
      </w:r>
    </w:p>
    <w:p>
      <w:pPr>
        <w:jc w:val="center"/>
        <w:ind w:right="-19"/>
        <w:spacing w:after="0" w:line="235" w:lineRule="auto"/>
        <w:rPr>
          <w:sz w:val="20"/>
          <w:szCs w:val="20"/>
          <w:color w:val="auto"/>
        </w:rPr>
      </w:pPr>
      <w:r>
        <w:rPr>
          <w:rFonts w:ascii="Arial" w:cs="Arial" w:eastAsia="Arial" w:hAnsi="Arial"/>
          <w:sz w:val="22"/>
          <w:szCs w:val="22"/>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378460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80"/>
          </w:cols>
          <w:pgMar w:left="460" w:top="751" w:right="459" w:bottom="1440" w:gutter="0" w:footer="0" w:header="0"/>
        </w:sectPr>
      </w:pPr>
    </w:p>
    <w:bookmarkStart w:id="1" w:name="page2"/>
    <w:bookmarkEnd w:id="1"/>
    <w:p>
      <w:pPr>
        <w:ind w:firstLine="324"/>
        <w:spacing w:after="0" w:line="256" w:lineRule="auto"/>
        <w:rPr>
          <w:sz w:val="20"/>
          <w:szCs w:val="20"/>
          <w:color w:val="auto"/>
        </w:rPr>
      </w:pPr>
      <w:r>
        <w:rPr>
          <w:rFonts w:ascii="Arial" w:cs="Arial" w:eastAsia="Arial" w:hAnsi="Arial"/>
          <w:sz w:val="18"/>
          <w:szCs w:val="18"/>
          <w:color w:val="auto"/>
        </w:rPr>
        <w:t>On September 19, 2019,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and Eli Lilly and Company (“</w:t>
      </w:r>
      <w:r>
        <w:rPr>
          <w:rFonts w:ascii="Arial" w:cs="Arial" w:eastAsia="Arial" w:hAnsi="Arial"/>
          <w:sz w:val="18"/>
          <w:szCs w:val="18"/>
          <w:b w:val="1"/>
          <w:bCs w:val="1"/>
          <w:color w:val="auto"/>
        </w:rPr>
        <w:t>Lilly</w:t>
      </w:r>
      <w:r>
        <w:rPr>
          <w:rFonts w:ascii="Arial" w:cs="Arial" w:eastAsia="Arial" w:hAnsi="Arial"/>
          <w:sz w:val="18"/>
          <w:szCs w:val="18"/>
          <w:color w:val="auto"/>
        </w:rPr>
        <w:t>”) entered into an amendment (the “</w:t>
      </w:r>
      <w:r>
        <w:rPr>
          <w:rFonts w:ascii="Arial" w:cs="Arial" w:eastAsia="Arial" w:hAnsi="Arial"/>
          <w:sz w:val="18"/>
          <w:szCs w:val="18"/>
          <w:b w:val="1"/>
          <w:bCs w:val="1"/>
          <w:color w:val="auto"/>
        </w:rPr>
        <w:t>Amendment</w:t>
      </w:r>
      <w:r>
        <w:rPr>
          <w:rFonts w:ascii="Arial" w:cs="Arial" w:eastAsia="Arial" w:hAnsi="Arial"/>
          <w:sz w:val="18"/>
          <w:szCs w:val="18"/>
          <w:color w:val="auto"/>
        </w:rPr>
        <w:t>”) to their license and collaboration agreement dated as of December 11, 2018 (“</w:t>
      </w:r>
      <w:r>
        <w:rPr>
          <w:rFonts w:ascii="Arial" w:cs="Arial" w:eastAsia="Arial" w:hAnsi="Arial"/>
          <w:sz w:val="18"/>
          <w:szCs w:val="18"/>
          <w:b w:val="1"/>
          <w:bCs w:val="1"/>
          <w:color w:val="auto"/>
        </w:rPr>
        <w:t>License Agreement</w:t>
      </w:r>
      <w:r>
        <w:rPr>
          <w:rFonts w:ascii="Arial" w:cs="Arial" w:eastAsia="Arial" w:hAnsi="Arial"/>
          <w:sz w:val="18"/>
          <w:szCs w:val="18"/>
          <w:color w:val="auto"/>
        </w:rPr>
        <w:t>”) relating to the research and development of Tau Morphomer small molecules for the treatment of Alzheimer’s disease and other neurodegenerative diseases. Pursuant to the Amendment, the parties have divided the first milestone payment under the License Agreement of 60 million Swiss Francs into two installments. Specifically, Lilly will be required to pay to the Company 30 million Swiss Francs on or before October 7, 2019 and, unless Lilly earlier terminates the License Agreement, 30 million Swiss Francs on or before March 31, 2020.</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13"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Pfeifer</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Name: Joerg Hornstein</w:t>
            </w:r>
          </w:p>
        </w:tc>
      </w:tr>
      <w:tr>
        <w:trPr>
          <w:trHeight w:val="230"/>
        </w:trPr>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26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10.1*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First Amendment to License Agreement between AC Immune SA and Eli Lilly and Company, dated September 19, 2019</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99.1*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Press Release dated September 20, 2019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License Agreement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This First Amendment to License Agreement (the “Amendment”) is made and entered into as of September 19, 2019, by and between AC Immune SA, a Swiss Company (“ACI”) and Eli Lilly and Company, an Indiana Corporation (“Lilly”). (As used herein ACI and Lilly may be individually referred to as a “Party” and collectively referred to as the “Parties”).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WHEREAS, ACI and Lilly are parties to that certain License Agreement dated December 11, 2018 (the “Agreement”) related to developing small molecule tau inhibitors;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Parties desire to amend the Agreement to reflect the Parties’ agreement to the terms and conditions set forth herein.</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NOW, THEREFORE, in consideration of the premises and the mutual promises and conditions set forth herein and other good and valuable consideration, the receipt and sufficiency of which are hereby acknowledged, the Parties, intending to be legally bound, do hereby agree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in this Amendment but not otherwise defined herein shall have the same meanings given to such terms in the Agreement.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 to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Section 7.2.1(i) of the Agreement shall be deleted in its entirety and replaced with the following:</w:t>
      </w:r>
    </w:p>
    <w:p>
      <w:pPr>
        <w:spacing w:after="0" w:line="225" w:lineRule="exact"/>
        <w:rPr>
          <w:rFonts w:ascii="Arial" w:cs="Arial" w:eastAsia="Arial" w:hAnsi="Arial"/>
          <w:sz w:val="18"/>
          <w:szCs w:val="18"/>
          <w:color w:val="auto"/>
        </w:rPr>
      </w:pPr>
    </w:p>
    <w:p>
      <w:pPr>
        <w:jc w:val="both"/>
        <w:ind w:left="1040" w:hanging="330"/>
        <w:spacing w:after="0" w:line="257" w:lineRule="auto"/>
        <w:tabs>
          <w:tab w:leader="none" w:pos="1040" w:val="left"/>
        </w:tabs>
        <w:numPr>
          <w:ilvl w:val="2"/>
          <w:numId w:val="2"/>
        </w:numPr>
        <w:rPr>
          <w:rFonts w:ascii="Arial" w:cs="Arial" w:eastAsia="Arial" w:hAnsi="Arial"/>
          <w:sz w:val="18"/>
          <w:szCs w:val="18"/>
          <w:color w:val="auto"/>
        </w:rPr>
      </w:pPr>
      <w:r>
        <w:rPr>
          <w:rFonts w:ascii="Arial" w:cs="Arial" w:eastAsia="Arial" w:hAnsi="Arial"/>
          <w:sz w:val="18"/>
          <w:szCs w:val="18"/>
          <w:color w:val="auto"/>
        </w:rPr>
        <w:t xml:space="preserve">(a) within ten (10) Business Days after the end of the Lilly Pre-Clinical Activities Period, but in no event later than October 7, 2019, thirty million Swiss Francs (CHF 30,000,000) and (b) thirty million Swiss Francs (CHF 30,000,000) no later than March 31, 2020; </w:t>
      </w:r>
      <w:r>
        <w:rPr>
          <w:rFonts w:ascii="Arial" w:cs="Arial" w:eastAsia="Arial" w:hAnsi="Arial"/>
          <w:sz w:val="18"/>
          <w:szCs w:val="18"/>
          <w:i w:val="1"/>
          <w:iCs w:val="1"/>
          <w:color w:val="auto"/>
        </w:rPr>
        <w:t>provided</w:t>
      </w:r>
      <w:r>
        <w:rPr>
          <w:rFonts w:ascii="Arial" w:cs="Arial" w:eastAsia="Arial" w:hAnsi="Arial"/>
          <w:sz w:val="18"/>
          <w:szCs w:val="18"/>
          <w:color w:val="auto"/>
        </w:rPr>
        <w:t>, that no such payment of such thirty million Swiss Francs (CHF 30,000,000) under this Section 7.2.1(i)(b) will be due by Lilly if Lilly provides ACI with notice of termination of this Agreement pursuant to Section 12.2.6 after October 7, 2019 and at least ten (10) Business Days prior to March 31, 2020.</w:t>
      </w:r>
    </w:p>
    <w:p>
      <w:pPr>
        <w:spacing w:after="0" w:line="188" w:lineRule="exact"/>
        <w:rPr>
          <w:rFonts w:ascii="Arial" w:cs="Arial" w:eastAsia="Arial" w:hAnsi="Arial"/>
          <w:sz w:val="18"/>
          <w:szCs w:val="18"/>
          <w:color w:val="auto"/>
        </w:rPr>
      </w:pPr>
    </w:p>
    <w:p>
      <w:pPr>
        <w:ind w:left="720" w:hanging="334"/>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Section 12.2.6 of the Agreement shall be deleted in its entirety and replaced with the following:</w:t>
      </w:r>
    </w:p>
    <w:p>
      <w:pPr>
        <w:spacing w:after="0" w:line="228" w:lineRule="exact"/>
        <w:rPr>
          <w:rFonts w:ascii="Arial" w:cs="Arial" w:eastAsia="Arial" w:hAnsi="Arial"/>
          <w:sz w:val="18"/>
          <w:szCs w:val="18"/>
          <w:color w:val="auto"/>
        </w:rPr>
      </w:pPr>
    </w:p>
    <w:p>
      <w:pPr>
        <w:jc w:val="both"/>
        <w:ind w:left="720"/>
        <w:spacing w:after="0" w:line="239" w:lineRule="auto"/>
        <w:rPr>
          <w:rFonts w:ascii="Arial" w:cs="Arial" w:eastAsia="Arial" w:hAnsi="Arial"/>
          <w:sz w:val="18"/>
          <w:szCs w:val="18"/>
          <w:color w:val="auto"/>
        </w:rPr>
      </w:pPr>
      <w:r>
        <w:rPr>
          <w:rFonts w:ascii="Arial" w:cs="Arial" w:eastAsia="Arial" w:hAnsi="Arial"/>
          <w:sz w:val="17"/>
          <w:szCs w:val="17"/>
          <w:u w:val="single" w:color="auto"/>
          <w:color w:val="auto"/>
        </w:rPr>
        <w:t>Termination before March 31, 2020</w:t>
      </w:r>
      <w:r>
        <w:rPr>
          <w:rFonts w:ascii="Arial" w:cs="Arial" w:eastAsia="Arial" w:hAnsi="Arial"/>
          <w:sz w:val="17"/>
          <w:szCs w:val="17"/>
          <w:color w:val="auto"/>
        </w:rPr>
        <w:t>. At any time after October 7, 2019 and on or before the tenth (10</w:t>
      </w:r>
      <w:r>
        <w:rPr>
          <w:rFonts w:ascii="Arial" w:cs="Arial" w:eastAsia="Arial" w:hAnsi="Arial"/>
          <w:sz w:val="27"/>
          <w:szCs w:val="27"/>
          <w:color w:val="auto"/>
          <w:vertAlign w:val="superscript"/>
        </w:rPr>
        <w:t>th</w:t>
      </w:r>
      <w:r>
        <w:rPr>
          <w:rFonts w:ascii="Arial" w:cs="Arial" w:eastAsia="Arial" w:hAnsi="Arial"/>
          <w:sz w:val="17"/>
          <w:szCs w:val="17"/>
          <w:color w:val="auto"/>
        </w:rPr>
        <w:t>) Business Day prior to March 31, 2020, Lilly may terminate this Agreement immediately upon written notice to ACI. For clarity, if Lilly terminates this Agreement in accordance with this Section 12.2.6, Lilly shall not be obligated to pay the thirty million Swiss Francs (CHF 30,000,000) payment set forth in Section 7.2.1(i)(b).</w:t>
      </w: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Limitation of this Amendment</w:t>
      </w:r>
      <w:r>
        <w:rPr>
          <w:rFonts w:ascii="Arial" w:cs="Arial" w:eastAsia="Arial" w:hAnsi="Arial"/>
          <w:sz w:val="18"/>
          <w:szCs w:val="18"/>
          <w:color w:val="auto"/>
        </w:rPr>
        <w:t>. Except as expressly provided herein, the Agreement is, and shall continue to be, in full force and effect in accordance with its terms, without further amendments thereto.</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two (2) or more counterparts, each of which shall be deemed to be an original, but all of which together shall constitute one and the same instrument. This Amendment may be executed by facsimile, PDF format via email or other electronically transmitted signatures and such signatures shall be deemed to bind each Party hereto as if they were original signatures.</w:t>
      </w:r>
    </w:p>
    <w:p>
      <w:pPr>
        <w:spacing w:after="0" w:line="1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[Signature Page to Follow]</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THIS AMENDMENT IS EXECUTED by the authorized representatives of the Parties as of the date first written above.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ELI LILLY AND COMPANY</w:t>
            </w:r>
          </w:p>
        </w:tc>
        <w:tc>
          <w:tcPr>
            <w:tcW w:w="6140" w:type="dxa"/>
            <w:vAlign w:val="bottom"/>
            <w:gridSpan w:val="2"/>
          </w:tcPr>
          <w:p>
            <w:pPr>
              <w:ind w:left="680"/>
              <w:spacing w:after="0"/>
              <w:rPr>
                <w:sz w:val="20"/>
                <w:szCs w:val="20"/>
                <w:color w:val="auto"/>
              </w:rPr>
            </w:pPr>
            <w:r>
              <w:rPr>
                <w:rFonts w:ascii="Arial" w:cs="Arial" w:eastAsia="Arial" w:hAnsi="Arial"/>
                <w:sz w:val="18"/>
                <w:szCs w:val="18"/>
                <w:b w:val="1"/>
                <w:bCs w:val="1"/>
                <w:color w:val="auto"/>
              </w:rPr>
              <w:t>AC IMMUNE SA</w:t>
            </w:r>
          </w:p>
        </w:tc>
      </w:tr>
      <w:tr>
        <w:trPr>
          <w:trHeight w:val="439"/>
        </w:trPr>
        <w:tc>
          <w:tcPr>
            <w:tcW w:w="5280" w:type="dxa"/>
            <w:vAlign w:val="bottom"/>
            <w:gridSpan w:val="2"/>
          </w:tcPr>
          <w:p>
            <w:pPr>
              <w:spacing w:after="0"/>
              <w:rPr>
                <w:sz w:val="20"/>
                <w:szCs w:val="20"/>
                <w:color w:val="auto"/>
              </w:rPr>
            </w:pPr>
            <w:r>
              <w:rPr>
                <w:rFonts w:ascii="Arial" w:cs="Arial" w:eastAsia="Arial" w:hAnsi="Arial"/>
                <w:sz w:val="18"/>
                <w:szCs w:val="18"/>
                <w:color w:val="auto"/>
              </w:rPr>
              <w:t>By:   /s/ David Ricks</w:t>
            </w:r>
          </w:p>
        </w:tc>
        <w:tc>
          <w:tcPr>
            <w:tcW w:w="1360" w:type="dxa"/>
            <w:vAlign w:val="bottom"/>
          </w:tcPr>
          <w:p>
            <w:pPr>
              <w:ind w:left="68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Andrea Pfeifer</w:t>
            </w:r>
          </w:p>
        </w:tc>
      </w:tr>
      <w:tr>
        <w:trPr>
          <w:trHeight w:val="202"/>
        </w:trPr>
        <w:tc>
          <w:tcPr>
            <w:tcW w:w="500" w:type="dxa"/>
            <w:vAlign w:val="bottom"/>
          </w:tcPr>
          <w:p>
            <w:pPr>
              <w:spacing w:after="0" w:line="201" w:lineRule="exact"/>
              <w:rPr>
                <w:sz w:val="20"/>
                <w:szCs w:val="20"/>
                <w:color w:val="auto"/>
              </w:rPr>
            </w:pPr>
            <w:r>
              <w:rPr>
                <w:rFonts w:ascii="Arial" w:cs="Arial" w:eastAsia="Arial" w:hAnsi="Arial"/>
                <w:sz w:val="18"/>
                <w:szCs w:val="18"/>
                <w:color w:val="auto"/>
                <w:w w:val="90"/>
              </w:rPr>
              <w:t>Name:</w:t>
            </w:r>
          </w:p>
        </w:tc>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Ricks</w:t>
            </w:r>
          </w:p>
        </w:tc>
        <w:tc>
          <w:tcPr>
            <w:tcW w:w="1360" w:type="dxa"/>
            <w:vAlign w:val="bottom"/>
          </w:tcPr>
          <w:p>
            <w:pPr>
              <w:ind w:left="680"/>
              <w:spacing w:after="0" w:line="201"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Andrea Pfeifer</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Title: President and CEO</w:t>
            </w:r>
          </w:p>
        </w:tc>
        <w:tc>
          <w:tcPr>
            <w:tcW w:w="1360" w:type="dxa"/>
            <w:vAlign w:val="bottom"/>
          </w:tcPr>
          <w:p>
            <w:pPr>
              <w:ind w:left="68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Martin Velasco</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right"/>
        <w:ind w:right="1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7546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5460" cy="557530"/>
                    </a:xfrm>
                    <a:prstGeom prst="rect">
                      <a:avLst/>
                    </a:prstGeom>
                    <a:noFill/>
                  </pic:spPr>
                </pic:pic>
              </a:graphicData>
            </a:graphic>
          </wp:anchor>
        </w:drawing>
      </w:r>
    </w:p>
    <w:p>
      <w:pPr>
        <w:spacing w:after="0" w:line="168" w:lineRule="exact"/>
        <w:rPr>
          <w:sz w:val="20"/>
          <w:szCs w:val="20"/>
          <w:color w:val="auto"/>
        </w:rPr>
      </w:pPr>
    </w:p>
    <w:p>
      <w:pPr>
        <w:jc w:val="right"/>
        <w:ind w:right="10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260" w:right="140"/>
        <w:spacing w:after="0" w:line="288" w:lineRule="auto"/>
        <w:rPr>
          <w:sz w:val="20"/>
          <w:szCs w:val="20"/>
          <w:color w:val="auto"/>
        </w:rPr>
      </w:pPr>
      <w:r>
        <w:rPr>
          <w:rFonts w:ascii="Arial" w:cs="Arial" w:eastAsia="Arial" w:hAnsi="Arial"/>
          <w:sz w:val="25"/>
          <w:szCs w:val="25"/>
          <w:b w:val="1"/>
          <w:bCs w:val="1"/>
          <w:color w:val="auto"/>
        </w:rPr>
        <w:t>AC Immune Receives First Milestone Payment from Lilly in Small Molecule Tau Morphomer™ Program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Lilly to pay CHF30 million development milestone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Recognizes progress in ACI-3024 Small Molecule Tau Morphomer™ development</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September 20, 2019 </w:t>
      </w:r>
      <w:r>
        <w:rPr>
          <w:rFonts w:ascii="Arial" w:cs="Arial" w:eastAsia="Arial" w:hAnsi="Arial"/>
          <w:sz w:val="18"/>
          <w:szCs w:val="18"/>
          <w:color w:val="auto"/>
        </w:rPr>
        <w:t>– AC Immune SA (NASDAQ: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it will receive the first milestone payment of CHF30 million from Eli Lilly and Company on or before October 7, 2019. This payment is a recognition of progress in the collaboration between the two companies and follows initiation in July 2019 of the Phase 1 study of ACI-3024, a first-in-class investigational oral small molecule Tau Morphomer™ in development for treatment of Alzheimer’s disease (AD) and other neurodegenerative disorders. A second milestone payment of CHF30 million is scheduled in Q1 2020 linked to achievement of further development milestones.</w:t>
      </w:r>
    </w:p>
    <w:p>
      <w:pPr>
        <w:spacing w:after="0" w:line="166" w:lineRule="exact"/>
        <w:rPr>
          <w:sz w:val="20"/>
          <w:szCs w:val="20"/>
          <w:color w:val="auto"/>
        </w:rPr>
      </w:pPr>
    </w:p>
    <w:p>
      <w:pPr>
        <w:jc w:val="both"/>
        <w:spacing w:after="0" w:line="222"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“Lilly has brought substantial experience in neurology, and particularly in</w:t>
      </w:r>
      <w:r>
        <w:rPr>
          <w:rFonts w:ascii="Arial" w:cs="Arial" w:eastAsia="Arial" w:hAnsi="Arial"/>
          <w:sz w:val="18"/>
          <w:szCs w:val="18"/>
          <w:b w:val="1"/>
          <w:bCs w:val="1"/>
          <w:color w:val="auto"/>
        </w:rPr>
        <w:t xml:space="preserve"> </w:t>
      </w:r>
      <w:r>
        <w:rPr>
          <w:rFonts w:ascii="Arial" w:cs="Arial" w:eastAsia="Arial" w:hAnsi="Arial"/>
          <w:sz w:val="18"/>
          <w:szCs w:val="18"/>
          <w:color w:val="auto"/>
        </w:rPr>
        <w:t>Alzheimer’s disease, to this collaboration. This milestone payment recognizes that the development of the lead small molecule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our collaboration, ACI-3024, is progressing. At AC Immune, we are proud to be advancing in collaboration with our partners the clinical development of three additional products targeting Tau – an antibody, a therapeutic vaccine and a diagnostic biomarker – for treatment of Alzheimer’s and other neurodegenerative diseases.”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start of the ACI-3024 Phase 1 study, represents an important advancement in the broader effort we are making and further expands our robust clinical pipeline to address neurodegenerative diseases, in particular for therapeutics and diagnostics targeting Tau.”</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complex treatment paradigm for AD, Tau pathology is a potential therapeutic target. Tau spreads with a characteristic spatiotemporal pattern throughout the brain that coincides with both clinical symptoms and disease progression in AD. Slowing the propagation of Tau pathology may slow disease progression and reduce cognitive decline. Anti-Tau therapies already have shown promise in slowing the progression of Tau pathology in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18"/>
          <w:szCs w:val="18"/>
          <w:color w:val="auto"/>
        </w:rPr>
        <w:t>ACI-3024 is the lead molecule being developed in the license and collaboration agreement between AC Immune and Lilly to research and develop small molecule Tau aggregation inhibitors for the treatment of AD and other neurodegenerative diseases. The collaboration combines AC Immune’s proprietary Morphomer™ discovery platform and early development experience with Lilly’s established clinical development expertise and commercial capabilities in central nervous system disorders. Under the agreement AC Immune is conducting the initial Phase 1 development of the Morphomer™ Tau aggregation inhibitors while Lilly will fund and conduct additional research and further clinical development.</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Phase 1 trial initiated in July is a randomized, placebo controlled, double blind, sequential single and multiple ascending dose study that aims to assess the safety, tolerability, pharmacokinetics, and pharmacodynamics of ACI-3024 in healthy volunteers.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AC Immune and Lilly and Company Agreement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terms of the agreement, Lilly received worldwide commercialization rights for Tau aggregation inhibitors, including in the area of Alzheimer's disease. AC Immune received an upfront payment of CHF80 million as well as $50 million in exchange for a note, convertible to equity at a premium. AC Immune is also eligible to receive an additional CHF30 million near-term milestone in Q1 2020, and is eligible to receive other development, regulatory and commercial milestones, up to approximately CHF1.7 billion, and tiered royalty payments in the low double digits.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Lilly, and Janssen Pharmaceuticals Inc.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91"/>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US Investors</w:t>
            </w:r>
          </w:p>
        </w:tc>
        <w:tc>
          <w:tcPr>
            <w:tcW w:w="4520" w:type="dxa"/>
            <w:vAlign w:val="bottom"/>
            <w:gridSpan w:val="2"/>
          </w:tcPr>
          <w:p>
            <w:pPr>
              <w:ind w:left="94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32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5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320" w:type="dxa"/>
            <w:vAlign w:val="bottom"/>
            <w:gridSpan w:val="3"/>
          </w:tcPr>
          <w:p>
            <w:pPr>
              <w:spacing w:after="0" w:line="202" w:lineRule="exact"/>
              <w:rPr>
                <w:sz w:val="20"/>
                <w:szCs w:val="20"/>
                <w:color w:val="auto"/>
              </w:rPr>
            </w:pPr>
            <w:r>
              <w:rPr>
                <w:rFonts w:ascii="Arial" w:cs="Arial" w:eastAsia="Arial" w:hAnsi="Arial"/>
                <w:sz w:val="18"/>
                <w:szCs w:val="18"/>
                <w:color w:val="auto"/>
              </w:rPr>
              <w:t>AC Immune Investor Relations</w:t>
            </w:r>
          </w:p>
        </w:tc>
        <w:tc>
          <w:tcPr>
            <w:tcW w:w="45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4320" w:type="dxa"/>
            <w:vAlign w:val="bottom"/>
            <w:gridSpan w:val="3"/>
          </w:tcPr>
          <w:p>
            <w:pPr>
              <w:spacing w:after="0" w:line="202" w:lineRule="exact"/>
              <w:rPr>
                <w:sz w:val="20"/>
                <w:szCs w:val="20"/>
                <w:color w:val="auto"/>
              </w:rPr>
            </w:pPr>
            <w:r>
              <w:rPr>
                <w:rFonts w:ascii="Arial" w:cs="Arial" w:eastAsia="Arial" w:hAnsi="Arial"/>
                <w:sz w:val="18"/>
                <w:szCs w:val="18"/>
                <w:color w:val="auto"/>
              </w:rPr>
              <w:t>Phone: +1 646 876 5538</w:t>
            </w:r>
          </w:p>
        </w:tc>
        <w:tc>
          <w:tcPr>
            <w:tcW w:w="45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E-mail: joshua.drumm@acimmune.com</w:t>
            </w:r>
          </w:p>
        </w:tc>
        <w:tc>
          <w:tcPr>
            <w:tcW w:w="4520" w:type="dxa"/>
            <w:vAlign w:val="bottom"/>
            <w:gridSpan w:val="2"/>
          </w:tcPr>
          <w:p>
            <w:pPr>
              <w:ind w:left="940"/>
              <w:spacing w:after="0" w:line="176" w:lineRule="exact"/>
              <w:rPr>
                <w:sz w:val="20"/>
                <w:szCs w:val="20"/>
                <w:color w:val="auto"/>
              </w:rPr>
            </w:pPr>
            <w:r>
              <w:rPr>
                <w:rFonts w:ascii="Arial" w:cs="Arial" w:eastAsia="Arial" w:hAnsi="Arial"/>
                <w:sz w:val="18"/>
                <w:szCs w:val="18"/>
                <w:color w:val="auto"/>
                <w:w w:val="99"/>
              </w:rPr>
              <w:t>E-mail: kgallagher@lavoiehealthscience.com</w:t>
            </w:r>
          </w:p>
        </w:tc>
      </w:tr>
      <w:tr>
        <w:trPr>
          <w:trHeight w:val="20"/>
        </w:trPr>
        <w:tc>
          <w:tcPr>
            <w:tcW w:w="6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European Media</w:t>
            </w:r>
          </w:p>
        </w:tc>
        <w:tc>
          <w:tcPr>
            <w:tcW w:w="3660" w:type="dxa"/>
            <w:vAlign w:val="bottom"/>
            <w:gridSpan w:val="2"/>
          </w:tcPr>
          <w:p>
            <w:pPr>
              <w:ind w:left="98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Judith Moore</w:t>
            </w:r>
          </w:p>
        </w:tc>
        <w:tc>
          <w:tcPr>
            <w:tcW w:w="36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 Global Communication Lead</w:t>
            </w:r>
          </w:p>
        </w:tc>
        <w:tc>
          <w:tcPr>
            <w:tcW w:w="36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+44 7932 053829</w:t>
            </w:r>
          </w:p>
        </w:tc>
        <w:tc>
          <w:tcPr>
            <w:tcW w:w="366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E-mail: judith.moore@acimmune.com</w:t>
            </w:r>
          </w:p>
        </w:tc>
        <w:tc>
          <w:tcPr>
            <w:tcW w:w="3660" w:type="dxa"/>
            <w:vAlign w:val="bottom"/>
            <w:gridSpan w:val="2"/>
          </w:tcPr>
          <w:p>
            <w:pPr>
              <w:ind w:left="980"/>
              <w:spacing w:after="0" w:line="176" w:lineRule="exact"/>
              <w:rPr>
                <w:sz w:val="20"/>
                <w:szCs w:val="20"/>
                <w:color w:val="auto"/>
              </w:rPr>
            </w:pPr>
            <w:r>
              <w:rPr>
                <w:rFonts w:ascii="Arial" w:cs="Arial" w:eastAsia="Arial" w:hAnsi="Arial"/>
                <w:sz w:val="18"/>
                <w:szCs w:val="18"/>
                <w:color w:val="auto"/>
                <w:w w:val="99"/>
              </w:rPr>
              <w:t>E-mail: chris@lifesciadvisors.com</w:t>
            </w:r>
          </w:p>
        </w:tc>
      </w:tr>
      <w:tr>
        <w:trPr>
          <w:trHeight w:val="20"/>
        </w:trPr>
        <w:tc>
          <w:tcPr>
            <w:tcW w:w="6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2019-12-04T22:44:09Z</dcterms:created>
  <dcterms:modified xsi:type="dcterms:W3CDTF">2019-12-04T22:44:09Z</dcterms:modified>
</cp:coreProperties>
</file>