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333-224694</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June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142875</wp:posOffset>
            </wp:positionV>
            <wp:extent cx="21266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7,391,305 Common Shares</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Subscription Rights to Purchase up to 8,500,000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20" w:firstLine="416"/>
        <w:spacing w:after="0" w:line="257" w:lineRule="auto"/>
        <w:rPr>
          <w:sz w:val="20"/>
          <w:szCs w:val="20"/>
          <w:color w:val="auto"/>
        </w:rPr>
      </w:pPr>
      <w:r>
        <w:rPr>
          <w:rFonts w:ascii="Arial" w:cs="Arial" w:eastAsia="Arial" w:hAnsi="Arial"/>
          <w:sz w:val="18"/>
          <w:szCs w:val="18"/>
          <w:color w:val="auto"/>
        </w:rPr>
        <w:t>We are offering 7,391,305 of our common shares as part of this offering (the “Public Offering”). In addition, we have granted the underwriters an option for a period of 30 days from the date of this prospectus supplement to purchase up to 1,108,695 additional shares from us at the public offering price of the common shares offered hereby (the “Offering Price”) less underwriting discounts and commissions. Our common shares trade on The Nasdaq Global Market under the trading symbol “ACIU”. On July 18, 2018, the last sale price of our common shares as reported on The Nasdaq Global Market was $11.78 per share.</w:t>
      </w:r>
    </w:p>
    <w:p>
      <w:pPr>
        <w:spacing w:after="0" w:line="188" w:lineRule="exact"/>
        <w:rPr>
          <w:sz w:val="24"/>
          <w:szCs w:val="24"/>
          <w:color w:val="auto"/>
        </w:rPr>
      </w:pPr>
    </w:p>
    <w:p>
      <w:pPr>
        <w:ind w:firstLine="416"/>
        <w:spacing w:after="0" w:line="287" w:lineRule="auto"/>
        <w:rPr>
          <w:sz w:val="20"/>
          <w:szCs w:val="20"/>
          <w:color w:val="auto"/>
        </w:rPr>
      </w:pPr>
      <w:r>
        <w:rPr>
          <w:rFonts w:ascii="Arial" w:cs="Arial" w:eastAsia="Arial" w:hAnsi="Arial"/>
          <w:sz w:val="16"/>
          <w:szCs w:val="16"/>
          <w:color w:val="auto"/>
        </w:rPr>
        <w:t xml:space="preserve">Under Swiss law and pursuant to the resolution by the extraordinary shareholders’ meeting held on April 27, 2018, our existing shareholders are entitled to statutory pre-emptive subscription rights to subscribe for any new issuance of common shares and, thus, the common shares offered hereby, in proportion to their existing shareholdings. As a result, we commenced, concurrently with the Public Offering, a pre-emptive subscription rights offering to our existing shareholders who held common shares after close of trading on The Nasdaq Global Market on July 2, 2018 (“Record Shareholders,” and the close of trading on The Nasdaq Global Market on July 2, 2018, the “Record Date”). Such Record Shareholders had the opportunity to subscribe for up to 8,500,000 of the common shares offered hereby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at the Offering Price (the “First Rights Offering”). The subscription period in respect of the First Rights Offering began at 4:00 p.m. (New York City time) on July 17, 2018 and expired at 4:00 p.m. (New York City time) on July 18, 2018. If and to the extent the pre-emptive subscription rights were not validly exercised by the Record Shareholders during the subscription period in the First Rights Offering, the remaining common shares have been available for allocation to institutional investors in the Public Offering. If the underwriters do not exercise their option to purchase additional common shares allocated to institutional investors in the Public Offering, the corresponding number of common shares will be transferred back to the Company and will become our treasury shares. See “Subscription Rights Offerings.”</w:t>
      </w:r>
    </w:p>
    <w:p>
      <w:pPr>
        <w:spacing w:after="0" w:line="173" w:lineRule="exact"/>
        <w:rPr>
          <w:sz w:val="24"/>
          <w:szCs w:val="24"/>
          <w:color w:val="auto"/>
        </w:rPr>
      </w:pPr>
    </w:p>
    <w:p>
      <w:pPr>
        <w:ind w:right="80" w:firstLine="416"/>
        <w:spacing w:after="0" w:line="259" w:lineRule="auto"/>
        <w:rPr>
          <w:sz w:val="20"/>
          <w:szCs w:val="20"/>
          <w:color w:val="auto"/>
        </w:rPr>
      </w:pPr>
      <w:r>
        <w:rPr>
          <w:rFonts w:ascii="Arial" w:cs="Arial" w:eastAsia="Arial" w:hAnsi="Arial"/>
          <w:sz w:val="18"/>
          <w:szCs w:val="18"/>
          <w:color w:val="auto"/>
        </w:rPr>
        <w:t>We also intend to commence a second subscription rights offering (the “Second Rights Offering”) to Record Shareholders who will have opportunity to subscribe for up to 1,500,000 common shares at the Offering Price. The Second Rights Offering will begin at 3:00 a.m. (New York City time) on July 20, 2018 and expire at 4:00 p.m. (New York City time) on July 27, 2018. The Second Rights Offering will be made by means of a separate prospectus supplement. See “Subscription Rights Offerings.”</w:t>
      </w:r>
    </w:p>
    <w:p>
      <w:pPr>
        <w:spacing w:after="0" w:line="183" w:lineRule="exact"/>
        <w:rPr>
          <w:sz w:val="24"/>
          <w:szCs w:val="24"/>
          <w:color w:val="auto"/>
        </w:rPr>
      </w:pPr>
    </w:p>
    <w:p>
      <w:pPr>
        <w:ind w:right="340" w:firstLine="416"/>
        <w:spacing w:after="0" w:line="266"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are subject to reduced public company reporting requirements. See “Prospectus Supplement Summary—Implications of Being an Emerging Growth Company” and “—Implications of Being a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ind w:right="160" w:firstLine="405"/>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w:t>
      </w:r>
      <w:r>
        <w:rPr>
          <w:rFonts w:ascii="Arial" w:cs="Arial" w:eastAsia="Arial" w:hAnsi="Arial"/>
          <w:sz w:val="22"/>
          <w:szCs w:val="22"/>
          <w:b w:val="1"/>
          <w:bCs w:val="1"/>
          <w:u w:val="single" w:color="auto"/>
          <w:color w:val="auto"/>
        </w:rPr>
        <w:t>Risk Factors</w:t>
      </w:r>
      <w:r>
        <w:rPr>
          <w:rFonts w:ascii="Arial" w:cs="Arial" w:eastAsia="Arial" w:hAnsi="Arial"/>
          <w:sz w:val="22"/>
          <w:szCs w:val="22"/>
          <w:b w:val="1"/>
          <w:bCs w:val="1"/>
          <w:color w:val="auto"/>
        </w:rPr>
        <w:t>” beginning on page S-10 of this prospectus supplement.</w:t>
      </w:r>
    </w:p>
    <w:p>
      <w:pPr>
        <w:spacing w:after="0" w:line="199" w:lineRule="exact"/>
        <w:rPr>
          <w:sz w:val="24"/>
          <w:szCs w:val="24"/>
          <w:color w:val="auto"/>
        </w:rPr>
      </w:pPr>
    </w:p>
    <w:p>
      <w:pPr>
        <w:ind w:firstLine="416"/>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Borders>
              <w:bottom w:val="single" w:sz="8" w:color="D5EAEA"/>
            </w:tcBorders>
          </w:tcPr>
          <w:p>
            <w:pPr>
              <w:spacing w:after="0"/>
              <w:rPr>
                <w:sz w:val="20"/>
                <w:szCs w:val="20"/>
                <w:color w:val="auto"/>
              </w:rPr>
            </w:pPr>
          </w:p>
        </w:tc>
        <w:tc>
          <w:tcPr>
            <w:tcW w:w="2720" w:type="dxa"/>
            <w:vAlign w:val="bottom"/>
            <w:tcBorders>
              <w:bottom w:val="single" w:sz="8" w:color="D5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Per Share</w:t>
            </w:r>
          </w:p>
        </w:tc>
        <w:tc>
          <w:tcPr>
            <w:tcW w:w="100" w:type="dxa"/>
            <w:vAlign w:val="bottom"/>
            <w:tcBorders>
              <w:bottom w:val="single" w:sz="8" w:color="D5EAEA"/>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00" w:type="dxa"/>
            <w:vAlign w:val="bottom"/>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2720" w:type="dxa"/>
            <w:vAlign w:val="bottom"/>
            <w:shd w:val="clear" w:color="auto" w:fill="D5EAEA"/>
          </w:tcPr>
          <w:p>
            <w:pPr>
              <w:spacing w:after="0"/>
              <w:rPr>
                <w:sz w:val="18"/>
                <w:szCs w:val="18"/>
                <w:color w:val="auto"/>
              </w:rPr>
            </w:pPr>
          </w:p>
        </w:tc>
        <w:tc>
          <w:tcPr>
            <w:tcW w:w="180" w:type="dxa"/>
            <w:vAlign w:val="bottom"/>
            <w:shd w:val="clear" w:color="auto" w:fill="D5EAEA"/>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11.750</w:t>
            </w:r>
          </w:p>
        </w:tc>
        <w:tc>
          <w:tcPr>
            <w:tcW w:w="100" w:type="dxa"/>
            <w:vAlign w:val="bottom"/>
            <w:shd w:val="clear" w:color="auto" w:fill="D5EAEA"/>
          </w:tcPr>
          <w:p>
            <w:pPr>
              <w:spacing w:after="0"/>
              <w:rPr>
                <w:sz w:val="18"/>
                <w:szCs w:val="18"/>
                <w:color w:val="auto"/>
              </w:rPr>
            </w:pPr>
          </w:p>
        </w:tc>
        <w:tc>
          <w:tcPr>
            <w:tcW w:w="28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86,847,834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29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0.705</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5,210,870</w:t>
            </w:r>
          </w:p>
        </w:tc>
      </w:tr>
      <w:tr>
        <w:trPr>
          <w:trHeight w:val="216"/>
        </w:trPr>
        <w:tc>
          <w:tcPr>
            <w:tcW w:w="5900" w:type="dxa"/>
            <w:vAlign w:val="bottom"/>
            <w:shd w:val="clear" w:color="auto" w:fill="D5EAEA"/>
          </w:tcPr>
          <w:p>
            <w:pPr>
              <w:spacing w:after="0"/>
              <w:rPr>
                <w:sz w:val="20"/>
                <w:szCs w:val="20"/>
                <w:color w:val="auto"/>
              </w:rPr>
            </w:pPr>
            <w:r>
              <w:rPr>
                <w:rFonts w:ascii="Arial" w:cs="Arial" w:eastAsia="Arial" w:hAnsi="Arial"/>
                <w:sz w:val="18"/>
                <w:szCs w:val="18"/>
                <w:color w:val="auto"/>
              </w:rPr>
              <w:t>Proceeds, before expenses, to us</w:t>
            </w:r>
          </w:p>
        </w:tc>
        <w:tc>
          <w:tcPr>
            <w:tcW w:w="2900" w:type="dxa"/>
            <w:vAlign w:val="bottom"/>
            <w:gridSpan w:val="2"/>
            <w:shd w:val="clear" w:color="auto" w:fill="D5EAEA"/>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11.045</w:t>
            </w:r>
          </w:p>
        </w:tc>
        <w:tc>
          <w:tcPr>
            <w:tcW w:w="380" w:type="dxa"/>
            <w:vAlign w:val="bottom"/>
            <w:gridSpan w:val="2"/>
            <w:shd w:val="clear" w:color="auto" w:fill="D5EAEA"/>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81,636,964</w:t>
            </w:r>
          </w:p>
        </w:tc>
      </w:tr>
    </w:tbl>
    <w:p>
      <w:pPr>
        <w:spacing w:after="0" w:line="20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details regarding other items of underwriting compensation.</w:t>
      </w:r>
    </w:p>
    <w:p>
      <w:pPr>
        <w:spacing w:after="0" w:line="225" w:lineRule="exact"/>
        <w:rPr>
          <w:sz w:val="24"/>
          <w:szCs w:val="24"/>
          <w:color w:val="auto"/>
        </w:rPr>
      </w:pPr>
    </w:p>
    <w:p>
      <w:pPr>
        <w:ind w:right="20" w:firstLine="648"/>
        <w:spacing w:after="0" w:line="259" w:lineRule="auto"/>
        <w:rPr>
          <w:sz w:val="20"/>
          <w:szCs w:val="20"/>
          <w:color w:val="auto"/>
        </w:rPr>
      </w:pPr>
      <w:r>
        <w:rPr>
          <w:rFonts w:ascii="Arial" w:cs="Arial" w:eastAsia="Arial" w:hAnsi="Arial"/>
          <w:sz w:val="18"/>
          <w:szCs w:val="18"/>
          <w:color w:val="auto"/>
        </w:rPr>
        <w:t>Delivery of the common shares is expected to be made on or about July 23, 2018. We have granted the underwriters an option for a period of 30 days from the date of this prospectus supplement to purchase up to 1,108,695 additional shares from us at the Offering Price less underwriting discounts and commissions. If the underwriters exercise their option in full, the total underwriting discounts and commissions payable by us will be $5,992,500, and the total proceeds to us, before expenses, will be $93,882,500.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0" w:lineRule="exact"/>
        <w:rPr>
          <w:sz w:val="24"/>
          <w:szCs w:val="24"/>
          <w:color w:val="auto"/>
        </w:rPr>
      </w:pPr>
    </w:p>
    <w:p>
      <w:pPr>
        <w:ind w:left="1560"/>
        <w:spacing w:after="0"/>
        <w:tabs>
          <w:tab w:leader="none" w:pos="4960" w:val="left"/>
          <w:tab w:leader="none" w:pos="8500" w:val="left"/>
        </w:tabs>
        <w:rPr>
          <w:sz w:val="20"/>
          <w:szCs w:val="20"/>
          <w:color w:val="auto"/>
        </w:rPr>
      </w:pPr>
      <w:r>
        <w:rPr>
          <w:rFonts w:ascii="Arial" w:cs="Arial" w:eastAsia="Arial" w:hAnsi="Arial"/>
          <w:sz w:val="22"/>
          <w:szCs w:val="22"/>
          <w:b w:val="1"/>
          <w:bCs w:val="1"/>
          <w:color w:val="auto"/>
        </w:rPr>
        <w:t>Jefferies</w:t>
      </w:r>
      <w:r>
        <w:rPr>
          <w:sz w:val="20"/>
          <w:szCs w:val="20"/>
          <w:color w:val="auto"/>
        </w:rPr>
        <w:tab/>
      </w:r>
      <w:r>
        <w:rPr>
          <w:rFonts w:ascii="Arial" w:cs="Arial" w:eastAsia="Arial" w:hAnsi="Arial"/>
          <w:sz w:val="22"/>
          <w:szCs w:val="22"/>
          <w:b w:val="1"/>
          <w:bCs w:val="1"/>
          <w:color w:val="auto"/>
        </w:rPr>
        <w:t>Leerink Partners</w:t>
      </w:r>
      <w:r>
        <w:rPr>
          <w:sz w:val="20"/>
          <w:szCs w:val="20"/>
          <w:color w:val="auto"/>
        </w:rPr>
        <w:tab/>
      </w:r>
      <w:r>
        <w:rPr>
          <w:rFonts w:ascii="Arial" w:cs="Arial" w:eastAsia="Arial" w:hAnsi="Arial"/>
          <w:sz w:val="19"/>
          <w:szCs w:val="19"/>
          <w:b w:val="1"/>
          <w:bCs w:val="1"/>
          <w:color w:val="auto"/>
        </w:rPr>
        <w:t>UBS Investment Bank</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Lead Manager</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H.C. Wainwright &amp; Co.</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July 18,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75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7140" w:type="dxa"/>
            <w:vAlign w:val="bottom"/>
            <w:gridSpan w:val="2"/>
          </w:tcPr>
          <w:p>
            <w:pPr>
              <w:jc w:val="center"/>
              <w:ind w:right="417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auto"/>
            </w:tcBorders>
          </w:tcPr>
          <w:p>
            <w:pPr>
              <w:spacing w:after="0"/>
              <w:rPr>
                <w:sz w:val="23"/>
                <w:szCs w:val="23"/>
                <w:color w:val="auto"/>
              </w:rPr>
            </w:pPr>
          </w:p>
        </w:tc>
        <w:tc>
          <w:tcPr>
            <w:tcW w:w="6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93"/>
        </w:trPr>
        <w:tc>
          <w:tcPr>
            <w:tcW w:w="4280" w:type="dxa"/>
            <w:vAlign w:val="bottom"/>
          </w:tcPr>
          <w:p>
            <w:pPr>
              <w:spacing w:after="0"/>
              <w:rPr>
                <w:sz w:val="24"/>
                <w:szCs w:val="24"/>
                <w:color w:val="auto"/>
              </w:rPr>
            </w:pPr>
          </w:p>
        </w:tc>
        <w:tc>
          <w:tcPr>
            <w:tcW w:w="6340" w:type="dxa"/>
            <w:vAlign w:val="bottom"/>
            <w:vMerge w:val="restart"/>
          </w:tcPr>
          <w:p>
            <w:pPr>
              <w:jc w:val="center"/>
              <w:ind w:right="3390"/>
              <w:spacing w:after="0"/>
              <w:rPr>
                <w:sz w:val="20"/>
                <w:szCs w:val="20"/>
                <w:color w:val="auto"/>
              </w:rPr>
            </w:pPr>
            <w:r>
              <w:rPr>
                <w:rFonts w:ascii="Arial" w:cs="Arial" w:eastAsia="Arial" w:hAnsi="Arial"/>
                <w:sz w:val="18"/>
                <w:szCs w:val="18"/>
                <w:b w:val="1"/>
                <w:bCs w:val="1"/>
                <w:color w:val="auto"/>
                <w:w w:val="97"/>
              </w:rPr>
              <w:t>PROSPECTUS SUPPLEMENT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4280" w:type="dxa"/>
            <w:vAlign w:val="bottom"/>
            <w:vMerge w:val="restart"/>
          </w:tcPr>
          <w:p>
            <w:pPr>
              <w:spacing w:after="0"/>
              <w:rPr>
                <w:sz w:val="20"/>
                <w:szCs w:val="20"/>
                <w:color w:val="auto"/>
              </w:rPr>
            </w:pPr>
            <w:r>
              <w:rPr>
                <w:rFonts w:ascii="Arial" w:cs="Arial" w:eastAsia="Arial" w:hAnsi="Arial"/>
                <w:sz w:val="18"/>
                <w:szCs w:val="18"/>
                <w:color w:val="auto"/>
              </w:rPr>
              <w:t>Presentation of Financial Information</w:t>
            </w:r>
          </w:p>
        </w:tc>
        <w:tc>
          <w:tcPr>
            <w:tcW w:w="6340" w:type="dxa"/>
            <w:vAlign w:val="bottom"/>
            <w:vMerge w:val="continue"/>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418"/>
        </w:trPr>
        <w:tc>
          <w:tcPr>
            <w:tcW w:w="4280" w:type="dxa"/>
            <w:vAlign w:val="bottom"/>
            <w:vMerge w:val="continue"/>
          </w:tcPr>
          <w:p>
            <w:pPr>
              <w:spacing w:after="0"/>
              <w:rPr>
                <w:sz w:val="24"/>
                <w:szCs w:val="24"/>
                <w:color w:val="auto"/>
              </w:rPr>
            </w:pPr>
          </w:p>
        </w:tc>
        <w:tc>
          <w:tcPr>
            <w:tcW w:w="634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Trademarks</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About This Prospectus Supplement</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9"/>
              </w:rPr>
              <w:t>Special Note Regarding Forward-Looking Statements</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The Offering</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Risk Factors</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Use of Proceeds</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Dividend Policy</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Capitalization</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Dilution</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S-23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Subscription Rights Offerings</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S-24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Price Range of Common Shares</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S-27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Tax Considerations</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S-28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Underwriting</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S-35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Legal Matters</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S-44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Experts</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S-44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S-44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Incorporation By Reference</w:t>
            </w:r>
          </w:p>
        </w:tc>
        <w:tc>
          <w:tcPr>
            <w:tcW w:w="6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S-44</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Statutory Financial Statements</w:t>
            </w:r>
          </w:p>
        </w:tc>
        <w:tc>
          <w:tcPr>
            <w:tcW w:w="6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4"/>
                <w:szCs w:val="24"/>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95"/>
              </w:rPr>
              <w:t>PROSPECTUS</w:t>
            </w:r>
          </w:p>
        </w:tc>
        <w:tc>
          <w:tcPr>
            <w:tcW w:w="0" w:type="dxa"/>
            <w:vAlign w:val="bottom"/>
          </w:tcPr>
          <w:p>
            <w:pPr>
              <w:spacing w:after="0"/>
              <w:rPr>
                <w:sz w:val="1"/>
                <w:szCs w:val="1"/>
                <w:color w:val="auto"/>
              </w:rPr>
            </w:pP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rPr>
              <w:t>About This Prospectus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9"/>
              </w:rPr>
              <w:t>Special Note Regarding Forward-Looking Statements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AC Immune SA</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Risk Factors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Use of Proceeds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w w:val="96"/>
              </w:rPr>
              <w:t>Description of Share Capital and Articles of Association</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Comparison of Swiss Law and Delaware Law</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Description of Purchase Contracts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Description of Units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Description of Subscription Rights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Plan of Distribution</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Enforcement of Judgments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Expenses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Legal Matters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Experts</w:t>
            </w:r>
          </w:p>
        </w:tc>
        <w:tc>
          <w:tcPr>
            <w:tcW w:w="71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right="100" w:firstLine="415"/>
        <w:spacing w:after="0" w:line="287" w:lineRule="auto"/>
        <w:rPr>
          <w:sz w:val="20"/>
          <w:szCs w:val="20"/>
          <w:color w:val="auto"/>
        </w:rPr>
      </w:pPr>
      <w:r>
        <w:rPr>
          <w:rFonts w:ascii="Arial" w:cs="Arial" w:eastAsia="Arial" w:hAnsi="Arial"/>
          <w:sz w:val="16"/>
          <w:szCs w:val="16"/>
          <w:color w:val="auto"/>
        </w:rPr>
        <w:t>Our financial statements incorporated by reference herein are presented in Swiss Francs and in accordance with International Financial Reporting Standards, or IFRS, as issued by the International Accounting Standards Board, or IASB. None of the financial statements included in this prospectus supplement or incorporated by reference herein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0.9738 to CHF 1.00, the official exchange rate quoted as of December 29, 2017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prospectus. Accordingly, any numerical discrepancies in any table between totals and sums of the amounts listed are due to rounding. Our statutory (non-IFRS) financial statements for the year ending December 31, 2017, are included in this prospectus supplement for information purposes only. Unless explicitly mentioned otherwise herein, all references to our financial statements in this prospectus supplement are references to our IFRS financial statements exclusively.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firstLine="415"/>
        <w:spacing w:after="0" w:line="273" w:lineRule="auto"/>
        <w:rPr>
          <w:sz w:val="20"/>
          <w:szCs w:val="20"/>
          <w:color w:val="auto"/>
        </w:rPr>
      </w:pPr>
      <w:r>
        <w:rPr>
          <w:rFonts w:ascii="Arial" w:cs="Arial" w:eastAsia="Arial" w:hAnsi="Arial"/>
          <w:sz w:val="17"/>
          <w:szCs w:val="17"/>
          <w:color w:val="auto"/>
        </w:rPr>
        <w:t>The Company owns various trademark registrations and applications, and unregistered trademarks, including Morphomer™, SupraAntigen™ and its corporate logo. All other trademarks, trade names and service marks of other companies appearing in this prospectus supplement are the property of their respective owners. Solely for convenience, the trademarks and trade names in this prospectus supplement may be referred to without the © and ™ symbols, but such references should not be construed as any indicator that their respective owners will not assert, to the fullest extent under applicable law, their rights thereto. The Company does not intend to use or display other companies’ trademarks and trade names to imply a relationship with, or endorsement or sponsorship of the Company by, any other companies.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100" w:firstLine="415"/>
        <w:spacing w:after="0" w:line="264"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SEC using a “shelf” registration process. The accompanying prospectus describes more general information, some of which may not apply to this offering.</w:t>
      </w:r>
    </w:p>
    <w:p>
      <w:pPr>
        <w:spacing w:after="0" w:line="181"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Before buying any of our securities that we are offering, we urge you to carefully read both this prospectus supplement and the accompanying prospectus together with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87" w:lineRule="exact"/>
        <w:rPr>
          <w:sz w:val="20"/>
          <w:szCs w:val="20"/>
          <w:color w:val="auto"/>
        </w:rPr>
      </w:pPr>
    </w:p>
    <w:p>
      <w:pPr>
        <w:ind w:right="80" w:firstLine="416"/>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88" w:lineRule="exact"/>
        <w:rPr>
          <w:sz w:val="20"/>
          <w:szCs w:val="20"/>
          <w:color w:val="auto"/>
        </w:rPr>
      </w:pPr>
    </w:p>
    <w:p>
      <w:pPr>
        <w:ind w:firstLine="416"/>
        <w:spacing w:after="0" w:line="312"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and any related free writing prospectus filed by us with the SEC. We have not, and the underwriters have not, authorized anyone to provide you with different information. If anyone provides you with different or inconsistent information, you should not rely on it. This prospectus supplement does not constitute an offer to sell or the solicitation of an offer</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 w:name="page4"/>
    <w:bookmarkEnd w:id="3"/>
    <w:p>
      <w:pPr>
        <w:spacing w:after="0" w:line="259" w:lineRule="auto"/>
        <w:rPr>
          <w:sz w:val="20"/>
          <w:szCs w:val="20"/>
          <w:color w:val="auto"/>
        </w:rPr>
      </w:pPr>
      <w:r>
        <w:rPr>
          <w:rFonts w:ascii="Arial" w:cs="Arial" w:eastAsia="Arial" w:hAnsi="Arial"/>
          <w:sz w:val="18"/>
          <w:szCs w:val="18"/>
          <w:color w:val="auto"/>
        </w:rPr>
        <w:t>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87" w:lineRule="exact"/>
        <w:rPr>
          <w:sz w:val="20"/>
          <w:szCs w:val="20"/>
          <w:color w:val="auto"/>
        </w:rPr>
      </w:pPr>
    </w:p>
    <w:p>
      <w:pPr>
        <w:ind w:right="20" w:firstLine="416"/>
        <w:spacing w:after="0" w:line="277"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by Reference” in this prospectus supplement.</w:t>
      </w:r>
    </w:p>
    <w:p>
      <w:pPr>
        <w:spacing w:after="0" w:line="170" w:lineRule="exact"/>
        <w:rPr>
          <w:sz w:val="20"/>
          <w:szCs w:val="20"/>
          <w:color w:val="auto"/>
        </w:rPr>
      </w:pPr>
    </w:p>
    <w:p>
      <w:pPr>
        <w:ind w:right="200" w:firstLine="41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supplement to “AC Immune” or the “Company,” “we,” “our,” “ours,” “us” or similar terms refer to AC Immune SA, a Swiss stock corporation.</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380" w:firstLine="415"/>
        <w:spacing w:after="0" w:line="291" w:lineRule="auto"/>
        <w:rPr>
          <w:sz w:val="20"/>
          <w:szCs w:val="20"/>
          <w:color w:val="auto"/>
        </w:rPr>
      </w:pPr>
      <w:r>
        <w:rPr>
          <w:rFonts w:ascii="Arial" w:cs="Arial" w:eastAsia="Arial" w:hAnsi="Arial"/>
          <w:sz w:val="16"/>
          <w:szCs w:val="16"/>
          <w:color w:val="auto"/>
        </w:rPr>
        <w:t>This prospectus supplement contains statements that constitute forward-looking statements. All statements other than statements of historical facts contained in this prospectus supplement,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within the meaning of Section 27A of the Securities Act of 1933, as amended, or the Securities Act, and Section 21E of the Exchange Act of 1934, as amended, or the Exchange Act. Many of the forward-looking statements contained in this prospectus supplement can be identified by the use of forward-looking words such as “anticipate,” “believe,” “could,” “expect,” “should,” “plan,” “intend,” “estimate,” “will” and “potential,” among others.</w:t>
      </w:r>
    </w:p>
    <w:p>
      <w:pPr>
        <w:spacing w:after="0" w:line="167" w:lineRule="exact"/>
        <w:rPr>
          <w:sz w:val="20"/>
          <w:szCs w:val="20"/>
          <w:color w:val="auto"/>
        </w:rPr>
      </w:pPr>
    </w:p>
    <w:p>
      <w:pPr>
        <w:ind w:right="140" w:firstLine="41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supplement. These risks and uncertainties include factors relating to:</w:t>
      </w:r>
    </w:p>
    <w:p>
      <w:pPr>
        <w:spacing w:after="0" w:line="188" w:lineRule="exact"/>
        <w:rPr>
          <w:sz w:val="20"/>
          <w:szCs w:val="20"/>
          <w:color w:val="auto"/>
        </w:rPr>
      </w:pPr>
    </w:p>
    <w:p>
      <w:pPr>
        <w:ind w:left="1060" w:right="80" w:hanging="323"/>
        <w:spacing w:after="0" w:line="342"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success of our and our collaboration partners’ clinical studies, and our and their ability to obtain regulatory approval and to commercialize crenezumab, our anti-Tau antibody candidate, ACI-24, ACI-35, and our Tau-PET tracer as well as alpha-synuclein-PET tracer candidate;</w:t>
      </w:r>
    </w:p>
    <w:p>
      <w:pPr>
        <w:spacing w:after="0" w:line="123" w:lineRule="exact"/>
        <w:rPr>
          <w:rFonts w:ascii="Arial" w:cs="Arial" w:eastAsia="Arial" w:hAnsi="Arial"/>
          <w:sz w:val="16"/>
          <w:szCs w:val="16"/>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Morphomer proprietary technology platform and its success in building additional product candidates for our pipeline;</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1060" w:right="380" w:hanging="323"/>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Food and Drug Administration’s and applicable foreign regulatory authorities’ acceptance of data from studies we conduct outside the United States in the future;</w:t>
      </w:r>
    </w:p>
    <w:p>
      <w:pPr>
        <w:spacing w:after="0" w:line="17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1060" w:right="840" w:hanging="323"/>
        <w:spacing w:after="0" w:line="277"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7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ind w:firstLine="416"/>
        <w:spacing w:after="0" w:line="271" w:lineRule="auto"/>
        <w:rPr>
          <w:sz w:val="20"/>
          <w:szCs w:val="20"/>
          <w:color w:val="auto"/>
        </w:rPr>
      </w:pPr>
      <w:r>
        <w:rPr>
          <w:rFonts w:ascii="Arial" w:cs="Arial" w:eastAsia="Arial" w:hAnsi="Arial"/>
          <w:sz w:val="17"/>
          <w:szCs w:val="17"/>
          <w:color w:val="auto"/>
        </w:rPr>
        <w:t>These forward-looking statements speak only as of the date of this prospectus supplement and are subject to a number of risks, uncertainties and assumptions described under the section in this prospectus supplement entitled “Risk Factors” and elsewhere in this prospectus supplement.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515620</wp:posOffset>
            </wp:positionV>
            <wp:extent cx="7250430" cy="6624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6624955"/>
                    </a:xfrm>
                    <a:prstGeom prst="rect">
                      <a:avLst/>
                    </a:prstGeom>
                    <a:noFill/>
                  </pic:spPr>
                </pic:pic>
              </a:graphicData>
            </a:graphic>
          </wp:anchor>
        </w:drawing>
        <w:t>PROSPECTUS SUPPLEMENT SUMMARY</w:t>
      </w:r>
    </w:p>
    <w:p>
      <w:pPr>
        <w:spacing w:after="0" w:line="229" w:lineRule="exact"/>
        <w:rPr>
          <w:sz w:val="20"/>
          <w:szCs w:val="20"/>
          <w:color w:val="auto"/>
        </w:rPr>
      </w:pPr>
    </w:p>
    <w:p>
      <w:pPr>
        <w:ind w:left="20" w:right="100" w:firstLine="401"/>
        <w:spacing w:after="0" w:line="276"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supplement and the accompanying prospectus and in the documents we incorporate by reference. This summary does not contain all of the information you should consider before making an investment decision. You should read this entire prospectus supplement carefully, especially the risks of investing in our common shares discussed under “Risk Factors” beginning on page S-10 of this prospectus supplement, along with our consolidated financial statements and notes to those consolidated financial statements and the other information incorporated by reference in this prospectus supplement.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 clinical stage biopharmaceutical company focused on neurodegenerative diseases with five product candidates in clinical trials. We leverage our two proprietary technology platforms to discover, design and develop novel, proprietary small molecules, antibodies and vaccines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40" w:top="1107" w:right="379" w:bottom="1440" w:gutter="0" w:footer="0" w:header="0"/>
        </w:sectPr>
      </w:pPr>
    </w:p>
    <w:bookmarkStart w:id="7" w:name="page8"/>
    <w:bookmarkEnd w:id="7"/>
    <w:p>
      <w:pPr>
        <w:ind w:right="200" w:firstLine="32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515620</wp:posOffset>
            </wp:positionV>
            <wp:extent cx="7250430" cy="656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564630"/>
                    </a:xfrm>
                    <a:prstGeom prst="rect">
                      <a:avLst/>
                    </a:prstGeom>
                    <a:noFill/>
                  </pic:spPr>
                </pic:pic>
              </a:graphicData>
            </a:graphic>
          </wp:anchor>
        </w:drawing>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 There remains a significant unmet medical need for reliable and accurate diagnostics to enable early diagnosis and disease-modifying treatments that slow the progress of neurodegenerative diseases.</w:t>
      </w:r>
    </w:p>
    <w:p>
      <w:pPr>
        <w:spacing w:after="0" w:line="18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Prof.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Our goal is to become a global leader in precision medicine for the treatment of neurodegenerative diseases. To that aim we are executing a clear business strategy around three pillars: (i) Alzheimer’s disease, (ii) other significant neurodegenerative diseases and neuro-orphan indications, and (iii) diagnostics.</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first pillar is Alzheimer’s disease, where we are developing best-in-class late stage assets, preventive or therapeutic vaccines in partnership or as fully owned assets and where we are working to establish a pipeline of disease modifying small molecules.</w:t>
      </w:r>
    </w:p>
    <w:p>
      <w:pPr>
        <w:spacing w:after="0" w:line="170"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second pillar is other non-AD neurodegenerative diseases and neuro-orphan indications, where we aim to discover therapeutic treatments for Parkinson’s disease and leverage our AD therapeutics in Down syndrome, progressive supranuclear palsy (PSP) and other neuro-orphan diseases.</w:t>
      </w:r>
    </w:p>
    <w:p>
      <w:pPr>
        <w:spacing w:after="0" w:line="12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third pillar is represented by diagnostics, where we accelerate the diagnostic pipeline to late stage development and use the diagnostics to improve clinical trials and to establish external partnerships.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elements of our strategy continue to include:</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i w:val="1"/>
          <w:iCs w:val="1"/>
          <w:color w:val="auto"/>
        </w:rPr>
        <w:t>Advancing our product candidates, in partnership or alone, from clinical development to regulatory approval and potential commercialization. Our product candidates include:</w:t>
      </w:r>
    </w:p>
    <w:p>
      <w:pPr>
        <w:spacing w:after="0" w:line="166" w:lineRule="exact"/>
        <w:rPr>
          <w:sz w:val="20"/>
          <w:szCs w:val="20"/>
          <w:color w:val="auto"/>
        </w:rPr>
      </w:pPr>
    </w:p>
    <w:p>
      <w:pPr>
        <w:ind w:left="640" w:right="20" w:hanging="318"/>
        <w:spacing w:after="0" w:line="347"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Crenezumab</w:t>
      </w:r>
      <w:r>
        <w:rPr>
          <w:rFonts w:ascii="Arial" w:cs="Arial" w:eastAsia="Arial" w:hAnsi="Arial"/>
          <w:sz w:val="16"/>
          <w:szCs w:val="16"/>
          <w:color w:val="auto"/>
        </w:rPr>
        <w:t>. Our collaboration partner, Genentech, will advance crenezumab through Phase 3 clinical studies and seek regulatory approval.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crenezumab’s efficacy, coupled with its safety profile, has the potential to become a best-in-class disease-modifying treatment for AD.</w:t>
      </w:r>
    </w:p>
    <w:p>
      <w:pPr>
        <w:spacing w:after="0" w:line="116" w:lineRule="exact"/>
        <w:rPr>
          <w:rFonts w:ascii="Arial" w:cs="Arial" w:eastAsia="Arial" w:hAnsi="Arial"/>
          <w:sz w:val="16"/>
          <w:szCs w:val="16"/>
          <w:color w:val="auto"/>
        </w:rPr>
      </w:pPr>
    </w:p>
    <w:p>
      <w:pPr>
        <w:ind w:left="640" w:right="40" w:hanging="318"/>
        <w:spacing w:after="0" w:line="274"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ACI-24</w:t>
      </w:r>
      <w:r>
        <w:rPr>
          <w:rFonts w:ascii="Arial" w:cs="Arial" w:eastAsia="Arial" w:hAnsi="Arial"/>
          <w:sz w:val="17"/>
          <w:szCs w:val="17"/>
          <w:color w:val="auto"/>
        </w:rPr>
        <w:t>. We will continue to advance ACI-24 through a Phase 2 clinical study in people with AD. In the first quarter of 2018, we reported the</w:t>
      </w:r>
      <w:r>
        <w:rPr>
          <w:rFonts w:ascii="Arial" w:cs="Arial" w:eastAsia="Arial" w:hAnsi="Arial"/>
          <w:sz w:val="17"/>
          <w:szCs w:val="17"/>
          <w:b w:val="1"/>
          <w:bCs w:val="1"/>
          <w:color w:val="auto"/>
        </w:rPr>
        <w:t xml:space="preserve"> </w:t>
      </w:r>
      <w:r>
        <w:rPr>
          <w:rFonts w:ascii="Arial" w:cs="Arial" w:eastAsia="Arial" w:hAnsi="Arial"/>
          <w:sz w:val="17"/>
          <w:szCs w:val="17"/>
          <w:color w:val="auto"/>
        </w:rPr>
        <w:t>safety data from our ongoing Phase 1/2a clinical study to evaluate the safety, tolerability, immunogenicity and biomarker endpoints in people with mild to moderate AD. Our Phase 1b clinical study of ACI-24 in people with Down syndrome is intended to assess safety and started in December 2015. We expect to present interim data from our Phase 1b clinical study in 2018. We have received the necessary approvals to begin our Phase 2 clinical study in patients with mild Alzheimer’s disease and expect to start screening our first patient in the third quarter of 2018. We own the global rights to ACI-24 and we intend to continue to develop ACI-24 in-house as a therapeutic candidate.</w:t>
      </w:r>
    </w:p>
    <w:p>
      <w:pPr>
        <w:spacing w:after="0" w:line="173" w:lineRule="exact"/>
        <w:rPr>
          <w:rFonts w:ascii="Arial" w:cs="Arial" w:eastAsia="Arial" w:hAnsi="Arial"/>
          <w:sz w:val="17"/>
          <w:szCs w:val="17"/>
          <w:color w:val="auto"/>
        </w:rPr>
      </w:pPr>
    </w:p>
    <w:p>
      <w:pPr>
        <w:ind w:left="640" w:right="480" w:hanging="318"/>
        <w:spacing w:after="0" w:line="313"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ACI-35</w:t>
      </w:r>
      <w:r>
        <w:rPr>
          <w:rFonts w:ascii="Arial" w:cs="Arial" w:eastAsia="Arial" w:hAnsi="Arial"/>
          <w:sz w:val="17"/>
          <w:szCs w:val="17"/>
          <w:color w:val="auto"/>
        </w:rPr>
        <w:t>. The Phase 1b clinical study delivered encouraging interim results. We and Janssen Pharmaceuticals will move the anti-Tau vaccine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forward through the next phase of development; this is supported by scientific advice from regulatory authorities.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1111" w:right="339" w:bottom="1440" w:gutter="0" w:footer="0" w:header="0"/>
        </w:sectPr>
      </w:pPr>
    </w:p>
    <w:bookmarkStart w:id="8" w:name="page9"/>
    <w:bookmarkEnd w:id="8"/>
    <w:p>
      <w:pPr>
        <w:ind w:left="640" w:right="60" w:hanging="318"/>
        <w:spacing w:after="0" w:line="282"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515620</wp:posOffset>
            </wp:positionV>
            <wp:extent cx="7250430" cy="6015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t>Our Anti-Tau antibody candidate</w:t>
      </w:r>
      <w:r>
        <w:rPr>
          <w:rFonts w:ascii="Arial" w:cs="Arial" w:eastAsia="Arial" w:hAnsi="Arial"/>
          <w:sz w:val="18"/>
          <w:szCs w:val="18"/>
          <w:color w:val="auto"/>
        </w:rPr>
        <w:t>. Our collaboration partner, Genentech, is advancing an anti-Tau antibody candidate through a Phase 2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study, which started in the fourth quarter of 2017.</w:t>
      </w:r>
    </w:p>
    <w:p>
      <w:pPr>
        <w:spacing w:after="0" w:line="161" w:lineRule="exact"/>
        <w:rPr>
          <w:rFonts w:ascii="Arial" w:cs="Arial" w:eastAsia="Arial" w:hAnsi="Arial"/>
          <w:sz w:val="18"/>
          <w:szCs w:val="18"/>
          <w:color w:val="auto"/>
        </w:rPr>
      </w:pPr>
    </w:p>
    <w:p>
      <w:pPr>
        <w:ind w:left="640" w:right="580" w:hanging="318"/>
        <w:spacing w:after="0" w:line="26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Diagnostic candidates</w:t>
      </w:r>
      <w:r>
        <w:rPr>
          <w:rFonts w:ascii="Arial" w:cs="Arial" w:eastAsia="Arial" w:hAnsi="Arial"/>
          <w:sz w:val="18"/>
          <w:szCs w:val="18"/>
          <w:color w:val="auto"/>
        </w:rPr>
        <w:t>. In addition to the above product candidates, we will continue to develop our complementary diagnostic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for Tau, alpha-synuclein and TDP-43 to advance these through clinical development, either independently or with collaboration partners.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Expanding into other neurodegenerative and neuro-orphan diseases</w:t>
      </w:r>
    </w:p>
    <w:p>
      <w:pPr>
        <w:spacing w:after="0" w:line="225"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We will continue to leverage our proprietary technology platforms to develop product candidates that share the same disease targets like misfolded Abeta, Tau, alpha-synuclein and TDP-43 proteins, which are the key features of many neurodegenerative diseases. We pursue selected neuro-orphan indications, such as progressive supranuclear palsy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Accelerating the advancement of our diagnostic portfolio</w:t>
      </w:r>
    </w:p>
    <w:p>
      <w:pPr>
        <w:spacing w:after="0" w:line="225"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are also developing a complementary diagnostics portfolio. We currently have three diagnostics candidates in our pipeline that we developed using our Morphomer platform that targets Tau (enabling study expected in 2018), alpha-synuclein (enabling study expected in the first half of 2018 and lead selection expected in 2018) and TDP-43 (lead selection expected in 2018). Our Tau-PET imaging agent is currently undergoing Phase 1 studies and we are working with our partner, Piramal Imaging, to advance this product candidate through the clinical development process. We expect to undertake a longitudinal study of our Tau-PET imaging agent in 2018. We are also developing PET imaging diagnostics for diseases resulting from the misfolding of alpha-synuclein and TDP-43 proteins. We expect to start the Phase 1 clinical trial for our alpha-synuclein-PET tracer in the second half of 2018.</w:t>
      </w:r>
    </w:p>
    <w:p>
      <w:pPr>
        <w:spacing w:after="0" w:line="16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are leveraging the duality of our therapeutic and diagnostic approaches to seek to become the leader in precision treatment of neurodegenerative diseases. The goal of precision medicine is to deliver optimally targeted and timed interventions tailored to an individual's molecular drivers of disease.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Strategically collaborating or selectively partnering for the development and commercialization of product candidates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Historically, we have 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340" w:top="110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515620</wp:posOffset>
            </wp:positionV>
            <wp:extent cx="7250430" cy="656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564630"/>
                    </a:xfrm>
                    <a:prstGeom prst="rect">
                      <a:avLst/>
                    </a:prstGeom>
                    <a:noFill/>
                  </pic:spPr>
                </pic:pic>
              </a:graphicData>
            </a:graphic>
          </wp:anchor>
        </w:drawing>
        <w:t>Corporate Information</w:t>
      </w:r>
    </w:p>
    <w:p>
      <w:pPr>
        <w:spacing w:after="0" w:line="229" w:lineRule="exact"/>
        <w:rPr>
          <w:sz w:val="20"/>
          <w:szCs w:val="20"/>
          <w:color w:val="auto"/>
        </w:rPr>
      </w:pPr>
    </w:p>
    <w:p>
      <w:pPr>
        <w:ind w:right="180" w:firstLine="396"/>
        <w:spacing w:after="0" w:line="264" w:lineRule="auto"/>
        <w:rPr>
          <w:sz w:val="20"/>
          <w:szCs w:val="20"/>
          <w:color w:val="auto"/>
        </w:rPr>
      </w:pPr>
      <w:r>
        <w:rPr>
          <w:rFonts w:ascii="Arial" w:cs="Arial" w:eastAsia="Arial" w:hAnsi="Arial"/>
          <w:sz w:val="18"/>
          <w:szCs w:val="18"/>
          <w:color w:val="auto"/>
        </w:rPr>
        <w:t>Our registered and principal executive offices are located at EPFL Innovation Park, Building B, 1015 Lausanne, Switzerland, our general telephone number is +41 21 345 91 21 and our internet address is www.acimmune.com. The information contained on our website is not a part of this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right="140" w:firstLine="396"/>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 an exemption from the auditor attestation requirement in the assessment of our internal control over financial reporting pursuant to the Section 404 of the Sarbanes-Oxley Act of 2002.</w:t>
      </w:r>
    </w:p>
    <w:p>
      <w:pPr>
        <w:spacing w:after="0" w:line="187" w:lineRule="exact"/>
        <w:rPr>
          <w:sz w:val="20"/>
          <w:szCs w:val="20"/>
          <w:color w:val="auto"/>
        </w:rPr>
      </w:pPr>
    </w:p>
    <w:p>
      <w:pPr>
        <w:ind w:right="60" w:firstLine="396"/>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$1.07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our initial public offering (2016). We may choose to take advantage of some but not all of these reduced burdens. For example, Section 107 of the JOBS Act provides that an emerging growth company can use the extended transition period provided in Section 7(a)(2)(B) of the Securities Act for complying with new or revised accounting standards. However, given that we currently report and expect to continue to report under IFRS, we have irrevocably elected not to avail ourselves of this extended transition period and, as a result, we will adopt new or revised accounting standards on the relevant dates on which adoption of such standards is required by the IASB.</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229" w:lineRule="exact"/>
        <w:rPr>
          <w:sz w:val="20"/>
          <w:szCs w:val="20"/>
          <w:color w:val="auto"/>
        </w:rPr>
      </w:pPr>
    </w:p>
    <w:p>
      <w:pPr>
        <w:ind w:right="100" w:firstLine="396"/>
        <w:spacing w:after="0" w:line="312" w:lineRule="auto"/>
        <w:rPr>
          <w:sz w:val="20"/>
          <w:szCs w:val="20"/>
          <w:color w:val="auto"/>
        </w:rPr>
      </w:pPr>
      <w:r>
        <w:rPr>
          <w:rFonts w:ascii="Arial" w:cs="Arial" w:eastAsia="Arial" w:hAnsi="Arial"/>
          <w:sz w:val="16"/>
          <w:szCs w:val="16"/>
          <w:color w:val="auto"/>
        </w:rPr>
        <w:t>We are also considered a “foreign private issuer.” Accordingly, we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47" w:lineRule="exact"/>
        <w:rPr>
          <w:sz w:val="20"/>
          <w:szCs w:val="20"/>
          <w:color w:val="auto"/>
        </w:rPr>
      </w:pPr>
    </w:p>
    <w:p>
      <w:pPr>
        <w:ind w:left="620" w:right="440" w:hanging="318"/>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620" w:right="280" w:hanging="318"/>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70" w:lineRule="exact"/>
        <w:rPr>
          <w:rFonts w:ascii="Arial" w:cs="Arial" w:eastAsia="Arial" w:hAnsi="Arial"/>
          <w:sz w:val="18"/>
          <w:szCs w:val="18"/>
          <w:color w:val="auto"/>
        </w:rPr>
      </w:pPr>
    </w:p>
    <w:p>
      <w:pPr>
        <w:ind w:left="620" w:right="200" w:hanging="318"/>
        <w:spacing w:after="0" w:line="264"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ind w:firstLine="401"/>
        <w:spacing w:after="0" w:line="342" w:lineRule="auto"/>
        <w:rPr>
          <w:sz w:val="20"/>
          <w:szCs w:val="20"/>
          <w:color w:val="auto"/>
        </w:rPr>
      </w:pPr>
      <w:r>
        <w:rPr>
          <w:rFonts w:ascii="Arial" w:cs="Arial" w:eastAsia="Arial" w:hAnsi="Arial"/>
          <w:sz w:val="16"/>
          <w:szCs w:val="16"/>
          <w:color w:val="auto"/>
        </w:rPr>
        <w:t>Although as a foreign private issuer we will not be required to file periodic reports and financial statements with the SEC as frequently or as promptly as U.S. companies whose securities are registered under the Exchange Act, we report our results of operations voluntarily on a quarterly basis.</w:t>
      </w:r>
    </w:p>
    <w:p>
      <w:pPr>
        <w:spacing w:after="0" w:line="124" w:lineRule="exact"/>
        <w:rPr>
          <w:sz w:val="20"/>
          <w:szCs w:val="20"/>
          <w:color w:val="auto"/>
        </w:rPr>
      </w:pPr>
    </w:p>
    <w:p>
      <w:pPr>
        <w:ind w:firstLine="396"/>
        <w:spacing w:after="0" w:line="264" w:lineRule="auto"/>
        <w:rPr>
          <w:sz w:val="20"/>
          <w:szCs w:val="20"/>
          <w:color w:val="auto"/>
        </w:rPr>
      </w:pPr>
      <w:r>
        <w:rPr>
          <w:rFonts w:ascii="Arial" w:cs="Arial" w:eastAsia="Arial" w:hAnsi="Arial"/>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23495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1107"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515620</wp:posOffset>
            </wp:positionV>
            <wp:extent cx="7250430" cy="1213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1213485"/>
                    </a:xfrm>
                    <a:prstGeom prst="rect">
                      <a:avLst/>
                    </a:prstGeom>
                    <a:noFill/>
                  </pic:spPr>
                </pic:pic>
              </a:graphicData>
            </a:graphic>
          </wp:anchor>
        </w:drawing>
        <w:t>directors are U.S. citizens or residents, (ii) more than 50% of our assets are located in the United States or (iii) our business is administered principally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340" w:top="895" w:right="5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515620</wp:posOffset>
            </wp:positionV>
            <wp:extent cx="7250430" cy="6153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153150"/>
                    </a:xfrm>
                    <a:prstGeom prst="rect">
                      <a:avLst/>
                    </a:prstGeom>
                    <a:noFill/>
                  </pic:spPr>
                </pic:pic>
              </a:graphicData>
            </a:graphic>
          </wp:anchor>
        </w:drawing>
        <w:t>THE OFFERING</w:t>
      </w:r>
    </w:p>
    <w:p>
      <w:pPr>
        <w:spacing w:after="0" w:line="229" w:lineRule="exact"/>
        <w:rPr>
          <w:sz w:val="20"/>
          <w:szCs w:val="20"/>
          <w:color w:val="auto"/>
        </w:rPr>
      </w:pPr>
    </w:p>
    <w:p>
      <w:pPr>
        <w:ind w:left="120" w:right="140" w:firstLine="396"/>
        <w:spacing w:after="0" w:line="259"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supplement. This summary is not complete and does not contain all the information you should consider before investing in our securities. You should carefully read this entire prospectus supplement before investing in our securities including “Risk Factors” and our financial statements included in this prospectus supplement or incorporated by reference herein.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ind w:left="140"/>
              <w:spacing w:after="0"/>
              <w:rPr>
                <w:sz w:val="20"/>
                <w:szCs w:val="20"/>
                <w:color w:val="auto"/>
              </w:rPr>
            </w:pPr>
            <w:r>
              <w:rPr>
                <w:rFonts w:ascii="Arial" w:cs="Arial" w:eastAsia="Arial" w:hAnsi="Arial"/>
                <w:sz w:val="18"/>
                <w:szCs w:val="18"/>
                <w:b w:val="1"/>
                <w:bCs w:val="1"/>
                <w:color w:val="auto"/>
              </w:rPr>
              <w:t>Common shares offered by us</w:t>
            </w:r>
          </w:p>
        </w:tc>
        <w:tc>
          <w:tcPr>
            <w:tcW w:w="7520" w:type="dxa"/>
            <w:vAlign w:val="bottom"/>
          </w:tcPr>
          <w:p>
            <w:pPr>
              <w:ind w:left="920"/>
              <w:spacing w:after="0"/>
              <w:rPr>
                <w:sz w:val="20"/>
                <w:szCs w:val="20"/>
                <w:color w:val="auto"/>
              </w:rPr>
            </w:pPr>
            <w:r>
              <w:rPr>
                <w:rFonts w:ascii="Arial" w:cs="Arial" w:eastAsia="Arial" w:hAnsi="Arial"/>
                <w:sz w:val="18"/>
                <w:szCs w:val="18"/>
                <w:color w:val="auto"/>
                <w:w w:val="99"/>
              </w:rPr>
              <w:t>At the extraordinary shareholders’ meeting held on April 27, 2018, our shareholders</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1"/>
              </w:rPr>
              <w:t>approved an ordinary capital increase of up to 8,500,000 common shares, and an ordinary</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7"/>
              </w:rPr>
              <w:t>capital increase of up to 1,500,000 common shares. The Public Offering and the First</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4"/>
              </w:rPr>
              <w:t>Rights Offering described below are carried out based on the approved capital increase</w:t>
            </w:r>
          </w:p>
        </w:tc>
      </w:tr>
      <w:tr>
        <w:trPr>
          <w:trHeight w:val="230"/>
        </w:trPr>
        <w:tc>
          <w:tcPr>
            <w:tcW w:w="3900" w:type="dxa"/>
            <w:vAlign w:val="bottom"/>
          </w:tcPr>
          <w:p>
            <w:pPr>
              <w:spacing w:after="0"/>
              <w:rPr>
                <w:sz w:val="20"/>
                <w:szCs w:val="20"/>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rPr>
              <w:t>with respect to up to 8,500,000 common shares.</w:t>
            </w:r>
          </w:p>
        </w:tc>
      </w:tr>
      <w:tr>
        <w:trPr>
          <w:trHeight w:val="418"/>
        </w:trPr>
        <w:tc>
          <w:tcPr>
            <w:tcW w:w="3900" w:type="dxa"/>
            <w:vAlign w:val="bottom"/>
          </w:tcPr>
          <w:p>
            <w:pPr>
              <w:spacing w:after="0"/>
              <w:rPr>
                <w:sz w:val="24"/>
                <w:szCs w:val="24"/>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4"/>
              </w:rPr>
              <w:t>The Public Offering consists of the sale by us of 7,391,305 of our newly issued common</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6"/>
              </w:rPr>
              <w:t>shares (the “Firm Shares”). Concurrently with the Public Offering, we commenced the</w:t>
            </w:r>
          </w:p>
        </w:tc>
      </w:tr>
      <w:tr>
        <w:trPr>
          <w:trHeight w:val="230"/>
        </w:trPr>
        <w:tc>
          <w:tcPr>
            <w:tcW w:w="3900" w:type="dxa"/>
            <w:vAlign w:val="bottom"/>
          </w:tcPr>
          <w:p>
            <w:pPr>
              <w:spacing w:after="0"/>
              <w:rPr>
                <w:sz w:val="20"/>
                <w:szCs w:val="20"/>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rPr>
              <w:t>First Rights Offering described below.</w:t>
            </w:r>
          </w:p>
        </w:tc>
      </w:tr>
      <w:tr>
        <w:trPr>
          <w:trHeight w:val="418"/>
        </w:trPr>
        <w:tc>
          <w:tcPr>
            <w:tcW w:w="3900" w:type="dxa"/>
            <w:vAlign w:val="bottom"/>
          </w:tcPr>
          <w:p>
            <w:pPr>
              <w:ind w:left="140"/>
              <w:spacing w:after="0"/>
              <w:rPr>
                <w:sz w:val="20"/>
                <w:szCs w:val="20"/>
                <w:color w:val="auto"/>
              </w:rPr>
            </w:pPr>
            <w:r>
              <w:rPr>
                <w:rFonts w:ascii="Arial" w:cs="Arial" w:eastAsia="Arial" w:hAnsi="Arial"/>
                <w:sz w:val="18"/>
                <w:szCs w:val="18"/>
                <w:b w:val="1"/>
                <w:bCs w:val="1"/>
                <w:color w:val="auto"/>
              </w:rPr>
              <w:t>Option to purchase additional shares</w:t>
            </w:r>
          </w:p>
        </w:tc>
        <w:tc>
          <w:tcPr>
            <w:tcW w:w="7520" w:type="dxa"/>
            <w:vAlign w:val="bottom"/>
          </w:tcPr>
          <w:p>
            <w:pPr>
              <w:ind w:left="920"/>
              <w:spacing w:after="0"/>
              <w:rPr>
                <w:sz w:val="20"/>
                <w:szCs w:val="20"/>
                <w:color w:val="auto"/>
              </w:rPr>
            </w:pPr>
            <w:r>
              <w:rPr>
                <w:rFonts w:ascii="Arial" w:cs="Arial" w:eastAsia="Arial" w:hAnsi="Arial"/>
                <w:sz w:val="18"/>
                <w:szCs w:val="18"/>
                <w:color w:val="auto"/>
                <w:w w:val="93"/>
              </w:rPr>
              <w:t>We have granted to the underwriters an option, which is exercisable within 30 days from</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3"/>
              </w:rPr>
              <w:t>the date of this prospectus supplement, to purchase up to an additional 1,108,695 of our</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5"/>
              </w:rPr>
              <w:t>newly issued common shares (the “Option Shares” and, together with the Firm Shares,</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2"/>
              </w:rPr>
              <w:t>the “Offered Shares”) at the Offering Price, less underwriting discounts and commissions.</w:t>
            </w:r>
          </w:p>
        </w:tc>
      </w:tr>
      <w:tr>
        <w:trPr>
          <w:trHeight w:val="230"/>
        </w:trPr>
        <w:tc>
          <w:tcPr>
            <w:tcW w:w="3900" w:type="dxa"/>
            <w:vAlign w:val="bottom"/>
          </w:tcPr>
          <w:p>
            <w:pPr>
              <w:spacing w:after="0"/>
              <w:rPr>
                <w:sz w:val="20"/>
                <w:szCs w:val="20"/>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rPr>
              <w:t>See “Underwriting” for more information.</w:t>
            </w:r>
          </w:p>
        </w:tc>
      </w:tr>
      <w:tr>
        <w:trPr>
          <w:trHeight w:val="418"/>
        </w:trPr>
        <w:tc>
          <w:tcPr>
            <w:tcW w:w="3900" w:type="dxa"/>
            <w:vAlign w:val="bottom"/>
          </w:tcPr>
          <w:p>
            <w:pPr>
              <w:ind w:left="140"/>
              <w:spacing w:after="0"/>
              <w:rPr>
                <w:sz w:val="20"/>
                <w:szCs w:val="20"/>
                <w:color w:val="auto"/>
              </w:rPr>
            </w:pPr>
            <w:r>
              <w:rPr>
                <w:rFonts w:ascii="Arial" w:cs="Arial" w:eastAsia="Arial" w:hAnsi="Arial"/>
                <w:sz w:val="18"/>
                <w:szCs w:val="18"/>
                <w:b w:val="1"/>
                <w:bCs w:val="1"/>
                <w:color w:val="auto"/>
              </w:rPr>
              <w:t>Offered Shares</w:t>
            </w:r>
          </w:p>
        </w:tc>
        <w:tc>
          <w:tcPr>
            <w:tcW w:w="7520" w:type="dxa"/>
            <w:vAlign w:val="bottom"/>
          </w:tcPr>
          <w:p>
            <w:pPr>
              <w:ind w:left="920"/>
              <w:spacing w:after="0"/>
              <w:rPr>
                <w:sz w:val="20"/>
                <w:szCs w:val="20"/>
                <w:color w:val="auto"/>
              </w:rPr>
            </w:pPr>
            <w:r>
              <w:rPr>
                <w:rFonts w:ascii="Arial" w:cs="Arial" w:eastAsia="Arial" w:hAnsi="Arial"/>
                <w:sz w:val="18"/>
                <w:szCs w:val="18"/>
                <w:color w:val="auto"/>
              </w:rPr>
              <w:t>The Offered Shares will have a nominal value of CHF 0.02 each. We will issue the</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8"/>
              </w:rPr>
              <w:t>Offered Shares in an ordinary share capital increase against cash contributions. The</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5"/>
              </w:rPr>
              <w:t xml:space="preserve">Offered Shares will be fully fungible and rank </w:t>
            </w:r>
            <w:r>
              <w:rPr>
                <w:rFonts w:ascii="Arial" w:cs="Arial" w:eastAsia="Arial" w:hAnsi="Arial"/>
                <w:sz w:val="18"/>
                <w:szCs w:val="18"/>
                <w:i w:val="1"/>
                <w:iCs w:val="1"/>
                <w:color w:val="auto"/>
                <w:w w:val="95"/>
              </w:rPr>
              <w:t>pari passu</w:t>
            </w:r>
            <w:r>
              <w:rPr>
                <w:rFonts w:ascii="Arial" w:cs="Arial" w:eastAsia="Arial" w:hAnsi="Arial"/>
                <w:sz w:val="18"/>
                <w:szCs w:val="18"/>
                <w:color w:val="auto"/>
                <w:w w:val="95"/>
              </w:rPr>
              <w:t xml:space="preserve"> in all respects with each other</w:t>
            </w:r>
          </w:p>
        </w:tc>
      </w:tr>
      <w:tr>
        <w:trPr>
          <w:trHeight w:val="230"/>
        </w:trPr>
        <w:tc>
          <w:tcPr>
            <w:tcW w:w="3900" w:type="dxa"/>
            <w:vAlign w:val="bottom"/>
          </w:tcPr>
          <w:p>
            <w:pPr>
              <w:spacing w:after="0"/>
              <w:rPr>
                <w:sz w:val="20"/>
                <w:szCs w:val="20"/>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rPr>
              <w:t>and with all of our existing shares.</w:t>
            </w:r>
          </w:p>
        </w:tc>
      </w:tr>
      <w:tr>
        <w:trPr>
          <w:trHeight w:val="418"/>
        </w:trPr>
        <w:tc>
          <w:tcPr>
            <w:tcW w:w="3900" w:type="dxa"/>
            <w:vAlign w:val="bottom"/>
          </w:tcPr>
          <w:p>
            <w:pPr>
              <w:spacing w:after="0"/>
              <w:rPr>
                <w:sz w:val="24"/>
                <w:szCs w:val="24"/>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5"/>
              </w:rPr>
              <w:t>The Offered Shares will be issued as uncertificated securities (</w:t>
            </w:r>
            <w:r>
              <w:rPr>
                <w:rFonts w:ascii="Arial" w:cs="Arial" w:eastAsia="Arial" w:hAnsi="Arial"/>
                <w:sz w:val="18"/>
                <w:szCs w:val="18"/>
                <w:i w:val="1"/>
                <w:iCs w:val="1"/>
                <w:color w:val="auto"/>
                <w:w w:val="95"/>
              </w:rPr>
              <w:t>droits-valeurs</w:t>
            </w:r>
            <w:r>
              <w:rPr>
                <w:rFonts w:ascii="Arial" w:cs="Arial" w:eastAsia="Arial" w:hAnsi="Arial"/>
                <w:sz w:val="18"/>
                <w:szCs w:val="18"/>
                <w:color w:val="auto"/>
                <w:w w:val="95"/>
              </w:rPr>
              <w:t>, within the</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4"/>
              </w:rPr>
              <w:t>meaning of Article 973c of the Swiss Code of Obligations) and, when administered by a</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rPr>
              <w:t>financial intermediary (</w:t>
            </w:r>
            <w:r>
              <w:rPr>
                <w:rFonts w:ascii="Arial" w:cs="Arial" w:eastAsia="Arial" w:hAnsi="Arial"/>
                <w:sz w:val="18"/>
                <w:szCs w:val="18"/>
                <w:i w:val="1"/>
                <w:iCs w:val="1"/>
                <w:color w:val="auto"/>
              </w:rPr>
              <w:t>dépositaire</w:t>
            </w:r>
            <w:r>
              <w:rPr>
                <w:rFonts w:ascii="Arial" w:cs="Arial" w:eastAsia="Arial" w:hAnsi="Arial"/>
                <w:sz w:val="18"/>
                <w:szCs w:val="18"/>
                <w:color w:val="auto"/>
              </w:rPr>
              <w:t>, within the meaning of the Federal Act on</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4"/>
              </w:rPr>
              <w:t>Intermediated Securities, “FISA”), qualify as intermediated securities (</w:t>
            </w:r>
            <w:r>
              <w:rPr>
                <w:rFonts w:ascii="Arial" w:cs="Arial" w:eastAsia="Arial" w:hAnsi="Arial"/>
                <w:sz w:val="18"/>
                <w:szCs w:val="18"/>
                <w:i w:val="1"/>
                <w:iCs w:val="1"/>
                <w:color w:val="auto"/>
                <w:w w:val="94"/>
              </w:rPr>
              <w:t>titres intermédiés</w:t>
            </w:r>
            <w:r>
              <w:rPr>
                <w:rFonts w:ascii="Arial" w:cs="Arial" w:eastAsia="Arial" w:hAnsi="Arial"/>
                <w:sz w:val="18"/>
                <w:szCs w:val="18"/>
                <w:color w:val="auto"/>
                <w:w w:val="94"/>
              </w:rPr>
              <w:t>,</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3"/>
              </w:rPr>
              <w:t>within the meaning of the FISA). The Offered Shares will be registered in the Company’s</w:t>
            </w:r>
          </w:p>
        </w:tc>
      </w:tr>
      <w:tr>
        <w:trPr>
          <w:trHeight w:val="230"/>
        </w:trPr>
        <w:tc>
          <w:tcPr>
            <w:tcW w:w="3900" w:type="dxa"/>
            <w:vAlign w:val="bottom"/>
          </w:tcPr>
          <w:p>
            <w:pPr>
              <w:spacing w:after="0"/>
              <w:rPr>
                <w:sz w:val="20"/>
                <w:szCs w:val="20"/>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rPr>
              <w:t>non-public register of uncertificated securities (</w:t>
            </w:r>
            <w:r>
              <w:rPr>
                <w:rFonts w:ascii="Arial" w:cs="Arial" w:eastAsia="Arial" w:hAnsi="Arial"/>
                <w:sz w:val="18"/>
                <w:szCs w:val="18"/>
                <w:i w:val="1"/>
                <w:iCs w:val="1"/>
                <w:color w:val="auto"/>
              </w:rPr>
              <w:t>registre des droits-valeurs</w:t>
            </w:r>
            <w:r>
              <w:rPr>
                <w:rFonts w:ascii="Arial" w:cs="Arial" w:eastAsia="Arial" w:hAnsi="Arial"/>
                <w:sz w:val="18"/>
                <w:szCs w:val="18"/>
                <w:color w:val="auto"/>
              </w:rPr>
              <w:t>).</w:t>
            </w:r>
          </w:p>
        </w:tc>
      </w:tr>
      <w:tr>
        <w:trPr>
          <w:trHeight w:val="418"/>
        </w:trPr>
        <w:tc>
          <w:tcPr>
            <w:tcW w:w="3900" w:type="dxa"/>
            <w:vAlign w:val="bottom"/>
          </w:tcPr>
          <w:p>
            <w:pPr>
              <w:ind w:left="140"/>
              <w:spacing w:after="0"/>
              <w:rPr>
                <w:sz w:val="20"/>
                <w:szCs w:val="20"/>
                <w:color w:val="auto"/>
              </w:rPr>
            </w:pPr>
            <w:r>
              <w:rPr>
                <w:rFonts w:ascii="Arial" w:cs="Arial" w:eastAsia="Arial" w:hAnsi="Arial"/>
                <w:sz w:val="18"/>
                <w:szCs w:val="18"/>
                <w:b w:val="1"/>
                <w:bCs w:val="1"/>
                <w:color w:val="auto"/>
              </w:rPr>
              <w:t>First Rights Offering</w:t>
            </w:r>
          </w:p>
        </w:tc>
        <w:tc>
          <w:tcPr>
            <w:tcW w:w="7520" w:type="dxa"/>
            <w:vAlign w:val="bottom"/>
          </w:tcPr>
          <w:p>
            <w:pPr>
              <w:ind w:left="920"/>
              <w:spacing w:after="0"/>
              <w:rPr>
                <w:sz w:val="20"/>
                <w:szCs w:val="20"/>
                <w:color w:val="auto"/>
              </w:rPr>
            </w:pPr>
            <w:r>
              <w:rPr>
                <w:rFonts w:ascii="Arial" w:cs="Arial" w:eastAsia="Arial" w:hAnsi="Arial"/>
                <w:sz w:val="18"/>
                <w:szCs w:val="18"/>
                <w:color w:val="auto"/>
              </w:rPr>
              <w:t>Under Swiss law and pursuant to the resolution by the extraordinary shareholders’</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6"/>
              </w:rPr>
              <w:t>meeting held on April 27, 2018, our existing shareholders are entitled to statutory pre-</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6"/>
              </w:rPr>
              <w:t>emptive subscription rights to subscribe for any new issuance of common shares and,</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7"/>
              </w:rPr>
              <w:t>thus, the Offered Shares, in proportion to their existing shareholdings. As a result, we</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4"/>
              </w:rPr>
              <w:t>commenced a pre-emptive subscription rights offering to our Record Shareholders, who</w:t>
            </w:r>
          </w:p>
        </w:tc>
      </w:tr>
      <w:tr>
        <w:trPr>
          <w:trHeight w:val="216"/>
        </w:trPr>
        <w:tc>
          <w:tcPr>
            <w:tcW w:w="3900" w:type="dxa"/>
            <w:vAlign w:val="bottom"/>
          </w:tcPr>
          <w:p>
            <w:pPr>
              <w:spacing w:after="0"/>
              <w:rPr>
                <w:sz w:val="18"/>
                <w:szCs w:val="18"/>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w w:val="92"/>
              </w:rPr>
              <w:t xml:space="preserve">had the opportunity to subscribe for up to 8,500,000 Offered Shares on a </w:t>
            </w:r>
            <w:r>
              <w:rPr>
                <w:rFonts w:ascii="Arial" w:cs="Arial" w:eastAsia="Arial" w:hAnsi="Arial"/>
                <w:sz w:val="18"/>
                <w:szCs w:val="18"/>
                <w:i w:val="1"/>
                <w:iCs w:val="1"/>
                <w:color w:val="auto"/>
                <w:w w:val="92"/>
              </w:rPr>
              <w:t>pro rata</w:t>
            </w:r>
            <w:r>
              <w:rPr>
                <w:rFonts w:ascii="Arial" w:cs="Arial" w:eastAsia="Arial" w:hAnsi="Arial"/>
                <w:sz w:val="18"/>
                <w:szCs w:val="18"/>
                <w:color w:val="auto"/>
                <w:w w:val="92"/>
              </w:rPr>
              <w:t xml:space="preserve"> basis at</w:t>
            </w:r>
          </w:p>
        </w:tc>
      </w:tr>
      <w:tr>
        <w:trPr>
          <w:trHeight w:val="230"/>
        </w:trPr>
        <w:tc>
          <w:tcPr>
            <w:tcW w:w="3900" w:type="dxa"/>
            <w:vAlign w:val="bottom"/>
          </w:tcPr>
          <w:p>
            <w:pPr>
              <w:spacing w:after="0"/>
              <w:rPr>
                <w:sz w:val="20"/>
                <w:szCs w:val="20"/>
                <w:color w:val="auto"/>
              </w:rPr>
            </w:pPr>
          </w:p>
        </w:tc>
        <w:tc>
          <w:tcPr>
            <w:tcW w:w="7520" w:type="dxa"/>
            <w:vAlign w:val="bottom"/>
          </w:tcPr>
          <w:p>
            <w:pPr>
              <w:ind w:left="920"/>
              <w:spacing w:after="0"/>
              <w:rPr>
                <w:sz w:val="20"/>
                <w:szCs w:val="20"/>
                <w:color w:val="auto"/>
              </w:rPr>
            </w:pPr>
            <w:r>
              <w:rPr>
                <w:rFonts w:ascii="Arial" w:cs="Arial" w:eastAsia="Arial" w:hAnsi="Arial"/>
                <w:sz w:val="18"/>
                <w:szCs w:val="18"/>
                <w:color w:val="auto"/>
              </w:rPr>
              <w:t>the Offering</w:t>
            </w:r>
          </w:p>
        </w:tc>
      </w:tr>
      <w:tr>
        <w:trPr>
          <w:trHeight w:val="280"/>
        </w:trPr>
        <w:tc>
          <w:tcPr>
            <w:tcW w:w="390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r>
      <w:tr>
        <w:trPr>
          <w:trHeight w:val="544"/>
        </w:trPr>
        <w:tc>
          <w:tcPr>
            <w:tcW w:w="390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420"/>
          </w:cols>
          <w:pgMar w:left="240" w:top="1107" w:right="2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spacing w:after="0" w:line="282" w:lineRule="auto"/>
        <w:rPr>
          <w:sz w:val="20"/>
          <w:szCs w:val="20"/>
          <w:color w:val="auto"/>
        </w:rPr>
      </w:pPr>
      <w:r>
        <w:rPr>
          <w:rFonts w:ascii="Arial" w:cs="Arial" w:eastAsia="Arial" w:hAnsi="Arial"/>
          <w:sz w:val="18"/>
          <w:szCs w:val="18"/>
          <w:b w:val="1"/>
          <w:bCs w:val="1"/>
          <w:color w:val="auto"/>
        </w:rPr>
        <w:t>Common shares to be outstanding immediately after this offering</w:t>
      </w:r>
    </w:p>
    <w:p>
      <w:pPr>
        <w:spacing w:after="0" w:line="162" w:lineRule="exact"/>
        <w:rPr>
          <w:sz w:val="20"/>
          <w:szCs w:val="20"/>
          <w:color w:val="auto"/>
        </w:rPr>
      </w:pPr>
    </w:p>
    <w:p>
      <w:pPr>
        <w:ind w:left="140" w:right="80"/>
        <w:spacing w:after="0" w:line="282" w:lineRule="auto"/>
        <w:rPr>
          <w:sz w:val="20"/>
          <w:szCs w:val="20"/>
          <w:color w:val="auto"/>
        </w:rPr>
      </w:pPr>
      <w:r>
        <w:rPr>
          <w:rFonts w:ascii="Arial" w:cs="Arial" w:eastAsia="Arial" w:hAnsi="Arial"/>
          <w:sz w:val="18"/>
          <w:szCs w:val="18"/>
          <w:b w:val="1"/>
          <w:bCs w:val="1"/>
          <w:color w:val="auto"/>
        </w:rPr>
        <w:t>Allocation of rights under the First Rights Offering and subscription ratio</w:t>
      </w:r>
    </w:p>
    <w:p>
      <w:pPr>
        <w:spacing w:after="0" w:line="20" w:lineRule="exact"/>
        <w:rPr>
          <w:sz w:val="20"/>
          <w:szCs w:val="20"/>
          <w:color w:val="auto"/>
        </w:rPr>
      </w:pPr>
      <w:r>
        <w:rPr>
          <w:sz w:val="20"/>
          <w:szCs w:val="20"/>
          <w:color w:val="auto"/>
        </w:rPr>
        <w:br w:type="column"/>
      </w:r>
    </w:p>
    <w:p>
      <w:pPr>
        <w:ind w:right="320"/>
        <w:spacing w:after="0" w:line="342" w:lineRule="auto"/>
        <w:rPr>
          <w:sz w:val="20"/>
          <w:szCs w:val="20"/>
          <w:color w:val="auto"/>
        </w:rPr>
      </w:pPr>
      <w:r>
        <w:rPr>
          <w:rFonts w:ascii="Arial" w:cs="Arial" w:eastAsia="Arial" w:hAnsi="Arial"/>
          <w:sz w:val="16"/>
          <w:szCs w:val="16"/>
          <w:color w:val="auto"/>
        </w:rPr>
        <w:t>Price. Offered Shares for which our Record Shareholders exercised their pre-emptive subscription rights, if any, have not been available for allocation in the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-522605</wp:posOffset>
            </wp:positionV>
            <wp:extent cx="7250430" cy="6290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29031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“Subscription Rights Offerings” 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64,753,995 common shares.</w:t>
      </w:r>
    </w:p>
    <w:p>
      <w:pPr>
        <w:spacing w:after="0" w:line="200" w:lineRule="exact"/>
        <w:rPr>
          <w:sz w:val="20"/>
          <w:szCs w:val="20"/>
          <w:color w:val="auto"/>
        </w:rPr>
      </w:pPr>
    </w:p>
    <w:p>
      <w:pPr>
        <w:spacing w:after="0" w:line="24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Each Record Shareholder was entitled to one pre-emptive subscription right for each existing common share held by such Record Shareholder on the Record Date, and had the right to subscribe for one Offered Share for every 6.74 pre-emptive subscription rights held by such Record Shareholder in the First Rights Offering.</w:t>
      </w:r>
    </w:p>
    <w:p>
      <w:pPr>
        <w:spacing w:after="0" w:line="167" w:lineRule="exact"/>
        <w:rPr>
          <w:sz w:val="20"/>
          <w:szCs w:val="20"/>
          <w:color w:val="auto"/>
        </w:rPr>
      </w:pPr>
    </w:p>
    <w:p>
      <w:pPr>
        <w:sectPr>
          <w:pgSz w:w="11900" w:h="16838" w:orient="portrait"/>
          <w:cols w:equalWidth="0" w:num="2">
            <w:col w:w="4480" w:space="340"/>
            <w:col w:w="6600"/>
          </w:cols>
          <w:pgMar w:left="240" w:top="1111" w:right="239" w:bottom="1440" w:gutter="0" w:footer="0" w:header="0"/>
        </w:sectPr>
      </w:pPr>
    </w:p>
    <w:tbl>
      <w:tblPr>
        <w:tblLayout w:type="fixed"/>
        <w:tblInd w:w="0" w:type="dxa"/>
        <w:tblCellMar>
          <w:top w:w="0" w:type="dxa"/>
          <w:left w:w="0" w:type="dxa"/>
          <w:bottom w:w="0" w:type="dxa"/>
          <w:right w:w="0" w:type="dxa"/>
        </w:tblCellMar>
      </w:tblPr>
      <w:tr>
        <w:trPr>
          <w:trHeight w:val="220"/>
        </w:trPr>
        <w:tc>
          <w:tcPr>
            <w:tcW w:w="4600" w:type="dxa"/>
            <w:vAlign w:val="bottom"/>
          </w:tcPr>
          <w:p>
            <w:pPr>
              <w:ind w:left="140"/>
              <w:spacing w:after="0"/>
              <w:rPr>
                <w:sz w:val="20"/>
                <w:szCs w:val="20"/>
                <w:color w:val="auto"/>
              </w:rPr>
            </w:pPr>
            <w:r>
              <w:rPr>
                <w:rFonts w:ascii="Arial" w:cs="Arial" w:eastAsia="Arial" w:hAnsi="Arial"/>
                <w:sz w:val="18"/>
                <w:szCs w:val="18"/>
                <w:b w:val="1"/>
                <w:bCs w:val="1"/>
                <w:color w:val="auto"/>
              </w:rPr>
              <w:t>Subscription period for the First Rights Offering</w:t>
            </w:r>
          </w:p>
        </w:tc>
        <w:tc>
          <w:tcPr>
            <w:tcW w:w="6820" w:type="dxa"/>
            <w:vAlign w:val="bottom"/>
          </w:tcPr>
          <w:p>
            <w:pPr>
              <w:ind w:left="220"/>
              <w:spacing w:after="0"/>
              <w:rPr>
                <w:sz w:val="20"/>
                <w:szCs w:val="20"/>
                <w:color w:val="auto"/>
              </w:rPr>
            </w:pPr>
            <w:r>
              <w:rPr>
                <w:rFonts w:ascii="Arial" w:cs="Arial" w:eastAsia="Arial" w:hAnsi="Arial"/>
                <w:sz w:val="18"/>
                <w:szCs w:val="18"/>
                <w:color w:val="auto"/>
              </w:rPr>
              <w:t>The subscription period for Record Shareholders to exercise their pre-emptive</w:t>
            </w:r>
          </w:p>
        </w:tc>
      </w:tr>
      <w:tr>
        <w:trPr>
          <w:trHeight w:val="216"/>
        </w:trPr>
        <w:tc>
          <w:tcPr>
            <w:tcW w:w="460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3"/>
              </w:rPr>
              <w:t>subscription rights to acquire Offered Shares pursuant to the First Rights Offering began</w:t>
            </w:r>
          </w:p>
        </w:tc>
      </w:tr>
      <w:tr>
        <w:trPr>
          <w:trHeight w:val="216"/>
        </w:trPr>
        <w:tc>
          <w:tcPr>
            <w:tcW w:w="460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4"/>
              </w:rPr>
              <w:t>concurrently with the Public Offering at 4:00 p.m. (New York City time) on July 17, 2018</w:t>
            </w:r>
          </w:p>
        </w:tc>
      </w:tr>
      <w:tr>
        <w:trPr>
          <w:trHeight w:val="230"/>
        </w:trPr>
        <w:tc>
          <w:tcPr>
            <w:tcW w:w="4600" w:type="dxa"/>
            <w:vAlign w:val="bottom"/>
          </w:tcPr>
          <w:p>
            <w:pPr>
              <w:spacing w:after="0"/>
              <w:rPr>
                <w:sz w:val="20"/>
                <w:szCs w:val="20"/>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and expired at 4:00 p.m. (New York City time) on July 18, 2018.</w:t>
            </w:r>
          </w:p>
        </w:tc>
      </w:tr>
      <w:tr>
        <w:trPr>
          <w:trHeight w:val="418"/>
        </w:trPr>
        <w:tc>
          <w:tcPr>
            <w:tcW w:w="4600" w:type="dxa"/>
            <w:vAlign w:val="bottom"/>
          </w:tcPr>
          <w:p>
            <w:pPr>
              <w:spacing w:after="0"/>
              <w:rPr>
                <w:sz w:val="24"/>
                <w:szCs w:val="24"/>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7"/>
              </w:rPr>
              <w:t>Each exercise of pre-emptive subscription rights in the First Rights Offering, if any, is</w:t>
            </w:r>
          </w:p>
        </w:tc>
      </w:tr>
      <w:tr>
        <w:trPr>
          <w:trHeight w:val="216"/>
        </w:trPr>
        <w:tc>
          <w:tcPr>
            <w:tcW w:w="460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effective at the Offering Price, is irrevocable and may not be cancelled, modified,</w:t>
            </w:r>
          </w:p>
        </w:tc>
      </w:tr>
      <w:tr>
        <w:trPr>
          <w:trHeight w:val="230"/>
        </w:trPr>
        <w:tc>
          <w:tcPr>
            <w:tcW w:w="4600" w:type="dxa"/>
            <w:vAlign w:val="bottom"/>
          </w:tcPr>
          <w:p>
            <w:pPr>
              <w:spacing w:after="0"/>
              <w:rPr>
                <w:sz w:val="20"/>
                <w:szCs w:val="20"/>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rescinded or withdrawn.</w:t>
            </w:r>
          </w:p>
        </w:tc>
      </w:tr>
      <w:tr>
        <w:trPr>
          <w:trHeight w:val="418"/>
        </w:trPr>
        <w:tc>
          <w:tcPr>
            <w:tcW w:w="4600" w:type="dxa"/>
            <w:vAlign w:val="bottom"/>
          </w:tcPr>
          <w:p>
            <w:pPr>
              <w:ind w:left="140"/>
              <w:spacing w:after="0"/>
              <w:rPr>
                <w:sz w:val="20"/>
                <w:szCs w:val="20"/>
                <w:color w:val="auto"/>
              </w:rPr>
            </w:pPr>
            <w:r>
              <w:rPr>
                <w:rFonts w:ascii="Arial" w:cs="Arial" w:eastAsia="Arial" w:hAnsi="Arial"/>
                <w:sz w:val="18"/>
                <w:szCs w:val="18"/>
                <w:b w:val="1"/>
                <w:bCs w:val="1"/>
                <w:color w:val="auto"/>
                <w:w w:val="95"/>
              </w:rPr>
              <w:t>Determination of Offering Price and subscription price</w:t>
            </w:r>
          </w:p>
        </w:tc>
        <w:tc>
          <w:tcPr>
            <w:tcW w:w="6820" w:type="dxa"/>
            <w:vAlign w:val="bottom"/>
          </w:tcPr>
          <w:p>
            <w:pPr>
              <w:ind w:left="220"/>
              <w:spacing w:after="0"/>
              <w:rPr>
                <w:sz w:val="20"/>
                <w:szCs w:val="20"/>
                <w:color w:val="auto"/>
              </w:rPr>
            </w:pPr>
            <w:r>
              <w:rPr>
                <w:rFonts w:ascii="Arial" w:cs="Arial" w:eastAsia="Arial" w:hAnsi="Arial"/>
                <w:sz w:val="18"/>
                <w:szCs w:val="18"/>
                <w:color w:val="auto"/>
                <w:w w:val="94"/>
              </w:rPr>
              <w:t>The Offering Price was determined by us and the underwriters after the close of trading</w:t>
            </w:r>
          </w:p>
        </w:tc>
      </w:tr>
      <w:tr>
        <w:trPr>
          <w:trHeight w:val="216"/>
        </w:trPr>
        <w:tc>
          <w:tcPr>
            <w:tcW w:w="460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4"/>
              </w:rPr>
              <w:t>on The Nasdaq Global Market on July 18, 2018, on the basis of the number of common</w:t>
            </w:r>
          </w:p>
        </w:tc>
      </w:tr>
      <w:tr>
        <w:trPr>
          <w:trHeight w:val="216"/>
        </w:trPr>
        <w:tc>
          <w:tcPr>
            <w:tcW w:w="460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shares for which pre-emptive subscription rights were exercised in the First Rights</w:t>
            </w:r>
          </w:p>
        </w:tc>
      </w:tr>
      <w:tr>
        <w:trPr>
          <w:trHeight w:val="216"/>
        </w:trPr>
        <w:tc>
          <w:tcPr>
            <w:tcW w:w="460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3"/>
              </w:rPr>
              <w:t>Offering, if any, investor demand resulting from an accelerated book-building procedure,</w:t>
            </w:r>
          </w:p>
        </w:tc>
      </w:tr>
      <w:tr>
        <w:trPr>
          <w:trHeight w:val="216"/>
        </w:trPr>
        <w:tc>
          <w:tcPr>
            <w:tcW w:w="460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5"/>
              </w:rPr>
              <w:t>the price on The Nasdaq Global Market for our existing common shares and prevailing</w:t>
            </w:r>
          </w:p>
        </w:tc>
      </w:tr>
      <w:tr>
        <w:trPr>
          <w:trHeight w:val="216"/>
        </w:trPr>
        <w:tc>
          <w:tcPr>
            <w:tcW w:w="460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6"/>
              </w:rPr>
              <w:t>market conditions, as further described in the “Underwriting” section of this prospectus</w:t>
            </w:r>
          </w:p>
        </w:tc>
      </w:tr>
      <w:tr>
        <w:trPr>
          <w:trHeight w:val="230"/>
        </w:trPr>
        <w:tc>
          <w:tcPr>
            <w:tcW w:w="4600" w:type="dxa"/>
            <w:vAlign w:val="bottom"/>
          </w:tcPr>
          <w:p>
            <w:pPr>
              <w:spacing w:after="0"/>
              <w:rPr>
                <w:sz w:val="20"/>
                <w:szCs w:val="20"/>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supplement.</w:t>
            </w:r>
          </w:p>
        </w:tc>
      </w:tr>
      <w:tr>
        <w:trPr>
          <w:trHeight w:val="418"/>
        </w:trPr>
        <w:tc>
          <w:tcPr>
            <w:tcW w:w="4600" w:type="dxa"/>
            <w:vAlign w:val="bottom"/>
          </w:tcPr>
          <w:p>
            <w:pPr>
              <w:spacing w:after="0"/>
              <w:rPr>
                <w:sz w:val="24"/>
                <w:szCs w:val="24"/>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8"/>
              </w:rPr>
              <w:t>The subscription price per common share for the First Rights Offering is, and for the</w:t>
            </w:r>
          </w:p>
        </w:tc>
      </w:tr>
      <w:tr>
        <w:trPr>
          <w:trHeight w:val="230"/>
        </w:trPr>
        <w:tc>
          <w:tcPr>
            <w:tcW w:w="4600" w:type="dxa"/>
            <w:vAlign w:val="bottom"/>
          </w:tcPr>
          <w:p>
            <w:pPr>
              <w:spacing w:after="0"/>
              <w:rPr>
                <w:sz w:val="20"/>
                <w:szCs w:val="20"/>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Second Rights Offering will be, equal to the Offering Price.</w:t>
            </w:r>
          </w:p>
        </w:tc>
      </w:tr>
      <w:tr>
        <w:trPr>
          <w:trHeight w:val="418"/>
        </w:trPr>
        <w:tc>
          <w:tcPr>
            <w:tcW w:w="4600" w:type="dxa"/>
            <w:vAlign w:val="bottom"/>
          </w:tcPr>
          <w:p>
            <w:pPr>
              <w:ind w:left="140"/>
              <w:spacing w:after="0"/>
              <w:rPr>
                <w:sz w:val="20"/>
                <w:szCs w:val="20"/>
                <w:color w:val="auto"/>
              </w:rPr>
            </w:pPr>
            <w:r>
              <w:rPr>
                <w:rFonts w:ascii="Arial" w:cs="Arial" w:eastAsia="Arial" w:hAnsi="Arial"/>
                <w:sz w:val="18"/>
                <w:szCs w:val="18"/>
                <w:b w:val="1"/>
                <w:bCs w:val="1"/>
                <w:color w:val="auto"/>
              </w:rPr>
              <w:t>No fractional common shares</w:t>
            </w:r>
          </w:p>
        </w:tc>
        <w:tc>
          <w:tcPr>
            <w:tcW w:w="6820" w:type="dxa"/>
            <w:vAlign w:val="bottom"/>
          </w:tcPr>
          <w:p>
            <w:pPr>
              <w:ind w:left="220"/>
              <w:spacing w:after="0"/>
              <w:rPr>
                <w:sz w:val="20"/>
                <w:szCs w:val="20"/>
                <w:color w:val="auto"/>
              </w:rPr>
            </w:pPr>
            <w:r>
              <w:rPr>
                <w:rFonts w:ascii="Arial" w:cs="Arial" w:eastAsia="Arial" w:hAnsi="Arial"/>
                <w:sz w:val="18"/>
                <w:szCs w:val="18"/>
                <w:color w:val="auto"/>
              </w:rPr>
              <w:t>We accepted subscriptions for whole Offered Shares only and rounded down any</w:t>
            </w:r>
          </w:p>
        </w:tc>
      </w:tr>
      <w:tr>
        <w:trPr>
          <w:trHeight w:val="216"/>
        </w:trPr>
        <w:tc>
          <w:tcPr>
            <w:tcW w:w="460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9"/>
              </w:rPr>
              <w:t>subscription submitted for fractional Offered Shares to the nearest whole number of</w:t>
            </w:r>
          </w:p>
        </w:tc>
      </w:tr>
      <w:tr>
        <w:trPr>
          <w:trHeight w:val="230"/>
        </w:trPr>
        <w:tc>
          <w:tcPr>
            <w:tcW w:w="4600" w:type="dxa"/>
            <w:vAlign w:val="bottom"/>
          </w:tcPr>
          <w:p>
            <w:pPr>
              <w:spacing w:after="0"/>
              <w:rPr>
                <w:sz w:val="20"/>
                <w:szCs w:val="20"/>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Offered Shares.</w:t>
            </w:r>
          </w:p>
        </w:tc>
      </w:tr>
      <w:tr>
        <w:trPr>
          <w:trHeight w:val="418"/>
        </w:trPr>
        <w:tc>
          <w:tcPr>
            <w:tcW w:w="4600" w:type="dxa"/>
            <w:vAlign w:val="bottom"/>
          </w:tcPr>
          <w:p>
            <w:pPr>
              <w:ind w:left="140"/>
              <w:spacing w:after="0"/>
              <w:rPr>
                <w:sz w:val="20"/>
                <w:szCs w:val="20"/>
                <w:color w:val="auto"/>
              </w:rPr>
            </w:pPr>
            <w:r>
              <w:rPr>
                <w:rFonts w:ascii="Arial" w:cs="Arial" w:eastAsia="Arial" w:hAnsi="Arial"/>
                <w:sz w:val="18"/>
                <w:szCs w:val="18"/>
                <w:b w:val="1"/>
                <w:bCs w:val="1"/>
                <w:color w:val="auto"/>
              </w:rPr>
              <w:t>No rights trading</w:t>
            </w:r>
          </w:p>
        </w:tc>
        <w:tc>
          <w:tcPr>
            <w:tcW w:w="6820" w:type="dxa"/>
            <w:vAlign w:val="bottom"/>
          </w:tcPr>
          <w:p>
            <w:pPr>
              <w:ind w:left="220"/>
              <w:spacing w:after="0"/>
              <w:rPr>
                <w:sz w:val="20"/>
                <w:szCs w:val="20"/>
                <w:color w:val="auto"/>
              </w:rPr>
            </w:pPr>
            <w:r>
              <w:rPr>
                <w:rFonts w:ascii="Arial" w:cs="Arial" w:eastAsia="Arial" w:hAnsi="Arial"/>
                <w:sz w:val="18"/>
                <w:szCs w:val="18"/>
                <w:color w:val="auto"/>
                <w:w w:val="93"/>
              </w:rPr>
              <w:t>The pre-emptive subscription rights have neither been listed on any securities exchange</w:t>
            </w:r>
          </w:p>
        </w:tc>
      </w:tr>
      <w:tr>
        <w:trPr>
          <w:trHeight w:val="230"/>
        </w:trPr>
        <w:tc>
          <w:tcPr>
            <w:tcW w:w="4600" w:type="dxa"/>
            <w:vAlign w:val="bottom"/>
          </w:tcPr>
          <w:p>
            <w:pPr>
              <w:spacing w:after="0"/>
              <w:rPr>
                <w:sz w:val="20"/>
                <w:szCs w:val="20"/>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nor were tradeable.</w:t>
            </w:r>
          </w:p>
        </w:tc>
      </w:tr>
      <w:tr>
        <w:trPr>
          <w:trHeight w:val="418"/>
        </w:trPr>
        <w:tc>
          <w:tcPr>
            <w:tcW w:w="4600" w:type="dxa"/>
            <w:vAlign w:val="bottom"/>
          </w:tcPr>
          <w:p>
            <w:pPr>
              <w:ind w:left="140"/>
              <w:spacing w:after="0"/>
              <w:rPr>
                <w:sz w:val="20"/>
                <w:szCs w:val="20"/>
                <w:color w:val="auto"/>
              </w:rPr>
            </w:pPr>
            <w:r>
              <w:rPr>
                <w:rFonts w:ascii="Arial" w:cs="Arial" w:eastAsia="Arial" w:hAnsi="Arial"/>
                <w:sz w:val="18"/>
                <w:szCs w:val="18"/>
                <w:b w:val="1"/>
                <w:bCs w:val="1"/>
                <w:color w:val="auto"/>
              </w:rPr>
              <w:t>Use of unsubscribed common shares</w:t>
            </w:r>
          </w:p>
        </w:tc>
        <w:tc>
          <w:tcPr>
            <w:tcW w:w="6820" w:type="dxa"/>
            <w:vAlign w:val="bottom"/>
          </w:tcPr>
          <w:p>
            <w:pPr>
              <w:ind w:left="220"/>
              <w:spacing w:after="0"/>
              <w:rPr>
                <w:sz w:val="20"/>
                <w:szCs w:val="20"/>
                <w:color w:val="auto"/>
              </w:rPr>
            </w:pPr>
            <w:r>
              <w:rPr>
                <w:rFonts w:ascii="Arial" w:cs="Arial" w:eastAsia="Arial" w:hAnsi="Arial"/>
                <w:sz w:val="18"/>
                <w:szCs w:val="18"/>
                <w:color w:val="auto"/>
                <w:w w:val="95"/>
              </w:rPr>
              <w:t>After the expiration of the subscription period of the First Rights Offering, the Company</w:t>
            </w:r>
          </w:p>
        </w:tc>
      </w:tr>
      <w:tr>
        <w:trPr>
          <w:trHeight w:val="216"/>
        </w:trPr>
        <w:tc>
          <w:tcPr>
            <w:tcW w:w="4600" w:type="dxa"/>
            <w:vAlign w:val="bottom"/>
          </w:tcPr>
          <w:p>
            <w:pPr>
              <w:spacing w:after="0"/>
              <w:rPr>
                <w:sz w:val="18"/>
                <w:szCs w:val="18"/>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w w:val="93"/>
              </w:rPr>
              <w:t>will issue up to 8,500,000 common shares, including up to 1,108,695 common shares for</w:t>
            </w:r>
          </w:p>
        </w:tc>
      </w:tr>
      <w:tr>
        <w:trPr>
          <w:trHeight w:val="230"/>
        </w:trPr>
        <w:tc>
          <w:tcPr>
            <w:tcW w:w="4600" w:type="dxa"/>
            <w:vAlign w:val="bottom"/>
          </w:tcPr>
          <w:p>
            <w:pPr>
              <w:spacing w:after="0"/>
              <w:rPr>
                <w:sz w:val="20"/>
                <w:szCs w:val="20"/>
                <w:color w:val="auto"/>
              </w:rPr>
            </w:pPr>
          </w:p>
        </w:tc>
        <w:tc>
          <w:tcPr>
            <w:tcW w:w="6820" w:type="dxa"/>
            <w:vAlign w:val="bottom"/>
          </w:tcPr>
          <w:p>
            <w:pPr>
              <w:ind w:left="220"/>
              <w:spacing w:after="0"/>
              <w:rPr>
                <w:sz w:val="20"/>
                <w:szCs w:val="20"/>
                <w:color w:val="auto"/>
              </w:rPr>
            </w:pPr>
            <w:r>
              <w:rPr>
                <w:rFonts w:ascii="Arial" w:cs="Arial" w:eastAsia="Arial" w:hAnsi="Arial"/>
                <w:sz w:val="18"/>
                <w:szCs w:val="18"/>
                <w:color w:val="auto"/>
              </w:rPr>
              <w:t>which the</w:t>
            </w:r>
          </w:p>
        </w:tc>
      </w:tr>
      <w:tr>
        <w:trPr>
          <w:trHeight w:val="280"/>
        </w:trPr>
        <w:tc>
          <w:tcPr>
            <w:tcW w:w="46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r>
        <w:trPr>
          <w:trHeight w:val="544"/>
        </w:trPr>
        <w:tc>
          <w:tcPr>
            <w:tcW w:w="460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420"/>
          </w:cols>
          <w:pgMar w:left="240" w:top="1111" w:right="239" w:bottom="1440" w:gutter="0" w:footer="0" w:header="0"/>
          <w:type w:val="continuous"/>
        </w:sectPr>
      </w:pPr>
    </w:p>
    <w:bookmarkStart w:id="13" w:name="page14"/>
    <w:bookmarkEnd w:id="13"/>
    <w:p>
      <w:pPr>
        <w:ind w:left="4700"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515620</wp:posOffset>
            </wp:positionV>
            <wp:extent cx="7250430" cy="6427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427470"/>
                    </a:xfrm>
                    <a:prstGeom prst="rect">
                      <a:avLst/>
                    </a:prstGeom>
                    <a:noFill/>
                  </pic:spPr>
                </pic:pic>
              </a:graphicData>
            </a:graphic>
          </wp:anchor>
        </w:drawing>
        <w:t>underwriters have an option exercisable within 30 days of this prospectus supplement. Any pre-emptive subscription rights that were not validly exercised during the subscription period of the First Rights Offering expired and have become null and void without compensation. The Offered Shares for which Record Shareholders did not exercise their statutory pre-emptive subscription rights have been available for allocation to institutional investors in the Public Offering. If the underwriters do not exercise their option to purchase additional common shares allocated to institutional investors in the Public Offering, the corresponding number of common shares will be transferred back to the Company and will become our treasury shares.</w:t>
      </w:r>
    </w:p>
    <w:p>
      <w:pPr>
        <w:spacing w:after="0" w:line="163"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8"/>
          <w:szCs w:val="18"/>
          <w:b w:val="1"/>
          <w:bCs w:val="1"/>
          <w:color w:val="auto"/>
        </w:rPr>
        <w:t>Issuance and delivery of new common shares</w:t>
      </w:r>
      <w:r>
        <w:rPr>
          <w:sz w:val="20"/>
          <w:szCs w:val="20"/>
          <w:color w:val="auto"/>
        </w:rPr>
        <w:tab/>
      </w:r>
      <w:r>
        <w:rPr>
          <w:rFonts w:ascii="Arial" w:cs="Arial" w:eastAsia="Arial" w:hAnsi="Arial"/>
          <w:sz w:val="16"/>
          <w:szCs w:val="16"/>
          <w:color w:val="auto"/>
        </w:rPr>
        <w:t>After expiration of the subscription period, the Offered Shares which have been validly</w:t>
      </w:r>
    </w:p>
    <w:p>
      <w:pPr>
        <w:spacing w:after="0" w:line="27" w:lineRule="exact"/>
        <w:rPr>
          <w:sz w:val="20"/>
          <w:szCs w:val="20"/>
          <w:color w:val="auto"/>
        </w:rPr>
      </w:pPr>
    </w:p>
    <w:p>
      <w:pPr>
        <w:ind w:left="4700" w:right="40"/>
        <w:spacing w:after="0" w:line="253" w:lineRule="auto"/>
        <w:rPr>
          <w:sz w:val="20"/>
          <w:szCs w:val="20"/>
          <w:color w:val="auto"/>
        </w:rPr>
      </w:pPr>
      <w:r>
        <w:rPr>
          <w:rFonts w:ascii="Arial" w:cs="Arial" w:eastAsia="Arial" w:hAnsi="Arial"/>
          <w:sz w:val="18"/>
          <w:szCs w:val="18"/>
          <w:color w:val="auto"/>
        </w:rPr>
        <w:t>subscribed and paid for in accordance with the terms of the Public Offering or First Rights Offering will be, upon registration of the corresponding share capital increase into the Commercial Register of the Canton of Vaud, validly issued. The delivery of Offered Shares shall be carried out by Computershare Trust Company, N.A. acting as transfer agent and registrar for our common shares.</w:t>
      </w:r>
    </w:p>
    <w:p>
      <w:pPr>
        <w:spacing w:after="0" w:line="187"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estimate that the net proceeds to us from this offering will be approximately $80.9</w:t>
      </w:r>
    </w:p>
    <w:p>
      <w:pPr>
        <w:spacing w:after="0" w:line="27" w:lineRule="exact"/>
        <w:rPr>
          <w:sz w:val="20"/>
          <w:szCs w:val="20"/>
          <w:color w:val="auto"/>
        </w:rPr>
      </w:pPr>
    </w:p>
    <w:p>
      <w:pPr>
        <w:ind w:left="4700" w:right="80"/>
        <w:spacing w:after="0" w:line="252" w:lineRule="auto"/>
        <w:rPr>
          <w:sz w:val="20"/>
          <w:szCs w:val="20"/>
          <w:color w:val="auto"/>
        </w:rPr>
      </w:pPr>
      <w:r>
        <w:rPr>
          <w:rFonts w:ascii="Arial" w:cs="Arial" w:eastAsia="Arial" w:hAnsi="Arial"/>
          <w:sz w:val="18"/>
          <w:szCs w:val="18"/>
          <w:color w:val="auto"/>
        </w:rPr>
        <w:t>million, based on the Offering Price per share of $11.75, after deducting underwriting discounts and commissions and estimated offering expenses payable by us. We intend to use the net proceeds from this offering, together with our other cash resources, primarily to fund research and development expenses for our clinical and pre-clinical research and development activities and for working capital and general corporate purposes. See “Use of Proceeds.”</w:t>
      </w:r>
    </w:p>
    <w:p>
      <w:pPr>
        <w:sectPr>
          <w:pgSz w:w="11900" w:h="16838" w:orient="portrait"/>
          <w:cols w:equalWidth="0" w:num="1">
            <w:col w:w="11180"/>
          </w:cols>
          <w:pgMar w:left="360" w:top="1111" w:right="359" w:bottom="1440" w:gutter="0" w:footer="0" w:header="0"/>
        </w:sectPr>
      </w:pPr>
    </w:p>
    <w:p>
      <w:pPr>
        <w:spacing w:after="0" w:line="190" w:lineRule="exact"/>
        <w:rPr>
          <w:sz w:val="20"/>
          <w:szCs w:val="20"/>
          <w:color w:val="auto"/>
        </w:rPr>
      </w:pPr>
    </w:p>
    <w:p>
      <w:pPr>
        <w:ind w:left="20" w:right="1140"/>
        <w:spacing w:after="0" w:line="282" w:lineRule="auto"/>
        <w:rPr>
          <w:sz w:val="20"/>
          <w:szCs w:val="20"/>
          <w:color w:val="auto"/>
        </w:rPr>
      </w:pPr>
      <w:r>
        <w:rPr>
          <w:rFonts w:ascii="Arial" w:cs="Arial" w:eastAsia="Arial" w:hAnsi="Arial"/>
          <w:sz w:val="18"/>
          <w:szCs w:val="18"/>
          <w:b w:val="1"/>
          <w:bCs w:val="1"/>
          <w:color w:val="auto"/>
        </w:rPr>
        <w:t>Intention to commence second rights offering</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also intend to commence a second subscription rights offering for Record Shareholders who will have the opportunity to subscribe for up to 1,500,000 common shares at the Offering Price. The Second Rights Offering will begin at 3:00 a.m. (New York City time) on July 20, 2018 and expire at 4:00 p.m. (New York City time) on July 27, 2018. The Second Rights Offering will be made by means of a separate prospectus supplement.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“Subscription Rights Offerings.”</w:t>
      </w:r>
    </w:p>
    <w:p>
      <w:pPr>
        <w:spacing w:after="0" w:line="200" w:lineRule="exact"/>
        <w:rPr>
          <w:sz w:val="20"/>
          <w:szCs w:val="20"/>
          <w:color w:val="auto"/>
        </w:rPr>
      </w:pPr>
    </w:p>
    <w:p>
      <w:pPr>
        <w:sectPr>
          <w:pgSz w:w="11900" w:h="16838" w:orient="portrait"/>
          <w:cols w:equalWidth="0" w:num="2">
            <w:col w:w="3980" w:space="720"/>
            <w:col w:w="6480"/>
          </w:cols>
          <w:pgMar w:left="360" w:top="1111" w:right="359" w:bottom="1440" w:gutter="0" w:footer="0" w:header="0"/>
          <w:type w:val="continuous"/>
        </w:sectPr>
      </w:pPr>
    </w:p>
    <w:p>
      <w:pPr>
        <w:spacing w:after="0" w:line="237"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You should read the “Risk Factors” section of this prospectus supplement for a discussion</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of factors to consider carefully before deciding to purchase our securities.</w:t>
      </w:r>
    </w:p>
    <w:p>
      <w:pPr>
        <w:spacing w:after="0" w:line="207"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8"/>
          <w:szCs w:val="18"/>
          <w:b w:val="1"/>
          <w:bCs w:val="1"/>
          <w:color w:val="auto"/>
        </w:rPr>
        <w:t>Nasdaq Global Market Symbol</w:t>
      </w:r>
      <w:r>
        <w:rPr>
          <w:sz w:val="20"/>
          <w:szCs w:val="20"/>
          <w:color w:val="auto"/>
        </w:rPr>
        <w:tab/>
      </w:r>
      <w:r>
        <w:rPr>
          <w:rFonts w:ascii="Arial" w:cs="Arial" w:eastAsia="Arial" w:hAnsi="Arial"/>
          <w:sz w:val="18"/>
          <w:szCs w:val="18"/>
          <w:color w:val="auto"/>
        </w:rPr>
        <w:t>“ACIU”</w:t>
      </w:r>
    </w:p>
    <w:p>
      <w:pPr>
        <w:spacing w:after="0" w:line="229" w:lineRule="exact"/>
        <w:rPr>
          <w:sz w:val="20"/>
          <w:szCs w:val="20"/>
          <w:color w:val="auto"/>
        </w:rPr>
      </w:pPr>
    </w:p>
    <w:p>
      <w:pPr>
        <w:ind w:right="240" w:firstLine="396"/>
        <w:spacing w:after="0" w:line="259" w:lineRule="auto"/>
        <w:rPr>
          <w:sz w:val="20"/>
          <w:szCs w:val="20"/>
          <w:color w:val="auto"/>
        </w:rPr>
      </w:pPr>
      <w:r>
        <w:rPr>
          <w:rFonts w:ascii="Arial" w:cs="Arial" w:eastAsia="Arial" w:hAnsi="Arial"/>
          <w:sz w:val="18"/>
          <w:szCs w:val="18"/>
          <w:color w:val="auto"/>
        </w:rPr>
        <w:t>As of the date of this prospectus supplement, our issued share capital registered in the commercial register of the Canton of Vaud is CHF 1,147,253.80, consisting of 57,362,690 common shares with a nominal value of CHF 0.02 each. The number of our common shares to be outstanding immediately after this offering is based on 57,362,690 common shares outstanding as of March 31, 2018, but excludes 1,594,943 of our common shares issuable upon the</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23495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360" w:top="1111" w:right="359" w:bottom="1440" w:gutter="0" w:footer="0" w:header="0"/>
          <w:type w:val="continuous"/>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515620</wp:posOffset>
            </wp:positionV>
            <wp:extent cx="7250430" cy="2036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036445"/>
                    </a:xfrm>
                    <a:prstGeom prst="rect">
                      <a:avLst/>
                    </a:prstGeom>
                    <a:noFill/>
                  </pic:spPr>
                </pic:pic>
              </a:graphicData>
            </a:graphic>
          </wp:anchor>
        </w:drawing>
        <w:t>exercise of options, non-vested restricted shares and non-vested restricted share units outstanding under our existing equity incentive plans at a weighted-average exercise price of CHF 3.52 per common share.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otherwise indicated, all information contained in this prospectus supplement also reflects and assumes:</w:t>
      </w:r>
    </w:p>
    <w:p>
      <w:pPr>
        <w:spacing w:after="0" w:line="225" w:lineRule="exact"/>
        <w:rPr>
          <w:sz w:val="20"/>
          <w:szCs w:val="20"/>
          <w:color w:val="auto"/>
        </w:rPr>
      </w:pPr>
    </w:p>
    <w:p>
      <w:pPr>
        <w:ind w:left="640" w:right="440" w:hanging="318"/>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of the subscription rights offered to existing shareholders pursuant to the First Rights Offering and the Second Rights Offering described above; and</w:t>
      </w:r>
    </w:p>
    <w:p>
      <w:pPr>
        <w:spacing w:after="0" w:line="170" w:lineRule="exact"/>
        <w:rPr>
          <w:rFonts w:ascii="Arial" w:cs="Arial" w:eastAsia="Arial" w:hAnsi="Arial"/>
          <w:sz w:val="18"/>
          <w:szCs w:val="18"/>
          <w:color w:val="auto"/>
        </w:rPr>
      </w:pPr>
    </w:p>
    <w:p>
      <w:pPr>
        <w:ind w:left="640" w:right="300" w:hanging="318"/>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of the option granted to the underwriters to purchase up to an additional 1,108,695 of our common shares in connection with the offering at the Offering Price, less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0"/>
          </w:cols>
          <w:pgMar w:left="340" w:top="1111" w:right="5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15"/>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supplement before making an investment in our securities. Our business, financial condition or results of operations could be materially and adversely affected if any of these risks occurs, and as a result, the market price of our common shares could decline and you could lose all or part of your investment. This prospectus supplement also contains forward-looking statements that involve risks and uncertainties. See “Special Note Regarding Forward-Looking Statements.” Our actual results could differ materially and adversely from those anticipated in these forward-looking statements as a result of certain factors.</w:t>
      </w:r>
    </w:p>
    <w:p>
      <w:pPr>
        <w:spacing w:after="0" w:line="173" w:lineRule="exact"/>
        <w:rPr>
          <w:sz w:val="20"/>
          <w:szCs w:val="20"/>
          <w:color w:val="auto"/>
        </w:rPr>
      </w:pPr>
    </w:p>
    <w:p>
      <w:pPr>
        <w:ind w:right="300" w:firstLine="415"/>
        <w:spacing w:after="0" w:line="259" w:lineRule="auto"/>
        <w:rPr>
          <w:sz w:val="20"/>
          <w:szCs w:val="20"/>
          <w:color w:val="auto"/>
        </w:rPr>
      </w:pPr>
      <w:r>
        <w:rPr>
          <w:rFonts w:ascii="Arial" w:cs="Arial" w:eastAsia="Arial" w:hAnsi="Arial"/>
          <w:sz w:val="18"/>
          <w:szCs w:val="18"/>
          <w:i w:val="1"/>
          <w:iCs w:val="1"/>
          <w:color w:val="auto"/>
        </w:rPr>
        <w:t>For a discussion of additional risks related to our business, our relationship with third parties, our intellectual property, our financial condition and capital requirements, or our regulatory environment, see the section titled “Risk Factors” in our Annual Report on Form 20-F for the fiscal year ended December 31, 2017, and our other filings with the Securities and Exchange Commission that are also incorporated by reference into this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Shares, the Public Offering and the First Rights Offering</w:t>
      </w:r>
    </w:p>
    <w:p>
      <w:pPr>
        <w:spacing w:after="0" w:line="229" w:lineRule="exact"/>
        <w:rPr>
          <w:sz w:val="20"/>
          <w:szCs w:val="20"/>
          <w:color w:val="auto"/>
        </w:rPr>
      </w:pPr>
    </w:p>
    <w:p>
      <w:pPr>
        <w:ind w:left="180" w:right="40"/>
        <w:spacing w:after="0" w:line="264" w:lineRule="auto"/>
        <w:rPr>
          <w:sz w:val="20"/>
          <w:szCs w:val="20"/>
          <w:color w:val="auto"/>
        </w:rPr>
      </w:pPr>
      <w:r>
        <w:rPr>
          <w:rFonts w:ascii="Arial" w:cs="Arial" w:eastAsia="Arial" w:hAnsi="Arial"/>
          <w:sz w:val="18"/>
          <w:szCs w:val="18"/>
          <w:b w:val="1"/>
          <w:bCs w:val="1"/>
          <w:i w:val="1"/>
          <w:iCs w:val="1"/>
          <w:color w:val="auto"/>
        </w:rPr>
        <w:t>If you subscribed for Offered Shares in the First Rights Offering prior to our publication of the Offering Price, such subscription is binding and irrevocable even though the Offering Price subsequently determined may be different, perhaps materially, than the price of our common shares on The Nasdaq Global Market.</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Offering Price was determined by us and the underwriters after the close of trading on The Nasdaq Global Market on July 18, 2018, on the basis of the number of Offered Shares for which pre-emptive subscription rights were exercised in the First Rights Offering, if any, investor demand resulting from an accelerated book-building procedure, the price on The Nasdaq Global Market for our existing common shares and prevailing market conditions, as further described in the “Underwriting” section of this prospectus supplement.</w:t>
      </w:r>
    </w:p>
    <w:p>
      <w:pPr>
        <w:spacing w:after="0" w:line="187"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Subscriptions for Offered Shares pursuant to the exercise of the pre-emptive subscription rights in the First Rights Offering are binding and irrevocable even though the Offering Price has not been established at the time of such exercise, and the Offering Price may be different, perhaps materially, than the price of the Company’s common shares on The Nasdaq Global Market. The Company cannot assure Record Shareholders that the price on The Nasdaq Global Market will not decline below the Offering Price and that, following the exercise of the pre-emptive subscription rights in the First Rights Offering, shareholders will be able to sell the Offered Shares at a price equal to or greater than the Offering Price.</w:t>
      </w:r>
    </w:p>
    <w:p>
      <w:pPr>
        <w:spacing w:after="0" w:line="17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you failed to exercise your pre-emptive subscription rights, your pre-emptive subscription rights lapsed without compensation and resulted in dilution of your shareholding.</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pre-emptive subscription rights of Record Shareholders who failed to exercise their pre-emptive subscription rights prior to the end of the subscription period expired and have become null and void, and Record Shareholders will not receive any compensation for them. The proportionate ownership and voting interest in our Company of Record Shareholders who failed (or were unable) to exercise their pre-emptive subscription rights have been diluted. We will receive the net proceeds of any sale of Offered Shares in respect of which any Record Shareholder did not validly exercise its rights. Even if a Record Shareholder timely exercised its pre-emptive subscriptions rights, such Record Shareholder and its broker are responsible for complying with the requirements of the underwriters in order to have such rights honored.</w:t>
      </w:r>
    </w:p>
    <w:p>
      <w:pPr>
        <w:spacing w:after="0" w:line="193" w:lineRule="exact"/>
        <w:rPr>
          <w:sz w:val="20"/>
          <w:szCs w:val="20"/>
          <w:color w:val="auto"/>
        </w:rPr>
      </w:pPr>
    </w:p>
    <w:p>
      <w:pPr>
        <w:ind w:left="180" w:right="220"/>
        <w:spacing w:after="0" w:line="277" w:lineRule="auto"/>
        <w:rPr>
          <w:sz w:val="20"/>
          <w:szCs w:val="20"/>
          <w:color w:val="auto"/>
        </w:rPr>
      </w:pPr>
      <w:r>
        <w:rPr>
          <w:rFonts w:ascii="Arial" w:cs="Arial" w:eastAsia="Arial" w:hAnsi="Arial"/>
          <w:sz w:val="18"/>
          <w:szCs w:val="18"/>
          <w:b w:val="1"/>
          <w:bCs w:val="1"/>
          <w:i w:val="1"/>
          <w:iCs w:val="1"/>
          <w:color w:val="auto"/>
        </w:rPr>
        <w:t>Because shareholders’ resolutions regarding a capital increase may be challenged, it is not certain that the share capital increase in connection with the offering will occur when anticipated.</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issuance of the Offered Shares requires registration of the share capital increase with the commercial register of the Canton of Vaud. The Public Offering and the First Rights Offering are based upon the resolution regarding an ordinary capital increase that was approved at the extraordinary shareholders’ meeting held on April 27, 2018. All shareholders’ resolutions of Swiss corporations are subject to a possible challenge pursuant to articles 706 and 706a of the Swiss Code of Obligations. The right to challenge lapses if the action is not brought within two months of the shareholders' meeting. In connection with such a challenge, the registration of the capital increase in the commercial</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6" w:name="page17"/>
    <w:bookmarkEnd w:id="16"/>
    <w:p>
      <w:pPr>
        <w:ind w:right="80"/>
        <w:spacing w:after="0" w:line="257" w:lineRule="auto"/>
        <w:rPr>
          <w:sz w:val="20"/>
          <w:szCs w:val="20"/>
          <w:color w:val="auto"/>
        </w:rPr>
      </w:pPr>
      <w:r>
        <w:rPr>
          <w:rFonts w:ascii="Arial" w:cs="Arial" w:eastAsia="Arial" w:hAnsi="Arial"/>
          <w:sz w:val="18"/>
          <w:szCs w:val="18"/>
          <w:color w:val="auto"/>
        </w:rPr>
        <w:t>register may be blocked and therefore prevent or delay the completion of an offering such as the Public Offering and the First Rights Offering, including a delay in the settlement. Therefore, although the resolution of the shareholders to increase the share capital is scheduled to be registered with the commercial register in a timely manner, such registration may, for reasons beyond our control, not take place in time to enable the Offered Shares to be traded on a timely basis. Consequently, investors may suffer losses, in particular, if they entered into short selling transactions and are unable to meet their obligations to deliver Offered Shares.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Shareholders may not have been able to exercise pre-emptive subscription rights.</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Under laws and regulations of jurisdictions outside Switzerland, including the European Economic Area, Record Shareholders in those jurisdictions may not have been able to exercise or sell their pre-emptive subscription rights unless we took action to register or otherwise qualify the First Rights Offering under the laws of that jurisdiction. If Record Shareholders in such jurisdictions were unable to exercise or sell their pre-emptive subscription rights, their ownership interest in us will be diluted. Furthermore, the short subscription period may have created a logistical challenge for Record Shareholders to exercise their statutory pre-emptive subscription rights. Furthermore, the underwriters may withdraw, cancel or modify any orders of a Record Shareholder who elected to participate in the First Rights Offering if such Record Shareholder, or its bank, broker or other intermediary, respectively, does not have a brokerage account with any of the underwriters or any of their respective affiliates which prevents the ability of the underwriters to timely verify the eligibility of such Record Shareholder or to execute the order from such Record Shareholder. The pre-emptive subscription rights of any Record Shareholder that was not permitted or unable to exercise such rights during the subscription period expired and have become null and void, and such Record Shareholder will not receive any compensation in respect of any such unexercised or invalid rights.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22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14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25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Broad market and industry factors may materially affect the market price of companies’ stock, including ours, regardless of actual operating performance. Furthermore, issuers such as ourselves whose securities have historically had limited trading volumes and/or have been susceptible to relatively high volatility levels can be particularly vulnerable to short seller attacks and trading in our common shares by non-fundamental investors such as hedge funds and others who may enter and exit positions in our common shares frequently and suddenly, causing increased volatility of our share price. Short selling is the practice of selling securities that the seller does not own but rather has borrowed or intends to borrow from a third party with the intention of buying identical securities at a later date to</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right="180"/>
        <w:spacing w:after="0" w:line="308" w:lineRule="auto"/>
        <w:rPr>
          <w:sz w:val="20"/>
          <w:szCs w:val="20"/>
          <w:color w:val="auto"/>
        </w:rPr>
      </w:pPr>
      <w:r>
        <w:rPr>
          <w:rFonts w:ascii="Arial" w:cs="Arial" w:eastAsia="Arial" w:hAnsi="Arial"/>
          <w:sz w:val="17"/>
          <w:szCs w:val="17"/>
          <w:color w:val="auto"/>
        </w:rPr>
        <w:t>return to the lender, and profit from a decline in the value of the securities in the process. The publication of any commentary by short sellers with the intent of creating negative market momentum may bring about a temporary, or possibly long term, decline in the market price of our common stock.</w:t>
      </w:r>
    </w:p>
    <w:p>
      <w:pPr>
        <w:spacing w:after="0" w:line="147" w:lineRule="exact"/>
        <w:rPr>
          <w:sz w:val="20"/>
          <w:szCs w:val="20"/>
          <w:color w:val="auto"/>
        </w:rPr>
      </w:pPr>
    </w:p>
    <w:p>
      <w:pPr>
        <w:ind w:left="180" w:right="480"/>
        <w:spacing w:after="0" w:line="277" w:lineRule="auto"/>
        <w:rPr>
          <w:sz w:val="20"/>
          <w:szCs w:val="20"/>
          <w:color w:val="auto"/>
        </w:rPr>
      </w:pPr>
      <w:r>
        <w:rPr>
          <w:rFonts w:ascii="Arial" w:cs="Arial" w:eastAsia="Arial" w:hAnsi="Arial"/>
          <w:sz w:val="18"/>
          <w:szCs w:val="18"/>
          <w:b w:val="1"/>
          <w:bCs w:val="1"/>
          <w:i w:val="1"/>
          <w:iCs w:val="1"/>
          <w:color w:val="auto"/>
        </w:rPr>
        <w:t>There is only a limited free float of our common shares; this may have a negative impact on the liquidity of and the market price for our common shares.</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As of the date hereof, shareholders reported as each controlling 5% or more of our common shares will, in the aggregate, hold approximately 51.3% of our common shares. The limited free float may have a negative impact on the liquidity of our common shares and result in a low trading volume of our common shares, which could adversely affect the price of our common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Certain of our existing shareholders exercise significant control over us, and your interests may conflict with the interests of our existing shareholders.</w:t>
      </w:r>
    </w:p>
    <w:p>
      <w:pPr>
        <w:spacing w:after="0" w:line="260"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As of March 31, 2018, certain principal shareholders as well as our executive officers and directors together beneficially owned approximately 60.5% of our common shares. Depending on the level of attendance at our general meetings of shareholders, these shareholders may be in a position to determine the outcome of decisions 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26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Future sales of a substantial number of our common shares, or the perception that such sales will occur, could cause a decline in the market price of our common shares. If certain of our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We will be required to file an amendment to our registration statement on Form F-3 on or prior to August 27, 2018 to register up to 18,041,000 common shares held by one of our shareholders pursuant to these rights. In addition, we have adopted a new omnibus equity incentive plan under which we have the discretion to grant a broad range of equity-based awards to eligible participants. These shares were registered pursuant to the registration statement on Form S-8 that we filed with SEC and, therefore, can be freely sold in the public market upon issuance, subject to volume limitations applicable to affiliates.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you purchased common shares in this offering, you will suffer immediate dilution of your investment.</w:t>
      </w:r>
    </w:p>
    <w:p>
      <w:pPr>
        <w:spacing w:after="0" w:line="225" w:lineRule="exact"/>
        <w:rPr>
          <w:sz w:val="20"/>
          <w:szCs w:val="20"/>
          <w:color w:val="auto"/>
        </w:rPr>
      </w:pPr>
    </w:p>
    <w:p>
      <w:pPr>
        <w:ind w:firstLine="416"/>
        <w:spacing w:after="0" w:line="276" w:lineRule="auto"/>
        <w:rPr>
          <w:sz w:val="20"/>
          <w:szCs w:val="20"/>
          <w:color w:val="auto"/>
        </w:rPr>
      </w:pPr>
      <w:r>
        <w:rPr>
          <w:rFonts w:ascii="Arial" w:cs="Arial" w:eastAsia="Arial" w:hAnsi="Arial"/>
          <w:sz w:val="17"/>
          <w:szCs w:val="17"/>
          <w:color w:val="auto"/>
        </w:rPr>
        <w:t>The Offering Price is substantially higher than the as adjusted net tangible book value per common share. Therefore, if you purchased common shares in this offering, you will pay a price per common share that substantially exceeds our as adjusted net tangible book value per common share after this offering. Based on the public offering price of $11.75 per common share, you will experience immediate dilution of $8.79 (CHF 8.37) per common share, representing the difference between our as adjusted net tangible book value per common share after giving effect to this offering and the Offering Price. To the extent outstanding options or warrants are exercised, you will incur further dilution. See “Dilution.”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have broad discretion in the use of our cash and cash equivalents and may not use them effectively.</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management will have broad discretion in the application of our cash and cash equivalents. Our decisions concerning the allocation of research, development, collaboration, management and financial resources toward particular product candidates or therapeutic areas may not lead to the development of any viable commercial product</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ind w:right="80"/>
        <w:spacing w:after="0" w:line="254" w:lineRule="auto"/>
        <w:rPr>
          <w:sz w:val="20"/>
          <w:szCs w:val="20"/>
          <w:color w:val="auto"/>
        </w:rPr>
      </w:pPr>
      <w:r>
        <w:rPr>
          <w:rFonts w:ascii="Arial" w:cs="Arial" w:eastAsia="Arial" w:hAnsi="Arial"/>
          <w:sz w:val="18"/>
          <w:szCs w:val="18"/>
          <w:color w:val="auto"/>
        </w:rPr>
        <w:t>and may divert resources away from better opportunities. If we make incorrect determinations regarding the viability or market potential of any of our programs or product candidates or misread trends in the biopharmaceutical industry, in particular for neurodegenerative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 We regularly review the designation of each program as core or seed, and terminate those programs which do not meet our development criteria.</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225"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Under our articles of association, the declaration of dividends requires a resolution passed by a simple majority of the votes cast at a shareholders’ meeting regardless of abstentions and empty or invalid votes.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jurisdictions.</w:t>
      </w:r>
    </w:p>
    <w:p>
      <w:pPr>
        <w:spacing w:after="0" w:line="21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state.</w:t>
      </w:r>
    </w:p>
    <w:p>
      <w:pPr>
        <w:spacing w:after="0" w:line="211"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We are organized under the laws of Switzerland. There can be no assurance that Swiss law will not change in the future or that it will serve to protect investors in a similar fashion afforded under corporate law principles in the U.S., which could adversely affect the rights of investors.</w:t>
      </w:r>
    </w:p>
    <w:p>
      <w:pPr>
        <w:spacing w:after="0" w:line="14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70"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Any ordinary</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9" w:name="page20"/>
    <w:bookmarkEnd w:id="19"/>
    <w:p>
      <w:pPr>
        <w:spacing w:after="0" w:line="255" w:lineRule="auto"/>
        <w:rPr>
          <w:sz w:val="20"/>
          <w:szCs w:val="20"/>
          <w:color w:val="auto"/>
        </w:rPr>
      </w:pPr>
      <w:r>
        <w:rPr>
          <w:rFonts w:ascii="Arial" w:cs="Arial" w:eastAsia="Arial" w:hAnsi="Arial"/>
          <w:sz w:val="18"/>
          <w:szCs w:val="18"/>
          <w:color w:val="auto"/>
        </w:rPr>
        <w:t>share capital increase resolution preserving pre-emptive subscription rights requires a simple majority of the votes cast at the shareholders’ meeting regardless of abstentions and empty or invalid votes and shall be implemented within three months.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93"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As of December 31, 2017, the Company has CHF 179.4 million of reserves from capital contributions and CHF 1,146,983.80 of issued share capital (consisting of 57,349,190 common shares each with a nominal value of CHF 0.02 and no preferred shares) on its audited statutory balance sheet.</w:t>
      </w:r>
    </w:p>
    <w:p>
      <w:pPr>
        <w:spacing w:after="0" w:line="16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expect the aggregate of these amounts (less the lowest legally possible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67"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reserves from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 There can be no assurance that we will have sufficient reserves from capital contributions to pay dividends free from Swiss withholding tax, or that Swiss withholding tax rules will not be changed in the future. In addition, we cannot provide assurance that the current Swiss law with respect to distributions out of reserves from capital contributions will not be changed or that a change in Swiss law will not adversely affect us or our shareholders, in particular as a result of distributions out of reserves from capital contributions becoming subject to additional corporate law, tax law or other restrictions. In addition, over the long term, the amount of par value available to us for nominal value reductions or reserves from capital contributions available to us to pay out as distributions is limited. If we are unable to make a distribution through a reduction in nominal value or out of reserves from capital contributions, we may not be able to make distributions without subjecting our shareholders to Swiss withholding taxes.</w:t>
      </w:r>
    </w:p>
    <w:p>
      <w:pPr>
        <w:spacing w:after="0" w:line="18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of the shares except, since January 1, 2011, to the extent attributable to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158" w:lineRule="exact"/>
        <w:rPr>
          <w:sz w:val="20"/>
          <w:szCs w:val="20"/>
          <w:color w:val="auto"/>
        </w:rPr>
      </w:pPr>
    </w:p>
    <w:p>
      <w:pPr>
        <w:ind w:left="180" w:right="56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ind w:right="20" w:firstLine="324"/>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8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70" w:lineRule="exact"/>
        <w:rPr>
          <w:sz w:val="20"/>
          <w:szCs w:val="20"/>
          <w:color w:val="auto"/>
        </w:rPr>
      </w:pPr>
    </w:p>
    <w:p>
      <w:pPr>
        <w:ind w:left="180" w:right="32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225"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ind w:right="40"/>
        <w:spacing w:after="0" w:line="257" w:lineRule="auto"/>
        <w:rPr>
          <w:sz w:val="20"/>
          <w:szCs w:val="20"/>
          <w:color w:val="auto"/>
        </w:rPr>
      </w:pPr>
      <w:r>
        <w:rPr>
          <w:rFonts w:ascii="Arial" w:cs="Arial" w:eastAsia="Arial" w:hAnsi="Arial"/>
          <w:sz w:val="18"/>
          <w:szCs w:val="18"/>
          <w:color w:val="auto"/>
        </w:rPr>
        <w:t>future dividends is subject to certain limitation pursuant to Swiss law or by our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See “Tax Considerations—Swiss Tax Considerations” for a summary of certain Swiss tax consequences regarding dividends distributed to holders of our common shares.</w:t>
      </w:r>
    </w:p>
    <w:p>
      <w:pPr>
        <w:spacing w:after="0" w:line="188" w:lineRule="exact"/>
        <w:rPr>
          <w:sz w:val="20"/>
          <w:szCs w:val="20"/>
          <w:color w:val="auto"/>
        </w:rPr>
      </w:pPr>
    </w:p>
    <w:p>
      <w:pPr>
        <w:ind w:left="180" w:right="500"/>
        <w:spacing w:after="0" w:line="277" w:lineRule="auto"/>
        <w:rPr>
          <w:sz w:val="20"/>
          <w:szCs w:val="20"/>
          <w:color w:val="auto"/>
        </w:rPr>
      </w:pPr>
      <w:r>
        <w:rPr>
          <w:rFonts w:ascii="Arial" w:cs="Arial" w:eastAsia="Arial" w:hAnsi="Arial"/>
          <w:sz w:val="18"/>
          <w:szCs w:val="18"/>
          <w:b w:val="1"/>
          <w:bCs w:val="1"/>
          <w:i w:val="1"/>
          <w:iCs w:val="1"/>
          <w:color w:val="auto"/>
        </w:rPr>
        <w:t>Shareholders in countries with a currency other than Swiss Francs face additional investment risks from currency exchange rate fluctuations in connection with their holding of our common shares.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Any future payments of dividends, if any, will likely be denominated in Swiss Francs. The foreign currency equivalent of any dividend, if any, paid on our common shares or received in connection with any sale of our common shares could be adversely affected by the depreciation of the Swiss Francs against such other currency.</w:t>
      </w:r>
    </w:p>
    <w:p>
      <w:pPr>
        <w:spacing w:after="0" w:line="181" w:lineRule="exact"/>
        <w:rPr>
          <w:sz w:val="20"/>
          <w:szCs w:val="20"/>
          <w:color w:val="auto"/>
        </w:rPr>
      </w:pPr>
    </w:p>
    <w:p>
      <w:pPr>
        <w:ind w:left="180" w:right="8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be subject to U.S. proxy rules and are subject to Exchange Act reporting obligations that, to some extent, are more lenient and less frequent than those of a U.S. domestic public company.</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We are reporting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73"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rely on certain home country governance practices rather than the corporate governance requirements of Nasdaq.</w:t>
      </w:r>
    </w:p>
    <w:p>
      <w:pPr>
        <w:spacing w:after="0" w:line="170"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are a foreign private issuer. As a result, in accordance with Nasdaq Listing Rule 5615(a)(3), we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are not subject to Nasdaq Listing Rule 5605(b)(2), which requires that independent directors regularly have scheduled meetings at which only independent directors are present.</w:t>
      </w:r>
    </w:p>
    <w:p>
      <w:pPr>
        <w:spacing w:after="0" w:line="17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Although Swiss law also requires that we adopt a compensation committee, we follow home country requirements with respect to such committee and our compensation, nomination and governance committee is tasked with certain director nomination and governance responsibilities. As a result, our practice varies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54" w:lineRule="exact"/>
        <w:rPr>
          <w:sz w:val="20"/>
          <w:szCs w:val="20"/>
          <w:color w:val="auto"/>
        </w:rPr>
      </w:pPr>
    </w:p>
    <w:p>
      <w:pPr>
        <w:jc w:val="both"/>
        <w:ind w:right="220" w:firstLine="324"/>
        <w:spacing w:after="0" w:line="302"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w:t>
      </w: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2" w:name="page23"/>
    <w:bookmarkEnd w:id="22"/>
    <w:p>
      <w:pPr>
        <w:ind w:right="60"/>
        <w:spacing w:after="0" w:line="291" w:lineRule="auto"/>
        <w:rPr>
          <w:sz w:val="20"/>
          <w:szCs w:val="20"/>
          <w:color w:val="auto"/>
        </w:rPr>
      </w:pPr>
      <w:r>
        <w:rPr>
          <w:rFonts w:ascii="Arial" w:cs="Arial" w:eastAsia="Arial" w:hAnsi="Arial"/>
          <w:sz w:val="16"/>
          <w:szCs w:val="16"/>
          <w:color w:val="auto"/>
        </w:rPr>
        <w:t>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varies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result of the above, you may not have the same protections afforded to shareholders of companies that are not foreign private issuers.</w:t>
      </w:r>
    </w:p>
    <w:p>
      <w:pPr>
        <w:spacing w:after="0" w:line="237" w:lineRule="exact"/>
        <w:rPr>
          <w:sz w:val="20"/>
          <w:szCs w:val="20"/>
          <w:color w:val="auto"/>
        </w:rPr>
      </w:pPr>
    </w:p>
    <w:p>
      <w:pPr>
        <w:ind w:left="180" w:right="10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2019 (or the end of our second fiscal quarter in any subsequent fiscal year), which would require us to comply with all of the periodic disclosure and current reporting requirements of the Exchange Act applicable to U.S. domestic issuers as of January 1, 2019 (or the first day of the fiscal year immediately succeeding the end of such second quarter).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1" w:lineRule="exact"/>
        <w:rPr>
          <w:sz w:val="20"/>
          <w:szCs w:val="20"/>
          <w:color w:val="auto"/>
        </w:rPr>
      </w:pPr>
    </w:p>
    <w:p>
      <w:pPr>
        <w:ind w:left="180" w:righ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We could be an “emerging growth company” until the end of our fiscal year 2021, although circumstances could cause us to lose that status earlier, including if the market value of our common shares held by non-affiliates exceeds $700 million as of any June 30 (the end of our second fiscal quarter) before the end of our fiscal year 2021,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3" w:name="page24"/>
    <w:bookmarkEnd w:id="23"/>
    <w:p>
      <w:pPr>
        <w:ind w:left="180" w:right="10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incur additional costs and we may not manage to comply with our internal control procedures and corporate governance structures.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As a public company, we incur additional legal, insurance, accounting and other expenses that we did not incur as a private company. For example, as a public company, we needed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158" w:lineRule="exact"/>
        <w:rPr>
          <w:sz w:val="20"/>
          <w:szCs w:val="20"/>
          <w:color w:val="auto"/>
        </w:rPr>
      </w:pPr>
    </w:p>
    <w:p>
      <w:pPr>
        <w:ind w:left="180" w:right="24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18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among other objectives.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9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the end of our fiscal year 2021.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170"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If no or too few securities or industry analysts cover our company, the trading price for our common shares would likely be negatively affected. In addition,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 increase in our tax rate could occur, which could adversely affect our financial results.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Swiss Federal government had proposed changes to align Swiss corporate taxation with international recommendations but voters in Switzerland voted against such proposals in a national referendum on February 12, 2017. On June 6, 2018, the Swiss Federal Council has published the draft bill of the new tax reform named “Tax Proposal 17” (</w:t>
      </w:r>
      <w:r>
        <w:rPr>
          <w:rFonts w:ascii="Arial" w:cs="Arial" w:eastAsia="Arial" w:hAnsi="Arial"/>
          <w:sz w:val="18"/>
          <w:szCs w:val="18"/>
          <w:i w:val="1"/>
          <w:iCs w:val="1"/>
          <w:color w:val="auto"/>
        </w:rPr>
        <w:t>Steuervorlage 17</w:t>
      </w:r>
      <w:r>
        <w:rPr>
          <w:rFonts w:ascii="Arial" w:cs="Arial" w:eastAsia="Arial" w:hAnsi="Arial"/>
          <w:sz w:val="18"/>
          <w:szCs w:val="18"/>
          <w:color w:val="auto"/>
        </w:rPr>
        <w:t>) and the accompanying report (</w:t>
      </w:r>
      <w:r>
        <w:rPr>
          <w:rFonts w:ascii="Arial" w:cs="Arial" w:eastAsia="Arial" w:hAnsi="Arial"/>
          <w:sz w:val="18"/>
          <w:szCs w:val="18"/>
          <w:i w:val="1"/>
          <w:iCs w:val="1"/>
          <w:color w:val="auto"/>
        </w:rPr>
        <w:t>Botschaft</w:t>
      </w:r>
      <w:r>
        <w:rPr>
          <w:rFonts w:ascii="Arial" w:cs="Arial" w:eastAsia="Arial" w:hAnsi="Arial"/>
          <w:sz w:val="18"/>
          <w:szCs w:val="18"/>
          <w:color w:val="auto"/>
        </w:rPr>
        <w:t>) that is currently being debated by the Swiss Parliament. Thus, uncertainty will continue about the future level of Swiss Federal corporate income taxes that may apply to us until revised proposals are put forward and gain acceptance. The Tax Proposal 17 is expected to come into force no earlier than January 1, 2020. The Tax Proposal 17 includes – amongst other measures – the following measures:</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4" w:name="page25"/>
    <w:bookmarkEnd w:id="24"/>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repealing the status companies at the cantonal level as well as certain tax practices at the federal level, including transitional measures;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introducing a mandatory patent box regime at the cantonal level;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introducing an optional R&amp;D “super deduction” at the cantonal level.</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2017, the voters of the Canton of Vaud have approved a change of the Vaud cantonal tax law which includes, among other changes, a reduction of the combined effective Swiss income tax rate from currently 20.5% to 13.8%. The government of the Canton of Vaud has proposed to implement early such corporate tax reform in the Canton of Vaud on January 1, 2019 independent from the entry into force of the Tax Proposal 17.</w:t>
      </w:r>
    </w:p>
    <w:p>
      <w:pPr>
        <w:spacing w:after="0" w:line="16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expect that, if these measure come into force, it is likely that our combined effective Swiss income tax rate would decline from approximately 20.5% to 13.8%.</w:t>
      </w:r>
    </w:p>
    <w:p>
      <w:pPr>
        <w:spacing w:after="0" w:line="170" w:lineRule="exact"/>
        <w:rPr>
          <w:sz w:val="20"/>
          <w:szCs w:val="20"/>
          <w:color w:val="auto"/>
        </w:rPr>
      </w:pPr>
    </w:p>
    <w:p>
      <w:pPr>
        <w:ind w:left="18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2017, and we do not expect to be a PFIC in the immediately foreseeable future, if we were a PFIC U.S. shareholders may be subject to adverse U.S. federal income tax consequences.</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2017 taxable year and do not expect to be a PFIC in the immediately foreseeable future. However, there can be no assurance that the IRS will agree with our conclusion. In addition, whether we will be a PFIC in 2018 or any future years is uncertain because, among other things, (i) we currently own, a substantial amount of passive assets, including cash, (ii) the amount and composition of our income as passive or non-passive may vary substantially over time, and (iii)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7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firstLine="8"/>
        <w:spacing w:after="0" w:line="261"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further discussion, see the section in this prospectus supplement entitled “Tax Considerations.”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540" w:firstLine="415"/>
        <w:spacing w:after="0" w:line="279" w:lineRule="auto"/>
        <w:rPr>
          <w:sz w:val="20"/>
          <w:szCs w:val="20"/>
          <w:color w:val="auto"/>
        </w:rPr>
      </w:pPr>
      <w:r>
        <w:rPr>
          <w:rFonts w:ascii="Arial" w:cs="Arial" w:eastAsia="Arial" w:hAnsi="Arial"/>
          <w:sz w:val="17"/>
          <w:szCs w:val="17"/>
          <w:color w:val="auto"/>
        </w:rPr>
        <w:t>We estimate that the net proceeds to us from the Public Offering and the First Rights Offering will be approximately $80.9 million, based on the Offering Price of $11.75 per share, after deducting underwriting discounts and commissions and estimated offering expenses payable by us. If the underwriters exercise in full their option to purchase additional shares, we estimate that the net proceeds from the offering will be approximately $93.2 million after deducting underwriting discounts and commissions and estimated offering expenses payable by us.</w:t>
      </w:r>
    </w:p>
    <w:p>
      <w:pPr>
        <w:spacing w:after="0" w:line="171" w:lineRule="exact"/>
        <w:rPr>
          <w:sz w:val="20"/>
          <w:szCs w:val="20"/>
          <w:color w:val="auto"/>
        </w:rPr>
      </w:pPr>
    </w:p>
    <w:p>
      <w:pPr>
        <w:ind w:firstLine="416"/>
        <w:spacing w:after="0" w:line="264" w:lineRule="auto"/>
        <w:rPr>
          <w:sz w:val="20"/>
          <w:szCs w:val="20"/>
          <w:color w:val="auto"/>
        </w:rPr>
      </w:pPr>
      <w:r>
        <w:rPr>
          <w:rFonts w:ascii="Arial" w:cs="Arial" w:eastAsia="Arial" w:hAnsi="Arial"/>
          <w:sz w:val="18"/>
          <w:szCs w:val="18"/>
          <w:color w:val="auto"/>
        </w:rPr>
        <w:t>As of March 31, 2018, we had cash and cash equivalents of CHF 109.7 million. We anticipate that we will use our existing liquidity and the net proceeds from the Public Offering and the First Rights Offering primarily to fund research and development expenses for our clinical and pre-clinical research and development activities and for working capital and general corporate purposes.</w:t>
      </w:r>
    </w:p>
    <w:p>
      <w:pPr>
        <w:spacing w:after="0" w:line="181" w:lineRule="exact"/>
        <w:rPr>
          <w:sz w:val="20"/>
          <w:szCs w:val="20"/>
          <w:color w:val="auto"/>
        </w:rPr>
      </w:pPr>
    </w:p>
    <w:p>
      <w:pPr>
        <w:ind w:right="20" w:firstLine="416"/>
        <w:spacing w:after="0" w:line="291" w:lineRule="auto"/>
        <w:rPr>
          <w:sz w:val="20"/>
          <w:szCs w:val="20"/>
          <w:color w:val="auto"/>
        </w:rPr>
      </w:pPr>
      <w:r>
        <w:rPr>
          <w:rFonts w:ascii="Arial" w:cs="Arial" w:eastAsia="Arial" w:hAnsi="Arial"/>
          <w:sz w:val="16"/>
          <w:szCs w:val="16"/>
          <w:color w:val="auto"/>
        </w:rPr>
        <w:t>However, due to the uncertainties inherent in the product development process, it is difficult to estimate with certainty the exact amounts of the net proceeds from the Public Offering and the First Rights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the Public Offering and the First Rights Offering, and investors will be relying on our judgment regarding the application of the net proceeds. In addition, we might decide to postpone or not pursue certain pre-clinical activities or clinical studies if the net proceeds from the Public Offering and the First Rights Offering and our other sources of cash are less than expected.</w:t>
      </w:r>
    </w:p>
    <w:p>
      <w:pPr>
        <w:spacing w:after="0" w:line="167" w:lineRule="exact"/>
        <w:rPr>
          <w:sz w:val="20"/>
          <w:szCs w:val="20"/>
          <w:color w:val="auto"/>
        </w:rPr>
      </w:pPr>
    </w:p>
    <w:p>
      <w:pPr>
        <w:jc w:val="both"/>
        <w:ind w:right="700" w:firstLine="416"/>
        <w:spacing w:after="0" w:line="264" w:lineRule="auto"/>
        <w:rPr>
          <w:sz w:val="20"/>
          <w:szCs w:val="20"/>
          <w:color w:val="auto"/>
        </w:rPr>
      </w:pPr>
      <w:r>
        <w:rPr>
          <w:rFonts w:ascii="Arial" w:cs="Arial" w:eastAsia="Arial" w:hAnsi="Arial"/>
          <w:sz w:val="18"/>
          <w:szCs w:val="18"/>
          <w:color w:val="auto"/>
        </w:rPr>
        <w:t>Pending the use of the proceeds from the Public Offering and the First Rights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the Public Offering.</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15"/>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incorporation.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required by Swiss law and its articles of association have been deducted. Distributable reserves are generally booked either as “free reserves”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nominal value of a corporation’s issued shares, may be made only by way of a share capital reduction.</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sets forth our cash and cash equivalents and our total capitalization (defined as total debt and equity) as of March 31, 2018:</w:t>
      </w:r>
    </w:p>
    <w:p>
      <w:pPr>
        <w:spacing w:after="0" w:line="23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an as adjusted basis to give effect to our issuance and sale of 7,391,305 common shares in the Public Offering and the First Rights Offering, at the Offering Price of $11.75 per common share, after deducting underwriting discounts and estimated offering expenses payable by us.</w:t>
      </w:r>
    </w:p>
    <w:p>
      <w:pPr>
        <w:spacing w:after="0" w:line="124" w:lineRule="exact"/>
        <w:rPr>
          <w:sz w:val="20"/>
          <w:szCs w:val="20"/>
          <w:color w:val="auto"/>
        </w:rPr>
      </w:pPr>
    </w:p>
    <w:p>
      <w:pPr>
        <w:ind w:right="160" w:firstLine="416"/>
        <w:spacing w:after="0" w:line="264" w:lineRule="auto"/>
        <w:rPr>
          <w:sz w:val="20"/>
          <w:szCs w:val="20"/>
          <w:color w:val="auto"/>
        </w:rPr>
      </w:pPr>
      <w:r>
        <w:rPr>
          <w:rFonts w:ascii="Arial" w:cs="Arial" w:eastAsia="Arial" w:hAnsi="Arial"/>
          <w:sz w:val="18"/>
          <w:szCs w:val="18"/>
          <w:color w:val="auto"/>
        </w:rPr>
        <w:t>Investors should read this table in conjunction with our consolidated financial statements and related notes included in this prospectus supplement and incorporated by reference herein. For more details on how you can obtain the documents incorporated by reference in this prospectus supplement and the accompanying prospectus, see “Where You Can Find More Information” and “Incorporation by Reference.”</w:t>
      </w:r>
    </w:p>
    <w:p>
      <w:pPr>
        <w:spacing w:after="0" w:line="181" w:lineRule="exact"/>
        <w:rPr>
          <w:sz w:val="20"/>
          <w:szCs w:val="20"/>
          <w:color w:val="auto"/>
        </w:rPr>
      </w:pPr>
    </w:p>
    <w:p>
      <w:pPr>
        <w:ind w:right="180" w:firstLine="416"/>
        <w:spacing w:after="0" w:line="342" w:lineRule="auto"/>
        <w:rPr>
          <w:sz w:val="20"/>
          <w:szCs w:val="20"/>
          <w:color w:val="auto"/>
        </w:rPr>
      </w:pPr>
      <w:r>
        <w:rPr>
          <w:rFonts w:ascii="Arial" w:cs="Arial" w:eastAsia="Arial" w:hAnsi="Arial"/>
          <w:sz w:val="16"/>
          <w:szCs w:val="16"/>
          <w:color w:val="auto"/>
        </w:rPr>
        <w:t>The following table assumes that (i) none of the subscription rights offered to existing shareholders pursuant to the First Rights Offering were, and pursuant to the Second Rights Offering are, exercised, and (ii) the underwriters’ option to purchase additional shares in this offering has not been exercised.</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23" w:lineRule="exact"/>
        <w:rPr>
          <w:sz w:val="20"/>
          <w:szCs w:val="20"/>
          <w:color w:val="auto"/>
        </w:rPr>
      </w:pPr>
    </w:p>
    <w:p>
      <w:pPr>
        <w:ind w:left="340" w:hanging="161"/>
        <w:spacing w:after="0" w:line="250" w:lineRule="auto"/>
        <w:rPr>
          <w:sz w:val="20"/>
          <w:szCs w:val="20"/>
          <w:color w:val="auto"/>
        </w:rPr>
      </w:pPr>
      <w:r>
        <w:rPr>
          <w:rFonts w:ascii="Arial" w:cs="Arial" w:eastAsia="Arial" w:hAnsi="Arial"/>
          <w:sz w:val="18"/>
          <w:szCs w:val="18"/>
          <w:color w:val="auto"/>
        </w:rPr>
        <w:t>Common shares, nominal value CHF 0.02 per share 57,362,690 shares issued and outstanding on an actual basis and 64,753,995 issued and outstanding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Share premium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Accumulated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Total equity</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As of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837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7"/>
          <w:szCs w:val="17"/>
          <w:b w:val="1"/>
          <w:bCs w:val="1"/>
          <w:color w:val="auto"/>
        </w:rPr>
        <w:t>Actual</w:t>
      </w:r>
      <w:r>
        <w:rPr>
          <w:sz w:val="20"/>
          <w:szCs w:val="20"/>
          <w:color w:val="auto"/>
        </w:rPr>
        <w:tab/>
      </w:r>
      <w:r>
        <w:rPr>
          <w:rFonts w:ascii="Arial" w:cs="Arial" w:eastAsia="Arial" w:hAnsi="Arial"/>
          <w:sz w:val="17"/>
          <w:szCs w:val="17"/>
          <w:b w:val="1"/>
          <w:bCs w:val="1"/>
          <w:color w:val="auto"/>
        </w:rPr>
        <w:t>As Adjusted(1)</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 thousands of CHF)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7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5" w:lineRule="exact"/>
        <w:rPr>
          <w:sz w:val="20"/>
          <w:szCs w:val="20"/>
          <w:color w:val="auto"/>
        </w:rPr>
      </w:pPr>
    </w:p>
    <w:p>
      <w:pPr>
        <w:ind w:left="640"/>
        <w:spacing w:after="0"/>
        <w:tabs>
          <w:tab w:leader="none" w:pos="2080" w:val="left"/>
        </w:tabs>
        <w:rPr>
          <w:sz w:val="20"/>
          <w:szCs w:val="20"/>
          <w:color w:val="auto"/>
        </w:rPr>
      </w:pPr>
      <w:r>
        <w:rPr>
          <w:rFonts w:ascii="Arial" w:cs="Arial" w:eastAsia="Arial" w:hAnsi="Arial"/>
          <w:sz w:val="18"/>
          <w:szCs w:val="18"/>
          <w:color w:val="auto"/>
        </w:rPr>
        <w:t>109,669</w:t>
      </w:r>
      <w:r>
        <w:rPr>
          <w:sz w:val="20"/>
          <w:szCs w:val="20"/>
          <w:color w:val="auto"/>
        </w:rPr>
        <w:tab/>
      </w:r>
      <w:r>
        <w:rPr>
          <w:rFonts w:ascii="Arial" w:cs="Arial" w:eastAsia="Arial" w:hAnsi="Arial"/>
          <w:sz w:val="18"/>
          <w:szCs w:val="18"/>
          <w:color w:val="auto"/>
        </w:rPr>
        <w:t>186,798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151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1,147</w:t>
            </w:r>
          </w:p>
        </w:tc>
        <w:tc>
          <w:tcPr>
            <w:tcW w:w="1260" w:type="dxa"/>
            <w:vAlign w:val="bottom"/>
          </w:tcPr>
          <w:p>
            <w:pPr>
              <w:jc w:val="right"/>
              <w:spacing w:after="0"/>
              <w:rPr>
                <w:sz w:val="20"/>
                <w:szCs w:val="20"/>
                <w:color w:val="auto"/>
              </w:rPr>
            </w:pPr>
            <w:r>
              <w:rPr>
                <w:rFonts w:ascii="Arial" w:cs="Arial" w:eastAsia="Arial" w:hAnsi="Arial"/>
                <w:sz w:val="18"/>
                <w:szCs w:val="18"/>
                <w:color w:val="auto"/>
              </w:rPr>
              <w:t>1,295</w:t>
            </w:r>
          </w:p>
        </w:tc>
        <w:tc>
          <w:tcPr>
            <w:tcW w:w="60" w:type="dxa"/>
            <w:vAlign w:val="bottom"/>
          </w:tcPr>
          <w:p>
            <w:pPr>
              <w:spacing w:after="0"/>
              <w:rPr>
                <w:sz w:val="18"/>
                <w:szCs w:val="18"/>
                <w:color w:val="auto"/>
              </w:rPr>
            </w:pPr>
          </w:p>
        </w:tc>
      </w:tr>
      <w:tr>
        <w:trPr>
          <w:trHeight w:val="216"/>
        </w:trPr>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188,357</w:t>
            </w:r>
          </w:p>
        </w:tc>
        <w:tc>
          <w:tcPr>
            <w:tcW w:w="1260" w:type="dxa"/>
            <w:vAlign w:val="bottom"/>
          </w:tcPr>
          <w:p>
            <w:pPr>
              <w:jc w:val="right"/>
              <w:spacing w:after="0"/>
              <w:rPr>
                <w:sz w:val="20"/>
                <w:szCs w:val="20"/>
                <w:color w:val="auto"/>
              </w:rPr>
            </w:pPr>
            <w:r>
              <w:rPr>
                <w:rFonts w:ascii="Arial" w:cs="Arial" w:eastAsia="Arial" w:hAnsi="Arial"/>
                <w:sz w:val="18"/>
                <w:szCs w:val="18"/>
                <w:color w:val="auto"/>
              </w:rPr>
              <w:t>265,338</w:t>
            </w:r>
          </w:p>
        </w:tc>
        <w:tc>
          <w:tcPr>
            <w:tcW w:w="60" w:type="dxa"/>
            <w:vAlign w:val="bottom"/>
          </w:tcPr>
          <w:p>
            <w:pPr>
              <w:spacing w:after="0"/>
              <w:rPr>
                <w:sz w:val="18"/>
                <w:szCs w:val="18"/>
                <w:color w:val="auto"/>
              </w:rPr>
            </w:pPr>
          </w:p>
        </w:tc>
      </w:tr>
      <w:tr>
        <w:trPr>
          <w:trHeight w:val="244"/>
        </w:trPr>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(83,676)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(83,676)</w:t>
            </w: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105,828</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182,957</w:t>
            </w:r>
          </w:p>
        </w:tc>
        <w:tc>
          <w:tcPr>
            <w:tcW w:w="60" w:type="dxa"/>
            <w:vAlign w:val="bottom"/>
          </w:tcPr>
          <w:p>
            <w:pPr>
              <w:spacing w:after="0"/>
              <w:rPr>
                <w:sz w:val="18"/>
                <w:szCs w:val="18"/>
                <w:color w:val="auto"/>
              </w:rPr>
            </w:pPr>
          </w:p>
        </w:tc>
      </w:tr>
      <w:tr>
        <w:trPr>
          <w:trHeight w:val="223"/>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105,828</w:t>
            </w: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182,957</w:t>
            </w:r>
          </w:p>
        </w:tc>
        <w:tc>
          <w:tcPr>
            <w:tcW w:w="60" w:type="dxa"/>
            <w:vAlign w:val="bottom"/>
          </w:tcPr>
          <w:p>
            <w:pPr>
              <w:spacing w:after="0"/>
              <w:rPr>
                <w:sz w:val="19"/>
                <w:szCs w:val="19"/>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360"/>
            <w:col w:w="2780"/>
          </w:cols>
          <w:pgMar w:left="240" w:top="580" w:right="259" w:bottom="1440" w:gutter="0" w:footer="0" w:header="0"/>
          <w:type w:val="continuous"/>
        </w:sectPr>
      </w:pPr>
    </w:p>
    <w:p>
      <w:pPr>
        <w:spacing w:after="0" w:line="2"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number of common shares in the table above excludes 1,594,943 of our common shares issuable upon the exercise of options, non-vested restricted shares and non-vested restricted share units outstanding under our existing equity incentive plans at a weighted-average exercise price of CHF 3.52 per common share.</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40" w:firstLine="415"/>
        <w:spacing w:after="0" w:line="277" w:lineRule="auto"/>
        <w:rPr>
          <w:sz w:val="20"/>
          <w:szCs w:val="20"/>
          <w:color w:val="auto"/>
        </w:rPr>
      </w:pPr>
      <w:r>
        <w:rPr>
          <w:rFonts w:ascii="Arial" w:cs="Arial" w:eastAsia="Arial" w:hAnsi="Arial"/>
          <w:sz w:val="18"/>
          <w:szCs w:val="18"/>
          <w:color w:val="auto"/>
        </w:rPr>
        <w:t>If you invest in our common shares in this offering, your ownership interest will be diluted immediately to the extent of the difference between the price you pay in this offering and the net tangible book value per common share after this offering.</w:t>
      </w:r>
    </w:p>
    <w:p>
      <w:pPr>
        <w:spacing w:after="0" w:line="170" w:lineRule="exact"/>
        <w:rPr>
          <w:sz w:val="20"/>
          <w:szCs w:val="20"/>
          <w:color w:val="auto"/>
        </w:rPr>
      </w:pPr>
    </w:p>
    <w:p>
      <w:pPr>
        <w:ind w:right="100" w:firstLine="416"/>
        <w:spacing w:after="0" w:line="286" w:lineRule="auto"/>
        <w:rPr>
          <w:sz w:val="20"/>
          <w:szCs w:val="20"/>
          <w:color w:val="auto"/>
        </w:rPr>
      </w:pPr>
      <w:r>
        <w:rPr>
          <w:rFonts w:ascii="Arial" w:cs="Arial" w:eastAsia="Arial" w:hAnsi="Arial"/>
          <w:sz w:val="17"/>
          <w:szCs w:val="17"/>
          <w:color w:val="auto"/>
        </w:rPr>
        <w:t>Our net tangible book value as of March 31, 2018 was $111.0 million (CHF 105.8 million), or $1.94 per common share (CHF 1.84 per common share), based on 57,362,690 common shares then outstanding. Net tangible book value per share represents the amount of our total assets less our total liabilities, excluding intangible assets, divided by 57,362,690, the total number of our common shares issued and outstanding at March 31, 2018.</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After giving effect to the sale by us of 7,391,305 common shares in this offering at the Offering Price of $11.75 per share, less the underwriting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discounts and estimated offering expenses payable by us, and assuming that none of the pre-emptive subscription rights offered to existing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First Rights Offering and the Second Rights Offering are exercised, our net tangible book value at March 31, 2018 would have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$191.9 million, or $2.96 per common share. This represents an immediate increase in net tangible book value of $1.03 per share to existing shareholders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immediate dilution of $8.79 per share to investors in this offering. The following table illustrates this per share dilution: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2740" w:type="dxa"/>
            <w:vAlign w:val="bottom"/>
            <w:gridSpan w:val="3"/>
          </w:tcPr>
          <w:p>
            <w:pPr>
              <w:ind w:left="1500"/>
              <w:spacing w:after="0"/>
              <w:rPr>
                <w:sz w:val="20"/>
                <w:szCs w:val="20"/>
                <w:color w:val="auto"/>
              </w:rPr>
            </w:pPr>
            <w:r>
              <w:rPr>
                <w:rFonts w:ascii="Arial" w:cs="Arial" w:eastAsia="Arial" w:hAnsi="Arial"/>
                <w:sz w:val="18"/>
                <w:szCs w:val="18"/>
                <w:b w:val="1"/>
                <w:bCs w:val="1"/>
                <w:color w:val="auto"/>
              </w:rPr>
              <w:t>(in USD)</w:t>
            </w: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(in CHF)</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D5EAEA"/>
          </w:tcPr>
          <w:p>
            <w:pPr>
              <w:spacing w:after="0"/>
              <w:rPr>
                <w:sz w:val="20"/>
                <w:szCs w:val="20"/>
                <w:color w:val="auto"/>
              </w:rPr>
            </w:pPr>
            <w:r>
              <w:rPr>
                <w:rFonts w:ascii="Arial" w:cs="Arial" w:eastAsia="Arial" w:hAnsi="Arial"/>
                <w:sz w:val="18"/>
                <w:szCs w:val="18"/>
                <w:color w:val="auto"/>
              </w:rPr>
              <w:t>Public offering price per share</w:t>
            </w:r>
          </w:p>
        </w:tc>
        <w:tc>
          <w:tcPr>
            <w:tcW w:w="2160" w:type="dxa"/>
            <w:vAlign w:val="bottom"/>
            <w:gridSpan w:val="2"/>
            <w:shd w:val="clear" w:color="auto" w:fill="D5EAEA"/>
          </w:tcPr>
          <w:p>
            <w:pPr>
              <w:jc w:val="center"/>
              <w:ind w:left="1410"/>
              <w:spacing w:after="0"/>
              <w:rPr>
                <w:sz w:val="20"/>
                <w:szCs w:val="20"/>
                <w:color w:val="auto"/>
              </w:rPr>
            </w:pPr>
            <w:r>
              <w:rPr>
                <w:rFonts w:ascii="Arial" w:cs="Arial" w:eastAsia="Arial" w:hAnsi="Arial"/>
                <w:sz w:val="18"/>
                <w:szCs w:val="18"/>
                <w:color w:val="auto"/>
                <w:w w:val="84"/>
              </w:rPr>
              <w:t>11.75</w:t>
            </w:r>
          </w:p>
        </w:tc>
        <w:tc>
          <w:tcPr>
            <w:tcW w:w="58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11.20</w:t>
            </w:r>
          </w:p>
        </w:tc>
        <w:tc>
          <w:tcPr>
            <w:tcW w:w="2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Historical net tangible book value per share as of March 31, 2018</w:t>
            </w:r>
          </w:p>
        </w:tc>
        <w:tc>
          <w:tcPr>
            <w:tcW w:w="2160" w:type="dxa"/>
            <w:vAlign w:val="bottom"/>
            <w:gridSpan w:val="2"/>
          </w:tcPr>
          <w:p>
            <w:pPr>
              <w:jc w:val="center"/>
              <w:ind w:left="1410"/>
              <w:spacing w:after="0"/>
              <w:rPr>
                <w:sz w:val="20"/>
                <w:szCs w:val="20"/>
                <w:color w:val="auto"/>
              </w:rPr>
            </w:pPr>
            <w:r>
              <w:rPr>
                <w:rFonts w:ascii="Arial" w:cs="Arial" w:eastAsia="Arial" w:hAnsi="Arial"/>
                <w:sz w:val="18"/>
                <w:szCs w:val="18"/>
                <w:color w:val="auto"/>
                <w:w w:val="85"/>
              </w:rPr>
              <w:t>1.94</w:t>
            </w:r>
          </w:p>
        </w:tc>
        <w:tc>
          <w:tcPr>
            <w:tcW w:w="5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1.84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D5EAEA"/>
          </w:tcPr>
          <w:p>
            <w:pPr>
              <w:ind w:left="380"/>
              <w:spacing w:after="0"/>
              <w:rPr>
                <w:sz w:val="20"/>
                <w:szCs w:val="20"/>
                <w:color w:val="auto"/>
              </w:rPr>
            </w:pPr>
            <w:r>
              <w:rPr>
                <w:rFonts w:ascii="Arial" w:cs="Arial" w:eastAsia="Arial" w:hAnsi="Arial"/>
                <w:sz w:val="18"/>
                <w:szCs w:val="18"/>
                <w:color w:val="auto"/>
              </w:rPr>
              <w:t>Increase per share attributable to new investors purchasing shares in this offering</w:t>
            </w:r>
          </w:p>
        </w:tc>
        <w:tc>
          <w:tcPr>
            <w:tcW w:w="2160" w:type="dxa"/>
            <w:vAlign w:val="bottom"/>
            <w:gridSpan w:val="2"/>
            <w:shd w:val="clear" w:color="auto" w:fill="D5EAEA"/>
          </w:tcPr>
          <w:p>
            <w:pPr>
              <w:jc w:val="center"/>
              <w:ind w:left="1410"/>
              <w:spacing w:after="0"/>
              <w:rPr>
                <w:sz w:val="20"/>
                <w:szCs w:val="20"/>
                <w:color w:val="auto"/>
              </w:rPr>
            </w:pPr>
            <w:r>
              <w:rPr>
                <w:rFonts w:ascii="Arial" w:cs="Arial" w:eastAsia="Arial" w:hAnsi="Arial"/>
                <w:sz w:val="18"/>
                <w:szCs w:val="18"/>
                <w:color w:val="auto"/>
                <w:w w:val="85"/>
              </w:rPr>
              <w:t>1.03</w:t>
            </w:r>
          </w:p>
        </w:tc>
        <w:tc>
          <w:tcPr>
            <w:tcW w:w="58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0.98</w:t>
            </w:r>
          </w:p>
        </w:tc>
        <w:tc>
          <w:tcPr>
            <w:tcW w:w="2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80"/>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2160" w:type="dxa"/>
            <w:vAlign w:val="bottom"/>
            <w:gridSpan w:val="2"/>
          </w:tcPr>
          <w:p>
            <w:pPr>
              <w:jc w:val="center"/>
              <w:ind w:left="1410"/>
              <w:spacing w:after="0"/>
              <w:rPr>
                <w:sz w:val="20"/>
                <w:szCs w:val="20"/>
                <w:color w:val="auto"/>
              </w:rPr>
            </w:pPr>
            <w:r>
              <w:rPr>
                <w:rFonts w:ascii="Arial" w:cs="Arial" w:eastAsia="Arial" w:hAnsi="Arial"/>
                <w:sz w:val="18"/>
                <w:szCs w:val="18"/>
                <w:color w:val="auto"/>
                <w:w w:val="85"/>
              </w:rPr>
              <w:t>2.96</w:t>
            </w:r>
          </w:p>
        </w:tc>
        <w:tc>
          <w:tcPr>
            <w:tcW w:w="5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2.83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D5EAEA"/>
          </w:tcPr>
          <w:p>
            <w:pPr>
              <w:ind w:left="380"/>
              <w:spacing w:after="0"/>
              <w:rPr>
                <w:sz w:val="20"/>
                <w:szCs w:val="20"/>
                <w:color w:val="auto"/>
              </w:rPr>
            </w:pPr>
            <w:r>
              <w:rPr>
                <w:rFonts w:ascii="Arial" w:cs="Arial" w:eastAsia="Arial" w:hAnsi="Arial"/>
                <w:sz w:val="18"/>
                <w:szCs w:val="18"/>
                <w:color w:val="auto"/>
              </w:rPr>
              <w:t>Dilution per share to new investors</w:t>
            </w:r>
          </w:p>
        </w:tc>
        <w:tc>
          <w:tcPr>
            <w:tcW w:w="2160" w:type="dxa"/>
            <w:vAlign w:val="bottom"/>
            <w:gridSpan w:val="2"/>
            <w:shd w:val="clear" w:color="auto" w:fill="D5EAEA"/>
          </w:tcPr>
          <w:p>
            <w:pPr>
              <w:jc w:val="center"/>
              <w:ind w:left="1410"/>
              <w:spacing w:after="0"/>
              <w:rPr>
                <w:sz w:val="20"/>
                <w:szCs w:val="20"/>
                <w:color w:val="auto"/>
              </w:rPr>
            </w:pPr>
            <w:r>
              <w:rPr>
                <w:rFonts w:ascii="Arial" w:cs="Arial" w:eastAsia="Arial" w:hAnsi="Arial"/>
                <w:sz w:val="18"/>
                <w:szCs w:val="18"/>
                <w:color w:val="auto"/>
                <w:w w:val="85"/>
              </w:rPr>
              <w:t>8.79</w:t>
            </w:r>
          </w:p>
        </w:tc>
        <w:tc>
          <w:tcPr>
            <w:tcW w:w="580" w:type="dxa"/>
            <w:vAlign w:val="bottom"/>
            <w:shd w:val="clear" w:color="auto" w:fill="D5EAEA"/>
          </w:tcPr>
          <w:p>
            <w:pPr>
              <w:spacing w:after="0"/>
              <w:rPr>
                <w:sz w:val="18"/>
                <w:szCs w:val="18"/>
                <w:color w:val="auto"/>
              </w:rPr>
            </w:pPr>
          </w:p>
        </w:tc>
        <w:tc>
          <w:tcPr>
            <w:tcW w:w="68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91"/>
              </w:rPr>
              <w:t>8.37</w:t>
            </w:r>
          </w:p>
        </w:tc>
        <w:tc>
          <w:tcPr>
            <w:tcW w:w="2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Percentage of dilution in net tangible book value per common share for new investors</w:t>
            </w:r>
          </w:p>
        </w:tc>
        <w:tc>
          <w:tcPr>
            <w:tcW w:w="2160" w:type="dxa"/>
            <w:vAlign w:val="bottom"/>
            <w:gridSpan w:val="2"/>
          </w:tcPr>
          <w:p>
            <w:pPr>
              <w:jc w:val="center"/>
              <w:ind w:left="1410"/>
              <w:spacing w:after="0"/>
              <w:rPr>
                <w:sz w:val="20"/>
                <w:szCs w:val="20"/>
                <w:color w:val="auto"/>
              </w:rPr>
            </w:pPr>
            <w:r>
              <w:rPr>
                <w:rFonts w:ascii="Arial" w:cs="Arial" w:eastAsia="Arial" w:hAnsi="Arial"/>
                <w:sz w:val="18"/>
                <w:szCs w:val="18"/>
                <w:color w:val="auto"/>
                <w:w w:val="88"/>
              </w:rPr>
              <w:t>74.77%</w:t>
            </w:r>
          </w:p>
        </w:tc>
        <w:tc>
          <w:tcPr>
            <w:tcW w:w="5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74.77%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16"/>
        <w:spacing w:after="0" w:line="288" w:lineRule="auto"/>
        <w:rPr>
          <w:sz w:val="20"/>
          <w:szCs w:val="20"/>
          <w:color w:val="auto"/>
        </w:rPr>
      </w:pPr>
      <w:r>
        <w:rPr>
          <w:rFonts w:ascii="Arial" w:cs="Arial" w:eastAsia="Arial" w:hAnsi="Arial"/>
          <w:sz w:val="16"/>
          <w:szCs w:val="16"/>
          <w:color w:val="auto"/>
        </w:rPr>
        <w:t>Swiss Franc amounts have been translated into U.S. dollars at a rate of CHF 0.9532 to USD 1.00, the official exchange rate quoted as of March 31, 2018 by the U.S. Federal Reserve Bank. Such U.S. dollar amounts are not necessarily indicative of the amounts of U.S. dollars that could actually have been purchased upon exchange of Swiss Francs on March 31, 2018 and have been provided solely for the convenience of the reader. The above table assumes that</w:t>
      </w:r>
    </w:p>
    <w:p>
      <w:pPr>
        <w:ind w:right="100" w:firstLine="8"/>
        <w:spacing w:after="0" w:line="261"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subscription rights offered to existing shareholders pursuant to the First Rights Offering were, and pursuant to the Second Rights Offering are, exercised, and (ii) the underwriters’ option to purchase additional shares in this offering has not been exercised.</w:t>
      </w:r>
    </w:p>
    <w:p>
      <w:pPr>
        <w:spacing w:after="0" w:line="184" w:lineRule="exact"/>
        <w:rPr>
          <w:sz w:val="20"/>
          <w:szCs w:val="20"/>
          <w:color w:val="auto"/>
        </w:rPr>
      </w:pPr>
    </w:p>
    <w:p>
      <w:pPr>
        <w:ind w:right="120" w:firstLine="416"/>
        <w:spacing w:after="0" w:line="264" w:lineRule="auto"/>
        <w:rPr>
          <w:sz w:val="20"/>
          <w:szCs w:val="20"/>
          <w:color w:val="auto"/>
        </w:rPr>
      </w:pPr>
      <w:r>
        <w:rPr>
          <w:rFonts w:ascii="Arial" w:cs="Arial" w:eastAsia="Arial" w:hAnsi="Arial"/>
          <w:sz w:val="18"/>
          <w:szCs w:val="18"/>
          <w:color w:val="auto"/>
        </w:rPr>
        <w:t>The calculations above are based on 57,362,690 common shares outstanding as of March 31, 2018, but exclude 1,594,943 of our common shares issuable upon the exercise of options, non-vested restricted shares and non-vested restricted share units outstanding under our existing equity incentive plans at a weighted-average exercise price of CHF 3.52 per common share.</w:t>
      </w:r>
    </w:p>
    <w:p>
      <w:pPr>
        <w:spacing w:after="0" w:line="181" w:lineRule="exact"/>
        <w:rPr>
          <w:sz w:val="20"/>
          <w:szCs w:val="20"/>
          <w:color w:val="auto"/>
        </w:rPr>
      </w:pPr>
    </w:p>
    <w:p>
      <w:pPr>
        <w:ind w:right="100" w:firstLine="416"/>
        <w:spacing w:after="0" w:line="264"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shareholders.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SUBSCRIPTION RIGHTS OFFERINGS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First Rights Offering</w:t>
      </w:r>
    </w:p>
    <w:p>
      <w:pPr>
        <w:spacing w:after="0" w:line="229" w:lineRule="exact"/>
        <w:rPr>
          <w:sz w:val="20"/>
          <w:szCs w:val="20"/>
          <w:color w:val="auto"/>
        </w:rPr>
      </w:pPr>
    </w:p>
    <w:p>
      <w:pPr>
        <w:ind w:right="120" w:firstLine="416"/>
        <w:spacing w:after="0" w:line="308" w:lineRule="auto"/>
        <w:rPr>
          <w:sz w:val="20"/>
          <w:szCs w:val="20"/>
          <w:color w:val="auto"/>
        </w:rPr>
      </w:pPr>
      <w:r>
        <w:rPr>
          <w:rFonts w:ascii="Arial" w:cs="Arial" w:eastAsia="Arial" w:hAnsi="Arial"/>
          <w:sz w:val="17"/>
          <w:szCs w:val="17"/>
          <w:color w:val="auto"/>
        </w:rPr>
        <w:t>The First Rights Offering may have an impact on the accelerated book-building process, the determination of the Offering Price for the Offered Shares and the number of Offered Shares that may be offered and sold in the Public Offering to which this prospectus supplement relates.</w:t>
      </w:r>
    </w:p>
    <w:p>
      <w:pPr>
        <w:spacing w:after="0" w:line="147" w:lineRule="exact"/>
        <w:rPr>
          <w:sz w:val="20"/>
          <w:szCs w:val="20"/>
          <w:color w:val="auto"/>
        </w:rPr>
      </w:pPr>
    </w:p>
    <w:p>
      <w:pPr>
        <w:ind w:firstLine="416"/>
        <w:spacing w:after="0" w:line="276" w:lineRule="auto"/>
        <w:rPr>
          <w:sz w:val="20"/>
          <w:szCs w:val="20"/>
          <w:color w:val="auto"/>
        </w:rPr>
      </w:pPr>
      <w:r>
        <w:rPr>
          <w:rFonts w:ascii="Arial" w:cs="Arial" w:eastAsia="Arial" w:hAnsi="Arial"/>
          <w:sz w:val="17"/>
          <w:szCs w:val="17"/>
          <w:color w:val="auto"/>
        </w:rPr>
        <w:t xml:space="preserve">Under Swiss law and pursuant to the resolution by the extraordinary shareholders’ meeting held on April 27, 2018, our existing shareholders are entitled to statutory pre-emptive subscription rights to subscribe for the Offered Shares in proportion to their existing shareholdings. As a result, we commenced, concurrently with the Public Offering, a pre-emptive subscription rights offering to our Record Shareholders, who had the opportunity to subscribe for up to 8,500,000 Offered Shares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at the Offering Price. Offered Shares for which our Record Shareholders exercised their pre-emptive subscription rights, if any, have not been available for allocation in the Public Offering.</w:t>
      </w:r>
    </w:p>
    <w:p>
      <w:pPr>
        <w:spacing w:after="0" w:line="173" w:lineRule="exact"/>
        <w:rPr>
          <w:sz w:val="20"/>
          <w:szCs w:val="20"/>
          <w:color w:val="auto"/>
        </w:rPr>
      </w:pPr>
    </w:p>
    <w:p>
      <w:pPr>
        <w:jc w:val="both"/>
        <w:ind w:right="60" w:firstLine="416"/>
        <w:spacing w:after="0" w:line="286" w:lineRule="auto"/>
        <w:rPr>
          <w:sz w:val="20"/>
          <w:szCs w:val="20"/>
          <w:color w:val="auto"/>
        </w:rPr>
      </w:pPr>
      <w:r>
        <w:rPr>
          <w:rFonts w:ascii="Arial" w:cs="Arial" w:eastAsia="Arial" w:hAnsi="Arial"/>
          <w:sz w:val="17"/>
          <w:szCs w:val="17"/>
          <w:color w:val="auto"/>
        </w:rPr>
        <w:t>Each Record Shareholder was entitled to one pre-emptive subscription right for each existing common share held by such Record Shareholder after the close of trading on The Nasdaq Global Market on July 2, 2018. Accordingly, such Record Shareholder had the right, during the subscription period described below, to subscribe for one Offered Share for every 6.74 pre-emptive subscription rights held by such Record Shareholder.</w:t>
      </w:r>
    </w:p>
    <w:p>
      <w:pPr>
        <w:spacing w:after="0" w:line="166"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Record Shareholders had the opportunity to exercise their pre-emptive subscription rights to acquire the Offered Shares during the subscription period from 4:00 p.m. (New York City time) on July 17, 2018 to 4:00 p.m. (New York City time) on July 18, 2018. Record Shareholders had to exercise their pre-emptive subscription rights before the end of such subscription period. We reserved the right to suspend or extend the subscription period for the First Rights Offering.</w:t>
      </w:r>
    </w:p>
    <w:p>
      <w:pPr>
        <w:spacing w:after="0" w:line="187" w:lineRule="exact"/>
        <w:rPr>
          <w:sz w:val="20"/>
          <w:szCs w:val="20"/>
          <w:color w:val="auto"/>
        </w:rPr>
      </w:pPr>
    </w:p>
    <w:p>
      <w:pPr>
        <w:ind w:right="60" w:firstLine="416"/>
        <w:spacing w:after="0" w:line="272" w:lineRule="auto"/>
        <w:rPr>
          <w:sz w:val="20"/>
          <w:szCs w:val="20"/>
          <w:color w:val="auto"/>
        </w:rPr>
      </w:pPr>
      <w:r>
        <w:rPr>
          <w:rFonts w:ascii="Arial" w:cs="Arial" w:eastAsia="Arial" w:hAnsi="Arial"/>
          <w:sz w:val="17"/>
          <w:szCs w:val="17"/>
          <w:color w:val="auto"/>
        </w:rPr>
        <w:t>Any pre-emptive subscription rights that were not validly exercised prior to the end of the subscription period expired and have become null and void without compensation. The underwriters may withdraw, cancel or modify any orders of a Record Shareholder who elected to participate in the First Rights Offering if such shareholder, or its bank, broker or other intermediary, respectively, does not have a brokerage account with the underwriters or any of their affiliates which prevents the ability of the underwriters to timely verify the eligibility of such Record Shareholder or to execute the order from such Record Shareholder. Each exercise of pre-emptive subscription rights in the First Rights Offering, if any, is effective at the Offering Price, is irrevocable and may not be cancelled, modified, rescinded or withdrawn. We accepted subscriptions for whole Offered Shares only and rounded down any subscription submitted for fractional Offered Shares to the nearest whole number of Offered Shares.</w:t>
      </w:r>
    </w:p>
    <w:p>
      <w:pPr>
        <w:spacing w:after="0" w:line="178" w:lineRule="exact"/>
        <w:rPr>
          <w:sz w:val="20"/>
          <w:szCs w:val="20"/>
          <w:color w:val="auto"/>
        </w:rPr>
      </w:pPr>
    </w:p>
    <w:p>
      <w:pPr>
        <w:ind w:right="240" w:firstLine="416"/>
        <w:spacing w:after="0" w:line="302" w:lineRule="auto"/>
        <w:rPr>
          <w:sz w:val="20"/>
          <w:szCs w:val="20"/>
          <w:color w:val="auto"/>
        </w:rPr>
      </w:pPr>
      <w:r>
        <w:rPr>
          <w:rFonts w:ascii="Arial" w:cs="Arial" w:eastAsia="Arial" w:hAnsi="Arial"/>
          <w:sz w:val="16"/>
          <w:szCs w:val="16"/>
          <w:color w:val="auto"/>
        </w:rPr>
        <w:t>Our Record Shareholders also had pre-emptive subscription rights, and the opportunity to exercise such pre-emptive subscription rights during the subscription period for the First Rights Offering, with respect to the Option Shares that are available to the underwriters under the option described herein. New shareholders that purchase common shares in the Public Offering neither have pre-emptive subscription rights with respect to the Option Shares to be sold pursuant to the option by the underwriters nor will have pre-emptive subscription rights in the Second Rights Offering.</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pre-emptive subscription rights have neither been listed on any securities exchange nor were tradeable.</w:t>
      </w:r>
    </w:p>
    <w:p>
      <w:pPr>
        <w:spacing w:after="0" w:line="225" w:lineRule="exact"/>
        <w:rPr>
          <w:sz w:val="20"/>
          <w:szCs w:val="20"/>
          <w:color w:val="auto"/>
        </w:rPr>
      </w:pPr>
    </w:p>
    <w:p>
      <w:pPr>
        <w:ind w:right="80" w:firstLine="416"/>
        <w:spacing w:after="0" w:line="259" w:lineRule="auto"/>
        <w:rPr>
          <w:sz w:val="20"/>
          <w:szCs w:val="20"/>
          <w:color w:val="auto"/>
        </w:rPr>
      </w:pPr>
      <w:r>
        <w:rPr>
          <w:rFonts w:ascii="Arial" w:cs="Arial" w:eastAsia="Arial" w:hAnsi="Arial"/>
          <w:sz w:val="18"/>
          <w:szCs w:val="18"/>
          <w:color w:val="auto"/>
        </w:rPr>
        <w:t>Any eligible Record Shareholder interested in participating in the First Rights Offering should have directed the bank, broker or other intermediary administering its securities account to which such eligible Record Shareholder’s existing common shares are credited to contact the Syndicate Department of Jefferies LLC by calling +1 (212) 284-2342 prior to the expiration of the subscription period and indicated how many pre-emptive subscription rights such Record Shareholder wishes to exercise.</w:t>
      </w:r>
    </w:p>
    <w:p>
      <w:pPr>
        <w:spacing w:after="0" w:line="187" w:lineRule="exact"/>
        <w:rPr>
          <w:sz w:val="20"/>
          <w:szCs w:val="20"/>
          <w:color w:val="auto"/>
        </w:rPr>
      </w:pPr>
    </w:p>
    <w:p>
      <w:pPr>
        <w:ind w:right="140" w:firstLine="416"/>
        <w:spacing w:after="0" w:line="264" w:lineRule="auto"/>
        <w:rPr>
          <w:sz w:val="20"/>
          <w:szCs w:val="20"/>
          <w:color w:val="auto"/>
        </w:rPr>
      </w:pPr>
      <w:r>
        <w:rPr>
          <w:rFonts w:ascii="Arial" w:cs="Arial" w:eastAsia="Arial" w:hAnsi="Arial"/>
          <w:sz w:val="18"/>
          <w:szCs w:val="18"/>
          <w:color w:val="auto"/>
        </w:rPr>
        <w:t>At the extraordinary shareholders’ meeting held on April 27, 2018, our shareholders approved an ordinary capital increase of up to 8,500,000 common shares. The First Rights Offering and the Public Offering are carried out based on this approved ordinary capital increase. The wording of the resolutions pertaining to the First Rights Offering and the Public Offering as approved by our shareholders is the following:</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0" w:name="page31"/>
    <w:bookmarkEnd w:id="30"/>
    <w:p>
      <w:pPr>
        <w:ind w:left="1060" w:right="46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 capital of the Company is increased by way of an ordinary increase by up to CHF 170,000 by issuing up to 8,500,000 registered shares with a nominal value of CHF 0.02 each;</w:t>
      </w:r>
    </w:p>
    <w:p>
      <w:pPr>
        <w:spacing w:after="0" w:line="170" w:lineRule="exact"/>
        <w:rPr>
          <w:rFonts w:ascii="Arial" w:cs="Arial" w:eastAsia="Arial" w:hAnsi="Arial"/>
          <w:sz w:val="18"/>
          <w:szCs w:val="18"/>
          <w:color w:val="auto"/>
        </w:rPr>
      </w:pPr>
    </w:p>
    <w:p>
      <w:pPr>
        <w:ind w:left="1060" w:right="20" w:hanging="323"/>
        <w:spacing w:after="0" w:line="286"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pre-emptive subscription rights of the shareholders for the newly issued registered shares shall be preserved; the Board of Directors shall be entitled to publish the subscription price by electronic media including press release and e-mail and to limit the subscription period to one business day; any new shares not subscribed shall be allocated by the Board of Directors at its discretion;</w:t>
      </w:r>
    </w:p>
    <w:p>
      <w:pPr>
        <w:spacing w:after="0" w:line="165" w:lineRule="exact"/>
        <w:rPr>
          <w:rFonts w:ascii="Arial" w:cs="Arial" w:eastAsia="Arial" w:hAnsi="Arial"/>
          <w:sz w:val="17"/>
          <w:szCs w:val="17"/>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technical issuance price of the new shares to be paid in cash shall be determined by the Board of Directors;</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shares are entitled to dividends for the business year starting January 1, 2018;</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new shares are subject to the transfer restrictions as outlined in article 4 of the articles of association;</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stamp duty shall be paid by the Company; and</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Board of Directors is authorized and instructed to implement and register this capital increase with the competent commercial register.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Offered Shares</w:t>
      </w:r>
    </w:p>
    <w:p>
      <w:pPr>
        <w:spacing w:after="0" w:line="229"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 xml:space="preserve">The Offered Shares will have a nominal value of CHF 0.02 each. We will issue the Offered Shares in an ordinary share capital increase against cash contributions approved by our shareholders at the extraordinary shareholders’ meeting held on April 27, 2018. The Offered Shares will be fully fungible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each other and with all of our existing common shares. The Offered Shares are subject to the transfer restrictions as set forth in article 4 of our articles of association.</w:t>
      </w:r>
    </w:p>
    <w:p>
      <w:pPr>
        <w:spacing w:after="0" w:line="187" w:lineRule="exact"/>
        <w:rPr>
          <w:sz w:val="20"/>
          <w:szCs w:val="20"/>
          <w:color w:val="auto"/>
        </w:rPr>
      </w:pPr>
    </w:p>
    <w:p>
      <w:pPr>
        <w:ind w:right="20" w:firstLine="416"/>
        <w:spacing w:after="0" w:line="259" w:lineRule="auto"/>
        <w:rPr>
          <w:sz w:val="20"/>
          <w:szCs w:val="20"/>
          <w:color w:val="auto"/>
        </w:rPr>
      </w:pPr>
      <w:r>
        <w:rPr>
          <w:rFonts w:ascii="Arial" w:cs="Arial" w:eastAsia="Arial" w:hAnsi="Arial"/>
          <w:sz w:val="18"/>
          <w:szCs w:val="18"/>
          <w:color w:val="auto"/>
        </w:rPr>
        <w:t>The Offered Shares will be issued as uncertificated securities (</w:t>
      </w:r>
      <w:r>
        <w:rPr>
          <w:rFonts w:ascii="Arial" w:cs="Arial" w:eastAsia="Arial" w:hAnsi="Arial"/>
          <w:sz w:val="18"/>
          <w:szCs w:val="18"/>
          <w:i w:val="1"/>
          <w:iCs w:val="1"/>
          <w:color w:val="auto"/>
        </w:rPr>
        <w:t>droits-valeurs</w:t>
      </w:r>
      <w:r>
        <w:rPr>
          <w:rFonts w:ascii="Arial" w:cs="Arial" w:eastAsia="Arial" w:hAnsi="Arial"/>
          <w:sz w:val="18"/>
          <w:szCs w:val="18"/>
          <w:color w:val="auto"/>
        </w:rPr>
        <w:t>, within the meaning of Article 973c of the Swiss Code of Obligations) and, when administered by a financial intermediary (</w:t>
      </w:r>
      <w:r>
        <w:rPr>
          <w:rFonts w:ascii="Arial" w:cs="Arial" w:eastAsia="Arial" w:hAnsi="Arial"/>
          <w:sz w:val="18"/>
          <w:szCs w:val="18"/>
          <w:i w:val="1"/>
          <w:iCs w:val="1"/>
          <w:color w:val="auto"/>
        </w:rPr>
        <w:t>dépositaire</w:t>
      </w:r>
      <w:r>
        <w:rPr>
          <w:rFonts w:ascii="Arial" w:cs="Arial" w:eastAsia="Arial" w:hAnsi="Arial"/>
          <w:sz w:val="18"/>
          <w:szCs w:val="18"/>
          <w:color w:val="auto"/>
        </w:rPr>
        <w:t>, within the meaning of the Federal Act on Intermediated Securities, “FISA”), qualify as intermediated securities (</w:t>
      </w:r>
      <w:r>
        <w:rPr>
          <w:rFonts w:ascii="Arial" w:cs="Arial" w:eastAsia="Arial" w:hAnsi="Arial"/>
          <w:sz w:val="18"/>
          <w:szCs w:val="18"/>
          <w:i w:val="1"/>
          <w:iCs w:val="1"/>
          <w:color w:val="auto"/>
        </w:rPr>
        <w:t>titres intermédiés</w:t>
      </w:r>
      <w:r>
        <w:rPr>
          <w:rFonts w:ascii="Arial" w:cs="Arial" w:eastAsia="Arial" w:hAnsi="Arial"/>
          <w:sz w:val="18"/>
          <w:szCs w:val="18"/>
          <w:color w:val="auto"/>
        </w:rPr>
        <w:t>, within the meaning of the FISA). The Offered Shares will be registered in our non-public register of uncertificated securities (</w:t>
      </w:r>
      <w:r>
        <w:rPr>
          <w:rFonts w:ascii="Arial" w:cs="Arial" w:eastAsia="Arial" w:hAnsi="Arial"/>
          <w:sz w:val="18"/>
          <w:szCs w:val="18"/>
          <w:i w:val="1"/>
          <w:iCs w:val="1"/>
          <w:color w:val="auto"/>
        </w:rPr>
        <w:t>registre des droits-valeurs</w:t>
      </w:r>
      <w:r>
        <w:rPr>
          <w:rFonts w:ascii="Arial" w:cs="Arial" w:eastAsia="Arial" w:hAnsi="Arial"/>
          <w:sz w:val="18"/>
          <w:szCs w:val="18"/>
          <w:color w:val="auto"/>
        </w:rPr>
        <w:t>).</w:t>
      </w:r>
    </w:p>
    <w:p>
      <w:pPr>
        <w:spacing w:after="0" w:line="187" w:lineRule="exact"/>
        <w:rPr>
          <w:sz w:val="20"/>
          <w:szCs w:val="20"/>
          <w:color w:val="auto"/>
        </w:rPr>
      </w:pPr>
    </w:p>
    <w:p>
      <w:pPr>
        <w:ind w:right="200" w:firstLine="416"/>
        <w:spacing w:after="0" w:line="255" w:lineRule="auto"/>
        <w:rPr>
          <w:sz w:val="20"/>
          <w:szCs w:val="20"/>
          <w:color w:val="auto"/>
        </w:rPr>
      </w:pPr>
      <w:r>
        <w:rPr>
          <w:rFonts w:ascii="Arial" w:cs="Arial" w:eastAsia="Arial" w:hAnsi="Arial"/>
          <w:sz w:val="18"/>
          <w:szCs w:val="18"/>
          <w:color w:val="auto"/>
        </w:rPr>
        <w:t>The price determination for our common shares in the Public Offering and the First Rights Offering was made by agreement between us and the underwriters based on the process for evaluating investor demand known as accelerated book-building. The Offering Price was determined by us and the underwriters after the close of trading on The Nasdaq Global Market on July 18, 2018, on the basis of the number of common shares for which pre-emptive subscription rights were exercised in the First Rights Offering, if any, investor demand resulting from an accelerated book-building procedure, the price on The Nasdaq Global Market for our existing common shares and prevailing market conditions, as further described in the “Underwriting” section of this prospectus supplement.</w:t>
      </w:r>
    </w:p>
    <w:p>
      <w:pPr>
        <w:spacing w:after="0" w:line="193" w:lineRule="exact"/>
        <w:rPr>
          <w:sz w:val="20"/>
          <w:szCs w:val="20"/>
          <w:color w:val="auto"/>
        </w:rPr>
      </w:pPr>
    </w:p>
    <w:p>
      <w:pPr>
        <w:ind w:firstLine="416"/>
        <w:spacing w:after="0" w:line="286" w:lineRule="auto"/>
        <w:rPr>
          <w:sz w:val="20"/>
          <w:szCs w:val="20"/>
          <w:color w:val="auto"/>
        </w:rPr>
      </w:pPr>
      <w:r>
        <w:rPr>
          <w:rFonts w:ascii="Arial" w:cs="Arial" w:eastAsia="Arial" w:hAnsi="Arial"/>
          <w:sz w:val="17"/>
          <w:szCs w:val="17"/>
          <w:color w:val="auto"/>
        </w:rPr>
        <w:t>The Offered Shares for which Record Shareholders did not exercise their statutory pre-emptive subscription rights in the First Rights Offering have been available for allocation to institutional investors in the Public Offering. If and to the extent the underwriters do not or not fully exercise their option to purchase the Option Shares, the corresponding number of common shares will be transferred to the Company and will become our treasury shares.</w:t>
      </w:r>
    </w:p>
    <w:p>
      <w:pPr>
        <w:spacing w:after="0" w:line="166" w:lineRule="exact"/>
        <w:rPr>
          <w:sz w:val="20"/>
          <w:szCs w:val="20"/>
          <w:color w:val="auto"/>
        </w:rPr>
      </w:pPr>
    </w:p>
    <w:p>
      <w:pPr>
        <w:ind w:right="320" w:firstLine="416"/>
        <w:spacing w:after="0" w:line="259" w:lineRule="auto"/>
        <w:rPr>
          <w:sz w:val="20"/>
          <w:szCs w:val="20"/>
          <w:color w:val="auto"/>
        </w:rPr>
      </w:pPr>
      <w:r>
        <w:rPr>
          <w:rFonts w:ascii="Arial" w:cs="Arial" w:eastAsia="Arial" w:hAnsi="Arial"/>
          <w:sz w:val="18"/>
          <w:szCs w:val="18"/>
          <w:color w:val="auto"/>
        </w:rPr>
        <w:t>After expiration of the subscription period of the First Rights Offering, the Offered Shares which have been validly subscribed and paid for in accordance with the terms of the Public Offering or the First Rights Offering will be, upon registration of the corresponding share capital increase into the Commercial Register of the Canton of Vaud, validly issued. The delivery of Offered Shares shall be carried out by Computershare Trust Company, N.A. acting as transfer agent and registrar for our common shares.</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The Second Rights Offering</w:t>
      </w:r>
    </w:p>
    <w:p>
      <w:pPr>
        <w:spacing w:after="0" w:line="229" w:lineRule="exact"/>
        <w:rPr>
          <w:sz w:val="20"/>
          <w:szCs w:val="20"/>
          <w:color w:val="auto"/>
        </w:rPr>
      </w:pPr>
    </w:p>
    <w:p>
      <w:pPr>
        <w:jc w:val="both"/>
        <w:ind w:right="240" w:firstLine="416"/>
        <w:spacing w:after="0" w:line="264" w:lineRule="auto"/>
        <w:rPr>
          <w:sz w:val="20"/>
          <w:szCs w:val="20"/>
          <w:color w:val="auto"/>
        </w:rPr>
      </w:pPr>
      <w:r>
        <w:rPr>
          <w:rFonts w:ascii="Arial" w:cs="Arial" w:eastAsia="Arial" w:hAnsi="Arial"/>
          <w:sz w:val="18"/>
          <w:szCs w:val="18"/>
          <w:color w:val="auto"/>
        </w:rPr>
        <w:t>The following is a brief summary of certain terms of the Second Rights Offerings to be conducted for the benefit of our existing shareholders and is included in this prospectus supplement for information purposes only. The following summary does not constitute an offer, and is not to be construed as a solicitation, invitation or offer to buy or sell any securities.</w:t>
      </w:r>
    </w:p>
    <w:p>
      <w:pPr>
        <w:spacing w:after="0" w:line="181" w:lineRule="exact"/>
        <w:rPr>
          <w:sz w:val="20"/>
          <w:szCs w:val="20"/>
          <w:color w:val="auto"/>
        </w:rPr>
      </w:pPr>
    </w:p>
    <w:p>
      <w:pPr>
        <w:ind w:right="200" w:firstLine="416"/>
        <w:spacing w:after="0" w:line="259" w:lineRule="auto"/>
        <w:rPr>
          <w:sz w:val="20"/>
          <w:szCs w:val="20"/>
          <w:color w:val="auto"/>
        </w:rPr>
      </w:pPr>
      <w:r>
        <w:rPr>
          <w:rFonts w:ascii="Arial" w:cs="Arial" w:eastAsia="Arial" w:hAnsi="Arial"/>
          <w:sz w:val="18"/>
          <w:szCs w:val="18"/>
          <w:color w:val="auto"/>
        </w:rPr>
        <w:t>We also intend to commence the Second Rights Offering, pursuant to which existing shareholders will have the opportunity to subscribe for up to 1,500,000 common shares. The Second Rights Offering will begin at 3:00 a.m. (New York City time) on July 20, 2018 and expire at 4:00 p.m. (New York City time) on July 27, 2018. The Second Rights Offering will not be conducted by the underwriters and is not subject to this prospectus supplement which refers to the Second Rights Offering for information purposes only.</w:t>
      </w:r>
    </w:p>
    <w:p>
      <w:pPr>
        <w:spacing w:after="0" w:line="187" w:lineRule="exact"/>
        <w:rPr>
          <w:sz w:val="20"/>
          <w:szCs w:val="20"/>
          <w:color w:val="auto"/>
        </w:rPr>
      </w:pPr>
    </w:p>
    <w:p>
      <w:pPr>
        <w:ind w:firstLine="416"/>
        <w:spacing w:after="0" w:line="308" w:lineRule="auto"/>
        <w:rPr>
          <w:sz w:val="20"/>
          <w:szCs w:val="20"/>
          <w:color w:val="auto"/>
        </w:rPr>
      </w:pPr>
      <w:r>
        <w:rPr>
          <w:rFonts w:ascii="Arial" w:cs="Arial" w:eastAsia="Arial" w:hAnsi="Arial"/>
          <w:sz w:val="17"/>
          <w:szCs w:val="17"/>
          <w:color w:val="auto"/>
        </w:rPr>
        <w:t>Shareholders participating in the Second Rights Offerings will be obligated to pay for the subscription price of the common shares allocated to them on the date determined by Computershare, as subscription agent, which may be any day during the applicable subscription period.</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PRICE RANGE OF COMMON SHARES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common shares of the Company are listed on The Nasdaq Global Market under the symbol “ACIU”.</w:t>
      </w:r>
    </w:p>
    <w:p>
      <w:pPr>
        <w:spacing w:after="0" w:line="225" w:lineRule="exact"/>
        <w:rPr>
          <w:sz w:val="20"/>
          <w:szCs w:val="20"/>
          <w:color w:val="auto"/>
        </w:rPr>
      </w:pPr>
    </w:p>
    <w:p>
      <w:pPr>
        <w:ind w:right="420" w:firstLine="416"/>
        <w:spacing w:after="0" w:line="277" w:lineRule="auto"/>
        <w:rPr>
          <w:sz w:val="20"/>
          <w:szCs w:val="20"/>
          <w:color w:val="auto"/>
        </w:rPr>
      </w:pPr>
      <w:r>
        <w:rPr>
          <w:rFonts w:ascii="Arial" w:cs="Arial" w:eastAsia="Arial" w:hAnsi="Arial"/>
          <w:sz w:val="18"/>
          <w:szCs w:val="18"/>
          <w:color w:val="auto"/>
        </w:rPr>
        <w:t>The following table sets forth the highest and lowest intraday sales prices for the common shares as reported by The Nasdaq Global Market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3"/>
              </w:rPr>
              <w:t>Nasdaq Global Market</w:t>
            </w:r>
          </w:p>
        </w:tc>
        <w:tc>
          <w:tcPr>
            <w:tcW w:w="0" w:type="dxa"/>
            <w:vAlign w:val="bottom"/>
          </w:tcPr>
          <w:p>
            <w:pPr>
              <w:spacing w:after="0"/>
              <w:rPr>
                <w:sz w:val="1"/>
                <w:szCs w:val="1"/>
                <w:color w:val="auto"/>
              </w:rPr>
            </w:pPr>
          </w:p>
        </w:tc>
      </w:tr>
      <w:tr>
        <w:trPr>
          <w:trHeight w:val="217"/>
        </w:trPr>
        <w:tc>
          <w:tcPr>
            <w:tcW w:w="8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High</w:t>
            </w:r>
          </w:p>
        </w:tc>
        <w:tc>
          <w:tcPr>
            <w:tcW w:w="100" w:type="dxa"/>
            <w:vAlign w:val="bottom"/>
            <w:tcBorders>
              <w:bottom w:val="single" w:sz="8" w:color="D5EAEA"/>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 Low</w:t>
            </w:r>
          </w:p>
        </w:tc>
        <w:tc>
          <w:tcPr>
            <w:tcW w:w="0" w:type="dxa"/>
            <w:vAlign w:val="bottom"/>
          </w:tcPr>
          <w:p>
            <w:pPr>
              <w:spacing w:after="0"/>
              <w:rPr>
                <w:sz w:val="1"/>
                <w:szCs w:val="1"/>
                <w:color w:val="auto"/>
              </w:rPr>
            </w:pPr>
          </w:p>
        </w:tc>
      </w:tr>
      <w:tr>
        <w:trPr>
          <w:trHeight w:val="216"/>
        </w:trPr>
        <w:tc>
          <w:tcPr>
            <w:tcW w:w="8500" w:type="dxa"/>
            <w:vAlign w:val="bottom"/>
            <w:shd w:val="clear" w:color="auto" w:fill="D5EAEA"/>
          </w:tcPr>
          <w:p>
            <w:pPr>
              <w:spacing w:after="0"/>
              <w:rPr>
                <w:sz w:val="20"/>
                <w:szCs w:val="20"/>
                <w:color w:val="auto"/>
              </w:rPr>
            </w:pPr>
            <w:r>
              <w:rPr>
                <w:rFonts w:ascii="Arial" w:cs="Arial" w:eastAsia="Arial" w:hAnsi="Arial"/>
                <w:sz w:val="18"/>
                <w:szCs w:val="18"/>
                <w:color w:val="auto"/>
              </w:rPr>
              <w:t>Third Quarter (through July 18, 2018)</w:t>
            </w:r>
          </w:p>
        </w:tc>
        <w:tc>
          <w:tcPr>
            <w:tcW w:w="120" w:type="dxa"/>
            <w:vAlign w:val="bottom"/>
            <w:shd w:val="clear" w:color="auto" w:fill="D5EAEA"/>
          </w:tcPr>
          <w:p>
            <w:pPr>
              <w:spacing w:after="0"/>
              <w:rPr>
                <w:sz w:val="18"/>
                <w:szCs w:val="18"/>
                <w:color w:val="auto"/>
              </w:rPr>
            </w:pPr>
          </w:p>
        </w:tc>
        <w:tc>
          <w:tcPr>
            <w:tcW w:w="480" w:type="dxa"/>
            <w:vAlign w:val="bottom"/>
            <w:shd w:val="clear" w:color="auto" w:fill="D5EAEA"/>
          </w:tcPr>
          <w:p>
            <w:pPr>
              <w:jc w:val="right"/>
              <w:ind w:right="31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Second Quarter</w:t>
            </w:r>
          </w:p>
        </w:tc>
        <w:tc>
          <w:tcPr>
            <w:tcW w:w="600" w:type="dxa"/>
            <w:vAlign w:val="bottom"/>
            <w:gridSpan w:val="2"/>
          </w:tcPr>
          <w:p>
            <w:pPr>
              <w:jc w:val="right"/>
              <w:ind w:right="317"/>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11.24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8500" w:type="dxa"/>
            <w:vAlign w:val="bottom"/>
            <w:shd w:val="clear" w:color="auto" w:fill="D5EAEA"/>
          </w:tcPr>
          <w:p>
            <w:pPr>
              <w:spacing w:after="0"/>
              <w:rPr>
                <w:sz w:val="20"/>
                <w:szCs w:val="20"/>
                <w:color w:val="auto"/>
              </w:rPr>
            </w:pPr>
            <w:r>
              <w:rPr>
                <w:rFonts w:ascii="Arial" w:cs="Arial" w:eastAsia="Arial" w:hAnsi="Arial"/>
                <w:sz w:val="18"/>
                <w:szCs w:val="18"/>
                <w:color w:val="auto"/>
              </w:rPr>
              <w:t>First Quarter</w:t>
            </w:r>
          </w:p>
        </w:tc>
        <w:tc>
          <w:tcPr>
            <w:tcW w:w="600" w:type="dxa"/>
            <w:vAlign w:val="bottom"/>
            <w:gridSpan w:val="2"/>
            <w:shd w:val="clear" w:color="auto" w:fill="D5EAEA"/>
          </w:tcPr>
          <w:p>
            <w:pPr>
              <w:jc w:val="right"/>
              <w:ind w:right="317"/>
              <w:spacing w:after="0"/>
              <w:rPr>
                <w:sz w:val="20"/>
                <w:szCs w:val="20"/>
                <w:color w:val="auto"/>
              </w:rPr>
            </w:pPr>
            <w:r>
              <w:rPr>
                <w:rFonts w:ascii="Arial" w:cs="Arial" w:eastAsia="Arial" w:hAnsi="Arial"/>
                <w:sz w:val="18"/>
                <w:szCs w:val="18"/>
                <w:color w:val="auto"/>
              </w:rPr>
              <w:t>$</w:t>
            </w: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13.91</w:t>
            </w:r>
          </w:p>
        </w:tc>
        <w:tc>
          <w:tcPr>
            <w:tcW w:w="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3"/>
              </w:rPr>
              <w:t>Nasdaq Global Market</w:t>
            </w:r>
          </w:p>
        </w:tc>
        <w:tc>
          <w:tcPr>
            <w:tcW w:w="0" w:type="dxa"/>
            <w:vAlign w:val="bottom"/>
          </w:tcPr>
          <w:p>
            <w:pPr>
              <w:spacing w:after="0"/>
              <w:rPr>
                <w:sz w:val="1"/>
                <w:szCs w:val="1"/>
                <w:color w:val="auto"/>
              </w:rPr>
            </w:pPr>
          </w:p>
        </w:tc>
      </w:tr>
      <w:tr>
        <w:trPr>
          <w:trHeight w:val="210"/>
        </w:trPr>
        <w:tc>
          <w:tcPr>
            <w:tcW w:w="8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High</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 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80" w:type="dxa"/>
            <w:vAlign w:val="bottom"/>
            <w:shd w:val="clear" w:color="auto" w:fill="D5EAEA"/>
          </w:tcPr>
          <w:p>
            <w:pPr>
              <w:spacing w:after="0"/>
              <w:rPr>
                <w:sz w:val="20"/>
                <w:szCs w:val="20"/>
                <w:color w:val="auto"/>
              </w:rPr>
            </w:pPr>
            <w:r>
              <w:rPr>
                <w:rFonts w:ascii="Arial" w:cs="Arial" w:eastAsia="Arial" w:hAnsi="Arial"/>
                <w:sz w:val="18"/>
                <w:szCs w:val="18"/>
                <w:color w:val="auto"/>
              </w:rPr>
              <w:t>Fourth Quarter</w:t>
            </w:r>
          </w:p>
        </w:tc>
        <w:tc>
          <w:tcPr>
            <w:tcW w:w="600" w:type="dxa"/>
            <w:vAlign w:val="bottom"/>
            <w:gridSpan w:val="2"/>
            <w:shd w:val="clear" w:color="auto" w:fill="D5EAEA"/>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13.09</w:t>
            </w:r>
          </w:p>
        </w:tc>
        <w:tc>
          <w:tcPr>
            <w:tcW w:w="3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Third Quarter</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D5EAEA"/>
          </w:tcPr>
          <w:p>
            <w:pPr>
              <w:spacing w:after="0"/>
              <w:rPr>
                <w:sz w:val="20"/>
                <w:szCs w:val="20"/>
                <w:color w:val="auto"/>
              </w:rPr>
            </w:pPr>
            <w:r>
              <w:rPr>
                <w:rFonts w:ascii="Arial" w:cs="Arial" w:eastAsia="Arial" w:hAnsi="Arial"/>
                <w:sz w:val="18"/>
                <w:szCs w:val="18"/>
                <w:color w:val="auto"/>
              </w:rPr>
              <w:t>Second Quarter</w:t>
            </w:r>
          </w:p>
        </w:tc>
        <w:tc>
          <w:tcPr>
            <w:tcW w:w="600" w:type="dxa"/>
            <w:vAlign w:val="bottom"/>
            <w:gridSpan w:val="2"/>
            <w:shd w:val="clear" w:color="auto" w:fill="D5EAEA"/>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10.50</w:t>
            </w:r>
          </w:p>
        </w:tc>
        <w:tc>
          <w:tcPr>
            <w:tcW w:w="3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First Quarter</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2016</w:t>
            </w: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Nasdaq Global Market</w:t>
            </w: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 High</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 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D5EAEA"/>
          </w:tcPr>
          <w:p>
            <w:pPr>
              <w:spacing w:after="0"/>
              <w:rPr>
                <w:sz w:val="20"/>
                <w:szCs w:val="20"/>
                <w:color w:val="auto"/>
              </w:rPr>
            </w:pPr>
            <w:r>
              <w:rPr>
                <w:rFonts w:ascii="Arial" w:cs="Arial" w:eastAsia="Arial" w:hAnsi="Arial"/>
                <w:sz w:val="18"/>
                <w:szCs w:val="18"/>
                <w:color w:val="auto"/>
              </w:rPr>
              <w:t>Fourth Quarter</w:t>
            </w:r>
          </w:p>
        </w:tc>
        <w:tc>
          <w:tcPr>
            <w:tcW w:w="3920" w:type="dxa"/>
            <w:vAlign w:val="bottom"/>
            <w:shd w:val="clear" w:color="auto" w:fill="D5EAEA"/>
          </w:tcPr>
          <w:p>
            <w:pPr>
              <w:spacing w:after="0"/>
              <w:rPr>
                <w:sz w:val="18"/>
                <w:szCs w:val="18"/>
                <w:color w:val="auto"/>
              </w:rPr>
            </w:pPr>
          </w:p>
        </w:tc>
        <w:tc>
          <w:tcPr>
            <w:tcW w:w="3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18.95</w:t>
            </w:r>
          </w:p>
        </w:tc>
        <w:tc>
          <w:tcPr>
            <w:tcW w:w="3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Third Quarter (beginning on September 23, 2016)</w:t>
            </w:r>
          </w:p>
        </w:tc>
        <w:tc>
          <w:tcPr>
            <w:tcW w:w="4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634"/>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Most recent six months</w:t>
            </w: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Nasdaq Global Market</w:t>
            </w:r>
          </w:p>
        </w:tc>
        <w:tc>
          <w:tcPr>
            <w:tcW w:w="0" w:type="dxa"/>
            <w:vAlign w:val="bottom"/>
          </w:tcPr>
          <w:p>
            <w:pPr>
              <w:spacing w:after="0"/>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 High</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 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D5EAEA"/>
          </w:tcPr>
          <w:p>
            <w:pPr>
              <w:spacing w:after="0"/>
              <w:rPr>
                <w:sz w:val="20"/>
                <w:szCs w:val="20"/>
                <w:color w:val="auto"/>
              </w:rPr>
            </w:pPr>
            <w:r>
              <w:rPr>
                <w:rFonts w:ascii="Arial" w:cs="Arial" w:eastAsia="Arial" w:hAnsi="Arial"/>
                <w:sz w:val="18"/>
                <w:szCs w:val="18"/>
                <w:color w:val="auto"/>
              </w:rPr>
              <w:t>July (through July 18, 2018)</w:t>
            </w:r>
          </w:p>
        </w:tc>
        <w:tc>
          <w:tcPr>
            <w:tcW w:w="3920" w:type="dxa"/>
            <w:vAlign w:val="bottom"/>
            <w:shd w:val="clear" w:color="auto" w:fill="D5EAEA"/>
          </w:tcPr>
          <w:p>
            <w:pPr>
              <w:spacing w:after="0"/>
              <w:rPr>
                <w:sz w:val="18"/>
                <w:szCs w:val="18"/>
                <w:color w:val="auto"/>
              </w:rPr>
            </w:pPr>
          </w:p>
        </w:tc>
        <w:tc>
          <w:tcPr>
            <w:tcW w:w="3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16.36</w:t>
            </w:r>
          </w:p>
        </w:tc>
        <w:tc>
          <w:tcPr>
            <w:tcW w:w="3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June</w:t>
            </w:r>
          </w:p>
        </w:tc>
        <w:tc>
          <w:tcPr>
            <w:tcW w:w="4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D5EAEA"/>
          </w:tcPr>
          <w:p>
            <w:pPr>
              <w:spacing w:after="0"/>
              <w:rPr>
                <w:sz w:val="20"/>
                <w:szCs w:val="20"/>
                <w:color w:val="auto"/>
              </w:rPr>
            </w:pPr>
            <w:r>
              <w:rPr>
                <w:rFonts w:ascii="Arial" w:cs="Arial" w:eastAsia="Arial" w:hAnsi="Arial"/>
                <w:sz w:val="18"/>
                <w:szCs w:val="18"/>
                <w:color w:val="auto"/>
              </w:rPr>
              <w:t>May</w:t>
            </w:r>
          </w:p>
        </w:tc>
        <w:tc>
          <w:tcPr>
            <w:tcW w:w="4280" w:type="dxa"/>
            <w:vAlign w:val="bottom"/>
            <w:gridSpan w:val="3"/>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10.75</w:t>
            </w:r>
          </w:p>
        </w:tc>
        <w:tc>
          <w:tcPr>
            <w:tcW w:w="3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April 2018</w:t>
            </w:r>
          </w:p>
        </w:tc>
        <w:tc>
          <w:tcPr>
            <w:tcW w:w="4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11.24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D5EAEA"/>
          </w:tcPr>
          <w:p>
            <w:pPr>
              <w:spacing w:after="0"/>
              <w:rPr>
                <w:sz w:val="20"/>
                <w:szCs w:val="20"/>
                <w:color w:val="auto"/>
              </w:rPr>
            </w:pPr>
            <w:r>
              <w:rPr>
                <w:rFonts w:ascii="Arial" w:cs="Arial" w:eastAsia="Arial" w:hAnsi="Arial"/>
                <w:sz w:val="18"/>
                <w:szCs w:val="18"/>
                <w:color w:val="auto"/>
              </w:rPr>
              <w:t>March 2018</w:t>
            </w:r>
          </w:p>
        </w:tc>
        <w:tc>
          <w:tcPr>
            <w:tcW w:w="4280" w:type="dxa"/>
            <w:vAlign w:val="bottom"/>
            <w:gridSpan w:val="3"/>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12.55</w:t>
            </w:r>
          </w:p>
        </w:tc>
        <w:tc>
          <w:tcPr>
            <w:tcW w:w="3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February 2018</w:t>
            </w:r>
          </w:p>
        </w:tc>
        <w:tc>
          <w:tcPr>
            <w:tcW w:w="4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D5EAEA"/>
          </w:tcPr>
          <w:p>
            <w:pPr>
              <w:spacing w:after="0"/>
              <w:rPr>
                <w:sz w:val="20"/>
                <w:szCs w:val="20"/>
                <w:color w:val="auto"/>
              </w:rPr>
            </w:pPr>
            <w:r>
              <w:rPr>
                <w:rFonts w:ascii="Arial" w:cs="Arial" w:eastAsia="Arial" w:hAnsi="Arial"/>
                <w:sz w:val="18"/>
                <w:szCs w:val="18"/>
                <w:color w:val="auto"/>
              </w:rPr>
              <w:t>January 2018</w:t>
            </w:r>
          </w:p>
        </w:tc>
        <w:tc>
          <w:tcPr>
            <w:tcW w:w="4280" w:type="dxa"/>
            <w:vAlign w:val="bottom"/>
            <w:gridSpan w:val="3"/>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13.91</w:t>
            </w:r>
          </w:p>
        </w:tc>
        <w:tc>
          <w:tcPr>
            <w:tcW w:w="3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3"/>
          </w:tcPr>
          <w:p>
            <w:pPr>
              <w:jc w:val="right"/>
              <w:ind w:right="2960"/>
              <w:spacing w:after="0"/>
              <w:rPr>
                <w:sz w:val="20"/>
                <w:szCs w:val="20"/>
                <w:color w:val="auto"/>
              </w:rPr>
            </w:pPr>
            <w:r>
              <w:rPr>
                <w:rFonts w:ascii="Arial" w:cs="Arial" w:eastAsia="Arial" w:hAnsi="Arial"/>
                <w:sz w:val="18"/>
                <w:szCs w:val="18"/>
                <w:color w:val="auto"/>
              </w:rPr>
              <w:t>S-27</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i w:val="1"/>
          <w:iCs w:val="1"/>
          <w:color w:val="auto"/>
        </w:rPr>
        <w:t>The following summary contains a description of the principal Swiss tax consequences of the allotment and exercise of pre-emptive subscription rights and the acquisition, ownership and disposition of Offered Shares, but it does not purport to be a comprehensive description of all of the Swiss tax considerations that may be relevant to a decision to exercise of the pre-emptive subscription rights and to purchase, own or dispose of Offered Shares. In particular, the summary does not take into account the specific circumstances of any particular investor.</w:t>
      </w:r>
    </w:p>
    <w:p>
      <w:pPr>
        <w:spacing w:after="0" w:line="17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This summary is based on the tax laws, regulations and regulatory practices of Switzerland as in effect on the date hereof, all of which are subject to change (or subject to changes in interpretation), possibly with retroactive effect. This summary does not address any aspects of Swiss taxation other than aspects of Swiss federal withholding tax, Swiss federal, cantonal and communal income taxes and Swiss federal issuance and securities turnover tax. Investors are urged to consult their own tax advisors regarding the Swiss tax consequences of allotting and exercising of pre-emptive subscription rights and of acquiring, owning and disposing of Offered Shares or the receipt of dividends or distributions, if any, on Offered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respect of pre-emptive subscription rights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Withholding Tax</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Neither the allotment nor exercising of pre-emptive subscription rights are taxable distributions or transactions for purposes of Swiss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Securities Turnover Tax</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Neither the allotment nor exercising of pre-emptive subscription rights are taxable transactions for purposes of Swiss securities turnover tax (</w:t>
      </w:r>
      <w:r>
        <w:rPr>
          <w:rFonts w:ascii="Arial" w:cs="Arial" w:eastAsia="Arial" w:hAnsi="Arial"/>
          <w:sz w:val="18"/>
          <w:szCs w:val="18"/>
          <w:i w:val="1"/>
          <w:iCs w:val="1"/>
          <w:color w:val="auto"/>
        </w:rPr>
        <w:t>droit de</w:t>
      </w:r>
      <w:r>
        <w:rPr>
          <w:rFonts w:ascii="Arial" w:cs="Arial" w:eastAsia="Arial" w:hAnsi="Arial"/>
          <w:sz w:val="18"/>
          <w:szCs w:val="18"/>
          <w:color w:val="auto"/>
        </w:rPr>
        <w:t xml:space="preserve"> </w:t>
      </w:r>
      <w:r>
        <w:rPr>
          <w:rFonts w:ascii="Arial" w:cs="Arial" w:eastAsia="Arial" w:hAnsi="Arial"/>
          <w:sz w:val="18"/>
          <w:szCs w:val="18"/>
          <w:i w:val="1"/>
          <w:iCs w:val="1"/>
          <w:color w:val="auto"/>
        </w:rPr>
        <w:t>timbre de négotiation</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Income Taxes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Pre-emptive subscription rights held by holders resident outside of Switzerland and with no trade or business in Switzerland</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allotment or exercising of pre-emptive subscription rights to or by holders who are not resident in Switzerland for tax purposes, and who, during the relevant taxation year, have not engaged in a trade or business carried on through a permanent establishment in Switzerland for Swiss tax purposes are not subject to any Swiss federal, cantonal or communal income tax. See “—</w:t>
      </w:r>
      <w:r>
        <w:rPr>
          <w:rFonts w:ascii="Arial" w:cs="Arial" w:eastAsia="Arial" w:hAnsi="Arial"/>
          <w:sz w:val="16"/>
          <w:szCs w:val="16"/>
          <w:i w:val="1"/>
          <w:iCs w:val="1"/>
          <w:color w:val="auto"/>
        </w:rPr>
        <w:t>Swiss Withholding Tax</w:t>
      </w:r>
      <w:r>
        <w:rPr>
          <w:rFonts w:ascii="Arial" w:cs="Arial" w:eastAsia="Arial" w:hAnsi="Arial"/>
          <w:sz w:val="16"/>
          <w:szCs w:val="16"/>
          <w:color w:val="auto"/>
        </w:rPr>
        <w:t>” above for a summary on the Swiss withholding tax treatment of pre-emptive subscription rights. See “—</w:t>
      </w:r>
      <w:r>
        <w:rPr>
          <w:rFonts w:ascii="Arial" w:cs="Arial" w:eastAsia="Arial" w:hAnsi="Arial"/>
          <w:sz w:val="16"/>
          <w:szCs w:val="16"/>
          <w:i w:val="1"/>
          <w:iCs w:val="1"/>
          <w:color w:val="auto"/>
        </w:rPr>
        <w:t>International Automatic Exchange of Information</w:t>
      </w:r>
      <w:r>
        <w:rPr>
          <w:rFonts w:ascii="Arial" w:cs="Arial" w:eastAsia="Arial" w:hAnsi="Arial"/>
          <w:sz w:val="16"/>
          <w:szCs w:val="16"/>
          <w:color w:val="auto"/>
        </w:rPr>
        <w:t>” below for a summary on the exchange of information in respect of holding pre-emptive subscription rights in an account or deposit with a financial institution or paying agent in Switzerland.</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Pre-emptive subscription rights held by Swiss resident individuals as private investments</w:t>
      </w:r>
    </w:p>
    <w:p>
      <w:pPr>
        <w:spacing w:after="0" w:line="225"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Pre-emptive subscription rights allotted with respect to existing common shares of the Company held by a Swiss resident individual as private investments take on the same classification as private investments as the existing common shares. For such a holder neither the allotment, holding nor exercising of the pre-emptive subscription rights allotted are subject to Swiss federal, cantonal or communal income tax. A capital loss incurred by such a holder for reason of not having validly exercised pre-emptive subscription rights during the subscription period (with the consequence of the pre-emptive subscription rights expiring without compensation) will not be tax-deductible.</w:t>
      </w:r>
    </w:p>
    <w:p>
      <w:pPr>
        <w:spacing w:after="0" w:line="188"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pre-emptive subscription rights held as assets of a Swiss business</w:t>
      </w:r>
      <w:r>
        <w:rPr>
          <w:rFonts w:ascii="Arial" w:cs="Arial" w:eastAsia="Arial" w:hAnsi="Arial"/>
          <w:sz w:val="18"/>
          <w:szCs w:val="18"/>
          <w:color w:val="auto"/>
        </w:rPr>
        <w:t>” below for a summary on the taxation treatment of individuals who are classified as “professional securities dealers.”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Pre-emptive subscription rights held as assets of a Swiss business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allotment of pre-emptive subscription rights to corporate or individual holders, who hold existing common shares with respect to which such pre-emptive subscription rights are allotted, and consequentially the pre-emptive subscription rights, as part of a trade or business carried on through a permanent establishment in Switzerland, and the exercise of such pre-emptive subscription rights for the purchase of Offered Shares, are generally treated by such holders as a non-recognition transaction for statutory accounting purposes. Consequently, tax following generally the statutory accounting treatment, neither the allotment nor the exercise of such pre-emptive subscription rights are</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normally taxable transactions for such holders for purposes of Swiss federal, cantonal and communal corporate or individual income tax.</w:t>
      </w:r>
    </w:p>
    <w:p>
      <w:pPr>
        <w:spacing w:after="0" w:line="22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A capital loss realized in respect of pre-emptive subscription rights allotted for existing common shares which are held as business assets, and which pre-emptive subscription rights therefore take on the classification of the existing common shares of the Company as business assets, for reason of not having validly exercised such pre-emptive subscription rights (with the consequence of them expiring without compensation), are includible in, or deductible from, gross income in the relevant taxation period for such a holder for purposes of Swiss federal, cantonal and communal corporate or individual income tax.</w:t>
      </w:r>
    </w:p>
    <w:p>
      <w:pPr>
        <w:spacing w:after="0" w:line="15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This taxation treatment also applies to Swiss-resident private individuals who, for income tax purposes, are classified as “professional securities dealers” for reasons of, among other things, frequent dealing, or leveraging their investments, in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respect of Offered Shares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Swiss federal withholding tax on dividends and similar distributions on the Offered Shares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Dividends on Offered Shares made or paid by the Company out of capital contribution reserves (</w:t>
      </w:r>
      <w:r>
        <w:rPr>
          <w:rFonts w:ascii="Arial" w:cs="Arial" w:eastAsia="Arial" w:hAnsi="Arial"/>
          <w:sz w:val="18"/>
          <w:szCs w:val="18"/>
          <w:i w:val="1"/>
          <w:iCs w:val="1"/>
          <w:color w:val="auto"/>
        </w:rPr>
        <w:t>apports de capital</w:t>
      </w:r>
      <w:r>
        <w:rPr>
          <w:rFonts w:ascii="Arial" w:cs="Arial" w:eastAsia="Arial" w:hAnsi="Arial"/>
          <w:sz w:val="18"/>
          <w:szCs w:val="18"/>
          <w:color w:val="auto"/>
        </w:rPr>
        <w:t>) and distributions on Offered Shares made or paid by the Company based upon a reduction of nominal value of Offered Shares (</w:t>
      </w:r>
      <w:r>
        <w:rPr>
          <w:rFonts w:ascii="Arial" w:cs="Arial" w:eastAsia="Arial" w:hAnsi="Arial"/>
          <w:sz w:val="18"/>
          <w:szCs w:val="18"/>
          <w:i w:val="1"/>
          <w:iCs w:val="1"/>
          <w:color w:val="auto"/>
        </w:rPr>
        <w:t>Nennwertherabsetzung</w:t>
      </w:r>
      <w:r>
        <w:rPr>
          <w:rFonts w:ascii="Arial" w:cs="Arial" w:eastAsia="Arial" w:hAnsi="Arial"/>
          <w:sz w:val="18"/>
          <w:szCs w:val="18"/>
          <w:color w:val="auto"/>
        </w:rPr>
        <w:t>) are exempt from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Any other dividends and cash or in-kind distributions (including scrip or stock dividends) on Offered Shares made or paid by the Company are subject to Swiss federal withholding tax at a rate of 35%. The withholding tax must be withheld by the Company on the gross amount of the dividend or distribution and be remitted to the Swiss Federal Tax Administration. Capital gains realized on the sale of Offered Shares are not subject to the withholding tax.</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Refund to Swiss-resident recipients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relevant Swiss tax authority will refund or credit the Swiss federal withholding tax deducted by the Company on dividends or distributions on Offered Shares in full to holders of Offered Shares who are resident in Switzerland and to holders who hold the Offered Shares as part of a trade or business in Switzerland, and who, in each case, among other things, are the beneficial owners of the Offered Shares and the dividends or the distributions made or paid on the Offered Shares and who duly report the dividend or distribution in their income tax return or their statutory financial statements, as applicable, for the relevant tax period.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Refund to non-resident recipients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(a) In General</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 holder who is not a resident of Switzerland and who does not hold the Offered Shares as part of a trade or business in Switzerland may be entitled to a full or partial refund of the Swiss federal withholding tax deducted if the country in which the recipient resides for tax purposes has entered into a bilateral treaty for the avoidance of double taxation with Switzerland and the other conditions of such treaty are met. A reduction of the withholding tax at source is not provided for by Switzerland for portfolio holdings and, therefore, is not permissible. Holders of Offered Shares should be aware that the procedures for claiming treaty benefits (and the time frame required for obtaining a tax refund) may differ from country to country and should consult their own legal, financial or tax advisors regarding the procedures for claiming a refund of the withholding tax.</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(b) Residents of the U.S.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 holder of Offered Shares who is a resident of the US for purposes of the Convention between the United States of America and the Swiss Confederation for the Avoidance of Double Taxation with Respect to Taxes on Income (Treaty), without taxable presence in Switzerland to which the Offered Shares are attributable or who is a qualified US pension fund and who, in each case, is the beneficial owner of the Offered Shares and the dividend or distribution and who meets the other conditions of the Treaty may apply for a full refund of the withholding tax in the case of qualified US pension funds or in excess of the amount of the 15% treaty rate in all other cases. The claim for refund must be filed on Swiss Tax Form 82 (82C for corporations, 82I for individuals, 82E for other entities and 82R for regulated investment companies), which forms together with an instruction form may be obtained from any Swiss consulate general in the U.S., the Swiss Federal Tax Administration at the address below or be down-loaded from the Swiss Federal Tax Administration’s website. Four copies of the form must be duly completed, signed before a notary public of the U.S., and three of them must be sent to the Swiss Federal Tax Administration, Eigerstrasse 65, CH-3003,</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ind w:right="80"/>
        <w:spacing w:after="0" w:line="264" w:lineRule="auto"/>
        <w:rPr>
          <w:sz w:val="20"/>
          <w:szCs w:val="20"/>
          <w:color w:val="auto"/>
        </w:rPr>
      </w:pPr>
      <w:r>
        <w:rPr>
          <w:rFonts w:ascii="Arial" w:cs="Arial" w:eastAsia="Arial" w:hAnsi="Arial"/>
          <w:sz w:val="18"/>
          <w:szCs w:val="18"/>
          <w:color w:val="auto"/>
        </w:rPr>
        <w:t>Berne, Switzerland. The form must be accompanied by suitable evidence of deduction of the Swiss federal withholding, such as certificates of deduction, bank vouchers or credit slips. The form must be filed no later than December 31 of the third year following the calendar year in which the dividend subject to the tax became payable.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income taxes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Offered Shares held by holders resident outside of Switzerland and with no trade or business in Switzerland</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Holders of Offered Shares who are not resident in Switzerland for tax purposes, and who, during the respective taxation year, have not engaged in a trade or business carried on through a permanent establishment situated in Switzerland for tax purposes, will not be subject to any Swiss federal, cantonal or communal income taxes as a result of them realizing gain on the sale or other disposition of Offered Shares or receiving dividends or other distributions, if any, on Offered Shares. Refer to “</w:t>
      </w:r>
      <w:r>
        <w:rPr>
          <w:rFonts w:ascii="Arial" w:cs="Arial" w:eastAsia="Arial" w:hAnsi="Arial"/>
          <w:sz w:val="16"/>
          <w:szCs w:val="16"/>
          <w:i w:val="1"/>
          <w:iCs w:val="1"/>
          <w:color w:val="auto"/>
        </w:rPr>
        <w:t>―Swiss federal withholding tax</w:t>
      </w:r>
      <w:r>
        <w:rPr>
          <w:rFonts w:ascii="Arial" w:cs="Arial" w:eastAsia="Arial" w:hAnsi="Arial"/>
          <w:sz w:val="16"/>
          <w:szCs w:val="16"/>
          <w:color w:val="auto"/>
        </w:rPr>
        <w:t>” above for a summary on the Swiss withholding tax treatment of dividends and distributions on Offered Shares. Refer to “</w:t>
      </w:r>
      <w:r>
        <w:rPr>
          <w:rFonts w:ascii="Arial" w:cs="Arial" w:eastAsia="Arial" w:hAnsi="Arial"/>
          <w:sz w:val="16"/>
          <w:szCs w:val="16"/>
          <w:i w:val="1"/>
          <w:iCs w:val="1"/>
          <w:color w:val="auto"/>
        </w:rPr>
        <w:t>―International Automatic Exchange of Information</w:t>
      </w:r>
      <w:r>
        <w:rPr>
          <w:rFonts w:ascii="Arial" w:cs="Arial" w:eastAsia="Arial" w:hAnsi="Arial"/>
          <w:sz w:val="16"/>
          <w:szCs w:val="16"/>
          <w:color w:val="auto"/>
        </w:rPr>
        <w:t>” below for a summary on the international exchange of information in tax matters by Switzerland in respect of Offered Shares held in accounts or deposits with a paying agent in Switzerland. Refer to “</w:t>
      </w:r>
      <w:r>
        <w:rPr>
          <w:rFonts w:ascii="Arial" w:cs="Arial" w:eastAsia="Arial" w:hAnsi="Arial"/>
          <w:sz w:val="16"/>
          <w:szCs w:val="16"/>
          <w:i w:val="1"/>
          <w:iCs w:val="1"/>
          <w:color w:val="auto"/>
        </w:rPr>
        <w:t>―Swiss</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Implementation of the US Foreign Account Tax Compliance Act</w:t>
      </w:r>
      <w:r>
        <w:rPr>
          <w:rFonts w:ascii="Arial" w:cs="Arial" w:eastAsia="Arial" w:hAnsi="Arial"/>
          <w:sz w:val="16"/>
          <w:szCs w:val="16"/>
          <w:color w:val="auto"/>
        </w:rPr>
        <w:t>” below for a summary on the implementation of FATCA by Switzerland.</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Offered Shares held by Swiss resident individuals as private investments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Dividends and other distributions, if any, on Offered Shares, made or paid by the Company out of reserves from capital contributions (</w:t>
      </w:r>
      <w:r>
        <w:rPr>
          <w:rFonts w:ascii="Arial" w:cs="Arial" w:eastAsia="Arial" w:hAnsi="Arial"/>
          <w:sz w:val="18"/>
          <w:szCs w:val="18"/>
          <w:i w:val="1"/>
          <w:iCs w:val="1"/>
          <w:color w:val="auto"/>
        </w:rPr>
        <w:t>apports de</w:t>
      </w:r>
      <w:r>
        <w:rPr>
          <w:rFonts w:ascii="Arial" w:cs="Arial" w:eastAsia="Arial" w:hAnsi="Arial"/>
          <w:sz w:val="18"/>
          <w:szCs w:val="18"/>
          <w:color w:val="auto"/>
        </w:rPr>
        <w:t xml:space="preserve"> </w:t>
      </w:r>
      <w:r>
        <w:rPr>
          <w:rFonts w:ascii="Arial" w:cs="Arial" w:eastAsia="Arial" w:hAnsi="Arial"/>
          <w:sz w:val="18"/>
          <w:szCs w:val="18"/>
          <w:i w:val="1"/>
          <w:iCs w:val="1"/>
          <w:color w:val="auto"/>
        </w:rPr>
        <w:t>capital</w:t>
      </w:r>
      <w:r>
        <w:rPr>
          <w:rFonts w:ascii="Arial" w:cs="Arial" w:eastAsia="Arial" w:hAnsi="Arial"/>
          <w:sz w:val="18"/>
          <w:szCs w:val="18"/>
          <w:color w:val="auto"/>
        </w:rPr>
        <w:t>) and distributions made or paid by the Company on Offered Shares based upon a capital reduction (</w:t>
      </w:r>
      <w:r>
        <w:rPr>
          <w:rFonts w:ascii="Arial" w:cs="Arial" w:eastAsia="Arial" w:hAnsi="Arial"/>
          <w:sz w:val="18"/>
          <w:szCs w:val="18"/>
          <w:i w:val="1"/>
          <w:iCs w:val="1"/>
          <w:color w:val="auto"/>
        </w:rPr>
        <w:t>reduction de la valeur nominale</w:t>
      </w:r>
      <w:r>
        <w:rPr>
          <w:rFonts w:ascii="Arial" w:cs="Arial" w:eastAsia="Arial" w:hAnsi="Arial"/>
          <w:sz w:val="18"/>
          <w:szCs w:val="18"/>
          <w:color w:val="auto"/>
        </w:rPr>
        <w:t>), if any, are</w:t>
      </w:r>
      <w:r>
        <w:rPr>
          <w:rFonts w:ascii="Arial" w:cs="Arial" w:eastAsia="Arial" w:hAnsi="Arial"/>
          <w:sz w:val="18"/>
          <w:szCs w:val="18"/>
          <w:i w:val="1"/>
          <w:iCs w:val="1"/>
          <w:color w:val="auto"/>
        </w:rPr>
        <w:t xml:space="preserve"> </w:t>
      </w:r>
      <w:r>
        <w:rPr>
          <w:rFonts w:ascii="Arial" w:cs="Arial" w:eastAsia="Arial" w:hAnsi="Arial"/>
          <w:sz w:val="18"/>
          <w:szCs w:val="18"/>
          <w:color w:val="auto"/>
        </w:rPr>
        <w:t>exempt from Swiss federal, cantonal and communal income taxes for holders of Offered Shares who are individuals resident in Switzerland for tax purposes and who hold the Offered Shares as private capital investments. Other dividends and distributions, if any, on Offered Shares will be subject to Swiss federal, cantonal or communal income taxes for such holders.</w:t>
      </w:r>
    </w:p>
    <w:p>
      <w:pPr>
        <w:spacing w:after="0" w:line="188"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 capital gain realized by an individual resident in Switzerland on the sale of Offered Shares held by her or him as private capital investments classifies as tax-exempt private capital gain and, conversely, a capital loss as non-tax deductible private capital loss for purposes of Swiss federal, cantonal and communal income taxes. Refer to “—Offered Shares held as assets of a Swiss business” for information on the taxation of individuals classified as “professional securities dealers.”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Offered Shares held as assets of a Swiss business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a holder who holds Offered Shares as part of a trade or business carried on in Switzerland dividends and distributions, if any, made or paid by the Company on Offered Shares, and capital gain or loss realized on the sale of Offered Shares, are includible in, or deductible from, respectively, taxable income in the relevant taxation period for purposes of Swiss federal, cantonal and communal individual or corporate income taxes. This taxation treatment also applies to Swiss resident private individuals who, for income tax purposes, are classified as “professional securities dealers”. Corporate taxpayers may be eligible for dividend relief (</w:t>
      </w:r>
      <w:r>
        <w:rPr>
          <w:rFonts w:ascii="Arial" w:cs="Arial" w:eastAsia="Arial" w:hAnsi="Arial"/>
          <w:sz w:val="18"/>
          <w:szCs w:val="18"/>
          <w:i w:val="1"/>
          <w:iCs w:val="1"/>
          <w:color w:val="auto"/>
        </w:rPr>
        <w:t>réductions pour participations</w:t>
      </w:r>
      <w:r>
        <w:rPr>
          <w:rFonts w:ascii="Arial" w:cs="Arial" w:eastAsia="Arial" w:hAnsi="Arial"/>
          <w:sz w:val="18"/>
          <w:szCs w:val="18"/>
          <w:color w:val="auto"/>
        </w:rPr>
        <w:t>) in respect of dividends and distributions, if any, on Offered Shares held as part of a Swiss business if the market value of the Offered Shares held by them equals or exceeds CHF 1 million or represents 10% or more of, the share capital or the dividend rights, of the Company.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issuance stamp tax</w:t>
      </w:r>
    </w:p>
    <w:p>
      <w:pPr>
        <w:spacing w:after="0" w:line="225" w:lineRule="exact"/>
        <w:rPr>
          <w:sz w:val="20"/>
          <w:szCs w:val="20"/>
          <w:color w:val="auto"/>
        </w:rPr>
      </w:pPr>
    </w:p>
    <w:p>
      <w:pPr>
        <w:ind w:right="40" w:firstLine="321"/>
        <w:spacing w:after="0" w:line="277" w:lineRule="auto"/>
        <w:rPr>
          <w:sz w:val="20"/>
          <w:szCs w:val="20"/>
          <w:color w:val="auto"/>
        </w:rPr>
      </w:pPr>
      <w:r>
        <w:rPr>
          <w:rFonts w:ascii="Arial" w:cs="Arial" w:eastAsia="Arial" w:hAnsi="Arial"/>
          <w:sz w:val="18"/>
          <w:szCs w:val="18"/>
          <w:color w:val="auto"/>
        </w:rPr>
        <w:t>The Company will be subject to the Swiss issuance stamp tax (</w:t>
      </w:r>
      <w:r>
        <w:rPr>
          <w:rFonts w:ascii="Arial" w:cs="Arial" w:eastAsia="Arial" w:hAnsi="Arial"/>
          <w:sz w:val="18"/>
          <w:szCs w:val="18"/>
          <w:i w:val="1"/>
          <w:iCs w:val="1"/>
          <w:color w:val="auto"/>
        </w:rPr>
        <w:t>droit de timbre d'émission</w:t>
      </w:r>
      <w:r>
        <w:rPr>
          <w:rFonts w:ascii="Arial" w:cs="Arial" w:eastAsia="Arial" w:hAnsi="Arial"/>
          <w:sz w:val="18"/>
          <w:szCs w:val="18"/>
          <w:color w:val="auto"/>
        </w:rPr>
        <w:t>) on the issuance of the Offered Shares of 1% of the subscription price, net of certain deductions.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federal securities turnover tax</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 respect of purchases of Offered Shares in the Offering</w:t>
      </w:r>
    </w:p>
    <w:p>
      <w:pPr>
        <w:spacing w:after="0" w:line="225" w:lineRule="exact"/>
        <w:rPr>
          <w:sz w:val="20"/>
          <w:szCs w:val="20"/>
          <w:color w:val="auto"/>
        </w:rPr>
      </w:pPr>
    </w:p>
    <w:p>
      <w:pPr>
        <w:ind w:right="680" w:firstLine="321"/>
        <w:spacing w:after="0" w:line="277" w:lineRule="auto"/>
        <w:rPr>
          <w:sz w:val="20"/>
          <w:szCs w:val="20"/>
          <w:color w:val="auto"/>
        </w:rPr>
      </w:pPr>
      <w:r>
        <w:rPr>
          <w:rFonts w:ascii="Arial" w:cs="Arial" w:eastAsia="Arial" w:hAnsi="Arial"/>
          <w:sz w:val="18"/>
          <w:szCs w:val="18"/>
          <w:color w:val="auto"/>
        </w:rPr>
        <w:t>The delivery of Offered Shares against payment of the subscription price is exempt from Swiss federal securities turnover tax (</w:t>
      </w:r>
      <w:r>
        <w:rPr>
          <w:rFonts w:ascii="Arial" w:cs="Arial" w:eastAsia="Arial" w:hAnsi="Arial"/>
          <w:sz w:val="18"/>
          <w:szCs w:val="18"/>
          <w:i w:val="1"/>
          <w:iCs w:val="1"/>
          <w:color w:val="auto"/>
        </w:rPr>
        <w:t>droit de timbre de</w:t>
      </w:r>
      <w:r>
        <w:rPr>
          <w:rFonts w:ascii="Arial" w:cs="Arial" w:eastAsia="Arial" w:hAnsi="Arial"/>
          <w:sz w:val="18"/>
          <w:szCs w:val="18"/>
          <w:color w:val="auto"/>
        </w:rPr>
        <w:t xml:space="preserve"> </w:t>
      </w:r>
      <w:r>
        <w:rPr>
          <w:rFonts w:ascii="Arial" w:cs="Arial" w:eastAsia="Arial" w:hAnsi="Arial"/>
          <w:sz w:val="18"/>
          <w:szCs w:val="18"/>
          <w:i w:val="1"/>
          <w:iCs w:val="1"/>
          <w:color w:val="auto"/>
        </w:rPr>
        <w:t>négotiation</w:t>
      </w:r>
      <w:r>
        <w:rPr>
          <w:rFonts w:ascii="Arial" w:cs="Arial" w:eastAsia="Arial" w:hAnsi="Arial"/>
          <w:sz w:val="18"/>
          <w:szCs w:val="18"/>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 respect of other transactions in Offered Shares</w:t>
      </w:r>
    </w:p>
    <w:p>
      <w:pPr>
        <w:spacing w:after="0" w:line="225" w:lineRule="exact"/>
        <w:rPr>
          <w:sz w:val="20"/>
          <w:szCs w:val="20"/>
          <w:color w:val="auto"/>
        </w:rPr>
      </w:pPr>
    </w:p>
    <w:p>
      <w:pPr>
        <w:ind w:right="80" w:firstLine="321"/>
        <w:spacing w:after="0" w:line="264" w:lineRule="auto"/>
        <w:rPr>
          <w:sz w:val="20"/>
          <w:szCs w:val="20"/>
          <w:color w:val="auto"/>
        </w:rPr>
      </w:pPr>
      <w:r>
        <w:rPr>
          <w:rFonts w:ascii="Arial" w:cs="Arial" w:eastAsia="Arial" w:hAnsi="Arial"/>
          <w:sz w:val="18"/>
          <w:szCs w:val="18"/>
          <w:color w:val="auto"/>
        </w:rPr>
        <w:t>Any transactions in the Offered Shares after the offering, where a bank or another securities dealer in Switzerland, as defined in the Swiss Federal Stamp Tax Act, acts as an intermediary, or is a party, to the transaction, is subject to Swiss federal securities turnover tax at a tax rate of up to 0.15% of the consideration paid for such Offered Shares.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right="80"/>
        <w:spacing w:after="0" w:line="277" w:lineRule="auto"/>
        <w:rPr>
          <w:sz w:val="20"/>
          <w:szCs w:val="20"/>
          <w:color w:val="auto"/>
        </w:rPr>
      </w:pPr>
      <w:r>
        <w:rPr>
          <w:rFonts w:ascii="Arial" w:cs="Arial" w:eastAsia="Arial" w:hAnsi="Arial"/>
          <w:sz w:val="18"/>
          <w:szCs w:val="18"/>
          <w:color w:val="auto"/>
        </w:rPr>
        <w:t>Subject to applicable statutory exemptions in respect of the one or the other party to such a transaction, half of the tax is customarily charged to the one party to the transaction and the other half to the other party to the transaction.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International Automatic Exchange of Information</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Switzerland has concluded a multilateral agreement with the EU on the international automatic exchange of information (AEOI) in tax matters. The agreement applies to all 28 EU member states and certain other jurisdictions. Further, Switzerland has entered into the multilateral competent authority agreement on the automatic exchange of financial account information (MCAA), and based on the MCAA, a number of bilateral AEOI agreements with other countries.</w:t>
      </w:r>
    </w:p>
    <w:p>
      <w:pPr>
        <w:spacing w:after="0" w:line="18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Based on such agreements and the implementing laws of Switzerland, Switzerland commenced collecting or will commence collecting data in respect of financial assets held in, and income derived thereon and credited to, accounts or deposits with a paying agent in Switzerland for the benefit of individuals resident in a EU member state or other treaty state from 2017 and began exchanging the data in 2018 or will begin exchanging the data at a later date, depending on the date of effectiveness of the applicable agreement, including, as the case may be, in respect of Offered Shares held in such accounts or deposits. Switzerland has signed and intends to sign further AEOI agreements with further countries. An up-to-date list of the AEOI agreements of Switzerland in effect or signed and becoming effective and the dates of commencement of data collection and the dates of information exchange, can be found on the website of the State Secretariat for International Financial Matters SIF.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Swiss Facilitation of the Implementation of the US Foreign Account Tax Compliance Act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Switzerland has concluded an intergovernmental agreement with the U.S. to facilitate the implementation of FATCA. The agreement ensures that accounts held by U.S. persons with Swiss financial institutions, which accounts may include Offered Shares and income derived thereon, are disclosed to the U.S. tax authorities either with the consent of the account holder or by means of group requests within the scope of administrative assistance. Information will not be transferred automatically in the absence of consent, and instead will be exchanged only within the scope of administrative assistance on the basis of the Treaty.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In the opinion of Davis Polk &amp; Wardwell LLP, the following are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8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187" w:lineRule="exact"/>
        <w:rPr>
          <w:sz w:val="20"/>
          <w:szCs w:val="20"/>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225" w:lineRule="exact"/>
        <w:rPr>
          <w:rFonts w:ascii="Arial" w:cs="Arial" w:eastAsia="Arial" w:hAnsi="Arial"/>
          <w:sz w:val="18"/>
          <w:szCs w:val="18"/>
          <w:color w:val="auto"/>
        </w:rPr>
      </w:pPr>
    </w:p>
    <w:p>
      <w:pPr>
        <w:ind w:left="1080" w:right="140" w:hanging="316"/>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170"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shares, by vote or value; or</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380" w:firstLine="441"/>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7" w:name="page38"/>
    <w:bookmarkEnd w:id="37"/>
    <w:p>
      <w:pPr>
        <w:ind w:right="220" w:firstLine="441"/>
        <w:spacing w:after="0" w:line="259" w:lineRule="auto"/>
        <w:rPr>
          <w:sz w:val="20"/>
          <w:szCs w:val="20"/>
          <w:color w:val="auto"/>
        </w:rPr>
      </w:pPr>
      <w:r>
        <w:rPr>
          <w:rFonts w:ascii="Arial" w:cs="Arial" w:eastAsia="Arial" w:hAnsi="Arial"/>
          <w:sz w:val="18"/>
          <w:szCs w:val="18"/>
          <w:color w:val="auto"/>
        </w:rPr>
        <w:t>This discussion does not address the U.S. federal income tax consequences of the First Rights Offering or the Second Rights Offering, including the acquisition of newly-issued common shares by our existing shareholders in either such offering. Current holders of our common shares should consult their tax advisers with respect to the U.S. federal income tax consequences of the First Rights Offering or the Second Rights Offering and the acquisition of any common shares in either such offering.</w:t>
      </w:r>
    </w:p>
    <w:p>
      <w:pPr>
        <w:spacing w:after="0" w:line="187"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211" w:lineRule="exact"/>
        <w:rPr>
          <w:sz w:val="20"/>
          <w:szCs w:val="20"/>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5" w:lineRule="exact"/>
        <w:rPr>
          <w:rFonts w:ascii="Arial" w:cs="Arial" w:eastAsia="Arial" w:hAnsi="Arial"/>
          <w:sz w:val="18"/>
          <w:szCs w:val="18"/>
          <w:color w:val="auto"/>
        </w:rPr>
      </w:pPr>
    </w:p>
    <w:p>
      <w:pPr>
        <w:ind w:left="1080" w:right="280" w:hanging="316"/>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70" w:lineRule="exact"/>
        <w:rPr>
          <w:rFonts w:ascii="Arial" w:cs="Arial" w:eastAsia="Arial" w:hAnsi="Arial"/>
          <w:sz w:val="18"/>
          <w:szCs w:val="18"/>
          <w:color w:val="auto"/>
        </w:rPr>
      </w:pPr>
    </w:p>
    <w:p>
      <w:pPr>
        <w:ind w:left="1080" w:hanging="316"/>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be reported to U.S. Holders as dividends. For so long as our common shares are listed on NASDAQ or we are eligible for benefits under the Treaty, dividends paid to certain non-corporate U.S. Holders 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Swiss Francs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83"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8" w:name="page39"/>
    <w:bookmarkEnd w:id="38"/>
    <w:p>
      <w:pPr>
        <w:ind w:firstLine="441"/>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Subject to certain exceptions, this gain or loss will be U.S.-source gain or loss for foreign tax credit purposes. The deductibility of capital losses is subject to various limitations.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2017 taxable year and do not expect to be a PFIC in the immediately foreseeable future. However, there can be no assurance that the IRS will agree with our conclusion. In addition, whether we will be a PFIC in 2018 or any future years is uncertain because, among other things, (i) we currently own, and will own after the completion of this offering, a substantial amount of passive assets, including cash, (ii) the amount and composition of our income as passive or non-passive may vary substantially over time, and (iii)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75"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79"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9" w:name="page40"/>
    <w:bookmarkEnd w:id="39"/>
    <w:p>
      <w:pPr>
        <w:ind w:right="420"/>
        <w:spacing w:after="0" w:line="264" w:lineRule="auto"/>
        <w:rPr>
          <w:sz w:val="20"/>
          <w:szCs w:val="20"/>
          <w:color w:val="auto"/>
        </w:rPr>
      </w:pPr>
      <w:r>
        <w:rPr>
          <w:rFonts w:ascii="Arial" w:cs="Arial" w:eastAsia="Arial" w:hAnsi="Arial"/>
          <w:sz w:val="18"/>
          <w:szCs w:val="18"/>
          <w:color w:val="auto"/>
        </w:rPr>
        <w:t>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81"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If a U.S. Holder owns common shares during any year in which we are a PFIC, the holder must file annual reports containing such information as the U.S. Treasury may require on IRS Form 8621 (or any successor form) with respect to us, with the holder’s federal income tax return for that year.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certain information reporting requirements, and may be subject to backup withholding, unless (i) the U.S. Holder is a corporation or other exempt recipient or</w:t>
      </w:r>
    </w:p>
    <w:p>
      <w:pPr>
        <w:ind w:right="720" w:firstLine="8"/>
        <w:spacing w:after="0" w:line="261"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4"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to be dated the pricing date for this offering, among us and Jefferies LLC, Leerink Partners LLC and UBS Securities LLC, as the representatives of the underwriters named below and the joint book-running managers of this offering, we have agreed to sell to the underwriters, and each of the underwriters has agreed, severally and not jointly, to purchase from us, the respective number of common shares shown opposite its name below:</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Underwriter</w:t>
            </w:r>
          </w:p>
        </w:tc>
        <w:tc>
          <w:tcPr>
            <w:tcW w:w="360" w:type="dxa"/>
            <w:vAlign w:val="bottom"/>
          </w:tcPr>
          <w:p>
            <w:pPr>
              <w:spacing w:after="0"/>
              <w:rPr>
                <w:sz w:val="17"/>
                <w:szCs w:val="17"/>
                <w:color w:val="auto"/>
              </w:rPr>
            </w:pPr>
          </w:p>
        </w:tc>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Number of Shares</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Jefferies LLC</w:t>
            </w:r>
          </w:p>
        </w:tc>
        <w:tc>
          <w:tcPr>
            <w:tcW w:w="1740" w:type="dxa"/>
            <w:vAlign w:val="bottom"/>
            <w:gridSpan w:val="2"/>
            <w:shd w:val="clear" w:color="auto" w:fill="D5EAEA"/>
          </w:tcPr>
          <w:p>
            <w:pPr>
              <w:jc w:val="right"/>
              <w:ind w:right="250"/>
              <w:spacing w:after="0"/>
              <w:rPr>
                <w:sz w:val="20"/>
                <w:szCs w:val="20"/>
                <w:color w:val="auto"/>
              </w:rPr>
            </w:pPr>
            <w:r>
              <w:rPr>
                <w:rFonts w:ascii="Arial" w:cs="Arial" w:eastAsia="Arial" w:hAnsi="Arial"/>
                <w:sz w:val="18"/>
                <w:szCs w:val="18"/>
                <w:color w:val="auto"/>
              </w:rPr>
              <w:t>2,808,696</w:t>
            </w:r>
          </w:p>
        </w:tc>
        <w:tc>
          <w:tcPr>
            <w:tcW w:w="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Leerink Partners LLC</w:t>
            </w:r>
          </w:p>
        </w:tc>
        <w:tc>
          <w:tcPr>
            <w:tcW w:w="1740" w:type="dxa"/>
            <w:vAlign w:val="bottom"/>
            <w:gridSpan w:val="2"/>
          </w:tcPr>
          <w:p>
            <w:pPr>
              <w:jc w:val="right"/>
              <w:ind w:right="250"/>
              <w:spacing w:after="0"/>
              <w:rPr>
                <w:sz w:val="20"/>
                <w:szCs w:val="20"/>
                <w:color w:val="auto"/>
              </w:rPr>
            </w:pPr>
            <w:r>
              <w:rPr>
                <w:rFonts w:ascii="Arial" w:cs="Arial" w:eastAsia="Arial" w:hAnsi="Arial"/>
                <w:sz w:val="18"/>
                <w:szCs w:val="18"/>
                <w:color w:val="auto"/>
              </w:rPr>
              <w:t>2,513,044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UBS Securities LLC</w:t>
            </w:r>
          </w:p>
        </w:tc>
        <w:tc>
          <w:tcPr>
            <w:tcW w:w="1740" w:type="dxa"/>
            <w:vAlign w:val="bottom"/>
            <w:gridSpan w:val="2"/>
            <w:shd w:val="clear" w:color="auto" w:fill="D5EAEA"/>
          </w:tcPr>
          <w:p>
            <w:pPr>
              <w:jc w:val="right"/>
              <w:ind w:right="250"/>
              <w:spacing w:after="0"/>
              <w:rPr>
                <w:sz w:val="20"/>
                <w:szCs w:val="20"/>
                <w:color w:val="auto"/>
              </w:rPr>
            </w:pPr>
            <w:r>
              <w:rPr>
                <w:rFonts w:ascii="Arial" w:cs="Arial" w:eastAsia="Arial" w:hAnsi="Arial"/>
                <w:sz w:val="18"/>
                <w:szCs w:val="18"/>
                <w:color w:val="auto"/>
              </w:rPr>
              <w:t>1,404,348</w:t>
            </w:r>
          </w:p>
        </w:tc>
        <w:tc>
          <w:tcPr>
            <w:tcW w:w="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H.C. Wainwright &amp; Co., LLC</w:t>
            </w:r>
          </w:p>
        </w:tc>
        <w:tc>
          <w:tcPr>
            <w:tcW w:w="17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665,217</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D5EAEA"/>
          </w:tcPr>
          <w:p>
            <w:pPr>
              <w:ind w:left="260"/>
              <w:spacing w:after="0"/>
              <w:rPr>
                <w:sz w:val="20"/>
                <w:szCs w:val="20"/>
                <w:color w:val="auto"/>
              </w:rPr>
            </w:pPr>
            <w:r>
              <w:rPr>
                <w:rFonts w:ascii="Arial" w:cs="Arial" w:eastAsia="Arial" w:hAnsi="Arial"/>
                <w:sz w:val="18"/>
                <w:szCs w:val="18"/>
                <w:color w:val="auto"/>
              </w:rPr>
              <w:t>Total</w:t>
            </w:r>
          </w:p>
        </w:tc>
        <w:tc>
          <w:tcPr>
            <w:tcW w:w="1740" w:type="dxa"/>
            <w:vAlign w:val="bottom"/>
            <w:gridSpan w:val="2"/>
            <w:shd w:val="clear" w:color="auto" w:fill="D5EAEA"/>
          </w:tcPr>
          <w:p>
            <w:pPr>
              <w:jc w:val="right"/>
              <w:ind w:right="250"/>
              <w:spacing w:after="0"/>
              <w:rPr>
                <w:sz w:val="20"/>
                <w:szCs w:val="20"/>
                <w:color w:val="auto"/>
              </w:rPr>
            </w:pPr>
            <w:r>
              <w:rPr>
                <w:rFonts w:ascii="Arial" w:cs="Arial" w:eastAsia="Arial" w:hAnsi="Arial"/>
                <w:sz w:val="18"/>
                <w:szCs w:val="18"/>
                <w:color w:val="auto"/>
              </w:rPr>
              <w:t>7,391,305</w:t>
            </w:r>
          </w:p>
        </w:tc>
        <w:tc>
          <w:tcPr>
            <w:tcW w:w="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common shares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7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common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common shares, that you will be able to sell any of the common shares held by you at a particular time or that the prices that you receive when you sell will be favorable.</w:t>
      </w:r>
    </w:p>
    <w:p>
      <w:pPr>
        <w:spacing w:after="0" w:line="188"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The underwriters are offering the common shares subject to their acceptance of the common shares from us and subject to prior sale. The underwriters reserve the right to withdraw, cancel or modify offers to the public and to reject orders in whole or in part. Any Record Shareholder who elects to participate in the First Rights Offering must comply with the subscription requirements and give notice to the underwriters prior to 4:00 pm (New York City time) on July 18, 2018. The underwriters may withdraw, cancel or modify any orders of a Record Shareholder who has elected to participate in the First Rights Offering if such shareholder, or its bank, broker or other intermediary, respectively, does not have a brokerage account with the underwriters or any of their affiliates which prevents the ability of the underwriters to timely verify the eligibility as Record Shareholder and execute the order.</w:t>
      </w:r>
    </w:p>
    <w:p>
      <w:pPr>
        <w:spacing w:after="0" w:line="165" w:lineRule="exact"/>
        <w:rPr>
          <w:sz w:val="20"/>
          <w:szCs w:val="20"/>
          <w:color w:val="auto"/>
        </w:rPr>
      </w:pPr>
    </w:p>
    <w:p>
      <w:pPr>
        <w:ind w:right="540" w:firstLine="441"/>
        <w:spacing w:after="0" w:line="342" w:lineRule="auto"/>
        <w:rPr>
          <w:sz w:val="20"/>
          <w:szCs w:val="20"/>
          <w:color w:val="auto"/>
        </w:rPr>
      </w:pPr>
      <w:r>
        <w:rPr>
          <w:rFonts w:ascii="Arial" w:cs="Arial" w:eastAsia="Arial" w:hAnsi="Arial"/>
          <w:sz w:val="16"/>
          <w:szCs w:val="16"/>
          <w:color w:val="auto"/>
        </w:rPr>
        <w:t>The address of Jefferies LLC is 520 Madison Avenue, New York, New York 10022; the address of Leerink Partners LLC is 1301 Avenue of the Americas, 12th Floor, New York, New York 10019; the address of UBS Securities LLC is 1285 Avenue of the Americas, New York, New York 10019.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229"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underwriters have advised us that they propose to offer the common shares to the public at the Offering Price set forth on the cover page of this prospectus supplement and to certain dealers, which may include the underwriters, at that price less a concession not in excess of $0.423 per share. After the offering, the Offering Price, concession and reallowance to dealers may be reduced by the representative. No such reduction will change the amount of proceeds to be received by us as set forth on the cover page of this prospectus supplement.</w:t>
      </w:r>
    </w:p>
    <w:p>
      <w:pPr>
        <w:spacing w:after="0" w:line="187"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The following table shows the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1" w:name="page42"/>
    <w:bookmarkEnd w:id="41"/>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4"/>
          </w:tcPr>
          <w:p>
            <w:pPr>
              <w:ind w:left="72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c>
          <w:tcPr>
            <w:tcW w:w="2560" w:type="dxa"/>
            <w:vAlign w:val="bottom"/>
            <w:gridSpan w:val="3"/>
          </w:tcPr>
          <w:p>
            <w:pPr>
              <w:jc w:val="right"/>
              <w:ind w:right="10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5"/>
              </w:rPr>
              <w:t>Without</w:t>
            </w:r>
          </w:p>
        </w:tc>
        <w:tc>
          <w:tcPr>
            <w:tcW w:w="2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Option to</w:t>
            </w:r>
          </w:p>
        </w:tc>
        <w:tc>
          <w:tcPr>
            <w:tcW w:w="2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Option to</w:t>
            </w: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Without</w:t>
            </w:r>
          </w:p>
        </w:tc>
        <w:tc>
          <w:tcPr>
            <w:tcW w:w="14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Option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Purchase</w:t>
            </w:r>
          </w:p>
        </w:tc>
        <w:tc>
          <w:tcPr>
            <w:tcW w:w="2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Purchase</w:t>
            </w:r>
          </w:p>
        </w:tc>
        <w:tc>
          <w:tcPr>
            <w:tcW w:w="1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Option to</w:t>
            </w:r>
          </w:p>
        </w:tc>
        <w:tc>
          <w:tcPr>
            <w:tcW w:w="14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Purchase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Additional</w:t>
            </w:r>
          </w:p>
        </w:tc>
        <w:tc>
          <w:tcPr>
            <w:tcW w:w="2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2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Purchase</w:t>
            </w:r>
          </w:p>
        </w:tc>
        <w:tc>
          <w:tcPr>
            <w:tcW w:w="14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Additional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w w:val="95"/>
              </w:rPr>
              <w:t>Additional Share</w:t>
            </w:r>
          </w:p>
        </w:tc>
        <w:tc>
          <w:tcPr>
            <w:tcW w:w="14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11.750</w:t>
            </w:r>
          </w:p>
        </w:tc>
        <w:tc>
          <w:tcPr>
            <w:tcW w:w="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11.750</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w w:val="89"/>
              </w:rPr>
              <w:t>86,847,833.750</w:t>
            </w:r>
          </w:p>
        </w:tc>
        <w:tc>
          <w:tcPr>
            <w:tcW w:w="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88"/>
              </w:rPr>
              <w:t>99,875,000.00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Underwriting discounts and commissions paid by us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0.705</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w w:val="97"/>
              </w:rPr>
              <w:t>5,210,870.025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97"/>
              </w:rPr>
              <w:t>5,992,500.00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D5EAEA"/>
          </w:tcPr>
          <w:p>
            <w:pPr>
              <w:spacing w:after="0"/>
              <w:rPr>
                <w:sz w:val="20"/>
                <w:szCs w:val="20"/>
                <w:color w:val="auto"/>
              </w:rPr>
            </w:pPr>
            <w:r>
              <w:rPr>
                <w:rFonts w:ascii="Arial" w:cs="Arial" w:eastAsia="Arial" w:hAnsi="Arial"/>
                <w:sz w:val="18"/>
                <w:szCs w:val="18"/>
                <w:color w:val="auto"/>
              </w:rPr>
              <w:t>Proceeds to us, before expenses</w:t>
            </w:r>
          </w:p>
        </w:tc>
        <w:tc>
          <w:tcPr>
            <w:tcW w:w="140" w:type="dxa"/>
            <w:vAlign w:val="bottom"/>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11.045</w:t>
            </w:r>
          </w:p>
        </w:tc>
        <w:tc>
          <w:tcPr>
            <w:tcW w:w="2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11.045</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5EAEA"/>
          </w:tcPr>
          <w:p>
            <w:pPr>
              <w:jc w:val="right"/>
              <w:ind w:right="50"/>
              <w:spacing w:after="0"/>
              <w:rPr>
                <w:sz w:val="20"/>
                <w:szCs w:val="20"/>
                <w:color w:val="auto"/>
              </w:rPr>
            </w:pPr>
            <w:r>
              <w:rPr>
                <w:rFonts w:ascii="Arial" w:cs="Arial" w:eastAsia="Arial" w:hAnsi="Arial"/>
                <w:sz w:val="18"/>
                <w:szCs w:val="18"/>
                <w:color w:val="auto"/>
                <w:w w:val="89"/>
              </w:rPr>
              <w:t>81,636,963.725</w:t>
            </w:r>
          </w:p>
        </w:tc>
        <w:tc>
          <w:tcPr>
            <w:tcW w:w="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w w:val="88"/>
              </w:rPr>
              <w:t>93,882,500.00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$721,000.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We have granted to the underwriters an option, exercisable for 30 days from the date of the underwriting agreement, to purchase, from time to time, in whole or in part, up to an aggregate of 1,108,695 shares from us at the Offering Price set forth on the cover page of this prospectus supplement,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If the underwriters do not exercise this option, the corresponding number of common shares will be transferred back to us and will become treasury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For a period of 90 days after the date of this prospectus supplement, we have agreed that we will not, directly or indirectly (i) offer, sell, issue, contract to sell, pledge or otherwise dispose of our common shares or any shares convertible into or exchangeable or exercisable for any of our common shares (“related securities”), (ii) offer, sell, issue, contract to sell, contract to purchase or grant any option, right or warrant to purchase our common shares or related securities, (iii) enter into any swap, hedge or any other agreement that transfers, in whole or in part, the economic consequences of our common shares or related securities, (iv) establish or increase a put equivalent position or liquidate or decrease a call equivalent position in our common shares or related securities within the meaning of Section 16 of the Exchange Act or (v) file with the U.S. Securities and Exchange Commission a registration statement under the Securities Act relating to our common shares or related securities, or publicly disclose the intention to take any such action, without the prior written consent of Jefferies LLC and Leerink Partners LLC.</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restrictions described above will not apply to:</w:t>
      </w:r>
    </w:p>
    <w:p>
      <w:pPr>
        <w:spacing w:after="0" w:line="225" w:lineRule="exact"/>
        <w:rPr>
          <w:sz w:val="20"/>
          <w:szCs w:val="20"/>
          <w:color w:val="auto"/>
        </w:rPr>
      </w:pPr>
    </w:p>
    <w:p>
      <w:pPr>
        <w:ind w:left="1180" w:hanging="321"/>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common shares issued and sold hereby;</w:t>
      </w:r>
    </w:p>
    <w:p>
      <w:pPr>
        <w:spacing w:after="0" w:line="225" w:lineRule="exact"/>
        <w:rPr>
          <w:rFonts w:ascii="Arial" w:cs="Arial" w:eastAsia="Arial" w:hAnsi="Arial"/>
          <w:sz w:val="18"/>
          <w:szCs w:val="18"/>
          <w:color w:val="auto"/>
        </w:rPr>
      </w:pPr>
    </w:p>
    <w:p>
      <w:pPr>
        <w:ind w:left="1180" w:right="40" w:hanging="321"/>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by us of common shares upon the exercise of an option or warrant or the conversion of a security outstanding on the date hereof or described in this prospectus supplement;</w:t>
      </w:r>
    </w:p>
    <w:p>
      <w:pPr>
        <w:spacing w:after="0" w:line="170" w:lineRule="exact"/>
        <w:rPr>
          <w:rFonts w:ascii="Arial" w:cs="Arial" w:eastAsia="Arial" w:hAnsi="Arial"/>
          <w:sz w:val="18"/>
          <w:szCs w:val="18"/>
          <w:color w:val="auto"/>
        </w:rPr>
      </w:pPr>
    </w:p>
    <w:p>
      <w:pPr>
        <w:ind w:left="1180" w:right="260" w:hanging="321"/>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issuance by us of any options or warrants pursuant to any employee equity incentive plan or share ownership plan existing on the date hereof or described in this prospectus supplement;</w:t>
      </w:r>
    </w:p>
    <w:p>
      <w:pPr>
        <w:spacing w:after="0" w:line="170" w:lineRule="exact"/>
        <w:rPr>
          <w:rFonts w:ascii="Arial" w:cs="Arial" w:eastAsia="Arial" w:hAnsi="Arial"/>
          <w:sz w:val="18"/>
          <w:szCs w:val="18"/>
          <w:color w:val="auto"/>
        </w:rPr>
      </w:pPr>
    </w:p>
    <w:p>
      <w:pPr>
        <w:ind w:left="1180" w:right="40" w:hanging="321"/>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filing by us of a registration statement with the U.S. Securities and Exchange Commission on Form S-8 in respect of any common shares issued under or the grant of any award pursuant to an employee equity incentive plan or share ownership plan existing on the date hereof or described in this prospectus supplement;</w:t>
      </w:r>
    </w:p>
    <w:p>
      <w:pPr>
        <w:spacing w:after="0" w:line="181" w:lineRule="exact"/>
        <w:rPr>
          <w:rFonts w:ascii="Arial" w:cs="Arial" w:eastAsia="Arial" w:hAnsi="Arial"/>
          <w:sz w:val="18"/>
          <w:szCs w:val="18"/>
          <w:color w:val="auto"/>
        </w:rPr>
      </w:pPr>
    </w:p>
    <w:p>
      <w:pPr>
        <w:ind w:left="1180" w:right="60" w:hanging="321"/>
        <w:spacing w:after="0" w:line="312"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transfer of our common shares or related securities pursuant to a bona fide third-party tender offer, merger, consolidation or other similar transaction that is approved by our board of directors, made to all holders of common shares, involving a change of control after the completion of this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consolidation or other such transaction is not</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94" w:right="299" w:bottom="1440" w:gutter="0" w:footer="0" w:header="0"/>
        </w:sectPr>
      </w:pPr>
    </w:p>
    <w:bookmarkStart w:id="42" w:name="page43"/>
    <w:bookmarkEnd w:id="42"/>
    <w:p>
      <w:pPr>
        <w:ind w:left="1200"/>
        <w:spacing w:after="0"/>
        <w:rPr>
          <w:sz w:val="20"/>
          <w:szCs w:val="20"/>
          <w:color w:val="auto"/>
        </w:rPr>
      </w:pPr>
      <w:r>
        <w:rPr>
          <w:rFonts w:ascii="Arial" w:cs="Arial" w:eastAsia="Arial" w:hAnsi="Arial"/>
          <w:sz w:val="17"/>
          <w:szCs w:val="17"/>
          <w:color w:val="auto"/>
        </w:rPr>
        <w:t>completed, our common shares or related securities shall remain subject to the restrictions described in the preceding paragraph;</w:t>
      </w:r>
    </w:p>
    <w:p>
      <w:pPr>
        <w:spacing w:after="0" w:line="237" w:lineRule="exact"/>
        <w:rPr>
          <w:sz w:val="20"/>
          <w:szCs w:val="20"/>
          <w:color w:val="auto"/>
        </w:rPr>
      </w:pPr>
    </w:p>
    <w:p>
      <w:pPr>
        <w:ind w:left="1180" w:right="140" w:hanging="321"/>
        <w:spacing w:after="0" w:line="259"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sale or issuance of or entry into an agreement to sell or issue our common shares or related securities in connection with any (i) mergers, (ii) acquisition of securities, businesses, property, technologies or other assets, (iii) joint ventures, (iv) strategic alliances, commercial relationships or other collaborations, (v) the assumption of employee benefit plans in connection with mergers or acquisitions, or (vi) the filing of a registration statement with respect to any of the foregoing;</w:t>
      </w:r>
    </w:p>
    <w:p>
      <w:pPr>
        <w:spacing w:after="0" w:line="186" w:lineRule="exact"/>
        <w:rPr>
          <w:rFonts w:ascii="Arial" w:cs="Arial" w:eastAsia="Arial" w:hAnsi="Arial"/>
          <w:sz w:val="18"/>
          <w:szCs w:val="18"/>
          <w:color w:val="auto"/>
        </w:rPr>
      </w:pPr>
    </w:p>
    <w:p>
      <w:pPr>
        <w:ind w:left="1180" w:right="260" w:hanging="321"/>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filing of a registration statement on Form F-3/A solely for the purpose of complying with our contractual obligations under that certain Registration Rights Agreement dated as of October 23, 2015 among us and the shareholders party thereto (the “Registration Rights Agreement”); or</w:t>
      </w:r>
    </w:p>
    <w:p>
      <w:pPr>
        <w:spacing w:after="0" w:line="181" w:lineRule="exact"/>
        <w:rPr>
          <w:rFonts w:ascii="Arial" w:cs="Arial" w:eastAsia="Arial" w:hAnsi="Arial"/>
          <w:sz w:val="18"/>
          <w:szCs w:val="18"/>
          <w:color w:val="auto"/>
        </w:rPr>
      </w:pPr>
    </w:p>
    <w:p>
      <w:pPr>
        <w:ind w:left="1180" w:hanging="321"/>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of additional common shares subject to certain restrictions.</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As permitted under the restrictions described above, we intend to file a post-effective amendment to our registration statement on Form F-3 (as amended) currently on file with the Securities and Exchange Commission by August 27, 2018 to register up to 18,041,000 common shares of AC Immune held by one of our shareholders, pursuant to a notice of exercise of registration rights submitted to us by such shareholder under the terms of the Registration Rights Agreement.</w:t>
      </w:r>
    </w:p>
    <w:p>
      <w:pPr>
        <w:spacing w:after="0" w:line="18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Each of our officers and directors has agreed that, for a period of 90 days after the date of this prospectus supplement and without the prior written consent of Jefferies LLC and Leerink Partners LLC, he or she will not (i) sell or offer to sell any common shares or related securities currently or hereafter owned either of record or beneficially (as defined in Rule 13d-3 under the Exchange Act) by such person, or such person’s family members (which shall mean the spouse of such person, an immediate family member (as defined in Rule 16a-1(e) under the Exchange Act) of such person or an immediate family member of such person’s spouse, in each case living in such person’s household or whose principal residence is such person’s household (regardless of whether such spouse or family member may at the time be living elsewhere due to educational activities, health care treatment, military service, temporary internship or employment or otherwise)); (ii) enter into any swap, hedge or similar arrangement or agreement that transfers, in whole or in part, the economic risk of ownership of common shares or related securities, regardless of whether any such transaction is to be settled in securities, in cash or otherwise; (iii) make any demand for, or exercise any right with respect to, the registration under the Securities Act of the offer and sale of any common shares or related securities, or cause to be filed a registration statement, prospectus or prospectus supplement (or an amendment or supplement thereto) with respect to any such registration; or (iv) publicly announce any intention to do any of the foregoing.</w:t>
      </w:r>
    </w:p>
    <w:p>
      <w:pPr>
        <w:spacing w:after="0" w:line="183" w:lineRule="exact"/>
        <w:rPr>
          <w:sz w:val="20"/>
          <w:szCs w:val="20"/>
          <w:color w:val="auto"/>
        </w:rPr>
      </w:pPr>
    </w:p>
    <w:p>
      <w:pPr>
        <w:ind w:right="840" w:firstLine="441"/>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170"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transactions relating to common shares or other securities acquired by such person in this offering or in open market transactions;</w:t>
      </w:r>
    </w:p>
    <w:p>
      <w:pPr>
        <w:spacing w:after="0" w:line="236" w:lineRule="exact"/>
        <w:rPr>
          <w:rFonts w:ascii="Arial" w:cs="Arial" w:eastAsia="Arial" w:hAnsi="Arial"/>
          <w:sz w:val="17"/>
          <w:szCs w:val="17"/>
          <w:color w:val="auto"/>
        </w:rPr>
      </w:pPr>
    </w:p>
    <w:p>
      <w:pPr>
        <w:ind w:left="1300" w:right="20" w:hanging="320"/>
        <w:spacing w:after="0" w:line="271"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 the exercise of stock options or other similar awards granted pursuant to our equity incentive plans or the vesting or settlement of awards granted pursuant to our equity incentive plans (including the delivery and receipt of common shares and related securities in connection with such vesting or settlement);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(a), the foregoing restrictions shall apply to any of the undersigned’s common shares issued upon such exercise, vesting or settlement; or (b) the transfer of common shares or any related securities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of options for our common shares, whether by means of a “net settlement” or otherwise;</w:t>
      </w:r>
    </w:p>
    <w:p>
      <w:pPr>
        <w:spacing w:after="0" w:line="178" w:lineRule="exact"/>
        <w:rPr>
          <w:rFonts w:ascii="Arial" w:cs="Arial" w:eastAsia="Arial" w:hAnsi="Arial"/>
          <w:sz w:val="17"/>
          <w:szCs w:val="17"/>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transfers of common shares or related securities:</w:t>
      </w:r>
    </w:p>
    <w:p>
      <w:pPr>
        <w:spacing w:after="0" w:line="225" w:lineRule="exact"/>
        <w:rPr>
          <w:rFonts w:ascii="Arial" w:cs="Arial" w:eastAsia="Arial" w:hAnsi="Arial"/>
          <w:sz w:val="18"/>
          <w:szCs w:val="18"/>
          <w:color w:val="auto"/>
        </w:rPr>
      </w:pPr>
    </w:p>
    <w:p>
      <w:pPr>
        <w:ind w:left="2280" w:right="40" w:hanging="327"/>
        <w:spacing w:after="0" w:line="277" w:lineRule="auto"/>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170" w:lineRule="exact"/>
        <w:rPr>
          <w:rFonts w:ascii="Arial" w:cs="Arial" w:eastAsia="Arial" w:hAnsi="Arial"/>
          <w:sz w:val="18"/>
          <w:szCs w:val="18"/>
          <w:color w:val="auto"/>
        </w:rPr>
      </w:pPr>
    </w:p>
    <w:p>
      <w:pPr>
        <w:ind w:left="2280" w:hanging="327"/>
        <w:spacing w:after="0"/>
        <w:tabs>
          <w:tab w:leader="none" w:pos="22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such person is a natural person, to a member of the immediate family member of such person;</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ind w:left="2280" w:right="620" w:hanging="327"/>
        <w:spacing w:after="0" w:line="277" w:lineRule="auto"/>
        <w:tabs>
          <w:tab w:leader="none" w:pos="2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member of such person;</w:t>
      </w:r>
    </w:p>
    <w:p>
      <w:pPr>
        <w:spacing w:after="0" w:line="170" w:lineRule="exact"/>
        <w:rPr>
          <w:rFonts w:ascii="Arial" w:cs="Arial" w:eastAsia="Arial" w:hAnsi="Arial"/>
          <w:sz w:val="18"/>
          <w:szCs w:val="18"/>
          <w:color w:val="auto"/>
        </w:rPr>
      </w:pPr>
    </w:p>
    <w:p>
      <w:pPr>
        <w:ind w:left="2280" w:right="160" w:hanging="327"/>
        <w:spacing w:after="0" w:line="277" w:lineRule="auto"/>
        <w:tabs>
          <w:tab w:leader="none" w:pos="2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170" w:lineRule="exact"/>
        <w:rPr>
          <w:rFonts w:ascii="Arial" w:cs="Arial" w:eastAsia="Arial" w:hAnsi="Arial"/>
          <w:sz w:val="18"/>
          <w:szCs w:val="18"/>
          <w:color w:val="auto"/>
        </w:rPr>
      </w:pPr>
    </w:p>
    <w:p>
      <w:pPr>
        <w:ind w:left="2280" w:right="80" w:hanging="327"/>
        <w:spacing w:after="0" w:line="286" w:lineRule="auto"/>
        <w:tabs>
          <w:tab w:leader="none" w:pos="2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such person is a natural person, to a corporation, partnership, limited liability company or other entity of which such person and the immediate family member of such person are the direct or indirect legal and beneficial owners of all the outstanding equity securities or similar interests of such corporation, partnership, limited liability company or other entity;</w:t>
      </w:r>
    </w:p>
    <w:p>
      <w:pPr>
        <w:spacing w:after="0" w:line="165" w:lineRule="exact"/>
        <w:rPr>
          <w:rFonts w:ascii="Arial" w:cs="Arial" w:eastAsia="Arial" w:hAnsi="Arial"/>
          <w:sz w:val="17"/>
          <w:szCs w:val="17"/>
          <w:color w:val="auto"/>
        </w:rPr>
      </w:pPr>
    </w:p>
    <w:p>
      <w:pPr>
        <w:ind w:left="2280" w:right="180" w:hanging="327"/>
        <w:spacing w:after="0" w:line="264" w:lineRule="auto"/>
        <w:tabs>
          <w:tab w:leader="none" w:pos="2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181" w:lineRule="exact"/>
        <w:rPr>
          <w:rFonts w:ascii="Arial" w:cs="Arial" w:eastAsia="Arial" w:hAnsi="Arial"/>
          <w:sz w:val="18"/>
          <w:szCs w:val="18"/>
          <w:color w:val="auto"/>
        </w:rPr>
      </w:pPr>
    </w:p>
    <w:p>
      <w:pPr>
        <w:ind w:left="2280" w:hanging="327"/>
        <w:spacing w:after="0"/>
        <w:tabs>
          <w:tab w:leader="none" w:pos="2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225" w:lineRule="exact"/>
        <w:rPr>
          <w:rFonts w:ascii="Arial" w:cs="Arial" w:eastAsia="Arial" w:hAnsi="Arial"/>
          <w:sz w:val="18"/>
          <w:szCs w:val="18"/>
          <w:color w:val="auto"/>
        </w:rPr>
      </w:pPr>
    </w:p>
    <w:p>
      <w:pPr>
        <w:ind w:left="2280" w:right="280" w:hanging="327"/>
        <w:spacing w:after="0" w:line="277" w:lineRule="auto"/>
        <w:tabs>
          <w:tab w:leader="none" w:pos="2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170" w:lineRule="exact"/>
        <w:rPr>
          <w:rFonts w:ascii="Arial" w:cs="Arial" w:eastAsia="Arial" w:hAnsi="Arial"/>
          <w:sz w:val="18"/>
          <w:szCs w:val="18"/>
          <w:color w:val="auto"/>
        </w:rPr>
      </w:pPr>
    </w:p>
    <w:p>
      <w:pPr>
        <w:ind w:left="2280" w:hanging="327"/>
        <w:spacing w:after="0"/>
        <w:tabs>
          <w:tab w:leader="none" w:pos="2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225"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each donee, distributee or transferee agrees to be</w:t>
      </w:r>
      <w:r>
        <w:rPr>
          <w:rFonts w:ascii="Arial" w:cs="Arial" w:eastAsia="Arial" w:hAnsi="Arial"/>
          <w:sz w:val="18"/>
          <w:szCs w:val="18"/>
          <w:i w:val="1"/>
          <w:iCs w:val="1"/>
          <w:color w:val="auto"/>
        </w:rPr>
        <w:t xml:space="preserve"> </w:t>
      </w:r>
      <w:r>
        <w:rPr>
          <w:rFonts w:ascii="Arial" w:cs="Arial" w:eastAsia="Arial" w:hAnsi="Arial"/>
          <w:sz w:val="18"/>
          <w:szCs w:val="18"/>
          <w:color w:val="auto"/>
        </w:rPr>
        <w:t>bound in writing by the terms of the lock-up agreement.</w:t>
      </w:r>
    </w:p>
    <w:p>
      <w:pPr>
        <w:spacing w:after="0" w:line="170" w:lineRule="exact"/>
        <w:rPr>
          <w:sz w:val="20"/>
          <w:szCs w:val="20"/>
          <w:color w:val="auto"/>
        </w:rPr>
      </w:pPr>
    </w:p>
    <w:p>
      <w:pPr>
        <w:ind w:left="1300" w:hanging="320"/>
        <w:spacing w:after="0" w:line="273"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plan does not provide for the transfer of common shares during the 90-day lock-up period, (ii) the establishment of such plan shall not be voluntarily publicly announced or filed under the Exchange Act and (iii) to the extent a public announcement or filing under the Exchange Act, if any, is required by or on behalf of such person or us regarding the establishment or modification of such plan, such announcement or filing shall include a statement to the effect that no transfer of common shares may be made under such plan during the 90-day lock-up period;</w:t>
      </w:r>
    </w:p>
    <w:p>
      <w:pPr>
        <w:spacing w:after="0" w:line="178" w:lineRule="exact"/>
        <w:rPr>
          <w:rFonts w:ascii="Arial" w:cs="Arial" w:eastAsia="Arial" w:hAnsi="Arial"/>
          <w:sz w:val="17"/>
          <w:szCs w:val="17"/>
          <w:color w:val="auto"/>
        </w:rPr>
      </w:pPr>
    </w:p>
    <w:p>
      <w:pPr>
        <w:ind w:left="1300" w:right="60" w:hanging="320"/>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transfer of common shares or related securities to us, pursuant to agreements or rights in existence on the date of this prospectus supplement under which we have the option to repurchase such shares or a right of first refusal with respect to transfers of such shares or in connection with the termination of such person’s employment with us;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transfer of common shares or related securities that occurs by any order or settlement resulting from any legal proceeding; or</w:t>
      </w:r>
    </w:p>
    <w:p>
      <w:pPr>
        <w:spacing w:after="0" w:line="236" w:lineRule="exact"/>
        <w:rPr>
          <w:rFonts w:ascii="Arial" w:cs="Arial" w:eastAsia="Arial" w:hAnsi="Arial"/>
          <w:sz w:val="17"/>
          <w:szCs w:val="17"/>
          <w:color w:val="auto"/>
        </w:rPr>
      </w:pPr>
    </w:p>
    <w:p>
      <w:pPr>
        <w:ind w:left="1300" w:right="60" w:hanging="320"/>
        <w:spacing w:after="0" w:line="25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transfer of common shares or related securities pursuant to a bona fide third-party tender offer, merger, amalgamation, consolidation or other similar transaction made to all holders of the common shares or related securities involving a change of control of 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tender offer, merger, amalgamation, consolidation or other such transaction is not completed, the common shares owned by such person shall remain subject to the restrictions described above.</w:t>
      </w:r>
    </w:p>
    <w:p>
      <w:pPr>
        <w:spacing w:after="0" w:line="18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Jefferies LLC and Leerink Partners LLC may, in their sole discretion and at any time or from time to time before the termination of the 90-day period release all or any portion of the securities subject to lock-up agreements.</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Stabilization</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underwriters have advised us that they may engage in short sale transactions, stabilizing transactions, syndicate covering transactions or the imposition of penalty bids in connection with this offering. These activities may have the effect of stabilizing or maintaining the market price of the common shares at a level above that which might otherwise prevail in the open market. Establishing short sales positions may involve either “covered” short sales or “naked” short sales.</w:t>
      </w:r>
    </w:p>
    <w:p>
      <w:pPr>
        <w:spacing w:after="0" w:line="187"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shares of our common shares in this offering. The underwriters may close out any covered short position by either exercising their option to purchase additional common shares or purchasing common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88" w:lineRule="exact"/>
        <w:rPr>
          <w:sz w:val="20"/>
          <w:szCs w:val="20"/>
          <w:color w:val="auto"/>
        </w:rPr>
      </w:pPr>
    </w:p>
    <w:p>
      <w:pPr>
        <w:jc w:val="both"/>
        <w:ind w:right="140" w:firstLine="441"/>
        <w:spacing w:after="0" w:line="312" w:lineRule="auto"/>
        <w:rPr>
          <w:sz w:val="20"/>
          <w:szCs w:val="20"/>
          <w:color w:val="auto"/>
        </w:rPr>
      </w:pPr>
      <w:r>
        <w:rPr>
          <w:rFonts w:ascii="Arial" w:cs="Arial" w:eastAsia="Arial" w:hAnsi="Arial"/>
          <w:sz w:val="16"/>
          <w:szCs w:val="16"/>
          <w:color w:val="auto"/>
        </w:rPr>
        <w:t>“Naked” short sales are sales in excess of the option to purchase additional common shares. The underwriters must close out any naked short position by purchasing shares in the open market. A naked short position is more likely to be created if the underwriters are concerned that there may be downward pressure on the price of our common shares in the open market after pricing that could adversely affect investors who purchase in this offering.</w:t>
      </w:r>
    </w:p>
    <w:p>
      <w:pPr>
        <w:spacing w:after="0" w:line="147"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A stabilizing bid is a bid for the purchase of our common shares on behalf of the underwriters for the purpose of fixing or maintaining the price of our common shares. A syndicate covering transaction is the bid for or the purchase of common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A penalty bid is an arrangement permitting the underwriters to reclaim the selling concession otherwise accruing to a syndicate member in connection with the offering if the common shares originally sold by such syndicate member are purchased in a syndicate covering transaction and therefore have not been effectively placed by such syndicate member.</w:t>
      </w:r>
    </w:p>
    <w:p>
      <w:pPr>
        <w:spacing w:after="0" w:line="192"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common shares. The underwriters are not obligated to engage in these activities and, if commenced, any of the activities may be discontinued at any time.</w:t>
      </w:r>
    </w:p>
    <w:p>
      <w:pPr>
        <w:spacing w:after="0" w:line="18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The underwriters may also engage in passive market making transactions in our common shares on The Nasdaq Global Market in accordance with Rule 103 of Regulation M during a period before the commencement of offers or sales of our common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right="180" w:firstLine="441"/>
        <w:spacing w:after="0" w:line="293" w:lineRule="auto"/>
        <w:rPr>
          <w:sz w:val="20"/>
          <w:szCs w:val="20"/>
          <w:color w:val="auto"/>
        </w:rPr>
      </w:pPr>
      <w:r>
        <w:rPr>
          <w:rFonts w:ascii="Arial" w:cs="Arial" w:eastAsia="Arial" w:hAnsi="Arial"/>
          <w:sz w:val="16"/>
          <w:szCs w:val="16"/>
          <w:color w:val="auto"/>
        </w:rPr>
        <w:t>A prospectus supplement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common share for sale to online brokerage account holders. Any such allocation for online distributions will be made by the underwriters on the same basis as other allocations. Other than the prospectus supplement in electronic format, the information on the underwriters’ web sites and any information contained in any other web site maintained by any of the underwriters is not part of this prospectus supplement, has not been approved and/or endorsed by us or the underwriters and should not be relied upon by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229"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w:t>
      </w: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5" w:name="page46"/>
    <w:bookmarkEnd w:id="45"/>
    <w:p>
      <w:pPr>
        <w:ind w:right="480"/>
        <w:spacing w:after="0" w:line="277" w:lineRule="auto"/>
        <w:rPr>
          <w:sz w:val="20"/>
          <w:szCs w:val="20"/>
          <w:color w:val="auto"/>
        </w:rPr>
      </w:pPr>
      <w:r>
        <w:rPr>
          <w:rFonts w:ascii="Arial" w:cs="Arial" w:eastAsia="Arial" w:hAnsi="Arial"/>
          <w:sz w:val="18"/>
          <w:szCs w:val="18"/>
          <w:color w:val="auto"/>
        </w:rPr>
        <w:t>commercial and investment banking and financial advisory services for us and our affiliates, for which they received or will receive customary fees and expenses.</w:t>
      </w:r>
    </w:p>
    <w:p>
      <w:pPr>
        <w:spacing w:after="0" w:line="170"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shares offered hereby. Any such short positions could adversely affect future trading prices of the common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Investors in the European Economic Area</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178"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1300" w:right="20" w:hanging="320"/>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181" w:lineRule="exact"/>
        <w:rPr>
          <w:rFonts w:ascii="Arial" w:cs="Arial" w:eastAsia="Arial" w:hAnsi="Arial"/>
          <w:sz w:val="18"/>
          <w:szCs w:val="18"/>
          <w:color w:val="auto"/>
        </w:rPr>
      </w:pPr>
    </w:p>
    <w:p>
      <w:pPr>
        <w:ind w:left="1300" w:right="200" w:hanging="320"/>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4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Investors in the United Kingdom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underwriters:</w:t>
      </w:r>
    </w:p>
    <w:p>
      <w:pPr>
        <w:spacing w:after="0" w:line="225" w:lineRule="exact"/>
        <w:rPr>
          <w:sz w:val="20"/>
          <w:szCs w:val="20"/>
          <w:color w:val="auto"/>
        </w:rPr>
      </w:pPr>
    </w:p>
    <w:p>
      <w:pPr>
        <w:ind w:left="1300" w:right="20" w:hanging="320"/>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6" w:name="page47"/>
    <w:bookmarkEnd w:id="46"/>
    <w:p>
      <w:pPr>
        <w:ind w:left="1300" w:right="48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This prospectus supplement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supplement must not be acted on or relied on by persons who are not Relevant Persons. Any investment or investment activity to which this prospectus supplement relates is available only to relevant persons and will be engaged in with Relevant Persons only.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Switzerland</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 standards for listing prospectuses under art. 27 ff. of the SIX Listing Rules or the listing rules of any other stock exchange or regulated trading facility in Switzerland.</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the Dubai International Financial Centre</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or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Australia</w:t>
      </w:r>
    </w:p>
    <w:p>
      <w:pPr>
        <w:spacing w:after="0" w:line="225"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Hong Kong</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7" w:name="page48"/>
    <w:bookmarkEnd w:id="47"/>
    <w:p>
      <w:pPr>
        <w:ind w:firstLine="441"/>
        <w:spacing w:after="0" w:line="293" w:lineRule="auto"/>
        <w:rPr>
          <w:sz w:val="20"/>
          <w:szCs w:val="20"/>
          <w:color w:val="auto"/>
        </w:rPr>
      </w:pPr>
      <w:r>
        <w:rPr>
          <w:rFonts w:ascii="Arial" w:cs="Arial" w:eastAsia="Arial" w:hAnsi="Arial"/>
          <w:sz w:val="16"/>
          <w:szCs w:val="16"/>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Japan</w:t>
      </w:r>
    </w:p>
    <w:p>
      <w:pPr>
        <w:spacing w:after="0" w:line="2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Prospective Investors in Singapore</w:t>
      </w:r>
    </w:p>
    <w:p>
      <w:pPr>
        <w:spacing w:after="0" w:line="225"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165" w:lineRule="exact"/>
        <w:rPr>
          <w:sz w:val="20"/>
          <w:szCs w:val="20"/>
          <w:color w:val="auto"/>
        </w:rPr>
      </w:pPr>
    </w:p>
    <w:p>
      <w:pPr>
        <w:ind w:left="1300" w:right="10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to Canadian Residents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Resale Restrictions</w:t>
      </w:r>
    </w:p>
    <w:p>
      <w:pPr>
        <w:spacing w:after="0" w:line="225"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The distribution of the common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common shares in Canada must be made under applicable securities laws which may vary depending on</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8" w:name="page49"/>
    <w:bookmarkEnd w:id="48"/>
    <w:p>
      <w:pPr>
        <w:ind w:right="240"/>
        <w:spacing w:after="0" w:line="308" w:lineRule="auto"/>
        <w:rPr>
          <w:sz w:val="20"/>
          <w:szCs w:val="20"/>
          <w:color w:val="auto"/>
        </w:rPr>
      </w:pPr>
      <w:r>
        <w:rPr>
          <w:rFonts w:ascii="Arial" w:cs="Arial" w:eastAsia="Arial" w:hAnsi="Arial"/>
          <w:sz w:val="17"/>
          <w:szCs w:val="17"/>
          <w:color w:val="auto"/>
        </w:rPr>
        <w:t>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Representations of Canadian Purchasers</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By purchasing the common shares in Canada and accepting delivery of a purchase confirmation, a purchaser is representing to us and the dealer from whom the purchase confirmation is received that:</w:t>
      </w:r>
    </w:p>
    <w:p>
      <w:pPr>
        <w:spacing w:after="0" w:line="170" w:lineRule="exact"/>
        <w:rPr>
          <w:sz w:val="20"/>
          <w:szCs w:val="20"/>
          <w:color w:val="auto"/>
        </w:rPr>
      </w:pPr>
    </w:p>
    <w:p>
      <w:pPr>
        <w:ind w:left="1300" w:hanging="320"/>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purchaser is entitled under applicable provincial securities laws to purchase the common shares without the benefit of a prospectus qualified under those securities laws as it is an “accredited investor” as defined under National Instrument 45-106 – Prospectus Exemptions,</w:t>
      </w:r>
    </w:p>
    <w:p>
      <w:pPr>
        <w:spacing w:after="0" w:line="123" w:lineRule="exact"/>
        <w:rPr>
          <w:rFonts w:ascii="Arial" w:cs="Arial" w:eastAsia="Arial" w:hAnsi="Arial"/>
          <w:sz w:val="16"/>
          <w:szCs w:val="16"/>
          <w:color w:val="auto"/>
        </w:rPr>
      </w:pPr>
    </w:p>
    <w:p>
      <w:pPr>
        <w:ind w:left="1300" w:right="48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31-103 - Registration Requirements, Exemptions and Ongoing Registrant Obligations,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225"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Statutory Rights of Action</w:t>
      </w:r>
    </w:p>
    <w:p>
      <w:pPr>
        <w:spacing w:after="0" w:line="22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Enforcement of Legal Rights</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Taxation and Eligibility for Investment</w:t>
      </w:r>
    </w:p>
    <w:p>
      <w:pPr>
        <w:spacing w:after="0" w:line="225"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Canadian purchasers of the ordinary shares offered in this offering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100" w:firstLine="415"/>
        <w:spacing w:after="0" w:line="264" w:lineRule="auto"/>
        <w:rPr>
          <w:sz w:val="20"/>
          <w:szCs w:val="20"/>
          <w:color w:val="auto"/>
        </w:rPr>
      </w:pPr>
      <w:r>
        <w:rPr>
          <w:rFonts w:ascii="Arial" w:cs="Arial" w:eastAsia="Arial" w:hAnsi="Arial"/>
          <w:sz w:val="18"/>
          <w:szCs w:val="18"/>
          <w:color w:val="auto"/>
        </w:rPr>
        <w:t>The validity of the securities and certain other matters of Swiss law will be passed upon for us by Vischer AG, Zurich, Switzerland. Certain matters of U.S. federal and New York State law will be passed upon for us by Davis Polk &amp; Wardwell LLP, New York, New York, and for the underwriter by Goodwin Procter LLP, Boston, Massachusetts.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 Such financial statements are incorporated herein by reference in reliance upon such report given the authority of such firm as experts in accounting and auditing.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address of Ernst &amp; Young AG is Route de Chancy 59, 1213 Petit-Lancy, Switzerland.</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40" w:firstLine="415"/>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supplement incorporated by reference subsequent to the date of this prospectus supplement.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incorporate by reference the following documents or information that we have filed with the SEC:</w:t>
      </w:r>
    </w:p>
    <w:p>
      <w:pPr>
        <w:spacing w:after="0" w:line="225" w:lineRule="exact"/>
        <w:rPr>
          <w:sz w:val="20"/>
          <w:szCs w:val="20"/>
          <w:color w:val="auto"/>
        </w:rPr>
      </w:pPr>
    </w:p>
    <w:p>
      <w:pPr>
        <w:ind w:left="1060" w:hanging="323"/>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2017 Annual Report on Form 20-F for the fiscal year ended December 31, 2017;</w:t>
      </w:r>
    </w:p>
    <w:p>
      <w:pPr>
        <w:spacing w:after="0" w:line="225" w:lineRule="exact"/>
        <w:rPr>
          <w:rFonts w:ascii="Arial" w:cs="Arial" w:eastAsia="Arial" w:hAnsi="Arial"/>
          <w:sz w:val="18"/>
          <w:szCs w:val="18"/>
          <w:color w:val="auto"/>
        </w:rPr>
      </w:pPr>
    </w:p>
    <w:p>
      <w:pPr>
        <w:ind w:left="1060" w:right="80" w:hanging="323"/>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Forms 6-K filed on March 20, 2018 (only with respect to “Item 1.C—2017 Board Compensation” and “Item 2.C—2017 Executive Compensation” of Exhibit 99.3), March 22, 2018, March 26, 2018, April 27, 2018, May 2, 2018 (only with respect to Exhibits 99.1 and 99.2), June 7, 2018, July 6, 2018 and July 17, 2018; and</w:t>
      </w:r>
    </w:p>
    <w:p>
      <w:pPr>
        <w:spacing w:after="0" w:line="181" w:lineRule="exact"/>
        <w:rPr>
          <w:rFonts w:ascii="Arial" w:cs="Arial" w:eastAsia="Arial" w:hAnsi="Arial"/>
          <w:sz w:val="18"/>
          <w:szCs w:val="18"/>
          <w:color w:val="auto"/>
        </w:rPr>
      </w:pPr>
    </w:p>
    <w:p>
      <w:pPr>
        <w:ind w:left="1060" w:right="600" w:hanging="323"/>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description of our common shares contained in our registration statement on Form 8-A filed with the SEC on September 23, 2016, including any amendments or reports filed for the purpose of updating such description.</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0" w:name="page51"/>
    <w:bookmarkEnd w:id="50"/>
    <w:p>
      <w:pPr>
        <w:ind w:firstLine="416"/>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supplement and prior to termination or expiration of this registration statement shall be deemed incorporated by reference into this prospectus supplement and to be part hereof from the date of filing of such documents. We may incorporate by reference any Form 6-K subsequently submitted to the SEC by identifying in such Form 6-K that it is being incorporated by reference into this prospectus supplement.</w:t>
      </w:r>
    </w:p>
    <w:p>
      <w:pPr>
        <w:spacing w:after="0" w:line="187" w:lineRule="exact"/>
        <w:rPr>
          <w:sz w:val="20"/>
          <w:szCs w:val="20"/>
          <w:color w:val="auto"/>
        </w:rPr>
      </w:pPr>
    </w:p>
    <w:p>
      <w:pPr>
        <w:ind w:right="40" w:firstLine="416"/>
        <w:spacing w:after="0" w:line="259"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Each person, including any beneficial owner, to whom a prospectus is delivered can obtain documents incorporated by reference in this document by requesting them from us in writing at EPFL Innovation Park Building B, 1015 Lausanne, Switzerland or via telephone at +41 21 345 91 21.</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STATUTORY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591820" cy="694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1820" cy="6946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Ernst &amp; Young Ltd</w:t>
      </w:r>
    </w:p>
    <w:p>
      <w:pPr>
        <w:spacing w:after="0" w:line="3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Rue de Chancey 59</w:t>
      </w:r>
    </w:p>
    <w:p>
      <w:pPr>
        <w:spacing w:after="0" w:line="4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P.O. Box</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CH-1213 Lancy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color w:val="auto"/>
        </w:rPr>
        <w:t>Phone</w:t>
        <w:tab/>
        <w:t>+41 58 286 86 86</w:t>
      </w:r>
    </w:p>
    <w:p>
      <w:pPr>
        <w:spacing w:after="0" w:line="4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Fax</w:t>
      </w:r>
      <w:r>
        <w:rPr>
          <w:sz w:val="20"/>
          <w:szCs w:val="20"/>
          <w:color w:val="auto"/>
        </w:rPr>
        <w:tab/>
      </w:r>
      <w:r>
        <w:rPr>
          <w:rFonts w:ascii="Arial" w:cs="Arial" w:eastAsia="Arial" w:hAnsi="Arial"/>
          <w:sz w:val="16"/>
          <w:szCs w:val="16"/>
          <w:color w:val="auto"/>
        </w:rPr>
        <w:t>+41 58 286 86 00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www.ey.com/ch</w:t>
      </w:r>
    </w:p>
    <w:p>
      <w:pPr>
        <w:spacing w:after="0" w:line="200" w:lineRule="exact"/>
        <w:rPr>
          <w:sz w:val="20"/>
          <w:szCs w:val="20"/>
          <w:color w:val="auto"/>
        </w:rPr>
      </w:pPr>
    </w:p>
    <w:p>
      <w:pPr>
        <w:sectPr>
          <w:pgSz w:w="11900" w:h="16838" w:orient="portrait"/>
          <w:cols w:equalWidth="0" w:num="2">
            <w:col w:w="5340" w:space="720"/>
            <w:col w:w="5320"/>
          </w:cols>
          <w:pgMar w:left="240" w:top="796" w:right="279" w:bottom="1440" w:gutter="0" w:footer="0" w:header="0"/>
          <w:type w:val="continuous"/>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To the General Meeting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 Immune SA, Ecublens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Lancy, 20 March 2018</w:t>
      </w:r>
    </w:p>
    <w:p>
      <w:pPr>
        <w:spacing w:after="0" w:line="430" w:lineRule="exact"/>
        <w:rPr>
          <w:sz w:val="20"/>
          <w:szCs w:val="20"/>
          <w:color w:val="auto"/>
        </w:rPr>
      </w:pPr>
    </w:p>
    <w:p>
      <w:pPr>
        <w:sectPr>
          <w:pgSz w:w="11900" w:h="16838" w:orient="portrait"/>
          <w:cols w:equalWidth="0" w:num="2">
            <w:col w:w="7060" w:space="720"/>
            <w:col w:w="3600"/>
          </w:cols>
          <w:pgMar w:left="240" w:top="796" w:right="27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statutory auditor on the financial statements</w:t>
      </w:r>
    </w:p>
    <w:p>
      <w:pPr>
        <w:spacing w:after="0" w:line="229" w:lineRule="exact"/>
        <w:rPr>
          <w:sz w:val="20"/>
          <w:szCs w:val="20"/>
          <w:color w:val="auto"/>
        </w:rPr>
      </w:pPr>
    </w:p>
    <w:p>
      <w:pPr>
        <w:ind w:left="1620" w:right="280"/>
        <w:spacing w:after="0" w:line="277" w:lineRule="auto"/>
        <w:rPr>
          <w:sz w:val="20"/>
          <w:szCs w:val="20"/>
          <w:color w:val="auto"/>
        </w:rPr>
      </w:pPr>
      <w:r>
        <w:rPr>
          <w:rFonts w:ascii="Arial" w:cs="Arial" w:eastAsia="Arial" w:hAnsi="Arial"/>
          <w:sz w:val="18"/>
          <w:szCs w:val="18"/>
          <w:color w:val="auto"/>
        </w:rPr>
        <w:t>As statutory auditor, we have audited the accompanying financial statements of AC Immune SA, which comprise the balance sheet, income statement and notes, for the year ended 31 December 2017.</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Board of Directors’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71805" cy="3600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1805" cy="360045"/>
                    </a:xfrm>
                    <a:prstGeom prst="rect">
                      <a:avLst/>
                    </a:prstGeom>
                    <a:noFill/>
                  </pic:spPr>
                </pic:pic>
              </a:graphicData>
            </a:graphic>
          </wp:anchor>
        </w:drawing>
      </w:r>
    </w:p>
    <w:p>
      <w:pPr>
        <w:spacing w:after="0" w:line="3" w:lineRule="exact"/>
        <w:rPr>
          <w:sz w:val="20"/>
          <w:szCs w:val="20"/>
          <w:color w:val="auto"/>
        </w:rPr>
      </w:pPr>
    </w:p>
    <w:p>
      <w:pPr>
        <w:jc w:val="both"/>
        <w:ind w:left="1620" w:right="120"/>
        <w:spacing w:after="0" w:line="253" w:lineRule="auto"/>
        <w:rPr>
          <w:sz w:val="20"/>
          <w:szCs w:val="20"/>
          <w:color w:val="auto"/>
        </w:rPr>
      </w:pPr>
      <w:r>
        <w:rPr>
          <w:rFonts w:ascii="Arial" w:cs="Arial" w:eastAsia="Arial" w:hAnsi="Arial"/>
          <w:sz w:val="18"/>
          <w:szCs w:val="18"/>
          <w:color w:val="auto"/>
        </w:rPr>
        <w:t>The Board of Directors is responsible for the preparation of the financial statements in accordance with the requirements of Swiss law and the company’s articles of incorporation. This responsibility includes designing, implementing and maintaining an internal control system relevant to the preparation of financial statements that are free from material misstatement, whether due to fraud or error. The Board of Directors is further responsible for selecting and applying appropriate accounting policies and making accounting estimates that are reasonable in the circumstances.</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Auditor’s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531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1480" cy="531495"/>
                    </a:xfrm>
                    <a:prstGeom prst="rect">
                      <a:avLst/>
                    </a:prstGeom>
                    <a:noFill/>
                  </pic:spPr>
                </pic:pic>
              </a:graphicData>
            </a:graphic>
          </wp:anchor>
        </w:drawing>
      </w:r>
    </w:p>
    <w:p>
      <w:pPr>
        <w:spacing w:after="0" w:line="3" w:lineRule="exact"/>
        <w:rPr>
          <w:sz w:val="20"/>
          <w:szCs w:val="20"/>
          <w:color w:val="auto"/>
        </w:rPr>
      </w:pPr>
    </w:p>
    <w:p>
      <w:pPr>
        <w:ind w:left="1620" w:right="20"/>
        <w:spacing w:after="0" w:line="255"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Swiss law and Swiss Auditing Standards. Those standards require that we plan and perform the audit to obtain reasonable assurance whether the financial statements are free from material misstatement.</w:t>
      </w:r>
    </w:p>
    <w:p>
      <w:pPr>
        <w:spacing w:after="0" w:line="190" w:lineRule="exact"/>
        <w:rPr>
          <w:sz w:val="20"/>
          <w:szCs w:val="20"/>
          <w:color w:val="auto"/>
        </w:rPr>
      </w:pPr>
    </w:p>
    <w:p>
      <w:pPr>
        <w:ind w:left="1620"/>
        <w:spacing w:after="0" w:line="271"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the internal control system relevant to the entity’s preparation of the financial statements in order to design audit procedures that are appropriate in the circumstances, but not for the purpose of expressing an opinion on the effectiveness of the entity’s internal control system. An audit also includes evaluating the appropriateness of the accounting policies used and the reasonableness of accounting estimates made, as well as evaluating the overall presentation of the financial statements. We believe that the audit evidence we have obtained is sufficient and appropriate to provide a basis for our audit opinion.</w:t>
      </w: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51790" cy="3257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1790" cy="325755"/>
                    </a:xfrm>
                    <a:prstGeom prst="rect">
                      <a:avLst/>
                    </a:prstGeom>
                    <a:noFill/>
                  </pic:spPr>
                </pic:pic>
              </a:graphicData>
            </a:graphic>
          </wp:anchor>
        </w:drawing>
      </w:r>
    </w:p>
    <w:p>
      <w:pPr>
        <w:spacing w:after="0" w:line="3" w:lineRule="exact"/>
        <w:rPr>
          <w:sz w:val="20"/>
          <w:szCs w:val="20"/>
          <w:color w:val="auto"/>
        </w:rPr>
      </w:pPr>
    </w:p>
    <w:p>
      <w:pPr>
        <w:ind w:left="1620" w:right="340"/>
        <w:spacing w:after="0" w:line="261" w:lineRule="auto"/>
        <w:rPr>
          <w:sz w:val="20"/>
          <w:szCs w:val="20"/>
          <w:color w:val="auto"/>
        </w:rPr>
      </w:pPr>
      <w:r>
        <w:rPr>
          <w:rFonts w:ascii="Arial" w:cs="Arial" w:eastAsia="Arial" w:hAnsi="Arial"/>
          <w:sz w:val="18"/>
          <w:szCs w:val="18"/>
          <w:color w:val="auto"/>
        </w:rPr>
        <w:t>In our opinion, the financial statements for the year ended 31 December 2017 comply with Swiss law and the company’s articles of incorporation.</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Report on key audit matters based on the circular 1/2015 of the Federal Audit Oversight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0385" cy="394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0385" cy="394335"/>
                    </a:xfrm>
                    <a:prstGeom prst="rect">
                      <a:avLst/>
                    </a:prstGeom>
                    <a:noFill/>
                  </pic:spPr>
                </pic:pic>
              </a:graphicData>
            </a:graphic>
          </wp:anchor>
        </w:drawing>
      </w:r>
    </w:p>
    <w:p>
      <w:pPr>
        <w:spacing w:after="0" w:line="3" w:lineRule="exact"/>
        <w:rPr>
          <w:sz w:val="20"/>
          <w:szCs w:val="20"/>
          <w:color w:val="auto"/>
        </w:rPr>
      </w:pPr>
    </w:p>
    <w:p>
      <w:pPr>
        <w:ind w:left="1620"/>
        <w:spacing w:after="0" w:line="254" w:lineRule="auto"/>
        <w:rPr>
          <w:sz w:val="20"/>
          <w:szCs w:val="20"/>
          <w:color w:val="auto"/>
        </w:rPr>
      </w:pPr>
      <w:r>
        <w:rPr>
          <w:rFonts w:ascii="Arial" w:cs="Arial" w:eastAsia="Arial" w:hAnsi="Arial"/>
          <w:sz w:val="18"/>
          <w:szCs w:val="18"/>
          <w:color w:val="auto"/>
        </w:rPr>
        <w:t>Key audit matters are those matters that, in our professional judgment, were of most significance in our audit of the financial statements of the current period. These matters were addressed in the context of our audit of the financial statements as a whole, and in forming our opinion thereon, and we do not provide a separate opinion on these matters. For each matter below, our description of how our audit addressed the matter is provided in that context.</w:t>
      </w:r>
    </w:p>
    <w:p>
      <w:pPr>
        <w:spacing w:after="0" w:line="190" w:lineRule="exact"/>
        <w:rPr>
          <w:sz w:val="20"/>
          <w:szCs w:val="20"/>
          <w:color w:val="auto"/>
        </w:rPr>
      </w:pPr>
    </w:p>
    <w:p>
      <w:pPr>
        <w:ind w:left="1620" w:right="40"/>
        <w:spacing w:after="0" w:line="279" w:lineRule="auto"/>
        <w:rPr>
          <w:sz w:val="20"/>
          <w:szCs w:val="20"/>
          <w:color w:val="auto"/>
        </w:rPr>
      </w:pPr>
      <w:r>
        <w:rPr>
          <w:rFonts w:ascii="Arial" w:cs="Arial" w:eastAsia="Arial" w:hAnsi="Arial"/>
          <w:sz w:val="17"/>
          <w:szCs w:val="17"/>
          <w:color w:val="auto"/>
        </w:rPr>
        <w:t xml:space="preserve">We have fulfilled the responsibilities described in the </w:t>
      </w:r>
      <w:r>
        <w:rPr>
          <w:rFonts w:ascii="Arial" w:cs="Arial" w:eastAsia="Arial" w:hAnsi="Arial"/>
          <w:sz w:val="17"/>
          <w:szCs w:val="17"/>
          <w:i w:val="1"/>
          <w:iCs w:val="1"/>
          <w:color w:val="auto"/>
        </w:rPr>
        <w:t>Auditor’s responsibilities</w:t>
      </w:r>
      <w:r>
        <w:rPr>
          <w:rFonts w:ascii="Arial" w:cs="Arial" w:eastAsia="Arial" w:hAnsi="Arial"/>
          <w:sz w:val="17"/>
          <w:szCs w:val="17"/>
          <w:color w:val="auto"/>
        </w:rPr>
        <w:t xml:space="preserve"> section of our report, including in relation to these matters. Accordingly, our audit included the performance of procedures designed to respond to our assessment of the risks of material misstatement of the financial statements. The results of our audit procedures, including the procedures performed to address the matters below, provide the basis for our audit opinion on the accompanying financial statements.</w:t>
      </w:r>
    </w:p>
    <w:p>
      <w:pPr>
        <w:spacing w:after="0" w:line="200" w:lineRule="exact"/>
        <w:rPr>
          <w:sz w:val="20"/>
          <w:szCs w:val="20"/>
          <w:color w:val="auto"/>
        </w:rPr>
      </w:pPr>
    </w:p>
    <w:p>
      <w:pPr>
        <w:spacing w:after="0" w:line="30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Collaboration arrangements -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60325</wp:posOffset>
            </wp:positionV>
            <wp:extent cx="62261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b w:val="1"/>
                <w:bCs w:val="1"/>
                <w:color w:val="auto"/>
              </w:rPr>
              <w:t>Area of focus</w:t>
            </w:r>
          </w:p>
        </w:tc>
        <w:tc>
          <w:tcPr>
            <w:tcW w:w="8100" w:type="dxa"/>
            <w:vAlign w:val="bottom"/>
          </w:tcPr>
          <w:p>
            <w:pPr>
              <w:ind w:left="220"/>
              <w:spacing w:after="0"/>
              <w:rPr>
                <w:sz w:val="20"/>
                <w:szCs w:val="20"/>
                <w:color w:val="auto"/>
              </w:rPr>
            </w:pPr>
            <w:r>
              <w:rPr>
                <w:rFonts w:ascii="Arial" w:cs="Arial" w:eastAsia="Arial" w:hAnsi="Arial"/>
                <w:sz w:val="18"/>
                <w:szCs w:val="18"/>
                <w:color w:val="auto"/>
                <w:w w:val="98"/>
              </w:rPr>
              <w:t>AC Immune SA has entered into material revenue generating collaboration agreements with various</w:t>
            </w:r>
          </w:p>
        </w:tc>
      </w:tr>
      <w:tr>
        <w:trPr>
          <w:trHeight w:val="216"/>
        </w:trPr>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w w:val="93"/>
              </w:rPr>
              <w:t>collaboration partners. These arrangements vary in type and structure; however, typically include up-front</w:t>
            </w:r>
          </w:p>
        </w:tc>
      </w:tr>
      <w:tr>
        <w:trPr>
          <w:trHeight w:val="216"/>
        </w:trPr>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w w:val="91"/>
              </w:rPr>
              <w:t>fees, performance milestones and contain separate Research and Development (R&amp;D) service deliverables.</w:t>
            </w:r>
          </w:p>
        </w:tc>
      </w:tr>
      <w:tr>
        <w:trPr>
          <w:trHeight w:val="216"/>
        </w:trPr>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w w:val="93"/>
              </w:rPr>
              <w:t>Revenue is recognized as Contract Revenue on the Income Statement over the estimated performance or</w:t>
            </w:r>
          </w:p>
        </w:tc>
      </w:tr>
      <w:tr>
        <w:trPr>
          <w:trHeight w:val="230"/>
        </w:trPr>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agreement period or upon successful accomplishment of pre-defined objectives.</w:t>
            </w:r>
          </w:p>
        </w:tc>
      </w:tr>
      <w:tr>
        <w:trPr>
          <w:trHeight w:val="418"/>
        </w:trPr>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w w:val="92"/>
              </w:rPr>
              <w:t>Given the nature of the collaboration agreements and the complexity and judgement involved, we consider</w:t>
            </w:r>
          </w:p>
        </w:tc>
      </w:tr>
      <w:tr>
        <w:trPr>
          <w:trHeight w:val="230"/>
        </w:trPr>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this area as significant to our audit.</w:t>
            </w:r>
          </w:p>
        </w:tc>
      </w:tr>
      <w:tr>
        <w:trPr>
          <w:trHeight w:val="418"/>
        </w:trPr>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w w:val="95"/>
              </w:rPr>
              <w:t>Refer to Note 2 and Note 11 in the Financial Statements for AC Immune's accounting policy and further</w:t>
            </w:r>
          </w:p>
        </w:tc>
      </w:tr>
      <w:tr>
        <w:trPr>
          <w:trHeight w:val="230"/>
        </w:trPr>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details.</w:t>
            </w:r>
          </w:p>
        </w:tc>
      </w:tr>
      <w:tr>
        <w:trPr>
          <w:trHeight w:val="68"/>
        </w:trPr>
        <w:tc>
          <w:tcPr>
            <w:tcW w:w="1620" w:type="dxa"/>
            <w:vAlign w:val="bottom"/>
          </w:tcPr>
          <w:p>
            <w:pPr>
              <w:spacing w:after="0"/>
              <w:rPr>
                <w:sz w:val="5"/>
                <w:szCs w:val="5"/>
                <w:color w:val="auto"/>
              </w:rPr>
            </w:pPr>
          </w:p>
        </w:tc>
        <w:tc>
          <w:tcPr>
            <w:tcW w:w="1700" w:type="dxa"/>
            <w:vAlign w:val="bottom"/>
            <w:tcBorders>
              <w:bottom w:val="single" w:sz="8" w:color="808080"/>
            </w:tcBorders>
          </w:tcPr>
          <w:p>
            <w:pPr>
              <w:spacing w:after="0"/>
              <w:rPr>
                <w:sz w:val="5"/>
                <w:szCs w:val="5"/>
                <w:color w:val="auto"/>
              </w:rPr>
            </w:pPr>
          </w:p>
        </w:tc>
        <w:tc>
          <w:tcPr>
            <w:tcW w:w="8100" w:type="dxa"/>
            <w:vAlign w:val="bottom"/>
            <w:tcBorders>
              <w:bottom w:val="single" w:sz="8" w:color="808080"/>
            </w:tcBorders>
          </w:tcPr>
          <w:p>
            <w:pPr>
              <w:spacing w:after="0"/>
              <w:rPr>
                <w:sz w:val="5"/>
                <w:szCs w:val="5"/>
                <w:color w:val="auto"/>
              </w:rPr>
            </w:pPr>
          </w:p>
        </w:tc>
      </w:tr>
      <w:tr>
        <w:trPr>
          <w:trHeight w:val="263"/>
        </w:trPr>
        <w:tc>
          <w:tcPr>
            <w:tcW w:w="1620" w:type="dxa"/>
            <w:vAlign w:val="bottom"/>
          </w:tcPr>
          <w:p>
            <w:pPr>
              <w:spacing w:after="0"/>
              <w:rPr>
                <w:sz w:val="22"/>
                <w:szCs w:val="22"/>
                <w:color w:val="auto"/>
              </w:rPr>
            </w:pPr>
          </w:p>
        </w:tc>
        <w:tc>
          <w:tcPr>
            <w:tcW w:w="1700" w:type="dxa"/>
            <w:vAlign w:val="bottom"/>
          </w:tcPr>
          <w:p>
            <w:pPr>
              <w:spacing w:after="0"/>
              <w:rPr>
                <w:sz w:val="20"/>
                <w:szCs w:val="20"/>
                <w:color w:val="auto"/>
              </w:rPr>
            </w:pPr>
            <w:r>
              <w:rPr>
                <w:rFonts w:ascii="Arial" w:cs="Arial" w:eastAsia="Arial" w:hAnsi="Arial"/>
                <w:sz w:val="18"/>
                <w:szCs w:val="18"/>
                <w:b w:val="1"/>
                <w:bCs w:val="1"/>
                <w:color w:val="auto"/>
              </w:rPr>
              <w:t>Our audit response</w:t>
            </w:r>
          </w:p>
        </w:tc>
        <w:tc>
          <w:tcPr>
            <w:tcW w:w="8100" w:type="dxa"/>
            <w:vAlign w:val="bottom"/>
          </w:tcPr>
          <w:p>
            <w:pPr>
              <w:ind w:left="220"/>
              <w:spacing w:after="0"/>
              <w:rPr>
                <w:sz w:val="20"/>
                <w:szCs w:val="20"/>
                <w:color w:val="auto"/>
              </w:rPr>
            </w:pPr>
            <w:r>
              <w:rPr>
                <w:rFonts w:ascii="Arial" w:cs="Arial" w:eastAsia="Arial" w:hAnsi="Arial"/>
                <w:sz w:val="18"/>
                <w:szCs w:val="18"/>
                <w:color w:val="auto"/>
              </w:rPr>
              <w:t>Our audit procedures included assessing the application of the accounting policy for collaboration</w:t>
            </w:r>
          </w:p>
        </w:tc>
      </w:tr>
      <w:tr>
        <w:trPr>
          <w:trHeight w:val="216"/>
        </w:trPr>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w w:val="92"/>
              </w:rPr>
              <w:t>agreements. For each significant transaction, we evaluated the revenue recognition timing compared to the</w:t>
            </w:r>
          </w:p>
        </w:tc>
      </w:tr>
      <w:tr>
        <w:trPr>
          <w:trHeight w:val="216"/>
        </w:trPr>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w w:val="92"/>
              </w:rPr>
              <w:t>timing of fulfillment of contractual terms and conditions and corroborated the key judgements applied in this</w:t>
            </w:r>
          </w:p>
        </w:tc>
      </w:tr>
      <w:tr>
        <w:trPr>
          <w:trHeight w:val="230"/>
        </w:trPr>
        <w:tc>
          <w:tcPr>
            <w:tcW w:w="1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100" w:type="dxa"/>
            <w:vAlign w:val="bottom"/>
          </w:tcPr>
          <w:p>
            <w:pPr>
              <w:ind w:left="220"/>
              <w:spacing w:after="0"/>
              <w:rPr>
                <w:sz w:val="20"/>
                <w:szCs w:val="20"/>
                <w:color w:val="auto"/>
              </w:rPr>
            </w:pPr>
            <w:r>
              <w:rPr>
                <w:rFonts w:ascii="Arial" w:cs="Arial" w:eastAsia="Arial" w:hAnsi="Arial"/>
                <w:sz w:val="18"/>
                <w:szCs w:val="18"/>
                <w:color w:val="auto"/>
              </w:rPr>
              <w:t>determination.</w:t>
            </w:r>
          </w:p>
        </w:tc>
      </w:tr>
      <w:tr>
        <w:trPr>
          <w:trHeight w:val="635"/>
        </w:trPr>
        <w:tc>
          <w:tcPr>
            <w:tcW w:w="16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30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420"/>
          </w:cols>
          <w:pgMar w:left="240" w:top="796" w:right="239" w:bottom="1440" w:gutter="0" w:footer="0" w:header="0"/>
        </w:sectPr>
      </w:pPr>
    </w:p>
    <w:bookmarkStart w:id="53" w:name="page54"/>
    <w:bookmarkEnd w:id="53"/>
    <w:p>
      <w:pPr>
        <w:ind w:left="2040"/>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Report on other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-119380</wp:posOffset>
            </wp:positionV>
            <wp:extent cx="557530" cy="514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530" cy="514350"/>
                    </a:xfrm>
                    <a:prstGeom prst="rect">
                      <a:avLst/>
                    </a:prstGeom>
                    <a:noFill/>
                  </pic:spPr>
                </pic:pic>
              </a:graphicData>
            </a:graphic>
          </wp:anchor>
        </w:drawing>
      </w:r>
    </w:p>
    <w:p>
      <w:pPr>
        <w:spacing w:after="0" w:line="7" w:lineRule="exact"/>
        <w:rPr>
          <w:sz w:val="20"/>
          <w:szCs w:val="20"/>
          <w:color w:val="auto"/>
        </w:rPr>
      </w:pPr>
    </w:p>
    <w:p>
      <w:pPr>
        <w:ind w:left="420"/>
        <w:spacing w:after="0" w:line="290" w:lineRule="auto"/>
        <w:rPr>
          <w:sz w:val="20"/>
          <w:szCs w:val="20"/>
          <w:color w:val="auto"/>
        </w:rPr>
      </w:pPr>
      <w:r>
        <w:rPr>
          <w:rFonts w:ascii="Arial" w:cs="Arial" w:eastAsia="Arial" w:hAnsi="Arial"/>
          <w:sz w:val="17"/>
          <w:szCs w:val="17"/>
          <w:color w:val="auto"/>
        </w:rPr>
        <w:t>We confirm that we meet the legal requirements on licensing according to the Auditor Oversight Act (AOA) and independence (article 728 CO and article 11 AOA) and that there are no circumstances incompatible with our independence.</w:t>
      </w:r>
    </w:p>
    <w:p>
      <w:pPr>
        <w:spacing w:after="0" w:line="162" w:lineRule="exact"/>
        <w:rPr>
          <w:sz w:val="20"/>
          <w:szCs w:val="20"/>
          <w:color w:val="auto"/>
        </w:rPr>
      </w:pPr>
    </w:p>
    <w:p>
      <w:pPr>
        <w:ind w:left="420" w:right="20"/>
        <w:spacing w:after="0" w:line="342" w:lineRule="auto"/>
        <w:rPr>
          <w:sz w:val="20"/>
          <w:szCs w:val="20"/>
          <w:color w:val="auto"/>
        </w:rPr>
      </w:pPr>
      <w:r>
        <w:rPr>
          <w:rFonts w:ascii="Arial" w:cs="Arial" w:eastAsia="Arial" w:hAnsi="Arial"/>
          <w:sz w:val="16"/>
          <w:szCs w:val="16"/>
          <w:color w:val="auto"/>
        </w:rPr>
        <w:t>In accordance with article 728a para. 1 item 3 CO and Swiss Auditing Standard 890, we confirm that an internal control system exists, which has been designed for the preparation of financial statements according to the instructions of the Board of Directors.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recommend that the financial statements submitted to you be approved.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Ernst &amp; Young Ltd</w:t>
      </w:r>
    </w:p>
    <w:p>
      <w:pPr>
        <w:sectPr>
          <w:pgSz w:w="11900" w:h="16838" w:orient="portrait"/>
          <w:cols w:equalWidth="0" w:num="1">
            <w:col w:w="10120"/>
          </w:cols>
          <w:pgMar w:left="1440" w:top="5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Jürg Zürcher</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Licensed audit expert</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(Auditor in charge)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Paulina Korecka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Certified Public Accountant</w:t>
      </w:r>
    </w:p>
    <w:p>
      <w:pPr>
        <w:spacing w:after="0" w:line="439" w:lineRule="exact"/>
        <w:rPr>
          <w:sz w:val="20"/>
          <w:szCs w:val="20"/>
          <w:color w:val="auto"/>
        </w:rPr>
      </w:pPr>
    </w:p>
    <w:p>
      <w:pPr>
        <w:sectPr>
          <w:pgSz w:w="11900" w:h="16838" w:orient="portrait"/>
          <w:cols w:equalWidth="0" w:num="2">
            <w:col w:w="4260" w:space="720"/>
            <w:col w:w="5140"/>
          </w:cols>
          <w:pgMar w:left="1440" w:top="580" w:right="3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Enclosures</w:t>
      </w:r>
    </w:p>
    <w:p>
      <w:pPr>
        <w:spacing w:after="0" w:line="148" w:lineRule="exact"/>
        <w:rPr>
          <w:sz w:val="20"/>
          <w:szCs w:val="20"/>
          <w:color w:val="auto"/>
        </w:rPr>
      </w:pPr>
    </w:p>
    <w:p>
      <w:pPr>
        <w:ind w:left="540" w:hanging="125"/>
        <w:spacing w:after="0"/>
        <w:tabs>
          <w:tab w:leader="none" w:pos="540" w:val="left"/>
        </w:tabs>
        <w:numPr>
          <w:ilvl w:val="0"/>
          <w:numId w:val="28"/>
        </w:numPr>
        <w:rPr>
          <w:rFonts w:ascii="Arial" w:cs="Arial" w:eastAsia="Arial" w:hAnsi="Arial"/>
          <w:sz w:val="15"/>
          <w:szCs w:val="15"/>
          <w:color w:val="808080"/>
        </w:rPr>
      </w:pPr>
      <w:r>
        <w:rPr>
          <w:rFonts w:ascii="Arial" w:cs="Arial" w:eastAsia="Arial" w:hAnsi="Arial"/>
          <w:sz w:val="15"/>
          <w:szCs w:val="15"/>
          <w:color w:val="auto"/>
        </w:rPr>
        <w:t>Financial statements (balance sheet, income statement and notes)</w:t>
      </w:r>
    </w:p>
    <w:p>
      <w:pPr>
        <w:spacing w:after="0" w:line="200" w:lineRule="exact"/>
        <w:rPr>
          <w:rFonts w:ascii="Arial" w:cs="Arial" w:eastAsia="Arial" w:hAnsi="Arial"/>
          <w:sz w:val="15"/>
          <w:szCs w:val="15"/>
          <w:color w:val="808080"/>
        </w:rPr>
      </w:pPr>
    </w:p>
    <w:p>
      <w:pPr>
        <w:spacing w:after="0" w:line="200" w:lineRule="exact"/>
        <w:rPr>
          <w:rFonts w:ascii="Arial" w:cs="Arial" w:eastAsia="Arial" w:hAnsi="Arial"/>
          <w:sz w:val="15"/>
          <w:szCs w:val="15"/>
          <w:color w:val="808080"/>
        </w:rPr>
      </w:pPr>
    </w:p>
    <w:p>
      <w:pPr>
        <w:spacing w:after="0" w:line="200" w:lineRule="exact"/>
        <w:rPr>
          <w:rFonts w:ascii="Arial" w:cs="Arial" w:eastAsia="Arial" w:hAnsi="Arial"/>
          <w:sz w:val="15"/>
          <w:szCs w:val="15"/>
          <w:color w:val="808080"/>
        </w:rPr>
      </w:pPr>
    </w:p>
    <w:p>
      <w:pPr>
        <w:spacing w:after="0" w:line="267" w:lineRule="exact"/>
        <w:rPr>
          <w:rFonts w:ascii="Arial" w:cs="Arial" w:eastAsia="Arial" w:hAnsi="Arial"/>
          <w:sz w:val="15"/>
          <w:szCs w:val="15"/>
          <w:color w:val="808080"/>
        </w:rPr>
      </w:pPr>
    </w:p>
    <w:p>
      <w:pPr>
        <w:ind w:left="4420"/>
        <w:spacing w:after="0"/>
        <w:rPr>
          <w:rFonts w:ascii="Arial" w:cs="Arial" w:eastAsia="Arial" w:hAnsi="Arial"/>
          <w:sz w:val="15"/>
          <w:szCs w:val="15"/>
          <w:color w:val="808080"/>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920" w:type="dxa"/>
            <w:vAlign w:val="bottom"/>
            <w:vMerge w:val="restart"/>
          </w:tcPr>
          <w:p>
            <w:pPr>
              <w:ind w:left="4080"/>
              <w:spacing w:after="0"/>
              <w:rPr>
                <w:sz w:val="20"/>
                <w:szCs w:val="20"/>
                <w:color w:val="auto"/>
              </w:rPr>
            </w:pPr>
            <w:r>
              <w:rPr>
                <w:rFonts w:ascii="Arial" w:cs="Arial" w:eastAsia="Arial" w:hAnsi="Arial"/>
                <w:sz w:val="18"/>
                <w:szCs w:val="18"/>
                <w:b w:val="1"/>
                <w:bCs w:val="1"/>
                <w:color w:val="auto"/>
              </w:rPr>
              <w:t>Notes</w:t>
            </w: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4360" w:type="dxa"/>
            <w:vAlign w:val="bottom"/>
            <w:gridSpan w:val="2"/>
            <w:vMerge w:val="continue"/>
          </w:tcPr>
          <w:p>
            <w:pPr>
              <w:spacing w:after="0"/>
              <w:rPr>
                <w:sz w:val="18"/>
                <w:szCs w:val="18"/>
                <w:color w:val="auto"/>
              </w:rPr>
            </w:pPr>
          </w:p>
        </w:tc>
        <w:tc>
          <w:tcPr>
            <w:tcW w:w="492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42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4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4920" w:type="dxa"/>
            <w:vAlign w:val="bottom"/>
            <w:shd w:val="clear" w:color="auto" w:fill="D5EAEA"/>
          </w:tcPr>
          <w:p>
            <w:pPr>
              <w:jc w:val="center"/>
              <w:ind w:left="3570"/>
              <w:spacing w:after="0"/>
              <w:rPr>
                <w:sz w:val="20"/>
                <w:szCs w:val="20"/>
                <w:color w:val="auto"/>
              </w:rPr>
            </w:pPr>
            <w:r>
              <w:rPr>
                <w:rFonts w:ascii="Arial" w:cs="Arial" w:eastAsia="Arial" w:hAnsi="Arial"/>
                <w:sz w:val="18"/>
                <w:szCs w:val="18"/>
                <w:color w:val="auto"/>
                <w:w w:val="99"/>
              </w:rPr>
              <w:t>5</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124,631</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color w:val="auto"/>
              </w:rPr>
              <w:t>- Third parties</w:t>
            </w:r>
          </w:p>
        </w:tc>
        <w:tc>
          <w:tcPr>
            <w:tcW w:w="4920" w:type="dxa"/>
            <w:vAlign w:val="bottom"/>
            <w:shd w:val="clear" w:color="auto" w:fill="D5EAEA"/>
          </w:tcPr>
          <w:p>
            <w:pPr>
              <w:jc w:val="center"/>
              <w:ind w:left="3570"/>
              <w:spacing w:after="0"/>
              <w:rPr>
                <w:sz w:val="20"/>
                <w:szCs w:val="20"/>
                <w:color w:val="auto"/>
              </w:rPr>
            </w:pPr>
            <w:r>
              <w:rPr>
                <w:rFonts w:ascii="Arial" w:cs="Arial" w:eastAsia="Arial" w:hAnsi="Arial"/>
                <w:sz w:val="18"/>
                <w:szCs w:val="18"/>
                <w:color w:val="auto"/>
                <w:w w:val="99"/>
              </w:rPr>
              <w:t>6</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 Short-term financial receivables</w:t>
            </w:r>
          </w:p>
        </w:tc>
        <w:tc>
          <w:tcPr>
            <w:tcW w:w="4920" w:type="dxa"/>
            <w:vAlign w:val="bottom"/>
          </w:tcPr>
          <w:p>
            <w:pPr>
              <w:jc w:val="center"/>
              <w:ind w:left="3570"/>
              <w:spacing w:after="0"/>
              <w:rPr>
                <w:sz w:val="20"/>
                <w:szCs w:val="20"/>
                <w:color w:val="auto"/>
              </w:rPr>
            </w:pPr>
            <w:r>
              <w:rPr>
                <w:rFonts w:ascii="Arial" w:cs="Arial" w:eastAsia="Arial" w:hAnsi="Arial"/>
                <w:sz w:val="18"/>
                <w:szCs w:val="18"/>
                <w:color w:val="auto"/>
                <w:w w:val="99"/>
              </w:rPr>
              <w:t>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w:t>
            </w:r>
          </w:p>
        </w:tc>
        <w:tc>
          <w:tcPr>
            <w:tcW w:w="4920" w:type="dxa"/>
            <w:vAlign w:val="bottom"/>
            <w:shd w:val="clear" w:color="auto" w:fill="D5EAEA"/>
          </w:tcPr>
          <w:p>
            <w:pPr>
              <w:jc w:val="center"/>
              <w:ind w:left="3570"/>
              <w:spacing w:after="0"/>
              <w:rPr>
                <w:sz w:val="20"/>
                <w:szCs w:val="20"/>
                <w:color w:val="auto"/>
              </w:rPr>
            </w:pPr>
            <w:r>
              <w:rPr>
                <w:rFonts w:ascii="Arial" w:cs="Arial" w:eastAsia="Arial" w:hAnsi="Arial"/>
                <w:sz w:val="18"/>
                <w:szCs w:val="18"/>
                <w:color w:val="auto"/>
                <w:w w:val="99"/>
              </w:rPr>
              <w:t>7</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Accrued income</w:t>
            </w:r>
          </w:p>
        </w:tc>
        <w:tc>
          <w:tcPr>
            <w:tcW w:w="492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2,799</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current assets</w:t>
            </w:r>
          </w:p>
        </w:tc>
        <w:tc>
          <w:tcPr>
            <w:tcW w:w="492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129,825</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156,535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49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Financial assets</w:t>
            </w:r>
          </w:p>
        </w:tc>
        <w:tc>
          <w:tcPr>
            <w:tcW w:w="4920" w:type="dxa"/>
            <w:vAlign w:val="bottom"/>
          </w:tcPr>
          <w:p>
            <w:pPr>
              <w:jc w:val="center"/>
              <w:ind w:left="3570"/>
              <w:spacing w:after="0"/>
              <w:rPr>
                <w:sz w:val="20"/>
                <w:szCs w:val="20"/>
                <w:color w:val="auto"/>
              </w:rPr>
            </w:pPr>
            <w:r>
              <w:rPr>
                <w:rFonts w:ascii="Arial" w:cs="Arial" w:eastAsia="Arial" w:hAnsi="Arial"/>
                <w:sz w:val="18"/>
                <w:szCs w:val="18"/>
                <w:color w:val="auto"/>
                <w:w w:val="99"/>
              </w:rPr>
              <w:t>4</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color w:val="auto"/>
              </w:rPr>
              <w:t>Property, plant and equipment</w:t>
            </w:r>
          </w:p>
        </w:tc>
        <w:tc>
          <w:tcPr>
            <w:tcW w:w="4920" w:type="dxa"/>
            <w:vAlign w:val="bottom"/>
            <w:shd w:val="clear" w:color="auto" w:fill="D5EAEA"/>
          </w:tcPr>
          <w:p>
            <w:pPr>
              <w:jc w:val="center"/>
              <w:ind w:left="3570"/>
              <w:spacing w:after="0"/>
              <w:rPr>
                <w:sz w:val="20"/>
                <w:szCs w:val="20"/>
                <w:color w:val="auto"/>
              </w:rPr>
            </w:pPr>
            <w:r>
              <w:rPr>
                <w:rFonts w:ascii="Arial" w:cs="Arial" w:eastAsia="Arial" w:hAnsi="Arial"/>
                <w:sz w:val="18"/>
                <w:szCs w:val="18"/>
                <w:color w:val="auto"/>
                <w:w w:val="99"/>
              </w:rPr>
              <w:t>3</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Prepaid expenses</w:t>
            </w:r>
          </w:p>
        </w:tc>
        <w:tc>
          <w:tcPr>
            <w:tcW w:w="4920" w:type="dxa"/>
            <w:vAlign w:val="bottom"/>
            <w:tcBorders>
              <w:bottom w:val="single" w:sz="8" w:color="D5EAEA"/>
            </w:tcBorders>
          </w:tcPr>
          <w:p>
            <w:pPr>
              <w:jc w:val="center"/>
              <w:ind w:left="3570"/>
              <w:spacing w:after="0"/>
              <w:rPr>
                <w:sz w:val="20"/>
                <w:szCs w:val="20"/>
                <w:color w:val="auto"/>
              </w:rPr>
            </w:pPr>
            <w:r>
              <w:rPr>
                <w:rFonts w:ascii="Arial" w:cs="Arial" w:eastAsia="Arial" w:hAnsi="Arial"/>
                <w:sz w:val="18"/>
                <w:szCs w:val="18"/>
                <w:color w:val="auto"/>
                <w:w w:val="99"/>
              </w:rPr>
              <w:t>7</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492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2,496</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1,206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assets</w:t>
            </w:r>
          </w:p>
        </w:tc>
        <w:tc>
          <w:tcPr>
            <w:tcW w:w="492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132,321</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157,741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9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Current liabilities</w:t>
            </w:r>
          </w:p>
        </w:tc>
        <w:tc>
          <w:tcPr>
            <w:tcW w:w="49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Trade payables</w:t>
            </w:r>
          </w:p>
        </w:tc>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color w:val="auto"/>
              </w:rPr>
              <w:t>- To third parties</w:t>
            </w:r>
          </w:p>
        </w:tc>
        <w:tc>
          <w:tcPr>
            <w:tcW w:w="49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 To shareholders</w:t>
            </w:r>
          </w:p>
        </w:tc>
        <w:tc>
          <w:tcPr>
            <w:tcW w:w="49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color w:val="auto"/>
              </w:rPr>
              <w:t>Accrued expenses and deferred income</w:t>
            </w:r>
          </w:p>
        </w:tc>
        <w:tc>
          <w:tcPr>
            <w:tcW w:w="492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8,662</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920" w:type="dxa"/>
            <w:vAlign w:val="bottom"/>
          </w:tcPr>
          <w:p>
            <w:pPr>
              <w:jc w:val="center"/>
              <w:ind w:left="3570"/>
              <w:spacing w:after="0"/>
              <w:rPr>
                <w:sz w:val="20"/>
                <w:szCs w:val="20"/>
                <w:color w:val="auto"/>
              </w:rPr>
            </w:pPr>
            <w:r>
              <w:rPr>
                <w:rFonts w:ascii="Arial" w:cs="Arial" w:eastAsia="Arial" w:hAnsi="Arial"/>
                <w:sz w:val="18"/>
                <w:szCs w:val="18"/>
                <w:color w:val="auto"/>
                <w:w w:val="99"/>
              </w:rPr>
              <w:t>8</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9,754</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9,922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49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financing obligation</w:t>
            </w:r>
          </w:p>
        </w:tc>
        <w:tc>
          <w:tcPr>
            <w:tcW w:w="4920" w:type="dxa"/>
            <w:vAlign w:val="bottom"/>
            <w:tcBorders>
              <w:bottom w:val="single" w:sz="8" w:color="D5EAEA"/>
            </w:tcBorders>
          </w:tcPr>
          <w:p>
            <w:pPr>
              <w:jc w:val="center"/>
              <w:ind w:left="3570"/>
              <w:spacing w:after="0"/>
              <w:rPr>
                <w:sz w:val="20"/>
                <w:szCs w:val="20"/>
                <w:color w:val="auto"/>
              </w:rPr>
            </w:pPr>
            <w:r>
              <w:rPr>
                <w:rFonts w:ascii="Arial" w:cs="Arial" w:eastAsia="Arial" w:hAnsi="Arial"/>
                <w:sz w:val="18"/>
                <w:szCs w:val="18"/>
                <w:color w:val="auto"/>
                <w:w w:val="99"/>
              </w:rPr>
              <w:t>9</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492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494</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Shareholders' equity</w:t>
            </w:r>
          </w:p>
        </w:tc>
        <w:tc>
          <w:tcPr>
            <w:tcW w:w="49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Share capital</w:t>
            </w:r>
          </w:p>
        </w:tc>
        <w:tc>
          <w:tcPr>
            <w:tcW w:w="4920" w:type="dxa"/>
            <w:vAlign w:val="bottom"/>
          </w:tcPr>
          <w:p>
            <w:pPr>
              <w:jc w:val="center"/>
              <w:ind w:left="3570"/>
              <w:spacing w:after="0"/>
              <w:rPr>
                <w:sz w:val="20"/>
                <w:szCs w:val="20"/>
                <w:color w:val="auto"/>
              </w:rPr>
            </w:pPr>
            <w:r>
              <w:rPr>
                <w:rFonts w:ascii="Arial" w:cs="Arial" w:eastAsia="Arial" w:hAnsi="Arial"/>
                <w:sz w:val="18"/>
                <w:szCs w:val="18"/>
                <w:color w:val="auto"/>
                <w:w w:val="89"/>
              </w:rPr>
              <w:t>10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color w:val="auto"/>
              </w:rPr>
              <w:t>Reserves from capital contributions</w:t>
            </w:r>
          </w:p>
        </w:tc>
        <w:tc>
          <w:tcPr>
            <w:tcW w:w="492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179,352</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179,242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Accumulated losses brought forward</w:t>
            </w:r>
          </w:p>
        </w:tc>
        <w:tc>
          <w:tcPr>
            <w:tcW w:w="49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D5EAEA"/>
          </w:tcPr>
          <w:p>
            <w:pPr>
              <w:spacing w:after="0"/>
              <w:rPr>
                <w:sz w:val="20"/>
                <w:szCs w:val="20"/>
                <w:color w:val="auto"/>
              </w:rPr>
            </w:pPr>
            <w:r>
              <w:rPr>
                <w:rFonts w:ascii="Arial" w:cs="Arial" w:eastAsia="Arial" w:hAnsi="Arial"/>
                <w:sz w:val="18"/>
                <w:szCs w:val="18"/>
                <w:color w:val="auto"/>
              </w:rPr>
              <w:t>Loss for the year</w:t>
            </w:r>
          </w:p>
        </w:tc>
        <w:tc>
          <w:tcPr>
            <w:tcW w:w="492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(25,868)</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492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122,073</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147,819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D5EAEA"/>
          </w:tcPr>
          <w:p>
            <w:pPr>
              <w:spacing w:after="0"/>
              <w:rPr>
                <w:sz w:val="18"/>
                <w:szCs w:val="18"/>
                <w:color w:val="auto"/>
              </w:rPr>
            </w:pPr>
          </w:p>
        </w:tc>
        <w:tc>
          <w:tcPr>
            <w:tcW w:w="492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9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132,321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157,741</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F-4</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Statement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Years Ended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34"/>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5460" w:type="dxa"/>
            <w:vAlign w:val="bottom"/>
          </w:tcPr>
          <w:p>
            <w:pPr>
              <w:jc w:val="center"/>
              <w:ind w:left="4110"/>
              <w:spacing w:after="0"/>
              <w:rPr>
                <w:sz w:val="20"/>
                <w:szCs w:val="20"/>
                <w:color w:val="auto"/>
              </w:rPr>
            </w:pPr>
            <w:r>
              <w:rPr>
                <w:rFonts w:ascii="Arial" w:cs="Arial" w:eastAsia="Arial" w:hAnsi="Arial"/>
                <w:sz w:val="18"/>
                <w:szCs w:val="18"/>
                <w:b w:val="1"/>
                <w:bCs w:val="1"/>
                <w:color w:val="auto"/>
                <w:w w:val="83"/>
              </w:rPr>
              <w:t>Notes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Contract revenue</w:t>
            </w:r>
          </w:p>
        </w:tc>
        <w:tc>
          <w:tcPr>
            <w:tcW w:w="5460" w:type="dxa"/>
            <w:vAlign w:val="bottom"/>
            <w:shd w:val="clear" w:color="auto" w:fill="D5EAEA"/>
          </w:tcPr>
          <w:p>
            <w:pPr>
              <w:jc w:val="center"/>
              <w:ind w:left="4110"/>
              <w:spacing w:after="0"/>
              <w:rPr>
                <w:sz w:val="20"/>
                <w:szCs w:val="20"/>
                <w:color w:val="auto"/>
              </w:rPr>
            </w:pPr>
            <w:r>
              <w:rPr>
                <w:rFonts w:ascii="Arial" w:cs="Arial" w:eastAsia="Arial" w:hAnsi="Arial"/>
                <w:sz w:val="18"/>
                <w:szCs w:val="18"/>
                <w:color w:val="auto"/>
                <w:w w:val="89"/>
              </w:rPr>
              <w:t>11</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20,255</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b w:val="1"/>
                <w:bCs w:val="1"/>
                <w:color w:val="auto"/>
              </w:rPr>
              <w:t>23,214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expenses</w:t>
            </w:r>
          </w:p>
        </w:tc>
        <w:tc>
          <w:tcPr>
            <w:tcW w:w="546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Salaries and related costs</w:t>
            </w:r>
          </w:p>
        </w:tc>
        <w:tc>
          <w:tcPr>
            <w:tcW w:w="5460" w:type="dxa"/>
            <w:vAlign w:val="bottom"/>
          </w:tcPr>
          <w:p>
            <w:pPr>
              <w:jc w:val="center"/>
              <w:ind w:left="4110"/>
              <w:spacing w:after="0"/>
              <w:rPr>
                <w:sz w:val="20"/>
                <w:szCs w:val="20"/>
                <w:color w:val="auto"/>
              </w:rPr>
            </w:pPr>
            <w:r>
              <w:rPr>
                <w:rFonts w:ascii="Arial" w:cs="Arial" w:eastAsia="Arial" w:hAnsi="Arial"/>
                <w:sz w:val="18"/>
                <w:szCs w:val="18"/>
                <w:color w:val="auto"/>
                <w:w w:val="89"/>
              </w:rPr>
              <w:t>12</w:t>
            </w:r>
          </w:p>
        </w:tc>
        <w:tc>
          <w:tcPr>
            <w:tcW w:w="1020" w:type="dxa"/>
            <w:vAlign w:val="bottom"/>
          </w:tcPr>
          <w:p>
            <w:pPr>
              <w:jc w:val="right"/>
              <w:spacing w:after="0"/>
              <w:rPr>
                <w:sz w:val="20"/>
                <w:szCs w:val="20"/>
                <w:color w:val="auto"/>
              </w:rPr>
            </w:pPr>
            <w:r>
              <w:rPr>
                <w:rFonts w:ascii="Arial" w:cs="Arial" w:eastAsia="Arial" w:hAnsi="Arial"/>
                <w:sz w:val="18"/>
                <w:szCs w:val="18"/>
                <w:color w:val="auto"/>
              </w:rPr>
              <w:t>(13,206)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D5EAEA"/>
          </w:tcPr>
          <w:p>
            <w:pPr>
              <w:spacing w:after="0"/>
              <w:rPr>
                <w:sz w:val="20"/>
                <w:szCs w:val="20"/>
                <w:color w:val="auto"/>
              </w:rPr>
            </w:pPr>
            <w:r>
              <w:rPr>
                <w:rFonts w:ascii="Arial" w:cs="Arial" w:eastAsia="Arial" w:hAnsi="Arial"/>
                <w:sz w:val="18"/>
                <w:szCs w:val="18"/>
                <w:color w:val="auto"/>
              </w:rPr>
              <w:t>Operating expenses</w:t>
            </w:r>
          </w:p>
        </w:tc>
        <w:tc>
          <w:tcPr>
            <w:tcW w:w="5460" w:type="dxa"/>
            <w:vAlign w:val="bottom"/>
            <w:shd w:val="clear" w:color="auto" w:fill="D5EAEA"/>
          </w:tcPr>
          <w:p>
            <w:pPr>
              <w:jc w:val="center"/>
              <w:ind w:left="4110"/>
              <w:spacing w:after="0"/>
              <w:rPr>
                <w:sz w:val="20"/>
                <w:szCs w:val="20"/>
                <w:color w:val="auto"/>
              </w:rPr>
            </w:pPr>
            <w:r>
              <w:rPr>
                <w:rFonts w:ascii="Arial" w:cs="Arial" w:eastAsia="Arial" w:hAnsi="Arial"/>
                <w:sz w:val="18"/>
                <w:szCs w:val="18"/>
                <w:color w:val="auto"/>
                <w:w w:val="89"/>
              </w:rPr>
              <w:t>12</w:t>
            </w: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(27,098)</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(25,499)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Depreciation of fixed assets</w:t>
            </w:r>
          </w:p>
        </w:tc>
        <w:tc>
          <w:tcPr>
            <w:tcW w:w="5460" w:type="dxa"/>
            <w:vAlign w:val="bottom"/>
            <w:tcBorders>
              <w:bottom w:val="single" w:sz="8" w:color="D5EAEA"/>
            </w:tcBorders>
          </w:tcPr>
          <w:p>
            <w:pPr>
              <w:jc w:val="center"/>
              <w:ind w:left="4110"/>
              <w:spacing w:after="0"/>
              <w:rPr>
                <w:sz w:val="20"/>
                <w:szCs w:val="20"/>
                <w:color w:val="auto"/>
              </w:rPr>
            </w:pPr>
            <w:r>
              <w:rPr>
                <w:rFonts w:ascii="Arial" w:cs="Arial" w:eastAsia="Arial" w:hAnsi="Arial"/>
                <w:sz w:val="18"/>
                <w:szCs w:val="18"/>
                <w:color w:val="auto"/>
                <w:w w:val="89"/>
              </w:rPr>
              <w:t>12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546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(40,884)</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(35,945)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Operating loss</w:t>
            </w:r>
          </w:p>
        </w:tc>
        <w:tc>
          <w:tcPr>
            <w:tcW w:w="546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(20,629)</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b w:val="1"/>
                <w:bCs w:val="1"/>
                <w:color w:val="auto"/>
              </w:rPr>
              <w:t>(12,731)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D5EAEA"/>
          </w:tcPr>
          <w:p>
            <w:pPr>
              <w:spacing w:after="0"/>
              <w:rPr>
                <w:sz w:val="20"/>
                <w:szCs w:val="20"/>
                <w:color w:val="auto"/>
              </w:rPr>
            </w:pPr>
            <w:r>
              <w:rPr>
                <w:rFonts w:ascii="Arial" w:cs="Arial" w:eastAsia="Arial" w:hAnsi="Arial"/>
                <w:sz w:val="18"/>
                <w:szCs w:val="18"/>
                <w:color w:val="auto"/>
              </w:rPr>
              <w:t>Financial income</w:t>
            </w:r>
          </w:p>
        </w:tc>
        <w:tc>
          <w:tcPr>
            <w:tcW w:w="5460" w:type="dxa"/>
            <w:vAlign w:val="bottom"/>
            <w:shd w:val="clear" w:color="auto" w:fill="D5EAEA"/>
          </w:tcPr>
          <w:p>
            <w:pPr>
              <w:jc w:val="center"/>
              <w:ind w:left="4110"/>
              <w:spacing w:after="0"/>
              <w:rPr>
                <w:sz w:val="20"/>
                <w:szCs w:val="20"/>
                <w:color w:val="auto"/>
              </w:rPr>
            </w:pPr>
            <w:r>
              <w:rPr>
                <w:rFonts w:ascii="Arial" w:cs="Arial" w:eastAsia="Arial" w:hAnsi="Arial"/>
                <w:sz w:val="18"/>
                <w:szCs w:val="18"/>
                <w:color w:val="auto"/>
                <w:w w:val="89"/>
              </w:rPr>
              <w:t>13</w:t>
            </w: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D5EAEA"/>
          </w:tcPr>
          <w:p>
            <w:pPr>
              <w:spacing w:after="0"/>
              <w:rPr>
                <w:sz w:val="18"/>
                <w:szCs w:val="18"/>
                <w:color w:val="auto"/>
              </w:rPr>
            </w:pPr>
          </w:p>
        </w:tc>
        <w:tc>
          <w:tcPr>
            <w:tcW w:w="10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Financial expenses</w:t>
            </w:r>
          </w:p>
        </w:tc>
        <w:tc>
          <w:tcPr>
            <w:tcW w:w="5460" w:type="dxa"/>
            <w:vAlign w:val="bottom"/>
            <w:tcBorders>
              <w:bottom w:val="single" w:sz="8" w:color="D5EAEA"/>
            </w:tcBorders>
          </w:tcPr>
          <w:p>
            <w:pPr>
              <w:jc w:val="center"/>
              <w:ind w:left="4110"/>
              <w:spacing w:after="0"/>
              <w:rPr>
                <w:sz w:val="20"/>
                <w:szCs w:val="20"/>
                <w:color w:val="auto"/>
              </w:rPr>
            </w:pPr>
            <w:r>
              <w:rPr>
                <w:rFonts w:ascii="Arial" w:cs="Arial" w:eastAsia="Arial" w:hAnsi="Arial"/>
                <w:sz w:val="18"/>
                <w:szCs w:val="18"/>
                <w:color w:val="auto"/>
                <w:w w:val="89"/>
              </w:rPr>
              <w:t>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D5EAEA"/>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Loss for the period</w:t>
            </w:r>
          </w:p>
        </w:tc>
        <w:tc>
          <w:tcPr>
            <w:tcW w:w="546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(25,868)</w:t>
            </w:r>
          </w:p>
        </w:tc>
        <w:tc>
          <w:tcPr>
            <w:tcW w:w="100" w:type="dxa"/>
            <w:vAlign w:val="bottom"/>
            <w:shd w:val="clear" w:color="auto" w:fill="D5EAEA"/>
          </w:tcPr>
          <w:p>
            <w:pPr>
              <w:spacing w:after="0"/>
              <w:rPr>
                <w:sz w:val="18"/>
                <w:szCs w:val="18"/>
                <w:color w:val="auto"/>
              </w:rPr>
            </w:pPr>
          </w:p>
        </w:tc>
        <w:tc>
          <w:tcPr>
            <w:tcW w:w="10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b w:val="1"/>
                <w:bCs w:val="1"/>
                <w:color w:val="auto"/>
              </w:rPr>
              <w:t>(7,628)</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F-5</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AC Immune SA (the “Company,” or “AC Immune,” “ACI,” “we,” “our,” “ours,” “us”)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corporate strategy is founded upon a three-pillar approach that targets Alzheimer’s Disease, non-Alzheimer’s neurodegenerative diseases including neuro-orphan indications and diagnostics. Our lead product candidate is crenezumab, a humanized, monoclonal, conformation-specific anti-Abeta antibody that we developed using our proprietary SupraAntigen platform. The two Phase 3 clinical studies for crenezumab were commenced in early 2016 and in February 2017, respectively.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13 February 2003 in Basel and effective 25 August 2003 was transformed into a stock company. The Company’s corporate headquarters are located at EPFL Innovation Park Building B, Ecublens/Lausanne, Vaud, Switzerland.</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statutory financial statements of AC Immune SA for the period ended 31 December 2017 were authorized for issue in accordance with a resolution of the Board of Directors on 19 March 2018 and will be submitted to the next Ordinary General Assembly.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2017 and 2016, AC Immune had an annual average of more than 50 but less than 250 full time equivalent positions.</w:t>
      </w:r>
    </w:p>
    <w:p>
      <w:pPr>
        <w:spacing w:after="0" w:line="22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principles</w:t>
      </w:r>
    </w:p>
    <w:p>
      <w:pPr>
        <w:spacing w:after="0" w:line="233" w:lineRule="exact"/>
        <w:rPr>
          <w:sz w:val="20"/>
          <w:szCs w:val="20"/>
          <w:color w:val="auto"/>
        </w:rPr>
      </w:pPr>
    </w:p>
    <w:p>
      <w:pPr>
        <w:jc w:val="both"/>
        <w:ind w:right="160" w:firstLine="324"/>
        <w:spacing w:after="0" w:line="221" w:lineRule="auto"/>
        <w:rPr>
          <w:sz w:val="20"/>
          <w:szCs w:val="20"/>
          <w:color w:val="auto"/>
        </w:rPr>
      </w:pPr>
      <w:r>
        <w:rPr>
          <w:rFonts w:ascii="Arial" w:cs="Arial" w:eastAsia="Arial" w:hAnsi="Arial"/>
          <w:sz w:val="18"/>
          <w:szCs w:val="18"/>
          <w:color w:val="auto"/>
        </w:rPr>
        <w:t>The present annual accounts have been prepared in accordance with the provisions of the Swiss law on accounting and financial reporting (32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Title of the Swiss Code of Obligations). The principal accounting policies are set out below. These policies have been consistently applied to all the years presented, unless otherwise stated.</w:t>
      </w:r>
    </w:p>
    <w:p>
      <w:pPr>
        <w:spacing w:after="0" w:line="202" w:lineRule="exact"/>
        <w:rPr>
          <w:sz w:val="20"/>
          <w:szCs w:val="20"/>
          <w:color w:val="auto"/>
        </w:rPr>
      </w:pPr>
    </w:p>
    <w:p>
      <w:pPr>
        <w:jc w:val="both"/>
        <w:ind w:right="160" w:firstLine="324"/>
        <w:spacing w:after="0" w:line="277" w:lineRule="auto"/>
        <w:rPr>
          <w:sz w:val="20"/>
          <w:szCs w:val="20"/>
          <w:color w:val="auto"/>
        </w:rPr>
      </w:pPr>
      <w:r>
        <w:rPr>
          <w:rFonts w:ascii="Arial" w:cs="Arial" w:eastAsia="Arial" w:hAnsi="Arial"/>
          <w:sz w:val="18"/>
          <w:szCs w:val="18"/>
          <w:color w:val="auto"/>
        </w:rPr>
        <w:t>For the presentation of the financial statements for 2017 and 2016, certain amounts were reclassified in 2016 to conform to the 2017 financial statement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229"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financial statements are presented in Swiss Francs (CHF). Foreign currency transactions are translated into the functional currency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14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Non-monetary assets and liabilities at historical costs are converted at the foreign exchange rate at the time of the transaction. Any foreign exchange profits are deferred in the balance sheet as not having an effect on net income. Foreign exchange losses, on the other hand, are recorded in the profit and loss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Revenue includes upfront fees, milestone payments as well as revenue from research and development agreements associated with collaborations with third parties and grants from public institutions and foundations.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of intellectual property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non-refundable, upfront license payments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collaboration agreements on product candidates (i) that are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9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is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has certain arrangements with our collaboration partners that include contracting our full-time employees for research and development programs. These revenues are recorded in license and collaboration revenues as the services are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Given the stage of development of the Company’s products, all research expenditures are recognized as expenses when incurred.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external research contracts accrued expenses are generally estimated based on a rate of completion related to each research project in a clinical study.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estimates its accrued expenses as of the balance sheet date in the financial statement based on facts and circumstances known at the time.</w:t>
      </w:r>
    </w:p>
    <w:p>
      <w:pPr>
        <w:spacing w:after="0" w:line="234"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4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Total research and development related costs, inclusive of operating expenses, payroll related expenses, and depreciation were CHF 32.1M in 2017 and CHF 25.2M in 2016. R&amp;D expenses in Alzheimer’s disease were driven by the investments related to the completion of the Phase 1b study for ACI-35, as well as costs related to the combined Phase 1/2a study for ACI-24 AD. In addition, the Company incurred costs for the next stages of clinical development for each of these respective candidates. In Non-Alzheimer’s diseases, the Company continues to incur costs in ACI-24 for Down syndrome’s Phase 1b clinical study. Diagnostic investments entail predominantly increases in spending related to our alpha-synuclein and TDP-43 PET tracer programs. New discovery programs increase CHF 3.8 million driven by CHF 3.3 million related to finalizing the proof-of-concept and manufacturing activities for studies related to our lead compounds in the Anti-Tau Morphomers and investments in new therapeutic and preventive vaccine technology. R&amp;D Expenses not allocated to specific programs increased CHF 2.5 million predominantly driven by a CHF 1.9 million increase in salaries and related costs, CHF 0.3 million in depreciation expense and CHF 0.1 million in regulatory costs. Our total research and development costs are likely to rise substantially in the coming years as the Company continues to develop and advance product candidates from the pre-clinical to clinical stages across its three-pillar strategy.</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Property, plant and equipment is shown at historical acquisition cost, less accumulated depreciation and any accumulated impairment losses. Historical costs include expenditures that are directly attributable to the acquisition of the property, plant and equipment. Depreciation is calculated using a straight-line method to write off the cost of each asset to its residual value over its estimated useful life as follows:</w:t>
      </w:r>
    </w:p>
    <w:p>
      <w:pPr>
        <w:sectPr>
          <w:pgSz w:w="11900" w:h="16838" w:orient="portrait"/>
          <w:cols w:equalWidth="0" w:num="1">
            <w:col w:w="11380"/>
          </w:cols>
          <w:pgMar w:left="240" w:top="580" w:right="27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IT equipment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178" w:lineRule="exact"/>
        <w:rPr>
          <w:sz w:val="20"/>
          <w:szCs w:val="20"/>
          <w:color w:val="auto"/>
        </w:rPr>
      </w:pPr>
    </w:p>
    <w:p>
      <w:pPr>
        <w:sectPr>
          <w:pgSz w:w="11900" w:h="16838" w:orient="portrait"/>
          <w:cols w:equalWidth="0" w:num="2">
            <w:col w:w="4560" w:space="720"/>
            <w:col w:w="6100"/>
          </w:cols>
          <w:pgMar w:left="240" w:top="5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Laboratory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178" w:lineRule="exact"/>
        <w:rPr>
          <w:sz w:val="20"/>
          <w:szCs w:val="20"/>
          <w:color w:val="auto"/>
        </w:rPr>
      </w:pPr>
    </w:p>
    <w:p>
      <w:pPr>
        <w:sectPr>
          <w:pgSz w:w="11900" w:h="16838" w:orient="portrait"/>
          <w:cols w:equalWidth="0" w:num="2">
            <w:col w:w="4560" w:space="720"/>
            <w:col w:w="6100"/>
          </w:cols>
          <w:pgMar w:left="240" w:top="5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Leasehold improvements / furniture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560" w:space="720"/>
            <w:col w:w="6100"/>
          </w:cols>
          <w:pgMar w:left="240" w:top="580" w:right="279" w:bottom="1440" w:gutter="0" w:footer="0" w:header="0"/>
          <w:type w:val="continuous"/>
        </w:sectPr>
      </w:pP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to its recoverable amount.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 and a long-term financing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which are classified as long-term assets. Receivables are recognized at their billing value. An allowance for doubtful accounts is recorded for potential estimated losses when there is objective evidence of the debtor’s inability to make required payments.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Cash and cash equivalents include deposits held with external financial institutions and cash on hand. All cash and cash equivalents are either in cash or in deposits with less than 3 months’ duration.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Trade payables are recognized initially at nominal amount, which represents cost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financing obligation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long-term financing obligation is measured as of the period end date based on the repayment terms when originated.</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Significant Shareholders</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ind w:left="340"/>
              <w:spacing w:after="0"/>
              <w:rPr>
                <w:sz w:val="20"/>
                <w:szCs w:val="20"/>
                <w:color w:val="auto"/>
              </w:rPr>
            </w:pPr>
            <w:r>
              <w:rPr>
                <w:rFonts w:ascii="Arial" w:cs="Arial" w:eastAsia="Arial" w:hAnsi="Arial"/>
                <w:sz w:val="18"/>
                <w:szCs w:val="18"/>
                <w:color w:val="auto"/>
              </w:rPr>
              <w:t>Principal shareholders who own more than 5 percent of the voting rights:</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spacing w:after="0"/>
              <w:rPr>
                <w:sz w:val="18"/>
                <w:szCs w:val="18"/>
                <w:color w:val="auto"/>
              </w:rPr>
            </w:pPr>
          </w:p>
        </w:tc>
        <w:tc>
          <w:tcPr>
            <w:tcW w:w="100" w:type="dxa"/>
            <w:vAlign w:val="bottom"/>
            <w:vMerge w:val="restart"/>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jc w:val="center"/>
              <w:ind w:right="100"/>
              <w:spacing w:after="0" w:line="191" w:lineRule="exact"/>
              <w:rPr>
                <w:sz w:val="20"/>
                <w:szCs w:val="20"/>
                <w:color w:val="auto"/>
              </w:rPr>
            </w:pPr>
            <w:r>
              <w:rPr>
                <w:rFonts w:ascii="Arial" w:cs="Arial" w:eastAsia="Arial" w:hAnsi="Arial"/>
                <w:sz w:val="18"/>
                <w:szCs w:val="18"/>
                <w:b w:val="1"/>
                <w:bCs w:val="1"/>
                <w:color w:val="auto"/>
                <w:w w:val="87"/>
              </w:rPr>
              <w:t>Shares Owned</w:t>
            </w: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jc w:val="center"/>
              <w:ind w:right="120"/>
              <w:spacing w:after="0" w:line="191" w:lineRule="exact"/>
              <w:rPr>
                <w:sz w:val="20"/>
                <w:szCs w:val="20"/>
                <w:color w:val="auto"/>
              </w:rPr>
            </w:pPr>
            <w:r>
              <w:rPr>
                <w:rFonts w:ascii="Arial" w:cs="Arial" w:eastAsia="Arial" w:hAnsi="Arial"/>
                <w:sz w:val="18"/>
                <w:szCs w:val="18"/>
                <w:b w:val="1"/>
                <w:bCs w:val="1"/>
                <w:color w:val="auto"/>
                <w:w w:val="87"/>
              </w:rPr>
              <w:t>Shares Owned</w:t>
            </w:r>
          </w:p>
        </w:tc>
        <w:tc>
          <w:tcPr>
            <w:tcW w:w="0" w:type="dxa"/>
            <w:vAlign w:val="bottom"/>
          </w:tcPr>
          <w:p>
            <w:pPr>
              <w:spacing w:after="0"/>
              <w:rPr>
                <w:sz w:val="1"/>
                <w:szCs w:val="1"/>
                <w:color w:val="auto"/>
              </w:rPr>
            </w:pPr>
          </w:p>
        </w:tc>
      </w:tr>
      <w:tr>
        <w:trPr>
          <w:trHeight w:val="234"/>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Principal Shareholders</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Number</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Percent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Number</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5% Shareholders</w:t>
            </w: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820" w:type="dxa"/>
            <w:vAlign w:val="bottom"/>
            <w:gridSpan w:val="2"/>
            <w:shd w:val="clear" w:color="auto" w:fill="D5EAEA"/>
          </w:tcPr>
          <w:p>
            <w:pPr>
              <w:spacing w:after="0" w:line="283" w:lineRule="exact"/>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32"/>
                <w:szCs w:val="32"/>
                <w:color w:val="auto"/>
                <w:vertAlign w:val="superscript"/>
              </w:rPr>
              <w:t>(1)</w:t>
            </w:r>
          </w:p>
        </w:tc>
        <w:tc>
          <w:tcPr>
            <w:tcW w:w="9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18,041,000</w:t>
            </w:r>
          </w:p>
        </w:tc>
        <w:tc>
          <w:tcPr>
            <w:tcW w:w="320" w:type="dxa"/>
            <w:vAlign w:val="bottom"/>
            <w:shd w:val="clear" w:color="auto" w:fill="D5EAEA"/>
          </w:tcPr>
          <w:p>
            <w:pPr>
              <w:spacing w:after="0"/>
              <w:rPr>
                <w:sz w:val="24"/>
                <w:szCs w:val="24"/>
                <w:color w:val="auto"/>
              </w:rPr>
            </w:pPr>
          </w:p>
        </w:tc>
        <w:tc>
          <w:tcPr>
            <w:tcW w:w="9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D5EAEA"/>
          </w:tcPr>
          <w:p>
            <w:pPr>
              <w:spacing w:after="0"/>
              <w:rPr>
                <w:sz w:val="24"/>
                <w:szCs w:val="24"/>
                <w:color w:val="auto"/>
              </w:rPr>
            </w:pPr>
          </w:p>
        </w:tc>
        <w:tc>
          <w:tcPr>
            <w:tcW w:w="120" w:type="dxa"/>
            <w:vAlign w:val="bottom"/>
            <w:shd w:val="clear" w:color="auto" w:fill="D5EAEA"/>
          </w:tcPr>
          <w:p>
            <w:pPr>
              <w:spacing w:after="0"/>
              <w:rPr>
                <w:sz w:val="24"/>
                <w:szCs w:val="24"/>
                <w:color w:val="auto"/>
              </w:rPr>
            </w:pPr>
          </w:p>
        </w:tc>
        <w:tc>
          <w:tcPr>
            <w:tcW w:w="90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8"/>
              </w:rPr>
              <w:t>18,041,000</w:t>
            </w:r>
          </w:p>
        </w:tc>
        <w:tc>
          <w:tcPr>
            <w:tcW w:w="320" w:type="dxa"/>
            <w:vAlign w:val="bottom"/>
            <w:shd w:val="clear" w:color="auto" w:fill="D5EAEA"/>
          </w:tcPr>
          <w:p>
            <w:pPr>
              <w:spacing w:after="0"/>
              <w:rPr>
                <w:sz w:val="24"/>
                <w:szCs w:val="24"/>
                <w:color w:val="auto"/>
              </w:rPr>
            </w:pPr>
          </w:p>
        </w:tc>
        <w:tc>
          <w:tcPr>
            <w:tcW w:w="9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84"/>
        </w:trPr>
        <w:tc>
          <w:tcPr>
            <w:tcW w:w="6820" w:type="dxa"/>
            <w:vAlign w:val="bottom"/>
            <w:gridSpan w:val="2"/>
          </w:tcPr>
          <w:p>
            <w:pPr>
              <w:spacing w:after="0" w:line="283" w:lineRule="exact"/>
              <w:rPr>
                <w:sz w:val="20"/>
                <w:szCs w:val="20"/>
                <w:color w:val="auto"/>
              </w:rPr>
            </w:pPr>
            <w:r>
              <w:rPr>
                <w:rFonts w:ascii="Arial" w:cs="Arial" w:eastAsia="Arial" w:hAnsi="Arial"/>
                <w:sz w:val="18"/>
                <w:szCs w:val="18"/>
                <w:color w:val="auto"/>
              </w:rPr>
              <w:t>Varuma AG</w:t>
            </w:r>
            <w:r>
              <w:rPr>
                <w:rFonts w:ascii="Arial" w:cs="Arial" w:eastAsia="Arial" w:hAnsi="Arial"/>
                <w:sz w:val="32"/>
                <w:szCs w:val="32"/>
                <w:color w:val="auto"/>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11,410,700</w:t>
            </w:r>
          </w:p>
        </w:tc>
        <w:tc>
          <w:tcPr>
            <w:tcW w:w="3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11,400,000</w:t>
            </w:r>
          </w:p>
        </w:tc>
        <w:tc>
          <w:tcPr>
            <w:tcW w:w="3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Andrea Pfeifer, Chief Executive Officer</w:t>
            </w:r>
          </w:p>
        </w:tc>
        <w:tc>
          <w:tcPr>
            <w:tcW w:w="124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320"/>
              <w:spacing w:after="0"/>
              <w:rPr>
                <w:sz w:val="20"/>
                <w:szCs w:val="20"/>
                <w:color w:val="auto"/>
              </w:rPr>
            </w:pPr>
            <w:r>
              <w:rPr>
                <w:rFonts w:ascii="Arial" w:cs="Arial" w:eastAsia="Arial" w:hAnsi="Arial"/>
                <w:sz w:val="18"/>
                <w:szCs w:val="18"/>
                <w:color w:val="auto"/>
              </w:rPr>
              <w:t>2,908,500</w:t>
            </w:r>
          </w:p>
        </w:tc>
        <w:tc>
          <w:tcPr>
            <w:tcW w:w="9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hanging="332"/>
        <w:spacing w:after="0" w:line="25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18,041,000 shares held by dievini Hopp BioTech holding CmbH &amp; Co KG. Dietmar Hopp controls the voting and investment decisions of the ultimate parent company of dievini Hopp BioTech holding CmbH &amp; Co KG. The shares registered in the name of dievini Hopp BioTech holding CmbH &amp; Co KG may also be deemed to be beneficially owned by Friedrich von Bohlen und Halbach, who is a managing director of dievini Hopp BioTech holding CmbH &amp; Co KG. The address for dievini Hopp BioTech holding CmbH &amp; Co KG, Friedrich von Bohlen und Halbach is Johann-Jakob-Astor Str. 57, 69190 Walldorf, Germany.</w:t>
      </w:r>
    </w:p>
    <w:p>
      <w:pPr>
        <w:spacing w:after="0" w:line="188"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address for Varuma AG is Aeschenvorstadt 55, CH-4051 Basel, Switzerland. Rudolf Maag controls the voting and investment decisions of Varuma AG.</w:t>
      </w:r>
    </w:p>
    <w:p>
      <w:pPr>
        <w:spacing w:after="0" w:line="17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5 percent held at 31December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liabilities</w:t>
      </w:r>
    </w:p>
    <w:p>
      <w:pPr>
        <w:spacing w:after="0" w:line="229"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We have been a tenant at our current location in the EPFL Innovation Park in Lausanne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 As of 31 December 2017, total minimum liability for the remaining term was CHF 243 thousand.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229" w:lineRule="exact"/>
        <w:rPr>
          <w:sz w:val="20"/>
          <w:szCs w:val="20"/>
          <w:color w:val="auto"/>
        </w:rPr>
      </w:pPr>
    </w:p>
    <w:p>
      <w:pPr>
        <w:ind w:right="840" w:firstLine="324"/>
        <w:spacing w:after="0" w:line="342" w:lineRule="auto"/>
        <w:rPr>
          <w:sz w:val="20"/>
          <w:szCs w:val="20"/>
          <w:color w:val="auto"/>
        </w:rPr>
      </w:pPr>
      <w:r>
        <w:rPr>
          <w:rFonts w:ascii="Arial" w:cs="Arial" w:eastAsia="Arial" w:hAnsi="Arial"/>
          <w:sz w:val="16"/>
          <w:szCs w:val="16"/>
          <w:color w:val="auto"/>
        </w:rPr>
        <w:t>The preparation of financial statements in conformity with Swiss Code of Obligations requires management to make judgments, estimates and assumptions that affect the application of accounting policies and the reported amounts of assets, liabilities, income and expenses.</w:t>
      </w:r>
    </w:p>
    <w:p>
      <w:pPr>
        <w:spacing w:after="0" w:line="124"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The areas where AC Immune has had to make judgments, estimates and assumptions relate to (i) revenue recognition on collaboration and licensing agreements and (ii) clinical development accruals.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relating to items on Balance Sheet and Income Statement</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at 31 December,</w:t>
            </w:r>
          </w:p>
        </w:tc>
      </w:tr>
      <w:tr>
        <w:trPr>
          <w:trHeight w:val="223"/>
        </w:trPr>
        <w:tc>
          <w:tcPr>
            <w:tcW w:w="86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spacing w:after="0"/>
              <w:rPr>
                <w:sz w:val="19"/>
                <w:szCs w:val="19"/>
                <w:color w:val="auto"/>
              </w:rPr>
            </w:pPr>
          </w:p>
        </w:tc>
      </w:tr>
      <w:tr>
        <w:trPr>
          <w:trHeight w:val="210"/>
        </w:trPr>
        <w:tc>
          <w:tcPr>
            <w:tcW w:w="8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Furniture</w:t>
            </w: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IT equipment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16"/>
        </w:trPr>
        <w:tc>
          <w:tcPr>
            <w:tcW w:w="8620" w:type="dxa"/>
            <w:vAlign w:val="bottom"/>
            <w:shd w:val="clear" w:color="auto" w:fill="D5EAEA"/>
          </w:tcPr>
          <w:p>
            <w:pPr>
              <w:spacing w:after="0"/>
              <w:rPr>
                <w:sz w:val="20"/>
                <w:szCs w:val="20"/>
                <w:color w:val="auto"/>
              </w:rPr>
            </w:pPr>
            <w:r>
              <w:rPr>
                <w:rFonts w:ascii="Arial" w:cs="Arial" w:eastAsia="Arial" w:hAnsi="Arial"/>
                <w:sz w:val="18"/>
                <w:szCs w:val="18"/>
                <w:color w:val="auto"/>
              </w:rPr>
              <w:t>Lab equipment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4,163</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2,793</w:t>
            </w:r>
          </w:p>
        </w:tc>
      </w:tr>
      <w:tr>
        <w:trPr>
          <w:trHeight w:val="230"/>
        </w:trPr>
        <w:tc>
          <w:tcPr>
            <w:tcW w:w="8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Leasehold improvements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23"/>
        </w:trPr>
        <w:tc>
          <w:tcPr>
            <w:tcW w:w="8620" w:type="dxa"/>
            <w:vAlign w:val="bottom"/>
            <w:shd w:val="clear" w:color="auto" w:fill="D5EAEA"/>
          </w:tcPr>
          <w:p>
            <w:pPr>
              <w:spacing w:after="0"/>
              <w:rPr>
                <w:sz w:val="20"/>
                <w:szCs w:val="20"/>
                <w:color w:val="auto"/>
              </w:rPr>
            </w:pPr>
            <w:r>
              <w:rPr>
                <w:rFonts w:ascii="Arial" w:cs="Arial" w:eastAsia="Arial" w:hAnsi="Arial"/>
                <w:sz w:val="18"/>
                <w:szCs w:val="18"/>
                <w:color w:val="auto"/>
              </w:rPr>
              <w:t>Total property, plant and equipment</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5,088</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3,275</w:t>
            </w:r>
          </w:p>
        </w:tc>
      </w:tr>
      <w:tr>
        <w:trPr>
          <w:trHeight w:val="223"/>
        </w:trPr>
        <w:tc>
          <w:tcPr>
            <w:tcW w:w="8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Accumulated depreciation</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r>
      <w:tr>
        <w:trPr>
          <w:trHeight w:val="223"/>
        </w:trPr>
        <w:tc>
          <w:tcPr>
            <w:tcW w:w="86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1,120</w:t>
            </w:r>
          </w:p>
        </w:tc>
      </w:tr>
      <w:tr>
        <w:trPr>
          <w:trHeight w:val="20"/>
        </w:trPr>
        <w:tc>
          <w:tcPr>
            <w:tcW w:w="8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Arial" w:cs="Arial" w:eastAsia="Arial" w:hAnsi="Arial"/>
                <w:sz w:val="18"/>
                <w:szCs w:val="18"/>
                <w:b w:val="1"/>
                <w:bCs w:val="1"/>
                <w:color w:val="auto"/>
              </w:rPr>
              <w:t>4.  Financial assets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46"/>
        </w:trPr>
        <w:tc>
          <w:tcPr>
            <w:tcW w:w="8620" w:type="dxa"/>
            <w:vAlign w:val="bottom"/>
          </w:tcPr>
          <w:p>
            <w:pPr>
              <w:spacing w:after="0"/>
              <w:rPr>
                <w:sz w:val="24"/>
                <w:szCs w:val="24"/>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at 31 December,</w:t>
            </w:r>
          </w:p>
        </w:tc>
      </w:tr>
      <w:tr>
        <w:trPr>
          <w:trHeight w:val="223"/>
        </w:trPr>
        <w:tc>
          <w:tcPr>
            <w:tcW w:w="8620" w:type="dxa"/>
            <w:vAlign w:val="bottom"/>
          </w:tcPr>
          <w:p>
            <w:pPr>
              <w:spacing w:after="0"/>
              <w:rPr>
                <w:sz w:val="20"/>
                <w:szCs w:val="20"/>
                <w:color w:val="auto"/>
              </w:rPr>
            </w:pPr>
            <w:r>
              <w:rPr>
                <w:rFonts w:ascii="Arial" w:cs="Arial" w:eastAsia="Arial" w:hAnsi="Arial"/>
                <w:sz w:val="18"/>
                <w:szCs w:val="18"/>
                <w:b w:val="1"/>
                <w:bCs w:val="1"/>
                <w:color w:val="auto"/>
              </w:rPr>
              <w:t>in CHF thousands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r>
      <w:tr>
        <w:trPr>
          <w:trHeight w:val="210"/>
        </w:trPr>
        <w:tc>
          <w:tcPr>
            <w:tcW w:w="8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Rental deposit (restricted cash)</w:t>
            </w: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83</w:t>
            </w:r>
          </w:p>
        </w:tc>
      </w:tr>
      <w:tr>
        <w:trPr>
          <w:trHeight w:val="230"/>
        </w:trPr>
        <w:tc>
          <w:tcPr>
            <w:tcW w:w="8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Security deposit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23"/>
        </w:trPr>
        <w:tc>
          <w:tcPr>
            <w:tcW w:w="862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86</w:t>
            </w:r>
          </w:p>
        </w:tc>
      </w:tr>
      <w:tr>
        <w:trPr>
          <w:trHeight w:val="20"/>
        </w:trPr>
        <w:tc>
          <w:tcPr>
            <w:tcW w:w="86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Cash</w:t>
            </w: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80,631</w:t>
            </w:r>
          </w:p>
        </w:tc>
        <w:tc>
          <w:tcPr>
            <w:tcW w:w="10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11,366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Short term deposits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44,000</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124,631</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By Currency</w:t>
            </w: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CHF</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103,272</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EUR</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3,694</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6,818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USD</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17,665</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105,691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124,631</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153,831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6.  Other current receivables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Other current receivables</w:t>
            </w: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 from third parties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 short-term financial receivables</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7.  Prepaid expenses</w:t>
            </w:r>
          </w:p>
        </w:tc>
        <w:tc>
          <w:tcPr>
            <w:tcW w:w="4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47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D5EAEA"/>
          </w:tcPr>
          <w:p>
            <w:pPr>
              <w:spacing w:after="0"/>
              <w:rPr>
                <w:sz w:val="20"/>
                <w:szCs w:val="20"/>
                <w:color w:val="auto"/>
              </w:rPr>
            </w:pPr>
            <w:r>
              <w:rPr>
                <w:rFonts w:ascii="Arial" w:cs="Arial" w:eastAsia="Arial" w:hAnsi="Arial"/>
                <w:sz w:val="18"/>
                <w:szCs w:val="18"/>
                <w:color w:val="auto"/>
              </w:rPr>
              <w:t>Prepaid expenses (current)</w:t>
            </w:r>
          </w:p>
        </w:tc>
        <w:tc>
          <w:tcPr>
            <w:tcW w:w="604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Prepaid expenses (non-current)</w:t>
            </w:r>
          </w:p>
        </w:tc>
        <w:tc>
          <w:tcPr>
            <w:tcW w:w="604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4700" w:type="dxa"/>
            <w:vAlign w:val="bottom"/>
            <w:tcBorders>
              <w:top w:val="single" w:sz="8" w:color="D5EAEA"/>
              <w:bottom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1,474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gridSpan w:val="3"/>
          </w:tcPr>
          <w:p>
            <w:pPr>
              <w:jc w:val="right"/>
              <w:ind w:right="4160"/>
              <w:spacing w:after="0"/>
              <w:rPr>
                <w:sz w:val="20"/>
                <w:szCs w:val="20"/>
                <w:color w:val="auto"/>
              </w:rPr>
            </w:pPr>
            <w:r>
              <w:rPr>
                <w:rFonts w:ascii="Arial" w:cs="Arial" w:eastAsia="Arial" w:hAnsi="Arial"/>
                <w:sz w:val="18"/>
                <w:szCs w:val="18"/>
                <w:color w:val="auto"/>
              </w:rPr>
              <w:t>F-10</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9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Trade payables and accrued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820" w:type="dxa"/>
            <w:vAlign w:val="bottom"/>
            <w:tcBorders>
              <w:bottom w:val="single" w:sz="8" w:color="auto"/>
            </w:tcBorders>
            <w:gridSpan w:val="4"/>
          </w:tcPr>
          <w:p>
            <w:pPr>
              <w:ind w:left="1320"/>
              <w:spacing w:after="0"/>
              <w:rPr>
                <w:sz w:val="20"/>
                <w:szCs w:val="20"/>
                <w:color w:val="auto"/>
              </w:rPr>
            </w:pPr>
            <w:r>
              <w:rPr>
                <w:rFonts w:ascii="Arial" w:cs="Arial" w:eastAsia="Arial" w:hAnsi="Arial"/>
                <w:sz w:val="18"/>
                <w:szCs w:val="18"/>
                <w:b w:val="1"/>
                <w:bCs w:val="1"/>
                <w:color w:val="auto"/>
                <w:w w:val="89"/>
              </w:rPr>
              <w:t>As at 31 December,</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40" w:type="dxa"/>
            <w:vAlign w:val="bottom"/>
            <w:gridSpan w:val="2"/>
          </w:tcPr>
          <w:p>
            <w:pPr>
              <w:ind w:left="980"/>
              <w:spacing w:after="0"/>
              <w:rPr>
                <w:sz w:val="20"/>
                <w:szCs w:val="20"/>
                <w:color w:val="auto"/>
              </w:rPr>
            </w:pPr>
            <w:r>
              <w:rPr>
                <w:rFonts w:ascii="Arial" w:cs="Arial" w:eastAsia="Arial" w:hAnsi="Arial"/>
                <w:sz w:val="18"/>
                <w:szCs w:val="18"/>
                <w:b w:val="1"/>
                <w:bCs w:val="1"/>
                <w:color w:val="auto"/>
              </w:rPr>
              <w:t>2017</w:t>
            </w:r>
          </w:p>
        </w:tc>
        <w:tc>
          <w:tcPr>
            <w:tcW w:w="1380" w:type="dxa"/>
            <w:vAlign w:val="bottom"/>
            <w:gridSpan w:val="2"/>
          </w:tcPr>
          <w:p>
            <w:pPr>
              <w:ind w:left="100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Trade payables</w:t>
            </w: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 to third parties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 to shareholders</w:t>
            </w:r>
          </w:p>
        </w:tc>
        <w:tc>
          <w:tcPr>
            <w:tcW w:w="1440" w:type="dxa"/>
            <w:vAlign w:val="bottom"/>
            <w:gridSpan w:val="2"/>
            <w:shd w:val="clear" w:color="auto" w:fill="D5EAEA"/>
          </w:tcPr>
          <w:p>
            <w:pPr>
              <w:ind w:left="9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Accrued payroll expenses</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2,420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Accrued R&amp;D costs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Other accrued expenses</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Current portion of deferred Income</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Total accrued expenses and deferred income</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8,662</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Total payables and accrued liabilities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9,754</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Long-term financing obligation</w:t>
            </w: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6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820" w:type="dxa"/>
            <w:vAlign w:val="bottom"/>
            <w:tcBorders>
              <w:bottom w:val="single" w:sz="8" w:color="auto"/>
            </w:tcBorders>
            <w:gridSpan w:val="4"/>
          </w:tcPr>
          <w:p>
            <w:pPr>
              <w:ind w:left="1320"/>
              <w:spacing w:after="0"/>
              <w:rPr>
                <w:sz w:val="20"/>
                <w:szCs w:val="20"/>
                <w:color w:val="auto"/>
              </w:rPr>
            </w:pPr>
            <w:r>
              <w:rPr>
                <w:rFonts w:ascii="Arial" w:cs="Arial" w:eastAsia="Arial" w:hAnsi="Arial"/>
                <w:sz w:val="18"/>
                <w:szCs w:val="18"/>
                <w:b w:val="1"/>
                <w:bCs w:val="1"/>
                <w:color w:val="auto"/>
                <w:w w:val="89"/>
              </w:rPr>
              <w:t>As at 31 December,</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40" w:type="dxa"/>
            <w:vAlign w:val="bottom"/>
            <w:gridSpan w:val="2"/>
          </w:tcPr>
          <w:p>
            <w:pPr>
              <w:ind w:left="980"/>
              <w:spacing w:after="0"/>
              <w:rPr>
                <w:sz w:val="20"/>
                <w:szCs w:val="20"/>
                <w:color w:val="auto"/>
              </w:rPr>
            </w:pPr>
            <w:r>
              <w:rPr>
                <w:rFonts w:ascii="Arial" w:cs="Arial" w:eastAsia="Arial" w:hAnsi="Arial"/>
                <w:sz w:val="18"/>
                <w:szCs w:val="18"/>
                <w:b w:val="1"/>
                <w:bCs w:val="1"/>
                <w:color w:val="auto"/>
              </w:rPr>
              <w:t>2017</w:t>
            </w:r>
          </w:p>
        </w:tc>
        <w:tc>
          <w:tcPr>
            <w:tcW w:w="1380" w:type="dxa"/>
            <w:vAlign w:val="bottom"/>
            <w:gridSpan w:val="2"/>
          </w:tcPr>
          <w:p>
            <w:pPr>
              <w:ind w:left="100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Accrued interest – long-term</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ind w:left="98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Long-term financing obligation</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ind w:left="9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capital</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As at 31 December 2017, the issued share capital amounted to CHF 1,146,984 is comprised of 57,349,190 common shares at a par value of CHF 0.02 per common share.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11. Revenues</w:t>
            </w:r>
          </w:p>
        </w:tc>
        <w:tc>
          <w:tcPr>
            <w:tcW w:w="5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For the Years Ended 31 December,</w:t>
            </w: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5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60" w:type="dxa"/>
            <w:vAlign w:val="bottom"/>
            <w:shd w:val="clear" w:color="auto" w:fill="D5EAEA"/>
          </w:tcPr>
          <w:p>
            <w:pPr>
              <w:spacing w:after="0"/>
              <w:rPr>
                <w:sz w:val="20"/>
                <w:szCs w:val="20"/>
                <w:color w:val="auto"/>
              </w:rPr>
            </w:pPr>
            <w:r>
              <w:rPr>
                <w:rFonts w:ascii="Arial" w:cs="Arial" w:eastAsia="Arial" w:hAnsi="Arial"/>
                <w:sz w:val="18"/>
                <w:szCs w:val="18"/>
                <w:color w:val="auto"/>
              </w:rPr>
              <w:t>Contract revenue</w:t>
            </w:r>
          </w:p>
        </w:tc>
        <w:tc>
          <w:tcPr>
            <w:tcW w:w="64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20,255</w:t>
            </w:r>
          </w:p>
        </w:tc>
        <w:tc>
          <w:tcPr>
            <w:tcW w:w="100" w:type="dxa"/>
            <w:vAlign w:val="bottom"/>
            <w:shd w:val="clear" w:color="auto" w:fill="D5EAEA"/>
          </w:tcPr>
          <w:p>
            <w:pPr>
              <w:spacing w:after="0"/>
              <w:rPr>
                <w:sz w:val="19"/>
                <w:szCs w:val="19"/>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14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20,255</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gridSpan w:val="3"/>
          </w:tcPr>
          <w:p>
            <w:pPr>
              <w:jc w:val="right"/>
              <w:ind w:right="4160"/>
              <w:spacing w:after="0"/>
              <w:rPr>
                <w:sz w:val="20"/>
                <w:szCs w:val="20"/>
                <w:color w:val="auto"/>
              </w:rPr>
            </w:pPr>
            <w:r>
              <w:rPr>
                <w:rFonts w:ascii="Arial" w:cs="Arial" w:eastAsia="Arial" w:hAnsi="Arial"/>
                <w:sz w:val="18"/>
                <w:szCs w:val="18"/>
                <w:color w:val="auto"/>
              </w:rPr>
              <w:t>F-11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0" w:type="dxa"/>
            <w:vAlign w:val="bottom"/>
          </w:tcPr>
          <w:p>
            <w:pPr>
              <w:ind w:left="3220"/>
              <w:spacing w:after="0"/>
              <w:rPr>
                <w:sz w:val="20"/>
                <w:szCs w:val="20"/>
                <w:color w:val="auto"/>
              </w:rPr>
            </w:pPr>
            <w:r>
              <w:rPr>
                <w:rFonts w:ascii="Arial" w:cs="Arial" w:eastAsia="Arial" w:hAnsi="Arial"/>
                <w:sz w:val="18"/>
                <w:szCs w:val="18"/>
                <w:b w:val="1"/>
                <w:bCs w:val="1"/>
                <w:color w:val="auto"/>
              </w:rPr>
              <w:t>STATUTORY FINANCIAL STATEMENTS – AC IMMUNE SA</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12. Operating expenses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3"/>
              </w:rPr>
              <w:t>For the Years Ended 31 December,</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40" w:type="dxa"/>
            <w:vAlign w:val="bottom"/>
            <w:gridSpan w:val="2"/>
          </w:tcPr>
          <w:p>
            <w:pPr>
              <w:ind w:left="980"/>
              <w:spacing w:after="0"/>
              <w:rPr>
                <w:sz w:val="20"/>
                <w:szCs w:val="20"/>
                <w:color w:val="auto"/>
              </w:rPr>
            </w:pPr>
            <w:r>
              <w:rPr>
                <w:rFonts w:ascii="Arial" w:cs="Arial" w:eastAsia="Arial" w:hAnsi="Arial"/>
                <w:sz w:val="18"/>
                <w:szCs w:val="18"/>
                <w:b w:val="1"/>
                <w:bCs w:val="1"/>
                <w:color w:val="auto"/>
              </w:rPr>
              <w:t>2017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Salaries and related costs</w:t>
            </w: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 related to research and development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8,294</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 related to general administrative</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4,912</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3,727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salaries and related cost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13,206</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 related to research and development expense</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23,242</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18,489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23,242</w:t>
            </w: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 related to regular general and administrative</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3,856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 related to IPO</w:t>
            </w:r>
          </w:p>
        </w:tc>
        <w:tc>
          <w:tcPr>
            <w:tcW w:w="14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general and administrative expenses</w:t>
            </w: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3,856</w:t>
            </w:r>
          </w:p>
        </w:tc>
        <w:tc>
          <w:tcPr>
            <w:tcW w:w="10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Depreciation of fixed assets</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operating expenses</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40,884</w:t>
            </w:r>
          </w:p>
        </w:tc>
        <w:tc>
          <w:tcPr>
            <w:tcW w:w="100" w:type="dxa"/>
            <w:vAlign w:val="bottom"/>
            <w:tcBorders>
              <w:bottom w:val="single" w:sz="8" w:color="D5EAEA"/>
            </w:tcBorders>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35,945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Financial income and expenses</w:t>
            </w: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62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3"/>
              </w:rPr>
              <w:t>For the Years Ended 31 December,</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in CHF thousands</w:t>
            </w:r>
          </w:p>
        </w:tc>
        <w:tc>
          <w:tcPr>
            <w:tcW w:w="1440" w:type="dxa"/>
            <w:vAlign w:val="bottom"/>
            <w:gridSpan w:val="2"/>
          </w:tcPr>
          <w:p>
            <w:pPr>
              <w:ind w:left="980"/>
              <w:spacing w:after="0"/>
              <w:rPr>
                <w:sz w:val="20"/>
                <w:szCs w:val="20"/>
                <w:color w:val="auto"/>
              </w:rPr>
            </w:pPr>
            <w:r>
              <w:rPr>
                <w:rFonts w:ascii="Arial" w:cs="Arial" w:eastAsia="Arial" w:hAnsi="Arial"/>
                <w:sz w:val="18"/>
                <w:szCs w:val="18"/>
                <w:b w:val="1"/>
                <w:bCs w:val="1"/>
                <w:color w:val="auto"/>
              </w:rPr>
              <w:t>2017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b w:val="1"/>
                <w:bCs w:val="1"/>
                <w:color w:val="auto"/>
              </w:rPr>
              <w:t>Financial income</w:t>
            </w: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 interest income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 foreign exchange gains</w:t>
            </w: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60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financial income</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D5EAEA"/>
            </w:tcBorders>
          </w:tcPr>
          <w:p>
            <w:pPr>
              <w:spacing w:after="0"/>
              <w:rPr>
                <w:sz w:val="22"/>
                <w:szCs w:val="22"/>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6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Financial expenses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 foreign exchange (losses)</w:t>
            </w:r>
          </w:p>
        </w:tc>
        <w:tc>
          <w:tcPr>
            <w:tcW w:w="13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(5,536)</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 bank fees</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shd w:val="clear" w:color="auto" w:fill="D5EAEA"/>
          </w:tcPr>
          <w:p>
            <w:pPr>
              <w:spacing w:after="0"/>
              <w:rPr>
                <w:sz w:val="20"/>
                <w:szCs w:val="20"/>
                <w:color w:val="auto"/>
              </w:rPr>
            </w:pPr>
            <w:r>
              <w:rPr>
                <w:rFonts w:ascii="Arial" w:cs="Arial" w:eastAsia="Arial" w:hAnsi="Arial"/>
                <w:sz w:val="18"/>
                <w:szCs w:val="18"/>
                <w:color w:val="auto"/>
              </w:rPr>
              <w:t>- interest expense</w:t>
            </w: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D5EAEA"/>
          </w:tcPr>
          <w:p>
            <w:pPr>
              <w:spacing w:after="0"/>
              <w:rPr>
                <w:sz w:val="19"/>
                <w:szCs w:val="19"/>
                <w:color w:val="auto"/>
              </w:rPr>
            </w:pPr>
          </w:p>
        </w:tc>
        <w:tc>
          <w:tcPr>
            <w:tcW w:w="136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Total financial expenses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(5,689 )</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(135 )</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Shareholders rights and equity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on the allocation of shares and equity awards to executive officers, directors and employees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959c, paragraph 2, number 11 Swiss Code of Obligations (CO) as at 31 December 2017:</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2500" w:type="dxa"/>
            <w:vAlign w:val="bottom"/>
          </w:tcPr>
          <w:p>
            <w:pPr>
              <w:spacing w:after="0"/>
              <w:rPr>
                <w:sz w:val="19"/>
                <w:szCs w:val="19"/>
                <w:color w:val="auto"/>
              </w:rPr>
            </w:pPr>
          </w:p>
        </w:tc>
        <w:tc>
          <w:tcPr>
            <w:tcW w:w="1620" w:type="dxa"/>
            <w:vAlign w:val="bottom"/>
            <w:tcBorders>
              <w:top w:val="single" w:sz="8" w:color="auto"/>
              <w:bottom w:val="single" w:sz="8" w:color="auto"/>
            </w:tcBorders>
            <w:gridSpan w:val="4"/>
          </w:tcPr>
          <w:p>
            <w:pPr>
              <w:ind w:left="980"/>
              <w:spacing w:after="0"/>
              <w:rPr>
                <w:sz w:val="20"/>
                <w:szCs w:val="20"/>
                <w:color w:val="auto"/>
              </w:rPr>
            </w:pPr>
            <w:r>
              <w:rPr>
                <w:rFonts w:ascii="Arial" w:cs="Arial" w:eastAsia="Arial" w:hAnsi="Arial"/>
                <w:sz w:val="18"/>
                <w:szCs w:val="18"/>
                <w:b w:val="1"/>
                <w:bCs w:val="1"/>
                <w:color w:val="auto"/>
              </w:rPr>
              <w:t>Shares</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Equity Awards</w:t>
            </w:r>
          </w:p>
        </w:tc>
        <w:tc>
          <w:tcPr>
            <w:tcW w:w="0" w:type="dxa"/>
            <w:vAlign w:val="bottom"/>
          </w:tcPr>
          <w:p>
            <w:pPr>
              <w:spacing w:after="0"/>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2500" w:type="dxa"/>
            <w:vAlign w:val="bottom"/>
          </w:tcPr>
          <w:p>
            <w:pPr>
              <w:spacing w:after="0"/>
              <w:rPr>
                <w:sz w:val="18"/>
                <w:szCs w:val="18"/>
                <w:color w:val="auto"/>
              </w:rPr>
            </w:pPr>
          </w:p>
        </w:tc>
        <w:tc>
          <w:tcPr>
            <w:tcW w:w="1620" w:type="dxa"/>
            <w:vAlign w:val="bottom"/>
            <w:gridSpan w:val="4"/>
          </w:tcPr>
          <w:p>
            <w:pPr>
              <w:ind w:left="700"/>
              <w:spacing w:after="0"/>
              <w:rPr>
                <w:sz w:val="20"/>
                <w:szCs w:val="20"/>
                <w:color w:val="auto"/>
              </w:rPr>
            </w:pPr>
            <w:r>
              <w:rPr>
                <w:rFonts w:ascii="Arial" w:cs="Arial" w:eastAsia="Arial" w:hAnsi="Arial"/>
                <w:sz w:val="18"/>
                <w:szCs w:val="18"/>
                <w:color w:val="auto"/>
              </w:rPr>
              <w:t>Number</w:t>
            </w: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KCHF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ind w:left="440"/>
              <w:spacing w:after="0"/>
              <w:rPr>
                <w:sz w:val="20"/>
                <w:szCs w:val="20"/>
                <w:color w:val="auto"/>
              </w:rPr>
            </w:pPr>
            <w:r>
              <w:rPr>
                <w:rFonts w:ascii="Arial" w:cs="Arial" w:eastAsia="Arial" w:hAnsi="Arial"/>
                <w:sz w:val="18"/>
                <w:szCs w:val="18"/>
                <w:color w:val="auto"/>
              </w:rPr>
              <w:t>Number</w:t>
            </w: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KCHF</w:t>
            </w:r>
          </w:p>
        </w:tc>
        <w:tc>
          <w:tcPr>
            <w:tcW w:w="0" w:type="dxa"/>
            <w:vAlign w:val="bottom"/>
          </w:tcPr>
          <w:p>
            <w:pPr>
              <w:spacing w:after="0"/>
              <w:rPr>
                <w:sz w:val="1"/>
                <w:szCs w:val="1"/>
                <w:color w:val="auto"/>
              </w:rPr>
            </w:pPr>
          </w:p>
        </w:tc>
      </w:tr>
      <w:tr>
        <w:trPr>
          <w:trHeight w:val="210"/>
        </w:trPr>
        <w:tc>
          <w:tcPr>
            <w:tcW w:w="42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Issued to executive officers and directors</w:t>
            </w:r>
          </w:p>
        </w:tc>
        <w:tc>
          <w:tcPr>
            <w:tcW w:w="250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4,657,882</w:t>
            </w:r>
          </w:p>
        </w:tc>
        <w:tc>
          <w:tcPr>
            <w:tcW w:w="12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auto"/>
            </w:tcBorders>
            <w:shd w:val="clear" w:color="auto" w:fill="D5EAEA"/>
          </w:tcPr>
          <w:p>
            <w:pPr>
              <w:spacing w:after="0"/>
              <w:rPr>
                <w:sz w:val="18"/>
                <w:szCs w:val="18"/>
                <w:color w:val="auto"/>
              </w:rPr>
            </w:pPr>
          </w:p>
        </w:tc>
        <w:tc>
          <w:tcPr>
            <w:tcW w:w="920" w:type="dxa"/>
            <w:vAlign w:val="bottom"/>
            <w:tcBorders>
              <w:top w:val="single" w:sz="8" w:color="auto"/>
            </w:tcBorders>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58,922</w:t>
            </w:r>
          </w:p>
        </w:tc>
        <w:tc>
          <w:tcPr>
            <w:tcW w:w="100" w:type="dxa"/>
            <w:vAlign w:val="bottom"/>
            <w:tcBorders>
              <w:top w:val="single" w:sz="8" w:color="D5EAEA"/>
            </w:tcBorders>
            <w:shd w:val="clear" w:color="auto" w:fill="D5EAEA"/>
          </w:tcPr>
          <w:p>
            <w:pPr>
              <w:spacing w:after="0"/>
              <w:rPr>
                <w:sz w:val="18"/>
                <w:szCs w:val="18"/>
                <w:color w:val="auto"/>
              </w:rPr>
            </w:pPr>
          </w:p>
        </w:tc>
        <w:tc>
          <w:tcPr>
            <w:tcW w:w="120" w:type="dxa"/>
            <w:vAlign w:val="bottom"/>
            <w:tcBorders>
              <w:top w:val="single" w:sz="8" w:color="auto"/>
            </w:tcBorders>
            <w:shd w:val="clear" w:color="auto" w:fill="D5EAEA"/>
          </w:tcPr>
          <w:p>
            <w:pPr>
              <w:spacing w:after="0"/>
              <w:rPr>
                <w:sz w:val="18"/>
                <w:szCs w:val="18"/>
                <w:color w:val="auto"/>
              </w:rPr>
            </w:pPr>
          </w:p>
        </w:tc>
        <w:tc>
          <w:tcPr>
            <w:tcW w:w="1120" w:type="dxa"/>
            <w:vAlign w:val="bottom"/>
            <w:tcBorders>
              <w:top w:val="single" w:sz="8" w:color="auto"/>
            </w:tcBorders>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930,748</w:t>
            </w:r>
          </w:p>
        </w:tc>
        <w:tc>
          <w:tcPr>
            <w:tcW w:w="100" w:type="dxa"/>
            <w:vAlign w:val="bottom"/>
            <w:tcBorders>
              <w:top w:val="single" w:sz="8" w:color="D5EAEA"/>
            </w:tcBorders>
            <w:shd w:val="clear" w:color="auto" w:fill="D5EAEA"/>
          </w:tcPr>
          <w:p>
            <w:pPr>
              <w:spacing w:after="0"/>
              <w:rPr>
                <w:sz w:val="18"/>
                <w:szCs w:val="18"/>
                <w:color w:val="auto"/>
              </w:rPr>
            </w:pPr>
          </w:p>
        </w:tc>
        <w:tc>
          <w:tcPr>
            <w:tcW w:w="68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3"/>
              </w:rPr>
              <w:t>3,473</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Issued to employees</w:t>
            </w:r>
          </w:p>
        </w:tc>
        <w:tc>
          <w:tcPr>
            <w:tcW w:w="3880" w:type="dxa"/>
            <w:vAlign w:val="bottom"/>
            <w:gridSpan w:val="3"/>
          </w:tcPr>
          <w:p>
            <w:pPr>
              <w:jc w:val="right"/>
              <w:ind w:right="240"/>
              <w:spacing w:after="0"/>
              <w:rPr>
                <w:sz w:val="20"/>
                <w:szCs w:val="20"/>
                <w:color w:val="auto"/>
              </w:rPr>
            </w:pPr>
            <w:r>
              <w:rPr>
                <w:rFonts w:ascii="Arial" w:cs="Arial" w:eastAsia="Arial" w:hAnsi="Arial"/>
                <w:sz w:val="18"/>
                <w:szCs w:val="18"/>
                <w:color w:val="auto"/>
              </w:rPr>
              <w:t>504,664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479,725</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1,119</w:t>
            </w:r>
          </w:p>
        </w:tc>
        <w:tc>
          <w:tcPr>
            <w:tcW w:w="0" w:type="dxa"/>
            <w:vAlign w:val="bottom"/>
          </w:tcPr>
          <w:p>
            <w:pPr>
              <w:spacing w:after="0"/>
              <w:rPr>
                <w:sz w:val="1"/>
                <w:szCs w:val="1"/>
                <w:color w:val="auto"/>
              </w:rPr>
            </w:pPr>
          </w:p>
        </w:tc>
      </w:tr>
      <w:tr>
        <w:trPr>
          <w:trHeight w:val="217"/>
        </w:trPr>
        <w:tc>
          <w:tcPr>
            <w:tcW w:w="42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w:t>
            </w:r>
          </w:p>
        </w:tc>
        <w:tc>
          <w:tcPr>
            <w:tcW w:w="2500" w:type="dxa"/>
            <w:vAlign w:val="bottom"/>
            <w:tcBorders>
              <w:top w:val="single" w:sz="8" w:color="D5EAEA"/>
              <w:bottom w:val="single" w:sz="8" w:color="D5EAEA"/>
            </w:tcBorders>
            <w:shd w:val="clear" w:color="auto" w:fill="D5EAEA"/>
          </w:tcPr>
          <w:p>
            <w:pPr>
              <w:spacing w:after="0"/>
              <w:rPr>
                <w:sz w:val="18"/>
                <w:szCs w:val="18"/>
                <w:color w:val="auto"/>
              </w:rPr>
            </w:pP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5,162,546</w:t>
            </w:r>
          </w:p>
        </w:tc>
        <w:tc>
          <w:tcPr>
            <w:tcW w:w="24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8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65,306</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9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1,410,473</w:t>
            </w:r>
          </w:p>
        </w:tc>
        <w:tc>
          <w:tcPr>
            <w:tcW w:w="220" w:type="dxa"/>
            <w:vAlign w:val="bottom"/>
            <w:tcBorders>
              <w:top w:val="single" w:sz="8" w:color="D5EAEA"/>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680" w:type="dxa"/>
            <w:vAlign w:val="bottom"/>
            <w:tcBorders>
              <w:top w:val="single" w:sz="8" w:color="auto"/>
              <w:bottom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3"/>
              </w:rPr>
              <w:t>4,592</w:t>
            </w:r>
          </w:p>
        </w:tc>
        <w:tc>
          <w:tcPr>
            <w:tcW w:w="0" w:type="dxa"/>
            <w:vAlign w:val="bottom"/>
          </w:tcPr>
          <w:p>
            <w:pPr>
              <w:spacing w:after="0"/>
              <w:rPr>
                <w:sz w:val="1"/>
                <w:szCs w:val="1"/>
                <w:color w:val="auto"/>
              </w:rPr>
            </w:pPr>
          </w:p>
        </w:tc>
      </w:tr>
      <w:tr>
        <w:trPr>
          <w:trHeight w:val="756"/>
        </w:trPr>
        <w:tc>
          <w:tcPr>
            <w:tcW w:w="42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5"/>
          </w:tcPr>
          <w:p>
            <w:pPr>
              <w:ind w:left="1300"/>
              <w:spacing w:after="0"/>
              <w:rPr>
                <w:sz w:val="20"/>
                <w:szCs w:val="20"/>
                <w:color w:val="auto"/>
              </w:rPr>
            </w:pPr>
            <w:r>
              <w:rPr>
                <w:rFonts w:ascii="Arial" w:cs="Arial" w:eastAsia="Arial" w:hAnsi="Arial"/>
                <w:sz w:val="18"/>
                <w:szCs w:val="18"/>
                <w:color w:val="auto"/>
              </w:rPr>
              <w:t>F-12</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STATUTORY FINANCIAL STATEMENTS – AC IMMUNE SA</w:t>
      </w:r>
    </w:p>
    <w:p>
      <w:pPr>
        <w:spacing w:after="0" w:line="200" w:lineRule="exact"/>
        <w:rPr>
          <w:sz w:val="20"/>
          <w:szCs w:val="20"/>
          <w:color w:val="auto"/>
        </w:rPr>
      </w:pPr>
    </w:p>
    <w:p>
      <w:pPr>
        <w:spacing w:after="0" w:line="24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Share values are based on the Company’s share price of $12.80 (CHF 12.65). Equity awards are comprised of options and non-vested stock (restricted shares and restricted share units) awards. The fair value of our options is determined using the Black-Scholes Merton Model and our non-vested stock awards are valued using a reasonable estimate of market value of the common stock on the date of the award. Total shares are derived from our transfer agent’s records as at 31 December 2017.</w:t>
      </w:r>
    </w:p>
    <w:p>
      <w:pPr>
        <w:spacing w:after="0" w:line="18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table below presents beneficial ownership of executive officers and directors, including affiliated entities, if applicable, in accordance with Article 663c CO as at 31 December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6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191"/>
        </w:trPr>
        <w:tc>
          <w:tcPr>
            <w:tcW w:w="7620" w:type="dxa"/>
            <w:vAlign w:val="bottom"/>
          </w:tcPr>
          <w:p>
            <w:pPr>
              <w:spacing w:after="0" w:line="191" w:lineRule="exact"/>
              <w:rPr>
                <w:sz w:val="20"/>
                <w:szCs w:val="20"/>
                <w:color w:val="auto"/>
              </w:rPr>
            </w:pPr>
            <w:r>
              <w:rPr>
                <w:rFonts w:ascii="Arial" w:cs="Arial" w:eastAsia="Arial" w:hAnsi="Arial"/>
                <w:sz w:val="18"/>
                <w:szCs w:val="18"/>
                <w:color w:val="auto"/>
              </w:rPr>
              <w:t>Beneficial ownership of executive officers and directors</w:t>
            </w:r>
          </w:p>
        </w:tc>
        <w:tc>
          <w:tcPr>
            <w:tcW w:w="1780" w:type="dxa"/>
            <w:vAlign w:val="bottom"/>
            <w:gridSpan w:val="2"/>
          </w:tcPr>
          <w:p>
            <w:pPr>
              <w:jc w:val="right"/>
              <w:ind w:right="120"/>
              <w:spacing w:after="0" w:line="191" w:lineRule="exact"/>
              <w:rPr>
                <w:sz w:val="20"/>
                <w:szCs w:val="20"/>
                <w:color w:val="auto"/>
              </w:rPr>
            </w:pPr>
            <w:r>
              <w:rPr>
                <w:rFonts w:ascii="Arial" w:cs="Arial" w:eastAsia="Arial" w:hAnsi="Arial"/>
                <w:sz w:val="18"/>
                <w:szCs w:val="18"/>
                <w:b w:val="1"/>
                <w:bCs w:val="1"/>
                <w:color w:val="auto"/>
              </w:rPr>
              <w:t>Number of Shares</w:t>
            </w:r>
          </w:p>
        </w:tc>
        <w:tc>
          <w:tcPr>
            <w:tcW w:w="20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0"/>
              </w:rPr>
              <w:t>Number of Equity Awards</w:t>
            </w:r>
          </w:p>
        </w:tc>
      </w:tr>
      <w:tr>
        <w:trPr>
          <w:trHeight w:val="234"/>
        </w:trPr>
        <w:tc>
          <w:tcPr>
            <w:tcW w:w="762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r>
      <w:tr>
        <w:trPr>
          <w:trHeight w:val="210"/>
        </w:trPr>
        <w:tc>
          <w:tcPr>
            <w:tcW w:w="762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Andrea Pfeifer, Ph.D., Chief Executive Officer and Director</w:t>
            </w:r>
          </w:p>
        </w:tc>
        <w:tc>
          <w:tcPr>
            <w:tcW w:w="1660" w:type="dxa"/>
            <w:vAlign w:val="bottom"/>
            <w:tcBorders>
              <w:top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2,596,809</w:t>
            </w:r>
          </w:p>
        </w:tc>
        <w:tc>
          <w:tcPr>
            <w:tcW w:w="120" w:type="dxa"/>
            <w:vAlign w:val="bottom"/>
            <w:tcBorders>
              <w:top w:val="single" w:sz="8" w:color="D5EAEA"/>
            </w:tcBorders>
            <w:shd w:val="clear" w:color="auto" w:fill="D5EAEA"/>
          </w:tcPr>
          <w:p>
            <w:pPr>
              <w:spacing w:after="0"/>
              <w:rPr>
                <w:sz w:val="18"/>
                <w:szCs w:val="18"/>
                <w:color w:val="auto"/>
              </w:rPr>
            </w:pPr>
          </w:p>
        </w:tc>
        <w:tc>
          <w:tcPr>
            <w:tcW w:w="2020" w:type="dxa"/>
            <w:vAlign w:val="bottom"/>
            <w:tcBorders>
              <w:top w:val="single" w:sz="8" w:color="auto"/>
            </w:tcBorders>
            <w:shd w:val="clear" w:color="auto" w:fill="D5EAEA"/>
          </w:tcPr>
          <w:p>
            <w:pPr>
              <w:jc w:val="right"/>
              <w:ind w:right="170"/>
              <w:spacing w:after="0"/>
              <w:rPr>
                <w:sz w:val="20"/>
                <w:szCs w:val="20"/>
                <w:color w:val="auto"/>
              </w:rPr>
            </w:pPr>
            <w:r>
              <w:rPr>
                <w:rFonts w:ascii="Arial" w:cs="Arial" w:eastAsia="Arial" w:hAnsi="Arial"/>
                <w:sz w:val="18"/>
                <w:szCs w:val="18"/>
                <w:color w:val="auto"/>
              </w:rPr>
              <w:t>339,352</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Jörg Hornstein, Chief Financial Officer</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20" w:type="dxa"/>
            <w:vAlign w:val="bottom"/>
          </w:tcPr>
          <w:p>
            <w:pPr>
              <w:jc w:val="right"/>
              <w:ind w:right="170"/>
              <w:spacing w:after="0"/>
              <w:rPr>
                <w:sz w:val="20"/>
                <w:szCs w:val="20"/>
                <w:color w:val="auto"/>
              </w:rPr>
            </w:pPr>
            <w:r>
              <w:rPr>
                <w:rFonts w:ascii="Arial" w:cs="Arial" w:eastAsia="Arial" w:hAnsi="Arial"/>
                <w:sz w:val="18"/>
                <w:szCs w:val="18"/>
                <w:color w:val="auto"/>
              </w:rPr>
              <w:t>113,981</w:t>
            </w:r>
          </w:p>
        </w:tc>
      </w:tr>
      <w:tr>
        <w:trPr>
          <w:trHeight w:val="216"/>
        </w:trPr>
        <w:tc>
          <w:tcPr>
            <w:tcW w:w="7620" w:type="dxa"/>
            <w:vAlign w:val="bottom"/>
            <w:shd w:val="clear" w:color="auto" w:fill="D5EAEA"/>
          </w:tcPr>
          <w:p>
            <w:pPr>
              <w:spacing w:after="0"/>
              <w:rPr>
                <w:sz w:val="20"/>
                <w:szCs w:val="20"/>
                <w:color w:val="auto"/>
              </w:rPr>
            </w:pPr>
            <w:r>
              <w:rPr>
                <w:rFonts w:ascii="Arial" w:cs="Arial" w:eastAsia="Arial" w:hAnsi="Arial"/>
                <w:sz w:val="18"/>
                <w:szCs w:val="18"/>
                <w:color w:val="auto"/>
              </w:rPr>
              <w:t>Andreas Muhs, Ph.D., Chief Scientific Officer</w:t>
            </w:r>
          </w:p>
        </w:tc>
        <w:tc>
          <w:tcPr>
            <w:tcW w:w="16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475,050</w:t>
            </w:r>
          </w:p>
        </w:tc>
        <w:tc>
          <w:tcPr>
            <w:tcW w:w="120" w:type="dxa"/>
            <w:vAlign w:val="bottom"/>
            <w:shd w:val="clear" w:color="auto" w:fill="D5EAEA"/>
          </w:tcPr>
          <w:p>
            <w:pPr>
              <w:spacing w:after="0"/>
              <w:rPr>
                <w:sz w:val="18"/>
                <w:szCs w:val="18"/>
                <w:color w:val="auto"/>
              </w:rPr>
            </w:pPr>
          </w:p>
        </w:tc>
        <w:tc>
          <w:tcPr>
            <w:tcW w:w="202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373,867</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Jean-Fabien Monin, Chief Administrative Officer</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8"/>
                <w:szCs w:val="18"/>
                <w:color w:val="auto"/>
              </w:rPr>
            </w:pPr>
          </w:p>
        </w:tc>
        <w:tc>
          <w:tcPr>
            <w:tcW w:w="2020" w:type="dxa"/>
            <w:vAlign w:val="bottom"/>
          </w:tcPr>
          <w:p>
            <w:pPr>
              <w:jc w:val="right"/>
              <w:ind w:right="170"/>
              <w:spacing w:after="0"/>
              <w:rPr>
                <w:sz w:val="20"/>
                <w:szCs w:val="20"/>
                <w:color w:val="auto"/>
              </w:rPr>
            </w:pPr>
            <w:r>
              <w:rPr>
                <w:rFonts w:ascii="Arial" w:cs="Arial" w:eastAsia="Arial" w:hAnsi="Arial"/>
                <w:sz w:val="18"/>
                <w:szCs w:val="18"/>
                <w:color w:val="auto"/>
              </w:rPr>
              <w:t>63,923</w:t>
            </w:r>
          </w:p>
        </w:tc>
      </w:tr>
      <w:tr>
        <w:trPr>
          <w:trHeight w:val="216"/>
        </w:trPr>
        <w:tc>
          <w:tcPr>
            <w:tcW w:w="7620" w:type="dxa"/>
            <w:vAlign w:val="bottom"/>
            <w:shd w:val="clear" w:color="auto" w:fill="D5EAEA"/>
          </w:tcPr>
          <w:p>
            <w:pPr>
              <w:spacing w:after="0"/>
              <w:rPr>
                <w:sz w:val="20"/>
                <w:szCs w:val="20"/>
                <w:color w:val="auto"/>
              </w:rPr>
            </w:pPr>
            <w:r>
              <w:rPr>
                <w:rFonts w:ascii="Arial" w:cs="Arial" w:eastAsia="Arial" w:hAnsi="Arial"/>
                <w:sz w:val="18"/>
                <w:szCs w:val="18"/>
                <w:color w:val="auto"/>
              </w:rPr>
              <w:t>Martin Velasco, Chairman and Director</w:t>
            </w:r>
          </w:p>
        </w:tc>
        <w:tc>
          <w:tcPr>
            <w:tcW w:w="16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469,250</w:t>
            </w:r>
          </w:p>
        </w:tc>
        <w:tc>
          <w:tcPr>
            <w:tcW w:w="120" w:type="dxa"/>
            <w:vAlign w:val="bottom"/>
            <w:shd w:val="clear" w:color="auto" w:fill="D5EAEA"/>
          </w:tcPr>
          <w:p>
            <w:pPr>
              <w:spacing w:after="0"/>
              <w:rPr>
                <w:sz w:val="18"/>
                <w:szCs w:val="18"/>
                <w:color w:val="auto"/>
              </w:rPr>
            </w:pPr>
          </w:p>
        </w:tc>
        <w:tc>
          <w:tcPr>
            <w:tcW w:w="202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16,125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Detlev Riesner, Ph.D., Director</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759,000</w:t>
            </w:r>
          </w:p>
        </w:tc>
        <w:tc>
          <w:tcPr>
            <w:tcW w:w="120" w:type="dxa"/>
            <w:vAlign w:val="bottom"/>
          </w:tcPr>
          <w:p>
            <w:pPr>
              <w:spacing w:after="0"/>
              <w:rPr>
                <w:sz w:val="18"/>
                <w:szCs w:val="18"/>
                <w:color w:val="auto"/>
              </w:rPr>
            </w:pPr>
          </w:p>
        </w:tc>
        <w:tc>
          <w:tcPr>
            <w:tcW w:w="2020" w:type="dxa"/>
            <w:vAlign w:val="bottom"/>
          </w:tcPr>
          <w:p>
            <w:pPr>
              <w:jc w:val="right"/>
              <w:ind w:right="170"/>
              <w:spacing w:after="0"/>
              <w:rPr>
                <w:sz w:val="20"/>
                <w:szCs w:val="20"/>
                <w:color w:val="auto"/>
              </w:rPr>
            </w:pPr>
            <w:r>
              <w:rPr>
                <w:rFonts w:ascii="Arial" w:cs="Arial" w:eastAsia="Arial" w:hAnsi="Arial"/>
                <w:sz w:val="18"/>
                <w:szCs w:val="18"/>
                <w:color w:val="auto"/>
              </w:rPr>
              <w:t>5,875</w:t>
            </w:r>
          </w:p>
        </w:tc>
      </w:tr>
      <w:tr>
        <w:trPr>
          <w:trHeight w:val="216"/>
        </w:trPr>
        <w:tc>
          <w:tcPr>
            <w:tcW w:w="7620" w:type="dxa"/>
            <w:vAlign w:val="bottom"/>
            <w:shd w:val="clear" w:color="auto" w:fill="D5EAEA"/>
          </w:tcPr>
          <w:p>
            <w:pPr>
              <w:spacing w:after="0"/>
              <w:rPr>
                <w:sz w:val="20"/>
                <w:szCs w:val="20"/>
                <w:color w:val="auto"/>
              </w:rPr>
            </w:pPr>
            <w:r>
              <w:rPr>
                <w:rFonts w:ascii="Arial" w:cs="Arial" w:eastAsia="Arial" w:hAnsi="Arial"/>
                <w:sz w:val="18"/>
                <w:szCs w:val="18"/>
                <w:color w:val="auto"/>
              </w:rPr>
              <w:t>Friedrich von Bohlen und Halbach, Director</w:t>
            </w:r>
          </w:p>
        </w:tc>
        <w:tc>
          <w:tcPr>
            <w:tcW w:w="16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78,750</w:t>
            </w:r>
          </w:p>
        </w:tc>
        <w:tc>
          <w:tcPr>
            <w:tcW w:w="120" w:type="dxa"/>
            <w:vAlign w:val="bottom"/>
            <w:shd w:val="clear" w:color="auto" w:fill="D5EAEA"/>
          </w:tcPr>
          <w:p>
            <w:pPr>
              <w:spacing w:after="0"/>
              <w:rPr>
                <w:sz w:val="18"/>
                <w:szCs w:val="18"/>
                <w:color w:val="auto"/>
              </w:rPr>
            </w:pPr>
          </w:p>
        </w:tc>
        <w:tc>
          <w:tcPr>
            <w:tcW w:w="202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5,875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Peter Bollmann, Director</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20" w:type="dxa"/>
            <w:vAlign w:val="bottom"/>
          </w:tcPr>
          <w:p>
            <w:pPr>
              <w:jc w:val="right"/>
              <w:ind w:right="170"/>
              <w:spacing w:after="0"/>
              <w:rPr>
                <w:sz w:val="20"/>
                <w:szCs w:val="20"/>
                <w:color w:val="auto"/>
              </w:rPr>
            </w:pPr>
            <w:r>
              <w:rPr>
                <w:rFonts w:ascii="Arial" w:cs="Arial" w:eastAsia="Arial" w:hAnsi="Arial"/>
                <w:sz w:val="18"/>
                <w:szCs w:val="18"/>
                <w:color w:val="auto"/>
              </w:rPr>
              <w:t>5,875</w:t>
            </w:r>
          </w:p>
        </w:tc>
      </w:tr>
      <w:tr>
        <w:trPr>
          <w:trHeight w:val="216"/>
        </w:trPr>
        <w:tc>
          <w:tcPr>
            <w:tcW w:w="7620" w:type="dxa"/>
            <w:vAlign w:val="bottom"/>
            <w:shd w:val="clear" w:color="auto" w:fill="D5EAEA"/>
          </w:tcPr>
          <w:p>
            <w:pPr>
              <w:spacing w:after="0"/>
              <w:rPr>
                <w:sz w:val="20"/>
                <w:szCs w:val="20"/>
                <w:color w:val="auto"/>
              </w:rPr>
            </w:pPr>
            <w:r>
              <w:rPr>
                <w:rFonts w:ascii="Arial" w:cs="Arial" w:eastAsia="Arial" w:hAnsi="Arial"/>
                <w:sz w:val="18"/>
                <w:szCs w:val="18"/>
                <w:color w:val="auto"/>
              </w:rPr>
              <w:t>Thomas Graney, Director</w:t>
            </w:r>
          </w:p>
        </w:tc>
        <w:tc>
          <w:tcPr>
            <w:tcW w:w="16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4,023</w:t>
            </w:r>
          </w:p>
        </w:tc>
        <w:tc>
          <w:tcPr>
            <w:tcW w:w="120" w:type="dxa"/>
            <w:vAlign w:val="bottom"/>
            <w:shd w:val="clear" w:color="auto" w:fill="D5EAEA"/>
          </w:tcPr>
          <w:p>
            <w:pPr>
              <w:spacing w:after="0"/>
              <w:rPr>
                <w:sz w:val="18"/>
                <w:szCs w:val="18"/>
                <w:color w:val="auto"/>
              </w:rPr>
            </w:pPr>
          </w:p>
        </w:tc>
        <w:tc>
          <w:tcPr>
            <w:tcW w:w="202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5,875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Post balance sheet events</w:t>
      </w:r>
    </w:p>
    <w:p>
      <w:pPr>
        <w:spacing w:after="0" w:line="229"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On February 2, 2018, we entered into an additional lease with the EPFL Innovation Park to expand our premises by more than 4,300 square feet effective March 1, 2018. As part of this expansion, the Company agreed to purchase CHF 750 thousand of the previous tenant’s lab equipment.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Proposal of the Board of Directors to the annual Shareholders’ Meeting: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Proposal of the Board for the accumulated losses to be carried forward, subject to the approval of the Annual Shareholders’ Meeting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CHF thousands</w:t>
            </w:r>
          </w:p>
        </w:tc>
        <w:tc>
          <w:tcPr>
            <w:tcW w:w="4500" w:type="dxa"/>
            <w:vAlign w:val="bottom"/>
          </w:tcPr>
          <w:p>
            <w:pPr>
              <w:spacing w:after="0"/>
              <w:rPr>
                <w:sz w:val="20"/>
                <w:szCs w:val="20"/>
                <w:color w:val="auto"/>
              </w:rPr>
            </w:pPr>
          </w:p>
        </w:tc>
        <w:tc>
          <w:tcPr>
            <w:tcW w:w="2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at 31 December,</w:t>
            </w:r>
          </w:p>
        </w:tc>
        <w:tc>
          <w:tcPr>
            <w:tcW w:w="0" w:type="dxa"/>
            <w:vAlign w:val="bottom"/>
          </w:tcPr>
          <w:p>
            <w:pPr>
              <w:spacing w:after="0"/>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45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D5EAEA"/>
          </w:tcPr>
          <w:p>
            <w:pPr>
              <w:spacing w:after="0"/>
              <w:rPr>
                <w:sz w:val="20"/>
                <w:szCs w:val="20"/>
                <w:color w:val="auto"/>
              </w:rPr>
            </w:pPr>
            <w:r>
              <w:rPr>
                <w:rFonts w:ascii="Arial" w:cs="Arial" w:eastAsia="Arial" w:hAnsi="Arial"/>
                <w:sz w:val="18"/>
                <w:szCs w:val="18"/>
                <w:color w:val="auto"/>
              </w:rPr>
              <w:t>Accumulated losses carried forward</w:t>
            </w:r>
          </w:p>
        </w:tc>
        <w:tc>
          <w:tcPr>
            <w:tcW w:w="5880" w:type="dxa"/>
            <w:vAlign w:val="bottom"/>
            <w:gridSpan w:val="2"/>
            <w:shd w:val="clear" w:color="auto" w:fill="D5EAEA"/>
          </w:tcPr>
          <w:p>
            <w:pPr>
              <w:jc w:val="right"/>
              <w:ind w:right="70"/>
              <w:spacing w:after="0"/>
              <w:rPr>
                <w:sz w:val="20"/>
                <w:szCs w:val="20"/>
                <w:color w:val="auto"/>
              </w:rPr>
            </w:pPr>
            <w:r>
              <w:rPr>
                <w:rFonts w:ascii="Arial" w:cs="Arial" w:eastAsia="Arial" w:hAnsi="Arial"/>
                <w:sz w:val="18"/>
                <w:szCs w:val="18"/>
                <w:color w:val="auto"/>
              </w:rPr>
              <w:t>(32,558)</w:t>
            </w:r>
          </w:p>
        </w:tc>
        <w:tc>
          <w:tcPr>
            <w:tcW w:w="10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(24,930)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Loss for the year</w:t>
            </w:r>
          </w:p>
        </w:tc>
        <w:tc>
          <w:tcPr>
            <w:tcW w:w="5880" w:type="dxa"/>
            <w:vAlign w:val="bottom"/>
            <w:gridSpan w:val="2"/>
          </w:tcPr>
          <w:p>
            <w:pPr>
              <w:jc w:val="right"/>
              <w:ind w:right="70"/>
              <w:spacing w:after="0"/>
              <w:rPr>
                <w:sz w:val="20"/>
                <w:szCs w:val="20"/>
                <w:color w:val="auto"/>
              </w:rPr>
            </w:pPr>
            <w:r>
              <w:rPr>
                <w:rFonts w:ascii="Arial" w:cs="Arial" w:eastAsia="Arial" w:hAnsi="Arial"/>
                <w:sz w:val="18"/>
                <w:szCs w:val="18"/>
                <w:color w:val="auto"/>
              </w:rPr>
              <w:t>(25,868)</w:t>
            </w:r>
          </w:p>
        </w:tc>
        <w:tc>
          <w:tcPr>
            <w:tcW w:w="10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 accumulated losses</w:t>
            </w:r>
          </w:p>
        </w:tc>
        <w:tc>
          <w:tcPr>
            <w:tcW w:w="4500" w:type="dxa"/>
            <w:vAlign w:val="bottom"/>
            <w:tcBorders>
              <w:top w:val="single" w:sz="8" w:color="D5EAEA"/>
              <w:bottom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(58,426)</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ind w:right="70"/>
              <w:spacing w:after="0"/>
              <w:rPr>
                <w:sz w:val="20"/>
                <w:szCs w:val="20"/>
                <w:color w:val="auto"/>
              </w:rPr>
            </w:pPr>
            <w:r>
              <w:rPr>
                <w:rFonts w:ascii="Arial" w:cs="Arial" w:eastAsia="Arial" w:hAnsi="Arial"/>
                <w:sz w:val="18"/>
                <w:szCs w:val="18"/>
                <w:color w:val="auto"/>
              </w:rPr>
              <w:t>(32,558)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3"/>
          </w:tcPr>
          <w:p>
            <w:pPr>
              <w:jc w:val="right"/>
              <w:ind w:right="4160"/>
              <w:spacing w:after="0"/>
              <w:rPr>
                <w:sz w:val="20"/>
                <w:szCs w:val="20"/>
                <w:color w:val="auto"/>
              </w:rPr>
            </w:pPr>
            <w:r>
              <w:rPr>
                <w:rFonts w:ascii="Arial" w:cs="Arial" w:eastAsia="Arial" w:hAnsi="Arial"/>
                <w:sz w:val="18"/>
                <w:szCs w:val="18"/>
                <w:color w:val="auto"/>
              </w:rPr>
              <w:t>F-13</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PROSPECTUS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$350,000,000</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Common Shares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Units</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191770</wp:posOffset>
            </wp:positionV>
            <wp:extent cx="1800860" cy="3517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086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40"/>
        <w:spacing w:after="0"/>
        <w:rPr>
          <w:sz w:val="20"/>
          <w:szCs w:val="20"/>
          <w:color w:val="auto"/>
        </w:rPr>
      </w:pPr>
      <w:r>
        <w:rPr>
          <w:rFonts w:ascii="Arial" w:cs="Arial" w:eastAsia="Arial" w:hAnsi="Arial"/>
          <w:sz w:val="32"/>
          <w:szCs w:val="32"/>
          <w:b w:val="1"/>
          <w:bCs w:val="1"/>
          <w:color w:val="auto"/>
        </w:rPr>
        <w:t>AC IMMUNE SA</w:t>
      </w:r>
    </w:p>
    <w:p>
      <w:pPr>
        <w:spacing w:after="0" w:line="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(incorporated in Switzerland)</w:t>
      </w:r>
    </w:p>
    <w:p>
      <w:pPr>
        <w:spacing w:after="0" w:line="20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6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26.</w:t>
      </w:r>
    </w:p>
    <w:p>
      <w:pPr>
        <w:spacing w:after="0" w:line="181"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common shares are listed on the NASDAQ Global Market under the symbol “ACIU.” On May 22, 2018, the last sale price of our common shares as reported by the NASDAQ Global Market was $10.23 per common share. As of May 22, 2018, the aggregate market value of our outstanding common shares held by non-affiliates was approximately $238,164,456 based on approximately 57,400,565 shares of outstanding common shares, of which approximately 23,280,983 shares were held by non-affiliates. We have not offered any securities pursuant to General Instruction I.B.5 of Form F-3 during the prior 12 calendar month period that ends on, and includes, the date of this prospectus.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4 of this prospectus.</w:t>
      </w:r>
    </w:p>
    <w:p>
      <w:pPr>
        <w:spacing w:after="0" w:line="225"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June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65" w:name="page66"/>
    <w:bookmarkEnd w:id="65"/>
    <w:p>
      <w:pPr>
        <w:ind w:right="80"/>
        <w:spacing w:after="0" w:line="276" w:lineRule="auto"/>
        <w:rPr>
          <w:sz w:val="20"/>
          <w:szCs w:val="20"/>
          <w:color w:val="auto"/>
        </w:rPr>
      </w:pPr>
      <w:r>
        <w:rPr>
          <w:rFonts w:ascii="Arial" w:cs="Arial" w:eastAsia="Arial" w:hAnsi="Arial"/>
          <w:sz w:val="17"/>
          <w:szCs w:val="17"/>
          <w:color w:val="auto"/>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0" w:type="dxa"/>
            <w:vAlign w:val="bottom"/>
            <w:gridSpan w:val="3"/>
          </w:tcPr>
          <w:p>
            <w:pPr>
              <w:jc w:val="right"/>
              <w:ind w:right="465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4320" w:type="dxa"/>
            <w:vAlign w:val="bottom"/>
            <w:tcBorders>
              <w:bottom w:val="single" w:sz="8" w:color="auto"/>
            </w:tcBorders>
          </w:tcPr>
          <w:p>
            <w:pPr>
              <w:spacing w:after="0"/>
              <w:rPr>
                <w:sz w:val="19"/>
                <w:szCs w:val="19"/>
                <w:color w:val="auto"/>
              </w:rPr>
            </w:pPr>
          </w:p>
        </w:tc>
        <w:tc>
          <w:tcPr>
            <w:tcW w:w="2680" w:type="dxa"/>
            <w:vAlign w:val="bottom"/>
            <w:gridSpan w:val="2"/>
            <w:vMerge w:val="restart"/>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c>
          <w:tcPr>
            <w:tcW w:w="0" w:type="dxa"/>
            <w:vAlign w:val="bottom"/>
          </w:tcPr>
          <w:p>
            <w:pPr>
              <w:spacing w:after="0"/>
              <w:rPr>
                <w:sz w:val="1"/>
                <w:szCs w:val="1"/>
                <w:color w:val="auto"/>
              </w:rPr>
            </w:pPr>
          </w:p>
        </w:tc>
      </w:tr>
      <w:tr>
        <w:trPr>
          <w:trHeight w:val="196"/>
        </w:trPr>
        <w:tc>
          <w:tcPr>
            <w:tcW w:w="2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26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4420" w:type="dxa"/>
            <w:vAlign w:val="bottom"/>
            <w:gridSpan w:val="2"/>
          </w:tcPr>
          <w:p>
            <w:pPr>
              <w:spacing w:after="0"/>
              <w:rPr>
                <w:sz w:val="20"/>
                <w:szCs w:val="20"/>
                <w:color w:val="auto"/>
              </w:rPr>
            </w:pPr>
            <w:r>
              <w:rPr>
                <w:rFonts w:ascii="Arial" w:cs="Arial" w:eastAsia="Arial" w:hAnsi="Arial"/>
                <w:sz w:val="18"/>
                <w:szCs w:val="18"/>
                <w:color w:val="auto"/>
              </w:rPr>
              <w:t>About This Prospectus</w:t>
            </w:r>
          </w:p>
        </w:tc>
        <w:tc>
          <w:tcPr>
            <w:tcW w:w="6660" w:type="dxa"/>
            <w:vAlign w:val="bottom"/>
            <w:gridSpan w:val="2"/>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Where You Can Find More Information</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Special Note Regarding Forward-Looking Statements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AC Immune SA</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Risk Factors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9"/>
              </w:rPr>
              <w:t>Description of Share Capital and Articles of Association</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Comparison of Swiss Law and Delaware Law</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Description of Debt Securities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Description of Warrants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Description of Purchase Contracts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Description of Units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Description of Subscription Rights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Plan of Distribution</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Incorporation of Certain Information By Reference</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Enforcement of Judgments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Legal Matters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Experts</w:t>
            </w:r>
          </w:p>
        </w:tc>
        <w:tc>
          <w:tcPr>
            <w:tcW w:w="70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7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66" w:lineRule="exact"/>
        <w:rPr>
          <w:sz w:val="20"/>
          <w:szCs w:val="20"/>
          <w:color w:val="auto"/>
        </w:rPr>
      </w:pPr>
    </w:p>
    <w:p>
      <w:pPr>
        <w:ind w:right="80" w:firstLine="324"/>
        <w:spacing w:after="0" w:line="258" w:lineRule="auto"/>
        <w:rPr>
          <w:sz w:val="20"/>
          <w:szCs w:val="20"/>
          <w:color w:val="auto"/>
        </w:rPr>
      </w:pPr>
      <w:r>
        <w:rPr>
          <w:rFonts w:ascii="Arial" w:cs="Arial" w:eastAsia="Arial" w:hAnsi="Arial"/>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8" w:lineRule="exact"/>
        <w:rPr>
          <w:sz w:val="20"/>
          <w:szCs w:val="20"/>
          <w:color w:val="auto"/>
        </w:rPr>
      </w:pPr>
    </w:p>
    <w:p>
      <w:pPr>
        <w:ind w:left="660" w:right="3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our anti-Tau antibody candidate, ACI-24, ACI-35 and our Tau-PET Imaging tracer candidate;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Morphomer proprietary technology platform and its success in building additional product candidates for our pipeline;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236" w:lineRule="exact"/>
        <w:rPr>
          <w:rFonts w:ascii="Arial" w:cs="Arial" w:eastAsia="Arial" w:hAnsi="Arial"/>
          <w:sz w:val="17"/>
          <w:szCs w:val="17"/>
          <w:color w:val="auto"/>
        </w:rPr>
      </w:pPr>
    </w:p>
    <w:p>
      <w:pPr>
        <w:ind w:left="660" w:right="1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risk factors discussed in our most recent Annual Report on Form 20-F.</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are a clinical stage biopharmaceutical company focused on neurodegenerative diseases with four product candidates in clinical trials. We leverage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65" w:lineRule="exact"/>
        <w:rPr>
          <w:sz w:val="20"/>
          <w:szCs w:val="20"/>
          <w:color w:val="auto"/>
        </w:rPr>
      </w:pPr>
    </w:p>
    <w:p>
      <w:pPr>
        <w:ind w:right="460" w:firstLine="324"/>
        <w:spacing w:after="0" w:line="276"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Swiss enterprise identification number is CHE-109.878.825. Our domicile and registered office is in Ecublens, near Lausanne, Canton of Vaud, Switzerland. Our common shares were admitted to trading on NASDAQ Global Market on September 23, 2016. Our shares are traded under the symbol “ACIU.”</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registered and principal executive offices are located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8"/>
              </w:rPr>
              <w:t>Fiscal Year Ended December 31,</w:t>
            </w:r>
          </w:p>
        </w:tc>
        <w:tc>
          <w:tcPr>
            <w:tcW w:w="1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0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2016</w:t>
            </w:r>
          </w:p>
        </w:tc>
        <w:tc>
          <w:tcPr>
            <w:tcW w:w="15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308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1540" w:type="dxa"/>
            <w:vAlign w:val="bottom"/>
          </w:tcPr>
          <w:p>
            <w:pPr>
              <w:ind w:left="26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2718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48" w:lineRule="exact"/>
        <w:rPr>
          <w:sz w:val="20"/>
          <w:szCs w:val="20"/>
          <w:color w:val="auto"/>
        </w:rPr>
      </w:pPr>
    </w:p>
    <w:p>
      <w:pPr>
        <w:ind w:right="280" w:firstLine="332"/>
        <w:spacing w:after="0" w:line="277" w:lineRule="auto"/>
        <w:tabs>
          <w:tab w:leader="none" w:pos="4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earnings were insufficient to cover fixed charges of CHF 174 thousand and CHF 27 thousand for the years ended December 31, 2017 and 2016, respectively.</w:t>
      </w:r>
    </w:p>
    <w:p>
      <w:pPr>
        <w:spacing w:after="0" w:line="170"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For purposes of calculating the ratios in the table above, earnings consist of pre-tax income/(loss) from continuing operations plus fixed charges. Fixed charges consist of relevant interest expenses and an estimate of the interest expense (5% for all periods) within rental expense.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Unless otherwise indicated in a prospectus supplement, the net proceeds from our sale of the securities will be used for general corporate purposes and other business opportunities.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the date of this prospectus, our issued share capital is CHF 1,147,253.80, consisting of 57,362,690 common shares. We have no dividend rights certificates (</w:t>
      </w:r>
      <w:r>
        <w:rPr>
          <w:rFonts w:ascii="Arial" w:cs="Arial" w:eastAsia="Arial" w:hAnsi="Arial"/>
          <w:sz w:val="18"/>
          <w:szCs w:val="18"/>
          <w:i w:val="1"/>
          <w:iCs w:val="1"/>
          <w:color w:val="auto"/>
        </w:rPr>
        <w:t>bons de jouissance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On March 26, 2018, we adopted the articles of association and when we refer to our articles of association in this prospectus, we refer to the articles of association as filed as Exhibit 4.1 hereto.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left="180" w:right="40"/>
        <w:spacing w:after="0" w:line="276" w:lineRule="auto"/>
        <w:rPr>
          <w:sz w:val="20"/>
          <w:szCs w:val="20"/>
          <w:color w:val="auto"/>
        </w:rPr>
      </w:pPr>
      <w:r>
        <w:rPr>
          <w:rFonts w:ascii="Arial" w:cs="Arial" w:eastAsia="Arial" w:hAnsi="Arial"/>
          <w:sz w:val="17"/>
          <w:szCs w:val="17"/>
          <w:b w:val="1"/>
          <w:bCs w:val="1"/>
          <w:i w:val="1"/>
          <w:iCs w:val="1"/>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its subsidiaries and supply guarantees. Ordinary Capital Increase, Authorized and Conditional Share Capital</w:t>
      </w:r>
    </w:p>
    <w:p>
      <w:pPr>
        <w:spacing w:after="0" w:line="17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66" w:lineRule="exact"/>
        <w:rPr>
          <w:sz w:val="20"/>
          <w:szCs w:val="20"/>
          <w:color w:val="auto"/>
        </w:rPr>
      </w:pPr>
    </w:p>
    <w:p>
      <w:pPr>
        <w:ind w:left="660" w:right="12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CO, shareholders have pre-emptive subscription rights (</w:t>
      </w:r>
      <w:r>
        <w:rPr>
          <w:rFonts w:ascii="Arial" w:cs="Arial" w:eastAsia="Arial" w:hAnsi="Arial"/>
          <w:sz w:val="18"/>
          <w:szCs w:val="18"/>
          <w:i w:val="1"/>
          <w:iCs w:val="1"/>
          <w:color w:val="auto"/>
        </w:rPr>
        <w:t>droits de souscription</w:t>
      </w:r>
      <w:r>
        <w:rPr>
          <w:rFonts w:ascii="Arial" w:cs="Arial" w:eastAsia="Arial" w:hAnsi="Arial"/>
          <w:sz w:val="18"/>
          <w:szCs w:val="18"/>
          <w:color w:val="auto"/>
        </w:rPr>
        <w:t>) to subscribe for new issuances of shares. With respect to conditional capital in connection with the issuance of conversion rights,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0" w:name="page71"/>
    <w:bookmarkEnd w:id="70"/>
    <w:p>
      <w:pPr>
        <w:ind w:right="560"/>
        <w:spacing w:after="0" w:line="277" w:lineRule="auto"/>
        <w:rPr>
          <w:sz w:val="20"/>
          <w:szCs w:val="20"/>
          <w:color w:val="auto"/>
        </w:rPr>
      </w:pPr>
      <w:r>
        <w:rPr>
          <w:rFonts w:ascii="Arial" w:cs="Arial" w:eastAsia="Arial" w:hAnsi="Arial"/>
          <w:sz w:val="18"/>
          <w:szCs w:val="18"/>
          <w:color w:val="auto"/>
        </w:rPr>
        <w:t>convertible bonds or similar debt instruments, shareholders have advance subscription rights (</w:t>
      </w:r>
      <w:r>
        <w:rPr>
          <w:rFonts w:ascii="Arial" w:cs="Arial" w:eastAsia="Arial" w:hAnsi="Arial"/>
          <w:sz w:val="18"/>
          <w:szCs w:val="18"/>
          <w:i w:val="1"/>
          <w:iCs w:val="1"/>
          <w:color w:val="auto"/>
        </w:rPr>
        <w:t>droit de souscrire préalablement</w:t>
      </w:r>
      <w:r>
        <w:rPr>
          <w:rFonts w:ascii="Arial" w:cs="Arial" w:eastAsia="Arial" w:hAnsi="Arial"/>
          <w:sz w:val="18"/>
          <w:szCs w:val="18"/>
          <w:color w:val="auto"/>
        </w:rPr>
        <w:t>) for the subscription of conversion rights, convertible bonds or similar debt instruments.</w:t>
      </w:r>
    </w:p>
    <w:p>
      <w:pPr>
        <w:spacing w:after="0" w:line="170"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pre-emptive subscription rights are granted, but not exercised, the board of directors may allocate the pre-emptive subscription rights as it elects.</w:t>
      </w:r>
    </w:p>
    <w:p>
      <w:pPr>
        <w:spacing w:after="0" w:line="23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The authorization previously granted to the board of directors to issue share capital has expired. A valid authorization to issue share capital in the articles of association of a Swiss stock corporation would typically provide for the withdrawal or limitation of preemptive subscription rights of shareholders, and their allocation to third parties or to the company, in the event that the newly issued shares are used for the following purposes:</w:t>
      </w:r>
    </w:p>
    <w:p>
      <w:pPr>
        <w:spacing w:after="0" w:line="16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170"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23" w:lineRule="exact"/>
        <w:rPr>
          <w:rFonts w:ascii="Arial" w:cs="Arial" w:eastAsia="Arial" w:hAnsi="Arial"/>
          <w:sz w:val="16"/>
          <w:szCs w:val="16"/>
          <w:color w:val="auto"/>
        </w:rPr>
      </w:pPr>
    </w:p>
    <w:p>
      <w:pPr>
        <w:ind w:left="660" w:right="8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Article 3a of our articles of association, the authorization granted to our board of directors to increase our nominal share capital has expired.</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Bonds and Similar Debt Instruments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Under Article 3b of our articles of association, 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170" w:lineRule="exact"/>
        <w:rPr>
          <w:sz w:val="20"/>
          <w:szCs w:val="20"/>
          <w:color w:val="auto"/>
        </w:rPr>
      </w:pPr>
    </w:p>
    <w:p>
      <w:pPr>
        <w:ind w:left="660" w:right="20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To the extent that the advance subscription rights are withdrawn, (i) the convertible bonds are to be issued at market conditions; (ii) the term to exercise the option or conversion rights may not exceed ten years as of the date of</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71" w:name="page72"/>
    <w:bookmarkEnd w:id="71"/>
    <w:p>
      <w:pPr>
        <w:ind w:right="600"/>
        <w:spacing w:after="0" w:line="277" w:lineRule="auto"/>
        <w:rPr>
          <w:sz w:val="20"/>
          <w:szCs w:val="20"/>
          <w:color w:val="auto"/>
        </w:rPr>
      </w:pPr>
      <w:r>
        <w:rPr>
          <w:rFonts w:ascii="Arial" w:cs="Arial" w:eastAsia="Arial" w:hAnsi="Arial"/>
          <w:sz w:val="18"/>
          <w:szCs w:val="18"/>
          <w:color w:val="auto"/>
        </w:rPr>
        <w:t>the convertible bond issue and twenty years for conversion rights; and (iii) the exercise price for the new shares must at least correspond to the market conditions at the time of the convertible bond issuance.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Employee Benefit Plans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Article 3c of our articles of association, our nominal share capital may, to the exclusion of the pre-emptive subscription rights of shareholders, be increased by a maximum aggregate amount of CHF 57,073.04 through the issuance of not more than 2,853,652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 droits-valeurs</w:t>
      </w:r>
      <w:r>
        <w:rPr>
          <w:rFonts w:ascii="Arial" w:cs="Arial" w:eastAsia="Arial" w:hAnsi="Arial"/>
          <w:sz w:val="17"/>
          <w:szCs w:val="17"/>
          <w:color w:val="auto"/>
        </w:rPr>
        <w:t>). We may at any time convert uncertificated securities into share certificates (including global certificates), one kind of certificate into another, or</w:t>
      </w:r>
      <w:r>
        <w:rPr>
          <w:rFonts w:ascii="Arial" w:cs="Arial" w:eastAsia="Arial" w:hAnsi="Arial"/>
          <w:sz w:val="17"/>
          <w:szCs w:val="17"/>
          <w:i w:val="1"/>
          <w:iCs w:val="1"/>
          <w:color w:val="auto"/>
        </w:rPr>
        <w:t xml:space="preserve"> </w:t>
      </w:r>
      <w:r>
        <w:rPr>
          <w:rFonts w:ascii="Arial" w:cs="Arial" w:eastAsia="Arial" w:hAnsi="Arial"/>
          <w:sz w:val="17"/>
          <w:szCs w:val="17"/>
          <w:color w:val="auto"/>
        </w:rPr>
        <w:t>share certificates (including global certificates) into uncertificated securities. Following entry in the share register, a shareholder may at any time request from us a written confirmation in respect of the shares held by such shareholder, as reflected in the share register. Shareholders are not entitled, however, to request the printing and delivery of certificates. We may print and deliver certificates for shares at any time.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170"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discharging the members of the board of directors and executive management from liability with respect to their tenure in the previous financial year;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spacing w:after="0" w:line="312" w:lineRule="auto"/>
        <w:rPr>
          <w:sz w:val="20"/>
          <w:szCs w:val="20"/>
          <w:color w:val="auto"/>
        </w:rPr>
      </w:pPr>
      <w:r>
        <w:rPr>
          <w:rFonts w:ascii="Arial" w:cs="Arial" w:eastAsia="Arial" w:hAnsi="Arial"/>
          <w:sz w:val="16"/>
          <w:szCs w:val="16"/>
          <w:color w:val="auto"/>
        </w:rPr>
        <w:t>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225"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17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increasing the share capital out of equity, against contributions in-kind or for the purpose of acquiring specific assets and granting specific benefits;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13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36"/>
          <w:szCs w:val="36"/>
          <w:color w:val="auto"/>
          <w:vertAlign w:val="superscript"/>
        </w:rPr>
      </w:pPr>
      <w:r>
        <w:rPr>
          <w:rFonts w:ascii="Arial" w:cs="Arial" w:eastAsia="Arial" w:hAnsi="Arial"/>
          <w:sz w:val="18"/>
          <w:szCs w:val="18"/>
          <w:color w:val="auto"/>
        </w:rPr>
        <w:t>alleviating or withdrawing of restrictions upon the transfer of registered shares and the removal of the voting cap of 33</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w:t>
      </w:r>
    </w:p>
    <w:p>
      <w:pPr>
        <w:spacing w:after="0" w:line="161"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Notice</w:t>
      </w:r>
    </w:p>
    <w:p>
      <w:pPr>
        <w:spacing w:after="0" w:line="225"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3" w:name="page74"/>
    <w:bookmarkEnd w:id="73"/>
    <w:p>
      <w:pPr>
        <w:ind w:right="240" w:firstLine="324"/>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Agenda Requests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187" w:lineRule="exact"/>
        <w:rPr>
          <w:sz w:val="20"/>
          <w:szCs w:val="20"/>
          <w:color w:val="auto"/>
        </w:rPr>
      </w:pPr>
    </w:p>
    <w:p>
      <w:pPr>
        <w:ind w:left="660" w:right="34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0" w:firstLine="324"/>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69" w:lineRule="exact"/>
        <w:rPr>
          <w:sz w:val="20"/>
          <w:szCs w:val="20"/>
          <w:color w:val="auto"/>
        </w:rPr>
      </w:pPr>
    </w:p>
    <w:p>
      <w:pPr>
        <w:ind w:right="100" w:firstLine="324"/>
        <w:spacing w:after="0" w:line="244" w:lineRule="auto"/>
        <w:rPr>
          <w:sz w:val="20"/>
          <w:szCs w:val="20"/>
          <w:color w:val="auto"/>
        </w:rPr>
      </w:pPr>
      <w:r>
        <w:rPr>
          <w:rFonts w:ascii="Arial" w:cs="Arial" w:eastAsia="Arial" w:hAnsi="Arial"/>
          <w:sz w:val="16"/>
          <w:szCs w:val="16"/>
          <w:color w:val="auto"/>
        </w:rPr>
        <w:t>Our articles of association contain provisions that prevent investors from acquiring voting rights exceeding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outstanding share capital. Specifically, no individual or legal entity may, directly or indirectly, control voting rights with respect to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or more of the registered share capital recorded in the Commercial Register. In the event that a shareholder should exceed the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ownership threshold, the registered shares exceeding the limit</w:t>
      </w:r>
    </w:p>
    <w:p>
      <w:pPr>
        <w:spacing w:after="0" w:line="3" w:lineRule="exact"/>
        <w:rPr>
          <w:sz w:val="20"/>
          <w:szCs w:val="20"/>
          <w:color w:val="auto"/>
        </w:rPr>
      </w:pPr>
    </w:p>
    <w:p>
      <w:pPr>
        <w:ind w:right="60"/>
        <w:spacing w:after="0" w:line="210" w:lineRule="auto"/>
        <w:rPr>
          <w:sz w:val="20"/>
          <w:szCs w:val="20"/>
          <w:color w:val="auto"/>
        </w:rPr>
      </w:pPr>
      <w:r>
        <w:rPr>
          <w:rFonts w:ascii="Arial" w:cs="Arial" w:eastAsia="Arial" w:hAnsi="Arial"/>
          <w:sz w:val="18"/>
          <w:szCs w:val="18"/>
          <w:color w:val="auto"/>
        </w:rPr>
        <w:t>of 33</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74" w:name="page75"/>
    <w:bookmarkEnd w:id="74"/>
    <w:p>
      <w:pPr>
        <w:ind w:right="20"/>
        <w:spacing w:after="0" w:line="277" w:lineRule="auto"/>
        <w:rPr>
          <w:sz w:val="20"/>
          <w:szCs w:val="20"/>
          <w:color w:val="auto"/>
        </w:rPr>
      </w:pPr>
      <w:r>
        <w:rPr>
          <w:rFonts w:ascii="Arial" w:cs="Arial" w:eastAsia="Arial" w:hAnsi="Arial"/>
          <w:sz w:val="18"/>
          <w:szCs w:val="18"/>
          <w:color w:val="auto"/>
        </w:rPr>
        <w:t>to reserves required by Swiss law and the articles of association have been deducted. We are not permitted to pay interim dividends out of profit of the current business year.</w:t>
      </w:r>
    </w:p>
    <w:p>
      <w:pPr>
        <w:spacing w:after="0" w:line="170"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9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intermédiés</w:t>
      </w:r>
      <w:r>
        <w:rPr>
          <w:rFonts w:ascii="Arial" w:cs="Arial" w:eastAsia="Arial" w:hAnsi="Arial"/>
          <w:sz w:val="18"/>
          <w:szCs w:val="18"/>
          <w:color w:val="auto"/>
        </w:rPr>
        <w:t>) 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Voting rights may be exercised only after a shareholder has been entered in our share register (</w:t>
      </w:r>
      <w:r>
        <w:rPr>
          <w:rFonts w:ascii="Arial" w:cs="Arial" w:eastAsia="Arial" w:hAnsi="Arial"/>
          <w:sz w:val="16"/>
          <w:szCs w:val="16"/>
          <w:i w:val="1"/>
          <w:iCs w:val="1"/>
          <w:color w:val="auto"/>
        </w:rPr>
        <w:t>registre des actions</w:t>
      </w:r>
      <w:r>
        <w:rPr>
          <w:rFonts w:ascii="Arial" w:cs="Arial" w:eastAsia="Arial" w:hAnsi="Arial"/>
          <w:sz w:val="16"/>
          <w:szCs w:val="16"/>
          <w:color w:val="auto"/>
        </w:rPr>
        <w:t>) with his or her name and address (in the case of legal entities, the registered office) as a shareholder with voting rights. Our articles of association contain provisions that prevent investors from</w:t>
      </w:r>
    </w:p>
    <w:p>
      <w:pPr>
        <w:ind w:right="60"/>
        <w:spacing w:after="0" w:line="217" w:lineRule="auto"/>
        <w:rPr>
          <w:sz w:val="20"/>
          <w:szCs w:val="20"/>
          <w:color w:val="auto"/>
        </w:rPr>
      </w:pPr>
      <w:r>
        <w:rPr>
          <w:rFonts w:ascii="Arial" w:cs="Arial" w:eastAsia="Arial" w:hAnsi="Arial"/>
          <w:sz w:val="16"/>
          <w:szCs w:val="16"/>
          <w:color w:val="auto"/>
        </w:rPr>
        <w:t>acquiring voting rights exceeding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outstanding share capital. Specifically, no individual or legal entity may, directly or indirectly, control voting rights with respect to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or more of the registered share capital recorded in the Commercial Register except if such individual or legal entity has submitted a tender offer to all shareholders. In the event that a shareholder should exceed the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ownership threshold, the registered shares exceeding the</w:t>
      </w:r>
    </w:p>
    <w:p>
      <w:pPr>
        <w:spacing w:after="0" w:line="1" w:lineRule="exact"/>
        <w:rPr>
          <w:sz w:val="20"/>
          <w:szCs w:val="20"/>
          <w:color w:val="auto"/>
        </w:rPr>
      </w:pPr>
    </w:p>
    <w:p>
      <w:pPr>
        <w:ind w:right="40"/>
        <w:spacing w:after="0" w:line="210" w:lineRule="auto"/>
        <w:rPr>
          <w:sz w:val="20"/>
          <w:szCs w:val="20"/>
          <w:color w:val="auto"/>
        </w:rPr>
      </w:pPr>
      <w:r>
        <w:rPr>
          <w:rFonts w:ascii="Arial" w:cs="Arial" w:eastAsia="Arial" w:hAnsi="Arial"/>
          <w:sz w:val="18"/>
          <w:szCs w:val="18"/>
          <w:color w:val="auto"/>
        </w:rPr>
        <w:t>limit of 33</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shall be entered in our share registered as shares without voting rights. Additional voting caps apply to shareholders acquiring shares for other persons (nominees).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Investigation</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the shareholders’ inspection rights as outlined above prove to be insufficient in the judgment of the shareholder, any shareholder may propose to the general meeting of shareholders that specific facts be examined by a special</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spacing w:after="0" w:line="255" w:lineRule="auto"/>
        <w:rPr>
          <w:sz w:val="20"/>
          <w:szCs w:val="20"/>
          <w:color w:val="auto"/>
        </w:rPr>
      </w:pPr>
      <w:r>
        <w:rPr>
          <w:rFonts w:ascii="Arial" w:cs="Arial" w:eastAsia="Arial" w:hAnsi="Arial"/>
          <w:sz w:val="18"/>
          <w:szCs w:val="18"/>
          <w:color w:val="auto"/>
        </w:rPr>
        <w:t>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8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8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6" w:name="page77"/>
    <w:bookmarkEnd w:id="76"/>
    <w:p>
      <w:pPr>
        <w:ind w:left="340"/>
        <w:spacing w:after="0"/>
        <w:rPr>
          <w:sz w:val="20"/>
          <w:szCs w:val="20"/>
          <w:color w:val="auto"/>
        </w:rPr>
      </w:pPr>
      <w:r>
        <w:rPr>
          <w:rFonts w:ascii="Arial" w:cs="Arial" w:eastAsia="Arial" w:hAnsi="Arial"/>
          <w:sz w:val="18"/>
          <w:szCs w:val="18"/>
          <w:i w:val="1"/>
          <w:iCs w:val="1"/>
          <w:color w:val="auto"/>
        </w:rPr>
        <w:t>Powers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indemnification agreements with each of the members of our board of directors and executive management.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board of directors has adopted a Code of Business Conduct and Ethics that covers a broad range of matters, including the handling of conflicts of interest.</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77" w:name="page78"/>
    <w:bookmarkEnd w:id="77"/>
    <w:p>
      <w:pPr>
        <w:ind w:left="18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50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78" w:name="page79"/>
    <w:bookmarkEnd w:id="78"/>
    <w:p>
      <w:pPr>
        <w:ind w:right="200" w:firstLine="324"/>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225"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174" w:lineRule="exact"/>
        <w:rPr>
          <w:sz w:val="20"/>
          <w:szCs w:val="20"/>
          <w:color w:val="auto"/>
        </w:rPr>
      </w:pPr>
    </w:p>
    <w:p>
      <w:pPr>
        <w:ind w:left="146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Mergers and similar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 sur la fusion</w:t>
      </w:r>
      <w:r>
        <w:rPr>
          <w:rFonts w:ascii="Arial" w:cs="Arial" w:eastAsia="Arial" w:hAnsi="Arial"/>
          <w:sz w:val="16"/>
          <w:szCs w:val="16"/>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172" w:lineRule="exact"/>
        <w:rPr>
          <w:sz w:val="20"/>
          <w:szCs w:val="20"/>
          <w:color w:val="auto"/>
        </w:rPr>
      </w:pPr>
    </w:p>
    <w:p>
      <w:pPr>
        <w:sectPr>
          <w:pgSz w:w="11900" w:h="16838" w:orient="portrait"/>
          <w:cols w:equalWidth="0" w:num="2">
            <w:col w:w="5600" w:space="220"/>
            <w:col w:w="5600"/>
          </w:cols>
          <w:pgMar w:left="240" w:top="58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420"/>
          </w:cols>
          <w:pgMar w:left="240" w:top="580" w:right="239" w:bottom="1440" w:gutter="0" w:footer="0" w:header="0"/>
          <w:type w:val="continuous"/>
        </w:sectPr>
      </w:pPr>
    </w:p>
    <w:p>
      <w:pPr>
        <w:spacing w:after="0" w:line="24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and creditors.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2"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pacing w:after="0" w:line="200" w:lineRule="exact"/>
        <w:rPr>
          <w:sz w:val="20"/>
          <w:szCs w:val="20"/>
          <w:color w:val="auto"/>
        </w:rPr>
      </w:pPr>
    </w:p>
    <w:p>
      <w:pPr>
        <w:sectPr>
          <w:pgSz w:w="11900" w:h="16838" w:orient="portrait"/>
          <w:cols w:equalWidth="0" w:num="2">
            <w:col w:w="5580" w:space="240"/>
            <w:col w:w="5600"/>
          </w:cols>
          <w:pgMar w:left="240" w:top="580" w:right="239" w:bottom="1440" w:gutter="0" w:footer="0" w:header="0"/>
          <w:type w:val="continuous"/>
        </w:sect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80" w:name="page81"/>
    <w:bookmarkEnd w:id="80"/>
    <w:p>
      <w:pPr>
        <w:ind w:left="146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Swiss Ordinance against excessive compensation in listed stock corporations (</w:t>
      </w:r>
      <w:r>
        <w:rPr>
          <w:rFonts w:ascii="Arial" w:cs="Arial" w:eastAsia="Arial" w:hAnsi="Arial"/>
          <w:sz w:val="17"/>
          <w:szCs w:val="17"/>
          <w:i w:val="1"/>
          <w:iCs w:val="1"/>
          <w:color w:val="auto"/>
        </w:rPr>
        <w:t>Ordonnance contre les rémunérations abusives dans les</w:t>
      </w:r>
      <w:r>
        <w:rPr>
          <w:rFonts w:ascii="Arial" w:cs="Arial" w:eastAsia="Arial" w:hAnsi="Arial"/>
          <w:sz w:val="17"/>
          <w:szCs w:val="17"/>
          <w:color w:val="auto"/>
        </w:rPr>
        <w:t xml:space="preserve"> </w:t>
      </w:r>
      <w:r>
        <w:rPr>
          <w:rFonts w:ascii="Arial" w:cs="Arial" w:eastAsia="Arial" w:hAnsi="Arial"/>
          <w:sz w:val="17"/>
          <w:szCs w:val="17"/>
          <w:i w:val="1"/>
          <w:iCs w:val="1"/>
          <w:color w:val="auto"/>
        </w:rPr>
        <w:t>sociétés anonymes cotées en bourse</w:t>
      </w:r>
      <w:r>
        <w:rPr>
          <w:rFonts w:ascii="Arial" w:cs="Arial" w:eastAsia="Arial" w:hAnsi="Arial"/>
          <w:sz w:val="17"/>
          <w:szCs w:val="17"/>
          <w:color w:val="auto"/>
        </w:rPr>
        <w:t>), the general meeting of shareholders has</w:t>
      </w:r>
      <w:r>
        <w:rPr>
          <w:rFonts w:ascii="Arial" w:cs="Arial" w:eastAsia="Arial" w:hAnsi="Arial"/>
          <w:sz w:val="17"/>
          <w:szCs w:val="17"/>
          <w:i w:val="1"/>
          <w:iCs w:val="1"/>
          <w:color w:val="auto"/>
        </w:rPr>
        <w:t xml:space="preserve"> </w:t>
      </w:r>
      <w:r>
        <w:rPr>
          <w:rFonts w:ascii="Arial" w:cs="Arial" w:eastAsia="Arial" w:hAnsi="Arial"/>
          <w:sz w:val="17"/>
          <w:szCs w:val="17"/>
          <w:color w:val="auto"/>
        </w:rPr>
        <w:t>the non-transferable right, amongst others, to vote on the fixed and on the variable compensation of the members of the board of directors, of the executive management and of the advisory boards.</w:t>
      </w:r>
    </w:p>
    <w:p>
      <w:pPr>
        <w:spacing w:after="0" w:line="178" w:lineRule="exact"/>
        <w:rPr>
          <w:sz w:val="20"/>
          <w:szCs w:val="20"/>
          <w:color w:val="auto"/>
        </w:rPr>
      </w:pPr>
    </w:p>
    <w:p>
      <w:pPr>
        <w:sectPr>
          <w:pgSz w:w="11900" w:h="16838" w:orient="portrait"/>
          <w:cols w:equalWidth="0" w:num="2">
            <w:col w:w="5520" w:space="300"/>
            <w:col w:w="5600"/>
          </w:cols>
          <w:pgMar w:left="240" w:top="58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20"/>
          </w:cols>
          <w:pgMar w:left="240" w:top="580" w:right="239" w:bottom="1440" w:gutter="0" w:footer="0" w:header="0"/>
          <w:type w:val="continuous"/>
        </w:sect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561" w:lineRule="exact"/>
        <w:rPr>
          <w:sz w:val="20"/>
          <w:szCs w:val="20"/>
          <w:color w:val="auto"/>
        </w:rPr>
      </w:pPr>
    </w:p>
    <w:p>
      <w:pPr>
        <w:sectPr>
          <w:pgSz w:w="11900" w:h="16838" w:orient="portrait"/>
          <w:cols w:equalWidth="0" w:num="2">
            <w:col w:w="5480" w:space="340"/>
            <w:col w:w="5600"/>
          </w:cols>
          <w:pgMar w:left="240" w:top="580"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20"/>
          </w:cols>
          <w:pgMar w:left="240" w:top="580" w:right="239" w:bottom="1440" w:gutter="0" w:footer="0" w:header="0"/>
          <w:type w:val="continuous"/>
        </w:sectPr>
      </w:pP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93" w:lineRule="exact"/>
        <w:rPr>
          <w:sz w:val="20"/>
          <w:szCs w:val="20"/>
          <w:color w:val="auto"/>
        </w:rPr>
      </w:pPr>
    </w:p>
    <w:p>
      <w:pPr>
        <w:ind w:left="340" w:right="620" w:hanging="202"/>
        <w:spacing w:after="0" w:line="277" w:lineRule="auto"/>
        <w:tabs>
          <w:tab w:leader="none" w:pos="2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340" w:right="720" w:hanging="202"/>
        <w:spacing w:after="0" w:line="277" w:lineRule="auto"/>
        <w:tabs>
          <w:tab w:leader="none" w:pos="2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340" w:right="200" w:hanging="202"/>
        <w:spacing w:after="0" w:line="277" w:lineRule="auto"/>
        <w:tabs>
          <w:tab w:leader="none" w:pos="2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170" w:lineRule="exact"/>
        <w:rPr>
          <w:rFonts w:ascii="Arial" w:cs="Arial" w:eastAsia="Arial" w:hAnsi="Arial"/>
          <w:sz w:val="18"/>
          <w:szCs w:val="18"/>
          <w:color w:val="auto"/>
        </w:rPr>
      </w:pPr>
    </w:p>
    <w:p>
      <w:pPr>
        <w:ind w:left="340" w:right="280" w:hanging="202"/>
        <w:spacing w:after="0" w:line="277" w:lineRule="auto"/>
        <w:tabs>
          <w:tab w:leader="none" w:pos="2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828" w:lineRule="exact"/>
        <w:rPr>
          <w:sz w:val="20"/>
          <w:szCs w:val="20"/>
          <w:color w:val="auto"/>
        </w:rPr>
      </w:pPr>
    </w:p>
    <w:p>
      <w:pPr>
        <w:sectPr>
          <w:pgSz w:w="11900" w:h="16838" w:orient="portrait"/>
          <w:cols w:equalWidth="0" w:num="2">
            <w:col w:w="5560" w:space="260"/>
            <w:col w:w="5600"/>
          </w:cols>
          <w:pgMar w:left="240" w:top="580" w:right="23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81" w:name="page82"/>
    <w:bookmarkEnd w:id="81"/>
    <w:p>
      <w:pPr>
        <w:ind w:left="146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Directors’ fiduciary duties</w:t>
      </w:r>
    </w:p>
    <w:p>
      <w:pPr>
        <w:sectPr>
          <w:pgSz w:w="11900" w:h="16838" w:orient="portrait"/>
          <w:cols w:equalWidth="0" w:num="1">
            <w:col w:w="11400"/>
          </w:cols>
          <w:pgMar w:left="240" w:top="580" w:right="259" w:bottom="1440" w:gutter="0" w:footer="0" w:header="0"/>
        </w:sectPr>
      </w:pP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170" w:lineRule="exact"/>
        <w:rPr>
          <w:sz w:val="20"/>
          <w:szCs w:val="20"/>
          <w:color w:val="auto"/>
        </w:rPr>
      </w:pPr>
    </w:p>
    <w:p>
      <w:pPr>
        <w:ind w:left="280" w:hanging="14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225" w:lineRule="exact"/>
        <w:rPr>
          <w:rFonts w:ascii="Arial" w:cs="Arial" w:eastAsia="Arial" w:hAnsi="Arial"/>
          <w:sz w:val="18"/>
          <w:szCs w:val="18"/>
          <w:color w:val="auto"/>
        </w:rPr>
      </w:pPr>
    </w:p>
    <w:p>
      <w:pPr>
        <w:ind w:left="280" w:hanging="14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8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88" w:lineRule="exact"/>
        <w:rPr>
          <w:sz w:val="20"/>
          <w:szCs w:val="20"/>
          <w:color w:val="auto"/>
        </w:rPr>
      </w:pPr>
    </w:p>
    <w:p>
      <w:pPr>
        <w:ind w:left="340" w:right="700" w:hanging="201"/>
        <w:spacing w:after="0" w:line="277" w:lineRule="auto"/>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pacing w:after="0" w:line="170" w:lineRule="exact"/>
        <w:rPr>
          <w:rFonts w:ascii="Arial" w:cs="Arial" w:eastAsia="Arial" w:hAnsi="Arial"/>
          <w:sz w:val="18"/>
          <w:szCs w:val="18"/>
          <w:color w:val="auto"/>
        </w:rPr>
      </w:pPr>
    </w:p>
    <w:p>
      <w:pPr>
        <w:ind w:left="280" w:hanging="141"/>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225" w:lineRule="exact"/>
        <w:rPr>
          <w:rFonts w:ascii="Arial" w:cs="Arial" w:eastAsia="Arial" w:hAnsi="Arial"/>
          <w:sz w:val="18"/>
          <w:szCs w:val="18"/>
          <w:color w:val="auto"/>
        </w:rPr>
      </w:pPr>
    </w:p>
    <w:p>
      <w:pPr>
        <w:jc w:val="both"/>
        <w:ind w:left="340" w:right="560" w:hanging="201"/>
        <w:spacing w:after="0" w:line="342" w:lineRule="auto"/>
        <w:tabs>
          <w:tab w:leader="none" w:pos="2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organization of the accounting, financial control and financial planning systems as required for management of the corporation;</w:t>
      </w:r>
    </w:p>
    <w:p>
      <w:pPr>
        <w:spacing w:after="0" w:line="123" w:lineRule="exact"/>
        <w:rPr>
          <w:rFonts w:ascii="Arial" w:cs="Arial" w:eastAsia="Arial" w:hAnsi="Arial"/>
          <w:sz w:val="16"/>
          <w:szCs w:val="16"/>
          <w:color w:val="auto"/>
        </w:rPr>
      </w:pPr>
    </w:p>
    <w:p>
      <w:pPr>
        <w:ind w:left="340" w:right="200" w:hanging="201"/>
        <w:spacing w:after="0" w:line="277" w:lineRule="auto"/>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corporation;</w:t>
      </w:r>
    </w:p>
    <w:p>
      <w:pPr>
        <w:spacing w:after="0" w:line="170" w:lineRule="exact"/>
        <w:rPr>
          <w:rFonts w:ascii="Arial" w:cs="Arial" w:eastAsia="Arial" w:hAnsi="Arial"/>
          <w:sz w:val="18"/>
          <w:szCs w:val="18"/>
          <w:color w:val="auto"/>
        </w:rPr>
      </w:pPr>
    </w:p>
    <w:p>
      <w:pPr>
        <w:ind w:left="340" w:hanging="201"/>
        <w:spacing w:after="0" w:line="264" w:lineRule="auto"/>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181" w:lineRule="exact"/>
        <w:rPr>
          <w:rFonts w:ascii="Arial" w:cs="Arial" w:eastAsia="Arial" w:hAnsi="Arial"/>
          <w:sz w:val="18"/>
          <w:szCs w:val="18"/>
          <w:color w:val="auto"/>
        </w:rPr>
      </w:pPr>
    </w:p>
    <w:p>
      <w:pPr>
        <w:ind w:left="340" w:right="40" w:hanging="201"/>
        <w:spacing w:after="0" w:line="308" w:lineRule="auto"/>
        <w:tabs>
          <w:tab w:leader="none" w:pos="2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compilation of the annual report, preparation for the general meeting, the compensation report and implementation of its resolutions; and</w:t>
      </w:r>
    </w:p>
    <w:p>
      <w:pPr>
        <w:spacing w:after="0" w:line="146" w:lineRule="exact"/>
        <w:rPr>
          <w:rFonts w:ascii="Arial" w:cs="Arial" w:eastAsia="Arial" w:hAnsi="Arial"/>
          <w:sz w:val="17"/>
          <w:szCs w:val="17"/>
          <w:color w:val="auto"/>
        </w:rPr>
      </w:pPr>
    </w:p>
    <w:p>
      <w:pPr>
        <w:ind w:left="280" w:hanging="141"/>
        <w:spacing w:after="0"/>
        <w:tabs>
          <w:tab w:leader="none" w:pos="2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notification of the court in the event that the company is overindebted.</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members of the board of directors must perform their duties with all due diligence and safeguard the interests of the corporation in good faith. They must afford the shareholders equal treatment in equal circumstances.</w:t>
      </w:r>
    </w:p>
    <w:p>
      <w:pPr>
        <w:spacing w:after="0" w:line="147"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burden of proof for a violation of these duties is with the corporation or with the shareholder bringing a suit against the director.</w:t>
      </w:r>
    </w:p>
    <w:p>
      <w:pPr>
        <w:spacing w:after="0" w:line="124" w:lineRule="exact"/>
        <w:rPr>
          <w:sz w:val="20"/>
          <w:szCs w:val="20"/>
          <w:color w:val="auto"/>
        </w:rPr>
      </w:pPr>
    </w:p>
    <w:p>
      <w:pPr>
        <w:sectPr>
          <w:pgSz w:w="11900" w:h="16838" w:orient="portrait"/>
          <w:cols w:equalWidth="0" w:num="2">
            <w:col w:w="5600" w:space="220"/>
            <w:col w:w="5580"/>
          </w:cols>
          <w:pgMar w:left="240" w:top="5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00"/>
          </w:cols>
          <w:pgMar w:left="240" w:top="580" w:right="259" w:bottom="1440" w:gutter="0" w:footer="0" w:header="0"/>
          <w:type w:val="continuous"/>
        </w:sectPr>
      </w:pP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200" w:lineRule="exact"/>
        <w:rPr>
          <w:sz w:val="20"/>
          <w:szCs w:val="20"/>
          <w:color w:val="auto"/>
        </w:rPr>
      </w:pPr>
    </w:p>
    <w:p>
      <w:pPr>
        <w:sectPr>
          <w:pgSz w:w="11900" w:h="16838" w:orient="portrait"/>
          <w:cols w:equalWidth="0" w:num="2">
            <w:col w:w="5540" w:space="280"/>
            <w:col w:w="5580"/>
          </w:cols>
          <w:pgMar w:left="240" w:top="580" w:right="259" w:bottom="1440" w:gutter="0" w:footer="0" w:header="0"/>
          <w:type w:val="continuous"/>
        </w:sect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type w:val="continuous"/>
        </w:sectPr>
      </w:pPr>
    </w:p>
    <w:bookmarkStart w:id="82" w:name="page83"/>
    <w:bookmarkEnd w:id="82"/>
    <w:p>
      <w:pPr>
        <w:ind w:left="146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proposals</w:t>
      </w:r>
    </w:p>
    <w:p>
      <w:pPr>
        <w:sectPr>
          <w:pgSz w:w="11900" w:h="16838" w:orient="portrait"/>
          <w:cols w:equalWidth="0" w:num="1">
            <w:col w:w="11400"/>
          </w:cols>
          <w:pgMar w:left="240" w:top="580" w:right="259" w:bottom="1440" w:gutter="0" w:footer="0" w:header="0"/>
        </w:sectPr>
      </w:pP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8" w:lineRule="exact"/>
        <w:rPr>
          <w:sz w:val="20"/>
          <w:szCs w:val="20"/>
          <w:color w:val="auto"/>
        </w:rPr>
      </w:pPr>
    </w:p>
    <w:p>
      <w:pPr>
        <w:ind w:left="340" w:right="140" w:hanging="201"/>
        <w:spacing w:after="0" w:line="264" w:lineRule="auto"/>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shareholders together representing at least 10% of the share capital may demand that a general meeting of shareholders be called for specific agenda items and specific proposals; and</w:t>
      </w:r>
    </w:p>
    <w:p>
      <w:pPr>
        <w:spacing w:after="0" w:line="181" w:lineRule="exact"/>
        <w:rPr>
          <w:rFonts w:ascii="Arial" w:cs="Arial" w:eastAsia="Arial" w:hAnsi="Arial"/>
          <w:sz w:val="18"/>
          <w:szCs w:val="18"/>
          <w:color w:val="auto"/>
        </w:rPr>
      </w:pPr>
    </w:p>
    <w:p>
      <w:pPr>
        <w:ind w:left="340" w:right="20" w:hanging="201"/>
        <w:spacing w:after="0" w:line="302" w:lineRule="auto"/>
        <w:tabs>
          <w:tab w:leader="none" w:pos="2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5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Any shareholder can propose candidates for election as directors provided that the election of board members and the names of the candidates have been included as an agenda item.</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on the affairs of the company (note, however, that the right to obtain such information is limited), (ii) request information from the auditors on the methods and results of their audit, (iii) request to convene an extraordinary general meeting or (iv) to carry out a special audit and to appoint an auditor at the request of a shareholder.</w:t>
      </w:r>
    </w:p>
    <w:p>
      <w:pPr>
        <w:spacing w:after="0" w:line="178" w:lineRule="exact"/>
        <w:rPr>
          <w:sz w:val="20"/>
          <w:szCs w:val="20"/>
          <w:color w:val="auto"/>
        </w:rPr>
      </w:pPr>
    </w:p>
    <w:p>
      <w:pPr>
        <w:sectPr>
          <w:pgSz w:w="11900" w:h="16838" w:orient="portrait"/>
          <w:cols w:equalWidth="0" w:num="2">
            <w:col w:w="5560" w:space="260"/>
            <w:col w:w="5580"/>
          </w:cols>
          <w:pgMar w:left="240" w:top="580"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00"/>
          </w:cols>
          <w:pgMar w:left="240" w:top="580" w:right="259" w:bottom="1440" w:gutter="0" w:footer="0" w:header="0"/>
          <w:type w:val="continuous"/>
        </w:sectPr>
      </w:pP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400" w:space="420"/>
            <w:col w:w="5580"/>
          </w:cols>
          <w:pgMar w:left="240" w:top="5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00"/>
          </w:cols>
          <w:pgMar w:left="240" w:top="580" w:right="259" w:bottom="1440" w:gutter="0" w:footer="0" w:header="0"/>
          <w:type w:val="continuous"/>
        </w:sectPr>
      </w:pP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 Swiss corporation may remove, with or without cause, any director at any time with a resolution passed by a simple majority of the shares represented at a general meeting of shareholders concerned. The articles of association may require the approval by a qualified majority of the shares represented at a meeting for the removal of a director.</w:t>
      </w:r>
    </w:p>
    <w:p>
      <w:pPr>
        <w:spacing w:after="0" w:line="200" w:lineRule="exact"/>
        <w:rPr>
          <w:sz w:val="20"/>
          <w:szCs w:val="20"/>
          <w:color w:val="auto"/>
        </w:rPr>
      </w:pPr>
    </w:p>
    <w:p>
      <w:pPr>
        <w:sectPr>
          <w:pgSz w:w="11900" w:h="16838" w:orient="portrait"/>
          <w:cols w:equalWidth="0" w:num="2">
            <w:col w:w="5300" w:space="520"/>
            <w:col w:w="5580"/>
          </w:cols>
          <w:pgMar w:left="240" w:top="580" w:right="259" w:bottom="1440" w:gutter="0" w:footer="0" w:header="0"/>
          <w:type w:val="continuous"/>
        </w:sect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type w:val="continuous"/>
        </w:sectPr>
      </w:pPr>
    </w:p>
    <w:bookmarkStart w:id="83" w:name="page84"/>
    <w:bookmarkEnd w:id="83"/>
    <w:p>
      <w:pPr>
        <w:ind w:left="146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ectPr>
          <w:pgSz w:w="11900" w:h="16838" w:orient="portrait"/>
          <w:cols w:equalWidth="0" w:num="1">
            <w:col w:w="11400"/>
          </w:cols>
          <w:pgMar w:left="240" w:top="580" w:right="259" w:bottom="1440" w:gutter="0" w:footer="0" w:header="0"/>
        </w:sectPr>
      </w:pP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such rule applies to a Swiss corporation.</w:t>
      </w:r>
    </w:p>
    <w:p>
      <w:pPr>
        <w:spacing w:after="0" w:line="1328" w:lineRule="exact"/>
        <w:rPr>
          <w:sz w:val="20"/>
          <w:szCs w:val="20"/>
          <w:color w:val="auto"/>
        </w:rPr>
      </w:pPr>
    </w:p>
    <w:p>
      <w:pPr>
        <w:sectPr>
          <w:pgSz w:w="11900" w:h="16838" w:orient="portrait"/>
          <w:cols w:equalWidth="0" w:num="2">
            <w:col w:w="5420" w:space="400"/>
            <w:col w:w="5580"/>
          </w:cols>
          <w:pgMar w:left="240" w:top="580"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Dissolution; Winding up</w:t>
      </w:r>
    </w:p>
    <w:p>
      <w:pPr>
        <w:sectPr>
          <w:pgSz w:w="11900" w:h="16838" w:orient="portrait"/>
          <w:cols w:equalWidth="0" w:num="1">
            <w:col w:w="11400"/>
          </w:cols>
          <w:pgMar w:left="240" w:top="580" w:right="259" w:bottom="1440" w:gutter="0" w:footer="0" w:header="0"/>
          <w:type w:val="continuous"/>
        </w:sectPr>
      </w:pP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90" w:lineRule="exact"/>
        <w:rPr>
          <w:sz w:val="20"/>
          <w:szCs w:val="20"/>
          <w:color w:val="auto"/>
        </w:rPr>
      </w:pPr>
    </w:p>
    <w:p>
      <w:pPr>
        <w:sectPr>
          <w:pgSz w:w="11900" w:h="16838" w:orient="portrait"/>
          <w:cols w:equalWidth="0" w:num="2">
            <w:col w:w="5600" w:space="220"/>
            <w:col w:w="5580"/>
          </w:cols>
          <w:pgMar w:left="240" w:top="5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580" w:right="259" w:bottom="1440" w:gutter="0" w:footer="0" w:header="0"/>
          <w:type w:val="continuous"/>
        </w:sectPr>
      </w:pP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70" w:lineRule="exact"/>
        <w:rPr>
          <w:sz w:val="20"/>
          <w:szCs w:val="20"/>
          <w:color w:val="auto"/>
        </w:rPr>
      </w:pPr>
    </w:p>
    <w:p>
      <w:pPr>
        <w:sectPr>
          <w:pgSz w:w="11900" w:h="16838" w:orient="portrait"/>
          <w:cols w:equalWidth="0" w:num="2">
            <w:col w:w="5220" w:space="600"/>
            <w:col w:w="5580"/>
          </w:cols>
          <w:pgMar w:left="240" w:top="5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580" w:right="259" w:bottom="1440" w:gutter="0" w:footer="0" w:header="0"/>
          <w:type w:val="continuous"/>
        </w:sectPr>
      </w:pP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200" w:lineRule="exact"/>
        <w:rPr>
          <w:sz w:val="20"/>
          <w:szCs w:val="20"/>
          <w:color w:val="auto"/>
        </w:rPr>
      </w:pPr>
    </w:p>
    <w:p>
      <w:pPr>
        <w:sectPr>
          <w:pgSz w:w="11900" w:h="16838" w:orient="portrait"/>
          <w:cols w:equalWidth="0" w:num="2">
            <w:col w:w="5380" w:space="440"/>
            <w:col w:w="5580"/>
          </w:cols>
          <w:pgMar w:left="240" w:top="580" w:right="259" w:bottom="1440" w:gutter="0" w:footer="0" w:header="0"/>
          <w:type w:val="continuous"/>
        </w:sect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type w:val="continuous"/>
        </w:sectPr>
      </w:pPr>
    </w:p>
    <w:bookmarkStart w:id="84" w:name="page85"/>
    <w:bookmarkEnd w:id="84"/>
    <w:p>
      <w:pPr>
        <w:ind w:left="1460"/>
        <w:spacing w:after="0"/>
        <w:tabs>
          <w:tab w:leader="none" w:pos="750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380"/>
          </w:cols>
          <w:pgMar w:left="240" w:top="580" w:right="279" w:bottom="1440" w:gutter="0" w:footer="0" w:header="0"/>
        </w:sectPr>
      </w:pP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66" w:lineRule="exact"/>
        <w:rPr>
          <w:sz w:val="20"/>
          <w:szCs w:val="20"/>
          <w:color w:val="auto"/>
        </w:rPr>
      </w:pPr>
    </w:p>
    <w:p>
      <w:pPr>
        <w:sectPr>
          <w:pgSz w:w="11900" w:h="16838" w:orient="portrait"/>
          <w:cols w:equalWidth="0" w:num="2">
            <w:col w:w="5560" w:space="260"/>
            <w:col w:w="5560"/>
          </w:cols>
          <w:pgMar w:left="240" w:top="58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380"/>
          </w:cols>
          <w:pgMar w:left="240" w:top="580" w:right="279" w:bottom="1440" w:gutter="0" w:footer="0" w:header="0"/>
          <w:type w:val="continuous"/>
        </w:sect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7" w:lineRule="exact"/>
        <w:rPr>
          <w:sz w:val="20"/>
          <w:szCs w:val="20"/>
          <w:color w:val="auto"/>
        </w:rPr>
      </w:pPr>
    </w:p>
    <w:p>
      <w:pPr>
        <w:ind w:left="280" w:hanging="142"/>
        <w:spacing w:after="0"/>
        <w:tabs>
          <w:tab w:leader="none" w:pos="2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340" w:right="100" w:hanging="202"/>
        <w:spacing w:after="0" w:line="342" w:lineRule="auto"/>
        <w:tabs>
          <w:tab w:leader="none" w:pos="281"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4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1" w:lineRule="exact"/>
        <w:rPr>
          <w:sz w:val="20"/>
          <w:szCs w:val="20"/>
          <w:color w:val="auto"/>
        </w:rPr>
      </w:pPr>
    </w:p>
    <w:p>
      <w:pPr>
        <w:sectPr>
          <w:pgSz w:w="11900" w:h="16838" w:orient="portrait"/>
          <w:cols w:equalWidth="0" w:num="2">
            <w:col w:w="5600" w:space="220"/>
            <w:col w:w="5560"/>
          </w:cols>
          <w:pgMar w:left="240" w:top="580"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380"/>
          </w:cols>
          <w:pgMar w:left="240" w:top="580" w:right="279" w:bottom="1440" w:gutter="0" w:footer="0" w:header="0"/>
          <w:type w:val="continuous"/>
        </w:sectPr>
      </w:pP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pacing w:after="0" w:line="200" w:lineRule="exact"/>
        <w:rPr>
          <w:sz w:val="20"/>
          <w:szCs w:val="20"/>
          <w:color w:val="auto"/>
        </w:rPr>
      </w:pPr>
    </w:p>
    <w:p>
      <w:pPr>
        <w:sectPr>
          <w:pgSz w:w="11900" w:h="16838" w:orient="portrait"/>
          <w:cols w:equalWidth="0" w:num="2">
            <w:col w:w="5420" w:space="400"/>
            <w:col w:w="5560"/>
          </w:cols>
          <w:pgMar w:left="240" w:top="580" w:right="279" w:bottom="1440" w:gutter="0" w:footer="0" w:header="0"/>
          <w:type w:val="continuous"/>
        </w:sect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type w:val="continuous"/>
        </w:sectPr>
      </w:pPr>
    </w:p>
    <w:bookmarkStart w:id="85" w:name="page86"/>
    <w:bookmarkEnd w:id="85"/>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1012" w:right="37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87" w:name="page88"/>
    <w:bookmarkEnd w:id="87"/>
    <w:p>
      <w:pPr>
        <w:ind w:left="3840"/>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issue purchase contracts for the purchase or sale of equity securities issued by us.</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8" w:name="page89"/>
    <w:bookmarkEnd w:id="88"/>
    <w:p>
      <w:pPr>
        <w:jc w:val="center"/>
        <w:ind w:right="-4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common shares, debt securities, warrants or any combination of such securities.</w:t>
      </w:r>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580" w:right="659" w:bottom="1440" w:gutter="0" w:footer="0" w:header="0"/>
        </w:sectPr>
      </w:pPr>
    </w:p>
    <w:bookmarkStart w:id="89" w:name="page90"/>
    <w:bookmarkEnd w:id="89"/>
    <w:p>
      <w:pPr>
        <w:jc w:val="center"/>
        <w:ind w:right="-13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spacing w:after="0" w:line="18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applicable prospectus supplement will describe the specific terms of any offering of subscription rights for which this prospectus is being delivered, including the following:</w:t>
      </w:r>
    </w:p>
    <w:p>
      <w:pPr>
        <w:spacing w:after="0" w:line="17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common shares or warrants for those securities will be offered under the shareholder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if any, for the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exercise price payable for each security upon the exercise of the subscription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subscription rights issued to each shareholder;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and terms of the securities which may be purchased per each subscription right;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the subscription rights are transferable;</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the terms, procedures and limitations relating to the exchange and exercise of the subscription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date on which the right to exercise the subscription rights shall commence, and the date on which the subscription rights shall expire;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the subscription rights may include an over-subscription privilege with respect to unsubscribed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purchase arrangement entered into by us in connection with the offering of subscription rights.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Standby Arrangements</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90" w:name="page91"/>
    <w:bookmarkEnd w:id="90"/>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sell the securities in one or more of the following ways (or in any combination) from time to time:</w:t>
      </w:r>
    </w:p>
    <w:p>
      <w:pPr>
        <w:spacing w:after="0" w:line="225"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directly to a limited number of purchasers or to a single purchaser;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25" w:lineRule="exact"/>
        <w:rPr>
          <w:rFonts w:ascii="Arial" w:cs="Arial" w:eastAsia="Arial" w:hAnsi="Arial"/>
          <w:sz w:val="18"/>
          <w:szCs w:val="18"/>
          <w:color w:val="auto"/>
        </w:rPr>
      </w:pPr>
    </w:p>
    <w:p>
      <w:pPr>
        <w:ind w:left="340" w:right="2380" w:firstLine="316"/>
        <w:spacing w:after="0" w:line="501" w:lineRule="auto"/>
        <w:tabs>
          <w:tab w:leader="none" w:pos="9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described in the applicable prospectus supplement. The prospectus supplement will state the terms of the offering of the securities, including:</w:t>
      </w: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If underwriters are used in in the sale, the securities will be acquired by the underwriters for their own account and may be resold from time to time in one or more transactions, including:</w:t>
      </w:r>
    </w:p>
    <w:p>
      <w:pPr>
        <w:spacing w:after="0" w:line="170"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ind w:right="560" w:firstLine="324"/>
        <w:spacing w:after="0" w:line="342" w:lineRule="auto"/>
        <w:rPr>
          <w:sz w:val="20"/>
          <w:szCs w:val="20"/>
          <w:color w:val="auto"/>
        </w:rPr>
      </w:pPr>
      <w:r>
        <w:rPr>
          <w:rFonts w:ascii="Arial" w:cs="Arial" w:eastAsia="Arial" w:hAnsi="Arial"/>
          <w:sz w:val="16"/>
          <w:szCs w:val="16"/>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sectPr>
      </w:pPr>
    </w:p>
    <w:bookmarkStart w:id="91" w:name="page92"/>
    <w:bookmarkEnd w:id="91"/>
    <w:p>
      <w:pPr>
        <w:ind w:right="640" w:firstLine="324"/>
        <w:spacing w:after="0" w:line="342" w:lineRule="auto"/>
        <w:rPr>
          <w:sz w:val="20"/>
          <w:szCs w:val="20"/>
          <w:color w:val="auto"/>
        </w:rPr>
      </w:pPr>
      <w:r>
        <w:rPr>
          <w:rFonts w:ascii="Arial" w:cs="Arial" w:eastAsia="Arial" w:hAnsi="Arial"/>
          <w:sz w:val="16"/>
          <w:szCs w:val="16"/>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1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Underwriters and agents may be customers of, engage in transactions with, or perform services for us and our affiliates in the ordinary course of business.</w:t>
      </w:r>
    </w:p>
    <w:p>
      <w:pPr>
        <w:spacing w:after="0" w:line="24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2017 Annual Report on Form 20-F for the fiscal year ended December 31, 2017;</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reports on Form 6-K furnished to the SEC on March 20, 2018 (only with respect to “Item 1.C—2017 Board Compensation” and “Item 2.C— 2017 Executive Compensation” of Exhibit 99.3), March 22, 2018, March 26, 2018, April 27, 2018, and May 2, 2018 (only with respect to Exhibits 99.1 and 99.2); and</w:t>
      </w:r>
    </w:p>
    <w:p>
      <w:pPr>
        <w:spacing w:after="0" w:line="181"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registration statement on Form 8-A filed with the SEC on September 23, 2016, including any amendments or reports filed for the purpose of updating such description.</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2" w:name="page93"/>
    <w:bookmarkEnd w:id="92"/>
    <w:p>
      <w:pPr>
        <w:ind w:right="20"/>
        <w:spacing w:after="0" w:line="290" w:lineRule="auto"/>
        <w:rPr>
          <w:sz w:val="20"/>
          <w:szCs w:val="20"/>
          <w:color w:val="auto"/>
        </w:rPr>
      </w:pPr>
      <w:r>
        <w:rPr>
          <w:rFonts w:ascii="Arial" w:cs="Arial" w:eastAsia="Arial" w:hAnsi="Arial"/>
          <w:sz w:val="16"/>
          <w:szCs w:val="16"/>
          <w:color w:val="auto"/>
        </w:rPr>
        <w:t>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 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66"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34"/>
        </w:trPr>
        <w:tc>
          <w:tcPr>
            <w:tcW w:w="10060" w:type="dxa"/>
            <w:vAlign w:val="bottom"/>
            <w:tcBorders>
              <w:bottom w:val="single" w:sz="8" w:color="D5EAEA"/>
            </w:tcBorders>
          </w:tcPr>
          <w:p>
            <w:pPr>
              <w:spacing w:after="0"/>
              <w:rPr>
                <w:sz w:val="20"/>
                <w:szCs w:val="20"/>
                <w:color w:val="auto"/>
              </w:rPr>
            </w:pPr>
          </w:p>
        </w:tc>
        <w:tc>
          <w:tcPr>
            <w:tcW w:w="20" w:type="dxa"/>
            <w:vAlign w:val="bottom"/>
            <w:tcBorders>
              <w:bottom w:val="single" w:sz="8" w:color="D5EAEA"/>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To Be Paid</w:t>
            </w:r>
          </w:p>
        </w:tc>
      </w:tr>
      <w:tr>
        <w:trPr>
          <w:trHeight w:val="210"/>
        </w:trPr>
        <w:tc>
          <w:tcPr>
            <w:tcW w:w="10060" w:type="dxa"/>
            <w:vAlign w:val="bottom"/>
            <w:shd w:val="clear" w:color="auto" w:fill="D5EAEA"/>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shd w:val="clear" w:color="auto" w:fill="D5EAEA"/>
          </w:tcPr>
          <w:p>
            <w:pPr>
              <w:spacing w:after="0"/>
              <w:rPr>
                <w:sz w:val="18"/>
                <w:szCs w:val="18"/>
                <w:color w:val="auto"/>
              </w:rPr>
            </w:pPr>
          </w:p>
        </w:tc>
        <w:tc>
          <w:tcPr>
            <w:tcW w:w="160" w:type="dxa"/>
            <w:vAlign w:val="bottom"/>
            <w:shd w:val="clear" w:color="auto" w:fill="D5EAEA"/>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43,575.00</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53,000.00</w:t>
            </w:r>
          </w:p>
        </w:tc>
      </w:tr>
      <w:tr>
        <w:trPr>
          <w:trHeight w:val="216"/>
        </w:trPr>
        <w:tc>
          <w:tcPr>
            <w:tcW w:w="10060" w:type="dxa"/>
            <w:vAlign w:val="bottom"/>
            <w:shd w:val="clear" w:color="auto" w:fill="D5EAEA"/>
          </w:tcPr>
          <w:p>
            <w:pPr>
              <w:spacing w:after="0"/>
              <w:rPr>
                <w:sz w:val="20"/>
                <w:szCs w:val="20"/>
                <w:color w:val="auto"/>
              </w:rPr>
            </w:pPr>
            <w:r>
              <w:rPr>
                <w:rFonts w:ascii="Arial" w:cs="Arial" w:eastAsia="Arial" w:hAnsi="Arial"/>
                <w:sz w:val="18"/>
                <w:szCs w:val="18"/>
                <w:color w:val="auto"/>
              </w:rPr>
              <w:t>Transfer agent’s fees</w:t>
            </w:r>
          </w:p>
        </w:tc>
        <w:tc>
          <w:tcPr>
            <w:tcW w:w="2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0060" w:type="dxa"/>
            <w:vAlign w:val="bottom"/>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D5EAEA"/>
          </w:tcPr>
          <w:p>
            <w:pPr>
              <w:spacing w:after="0"/>
              <w:rPr>
                <w:sz w:val="18"/>
                <w:szCs w:val="18"/>
                <w:color w:val="auto"/>
              </w:rPr>
            </w:pPr>
          </w:p>
        </w:tc>
        <w:tc>
          <w:tcPr>
            <w:tcW w:w="160" w:type="dxa"/>
            <w:vAlign w:val="bottom"/>
            <w:shd w:val="clear" w:color="auto" w:fill="D5EAEA"/>
          </w:tcPr>
          <w:p>
            <w:pPr>
              <w:spacing w:after="0"/>
              <w:rPr>
                <w:sz w:val="18"/>
                <w:szCs w:val="18"/>
                <w:color w:val="auto"/>
              </w:rPr>
            </w:pP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0060" w:type="dxa"/>
            <w:vAlign w:val="bottom"/>
            <w:shd w:val="clear" w:color="auto" w:fill="D5EAEA"/>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D5EAEA"/>
          </w:tcPr>
          <w:p>
            <w:pPr>
              <w:spacing w:after="0"/>
              <w:rPr>
                <w:sz w:val="19"/>
                <w:szCs w:val="19"/>
                <w:color w:val="auto"/>
              </w:rPr>
            </w:pPr>
          </w:p>
        </w:tc>
        <w:tc>
          <w:tcPr>
            <w:tcW w:w="160" w:type="dxa"/>
            <w:vAlign w:val="bottom"/>
            <w:tcBorders>
              <w:bottom w:val="single" w:sz="8" w:color="auto"/>
            </w:tcBorders>
            <w:shd w:val="clear" w:color="auto" w:fill="D5EAEA"/>
          </w:tcPr>
          <w:p>
            <w:pPr>
              <w:spacing w:after="0"/>
              <w:rPr>
                <w:sz w:val="19"/>
                <w:szCs w:val="19"/>
                <w:color w:val="auto"/>
              </w:rPr>
            </w:pPr>
          </w:p>
        </w:tc>
        <w:tc>
          <w:tcPr>
            <w:tcW w:w="11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0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718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be provided by a prospectus supplement or as an exhibit to a Report on Form 6-K that is incorporated by reference into this prospectus.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validity of our common shares and certain other matters of Swiss law will be passed upon for us by Vischer AG, Zurich, Switzerland. Certain matters of U.S. federal and New York State law will be passed upon for us by Davis Polk &amp; Wardwell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auto"/>
        </w:rPr>
        <w:t>Such financial statements are incorporated herein by reference in reliance upon such report given the authority of such firm as experts in accounting and auditing.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address of Ernst &amp; Young AG is Route de Chancy 59, 1213 Petit-Lancy, Switzerland.</w:t>
      </w:r>
    </w:p>
    <w:p>
      <w:pPr>
        <w:spacing w:after="0" w:line="200" w:lineRule="exact"/>
        <w:rPr>
          <w:sz w:val="20"/>
          <w:szCs w:val="20"/>
          <w:color w:val="auto"/>
        </w:rPr>
      </w:pPr>
    </w:p>
    <w:p>
      <w:pPr>
        <w:spacing w:after="0" w:line="34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584" w:right="69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2721610</wp:posOffset>
            </wp:positionH>
            <wp:positionV relativeFrom="page">
              <wp:posOffset>1092200</wp:posOffset>
            </wp:positionV>
            <wp:extent cx="2126615" cy="6686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212661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593090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196215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Joint Book-Running Managers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Jefferies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Leerink Partners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UBS Investment Bank</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Lead Manager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H.C. Wainwright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July 18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857885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lowerRoman"/>
      <w:start w:val="3"/>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lowerRoman"/>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lowerRoman"/>
      <w:start w:val="2"/>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lvl w:ilvl="1">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lowerLetter"/>
      <w:start w:val="2"/>
    </w:lvl>
    <w:lvl w:ilvl="1">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2"/>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decimal"/>
      <w:start w:val="3"/>
    </w:lvl>
  </w:abstractNum>
  <w:abstractNum w:abstractNumId="33">
    <w:nsid w:val="4B588F54"/>
    <w:multiLevelType w:val="hybridMultilevel"/>
    <w:lvl w:ilvl="0">
      <w:lvlJc w:val="left"/>
      <w:lvlText w:val="%1."/>
      <w:numFmt w:val="decimal"/>
      <w:start w:val="5"/>
    </w:lvl>
  </w:abstractNum>
  <w:abstractNum w:abstractNumId="34">
    <w:nsid w:val="542289EC"/>
    <w:multiLevelType w:val="hybridMultilevel"/>
    <w:lvl w:ilvl="0">
      <w:lvlJc w:val="left"/>
      <w:lvlText w:val="%1."/>
      <w:numFmt w:val="decimal"/>
      <w:start w:val="8"/>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2019-12-08T13:56:59Z</dcterms:created>
  <dcterms:modified xsi:type="dcterms:W3CDTF">2019-12-08T13:56:59Z</dcterms:modified>
</cp:coreProperties>
</file>