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3"/>
          <w:szCs w:val="23"/>
          <w:color w:val="auto"/>
        </w:rPr>
        <w:t>Washington, D.C. 20549</w:t>
      </w:r>
    </w:p>
    <w:p>
      <w:pPr>
        <w:spacing w:after="0" w:line="199"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26"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25"/>
          <w:szCs w:val="25"/>
          <w:b w:val="1"/>
          <w:bCs w:val="1"/>
          <w:color w:val="auto"/>
        </w:rPr>
        <w:t>REPORT OF FOREIGN PRIVATE ISSUER PURSUANT TO RULE 13a-16</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OR 15d-16 UNDER THE SECURITIES EXCHANGE ACT OF 1934</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month of March, 2024</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001-37891</w:t>
      </w:r>
    </w:p>
    <w:p>
      <w:pPr>
        <w:spacing w:after="0" w:line="2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AC IMMUNE SA</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EPFL Innovation Park</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Building B</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1015 Lausanne, Switzerland</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jc w:val="center"/>
        <w:ind w:right="19"/>
        <w:spacing w:after="0" w:line="207" w:lineRule="exact"/>
        <w:tabs>
          <w:tab w:leader="none" w:pos="2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214630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240665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720725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1" w:name="page2"/>
    <w:bookmarkEnd w:id="1"/>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Andrea Pfeifer</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Christopher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Christopher Roberts</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ind w:left="340"/>
        <w:spacing w:after="0"/>
        <w:tabs>
          <w:tab w:leader="none" w:pos="9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320" w:top="904" w:right="979" w:bottom="1440" w:gutter="0" w:footer="0" w:header="0"/>
        </w:sectPr>
      </w:pPr>
    </w:p>
    <w:bookmarkStart w:id="2" w:name="page3"/>
    <w:bookmarkEnd w:id="2"/>
    <w:p>
      <w:pPr>
        <w:ind w:left="466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546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5715</wp:posOffset>
            </wp:positionV>
            <wp:extent cx="70123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ind w:left="160"/>
        <w:spacing w:after="0"/>
        <w:tabs>
          <w:tab w:leader="none" w:pos="96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March 14, 2024</w:t>
      </w:r>
    </w:p>
    <w:p>
      <w:pPr>
        <w:spacing w:after="0" w:line="220" w:lineRule="exact"/>
        <w:rPr>
          <w:sz w:val="20"/>
          <w:szCs w:val="20"/>
          <w:color w:val="auto"/>
        </w:rPr>
      </w:pPr>
    </w:p>
    <w:p>
      <w:pPr>
        <w:ind w:left="160"/>
        <w:spacing w:after="0"/>
        <w:tabs>
          <w:tab w:leader="none" w:pos="960" w:val="left"/>
        </w:tabs>
        <w:rPr>
          <w:sz w:val="20"/>
          <w:szCs w:val="20"/>
          <w:color w:val="auto"/>
        </w:rPr>
      </w:pPr>
      <w:r>
        <w:rPr>
          <w:rFonts w:ascii="Times New Roman" w:cs="Times New Roman" w:eastAsia="Times New Roman" w:hAnsi="Times New Roman"/>
          <w:sz w:val="18"/>
          <w:szCs w:val="18"/>
          <w:u w:val="single" w:color="auto"/>
          <w:color w:val="0000EE"/>
        </w:rPr>
        <w:t>99.2</w:t>
      </w:r>
      <w:r>
        <w:rPr>
          <w:sz w:val="20"/>
          <w:szCs w:val="20"/>
          <w:color w:val="auto"/>
        </w:rPr>
        <w:tab/>
      </w:r>
      <w:r>
        <w:rPr>
          <w:rFonts w:ascii="Times New Roman" w:cs="Times New Roman" w:eastAsia="Times New Roman" w:hAnsi="Times New Roman"/>
          <w:sz w:val="17"/>
          <w:szCs w:val="17"/>
          <w:u w:val="single" w:color="auto"/>
          <w:color w:val="0000EE"/>
        </w:rPr>
        <w:t>2023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445770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879"/>
          </w:cols>
          <w:pgMar w:left="580" w:top="900" w:right="1440"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1842770" cy="4972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42770" cy="49720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18"/>
          <w:szCs w:val="18"/>
          <w:b w:val="1"/>
          <w:bCs w:val="1"/>
          <w:color w:val="auto"/>
        </w:rPr>
        <w:t>PRESS RELEASE</w:t>
      </w:r>
    </w:p>
    <w:p>
      <w:pPr>
        <w:spacing w:after="0" w:line="200" w:lineRule="exact"/>
        <w:rPr>
          <w:sz w:val="20"/>
          <w:szCs w:val="20"/>
          <w:color w:val="auto"/>
        </w:rPr>
      </w:pPr>
    </w:p>
    <w:p>
      <w:pPr>
        <w:spacing w:after="0" w:line="39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AC Immune Reports Full Year 2023 Financial Results and Provides a Corporate Update</w:t>
      </w:r>
    </w:p>
    <w:p>
      <w:pPr>
        <w:spacing w:after="0" w:line="229"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ACI-24.060 ABATE Phase 2 trial to report Abeta-PET imaging results in Q2 and H2</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ACI-7104.056 VacSYn Phase 2 trial in Parkinson’s disease on track for interim data in H2</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ACI-24.060 for Alzheimer’s disease (AD) received FDA Fast Track designation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ACI-35.030 ReTain Phase 2b program in preclinical (pre-symptomatic) AD patients, initiated by collaboration partner</w:t>
      </w:r>
    </w:p>
    <w:p>
      <w:pPr>
        <w:spacing w:after="0" w:line="22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of CHF 103 million at year end, plus the CHF 15 million milestone payment received on February 1, 2024 and the next CHF 25 million ACI-35.030-related milestone, provides funding into 2026</w:t>
      </w:r>
    </w:p>
    <w:p>
      <w:pPr>
        <w:spacing w:after="0" w:line="158"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Lausanne, Switzerland, March 14, 2024 </w:t>
      </w:r>
      <w:r>
        <w:rPr>
          <w:rFonts w:ascii="Times New Roman" w:cs="Times New Roman" w:eastAsia="Times New Roman" w:hAnsi="Times New Roman"/>
          <w:sz w:val="18"/>
          <w:szCs w:val="18"/>
          <w:color w:val="auto"/>
        </w:rPr>
        <w:t>– AC Immune SA (NASDAQ: ACIU), a clinical-stage biopharmaceutical company pioneering the development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precision medicine approaches for the diagnosis, treatment, and prevention of neurodegenerative diseases, today reported results for the year ended December 31, 2023, and provided a corporate update.</w:t>
      </w:r>
    </w:p>
    <w:p>
      <w:pPr>
        <w:spacing w:after="0" w:line="171"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Dr. Andrea Pfeifer, CEO of AC Immune SA, commented: </w:t>
      </w:r>
      <w:r>
        <w:rPr>
          <w:rFonts w:ascii="Times New Roman" w:cs="Times New Roman" w:eastAsia="Times New Roman" w:hAnsi="Times New Roman"/>
          <w:sz w:val="18"/>
          <w:szCs w:val="18"/>
          <w:color w:val="auto"/>
        </w:rPr>
        <w:t>“We made significant progress in 2023 advancing our three innovative active immunotherapy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programs in Phase 2 clinical trials in Alzheimer’s and Parkinson’s diseases. This sets the stage for a number of important milestones in 2024, which have the potential to further enhance our understanding of how best to prevent neurodegeneration and to generate significant value for AC Immune. In the second quarter and second half of 2024, we will be reporting Phase 2 ACI-24.060 data on amyloid plaque reduction after 6- and 12-months treatment, respectively. Amyloid plaque is a clinically validated biomarker of efficacy, making these data announcements potentially de-risking and providing an opportunity to accelerate ACI-24.060 into a registrational program.</w:t>
      </w:r>
    </w:p>
    <w:p>
      <w:pPr>
        <w:spacing w:after="0" w:line="18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are also delighted that ACI-35.030 (JNJ-64042056), our anti-phospho-Tau active immunotherapy, has now entered the Phase 2b trial, conducted by our partner in pre-symptomatic AD patients. In addition, our ACI-7104.056 anti-alpha-synuclein active immunotherapy is advancing through Phase 2 testing for Parkinson’s disease (PD) with initial safety and immunogenicity data expected in the second half of 2024.</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“AC Immune’s primary focus remains on these three active immunotherapy programs, each of which has the potential to transform how neurodegenerative diseases are treated and ultimately, to enable precision prevention of these diseases. Thanks to our strengthened leadership team and reinforced balance sheet, we are well-positioned to deliver de-risking clinical milestones, working towards our mission to shift the paradigm from disease treatment to disease prevention.”</w:t>
      </w:r>
    </w:p>
    <w:p>
      <w:pPr>
        <w:spacing w:after="0" w:line="3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2023 and Subsequent Highlights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Active Immunotherapy Programs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ACI-24.060 anti-Abeta active immunotherapy</w:t>
      </w:r>
    </w:p>
    <w:p>
      <w:pPr>
        <w:spacing w:after="0" w:line="227"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Fast Track Designation from the U.S. Food and Drug Administration for the treatment of AD</w:t>
      </w:r>
    </w:p>
    <w:p>
      <w:pPr>
        <w:spacing w:after="0" w:line="225" w:lineRule="exact"/>
        <w:rPr>
          <w:rFonts w:ascii="Times New Roman" w:cs="Times New Roman" w:eastAsia="Times New Roman" w:hAnsi="Times New Roman"/>
          <w:sz w:val="18"/>
          <w:szCs w:val="18"/>
          <w:color w:val="auto"/>
        </w:rPr>
      </w:pPr>
    </w:p>
    <w:p>
      <w:pPr>
        <w:ind w:left="340" w:right="8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enrolment in the ABATE Phase 2 AD trial continues with cohort 3 now being expanded. Following data safety monitoring board (DSMB) review, no safety concerns have been raised to date, consistent with the previously observed safety profile.</w:t>
      </w:r>
    </w:p>
    <w:p>
      <w:pPr>
        <w:spacing w:after="0" w:line="161" w:lineRule="exact"/>
        <w:rPr>
          <w:rFonts w:ascii="Times New Roman" w:cs="Times New Roman" w:eastAsia="Times New Roman" w:hAnsi="Times New Roman"/>
          <w:sz w:val="18"/>
          <w:szCs w:val="18"/>
          <w:color w:val="auto"/>
        </w:rPr>
      </w:pPr>
    </w:p>
    <w:p>
      <w:pPr>
        <w:ind w:left="340" w:right="8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interim ABATE safety and immunogenicity data from the first, low dose AD cohort were promising, with clear evidence of anti-Abeta antibody responses against toxic Abeta species observed in the blinded data.</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participant with Down syndrome (DS) was dosed in the Phase 2 ABATE trial.</w:t>
      </w:r>
    </w:p>
    <w:p>
      <w:pPr>
        <w:spacing w:after="0" w:line="225" w:lineRule="exact"/>
        <w:rPr>
          <w:rFonts w:ascii="Times New Roman" w:cs="Times New Roman" w:eastAsia="Times New Roman" w:hAnsi="Times New Roman"/>
          <w:sz w:val="18"/>
          <w:szCs w:val="18"/>
          <w:color w:val="auto"/>
        </w:rPr>
      </w:pPr>
    </w:p>
    <w:p>
      <w:pPr>
        <w:ind w:left="340" w:right="30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Six-month Abeta positron emission tomography (PET) imaging results are expected in Q2 2024, and 12-month Abeta-PET data are expected in H2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ACI-35.030 (JNJ-64042056) anti-phospho-Tau (anti-pTau) active immunotherapy</w:t>
      </w:r>
    </w:p>
    <w:p>
      <w:pPr>
        <w:spacing w:after="0" w:line="227" w:lineRule="exact"/>
        <w:rPr>
          <w:sz w:val="20"/>
          <w:szCs w:val="20"/>
          <w:color w:val="auto"/>
        </w:rPr>
      </w:pPr>
    </w:p>
    <w:p>
      <w:pPr>
        <w:ind w:left="340" w:right="128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2b ReTain clinical trial in participants with preclinical AD preparations are ongoing to initiate the study by H1 2024 by Janssen Pharmaceuticals, Inc., a Johnson &amp; Johnson company (Janssen).</w:t>
      </w:r>
    </w:p>
    <w:p>
      <w:pPr>
        <w:spacing w:after="0" w:line="161" w:lineRule="exact"/>
        <w:rPr>
          <w:rFonts w:ascii="Times New Roman" w:cs="Times New Roman" w:eastAsia="Times New Roman" w:hAnsi="Times New Roman"/>
          <w:sz w:val="18"/>
          <w:szCs w:val="18"/>
          <w:color w:val="auto"/>
        </w:rPr>
      </w:pPr>
    </w:p>
    <w:p>
      <w:pPr>
        <w:ind w:left="340" w:right="26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will evaluate the effect of ACI-35.030 on cognition and Tau pathology in approximately 500 participants with preclinical AD. These will be randomized in a 1:1 ratio to a single dose level of ACI-35.030 or placebo, administered as intramuscular injections for a maximum of 4 years.</w:t>
      </w:r>
    </w:p>
    <w:p>
      <w:pPr>
        <w:spacing w:after="0" w:line="161" w:lineRule="exact"/>
        <w:rPr>
          <w:rFonts w:ascii="Times New Roman" w:cs="Times New Roman" w:eastAsia="Times New Roman" w:hAnsi="Times New Roman"/>
          <w:sz w:val="18"/>
          <w:szCs w:val="18"/>
          <w:color w:val="auto"/>
        </w:rPr>
      </w:pPr>
    </w:p>
    <w:p>
      <w:pPr>
        <w:ind w:left="340" w:right="10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terms of the licensing agreement, AC Immune received a milestone payment of CHF 15 million on February 1, 2024 and expects to receive another milestone payment of CHF 25 million related to achieving an undisclosed enrolment target in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ACI-7104.056 anti-a-syn active immunotherapy</w:t>
      </w:r>
    </w:p>
    <w:p>
      <w:pPr>
        <w:spacing w:after="0" w:line="227" w:lineRule="exact"/>
        <w:rPr>
          <w:sz w:val="20"/>
          <w:szCs w:val="20"/>
          <w:color w:val="auto"/>
        </w:rPr>
      </w:pPr>
    </w:p>
    <w:p>
      <w:pPr>
        <w:ind w:left="340" w:right="8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enrolment of cohort 1 in the VacSYn Phase 2 trial in Parkinson’s disease (PD), with 16 patients randomized. Enrolment and randomization of cohort 2 is ongoing as planned.</w:t>
      </w:r>
    </w:p>
    <w:p>
      <w:pPr>
        <w:spacing w:after="0" w:line="161" w:lineRule="exact"/>
        <w:rPr>
          <w:rFonts w:ascii="Times New Roman" w:cs="Times New Roman" w:eastAsia="Times New Roman" w:hAnsi="Times New Roman"/>
          <w:sz w:val="18"/>
          <w:szCs w:val="18"/>
          <w:color w:val="auto"/>
        </w:rPr>
      </w:pPr>
    </w:p>
    <w:p>
      <w:pPr>
        <w:ind w:left="340" w:right="8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safety concerns have been reported to date with no reports of moderate or severe adverse events. Safety and immunogenicity updates from the trial are expected in H2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Diagnostic Programs</w:t>
      </w:r>
    </w:p>
    <w:p>
      <w:pPr>
        <w:spacing w:after="0" w:line="227" w:lineRule="exact"/>
        <w:rPr>
          <w:sz w:val="20"/>
          <w:szCs w:val="20"/>
          <w:color w:val="auto"/>
        </w:rPr>
      </w:pPr>
    </w:p>
    <w:p>
      <w:pPr>
        <w:ind w:left="340" w:right="240" w:hanging="332"/>
        <w:spacing w:after="0" w:line="284"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peer-reviewed paper published in Nature Communications (Smith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Nat. Comm., 2023</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showed that AC Immune’s wholly-owned a-syn-PET tracer ACI-12589 can detect a-syn pathology in multiple system atrophy (MSA) and differentiate MSA from other a-synucleinopathies.</w:t>
      </w:r>
    </w:p>
    <w:p>
      <w:pPr>
        <w:spacing w:after="0" w:line="160"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TDP-43-PET tracer program has progressed as planned and a clinical candidate has been selected. Further IND-enabling studies will be completed over the coming months to permit the initiation of a Phase 1 clinical trial in H2 2024.</w:t>
      </w:r>
    </w:p>
    <w:p>
      <w:pPr>
        <w:spacing w:after="0" w:line="3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both"/>
        <w:ind w:left="340" w:right="400" w:hanging="332"/>
        <w:spacing w:after="0" w:line="186" w:lineRule="auto"/>
        <w:tabs>
          <w:tab w:leader="none" w:pos="340" w:val="left"/>
        </w:tabs>
        <w:numPr>
          <w:ilvl w:val="0"/>
          <w:numId w:val="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In the pivotal Phase 3 ADvance trial evaluating the Morphomer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derived Tau-PET tracer, PI-2620 in AD, the first participant was imaged and the study is progressing well. PI-2620 was discovered and developed using the Morphomer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platform as part of a research collaboration between AC Immune and Life Molecular Imaging.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Updates</w:t>
      </w:r>
    </w:p>
    <w:p>
      <w:pPr>
        <w:spacing w:after="0" w:line="229" w:lineRule="exact"/>
        <w:rPr>
          <w:sz w:val="20"/>
          <w:szCs w:val="20"/>
          <w:color w:val="auto"/>
        </w:rPr>
      </w:pPr>
    </w:p>
    <w:p>
      <w:pPr>
        <w:ind w:left="340" w:right="52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USD 50 million equity financing in December 2023, extending cash runway into Q1 2026. (This assumes the second ACI-35-related milestone payment of CHF 25 million is received in 2025)</w:t>
      </w:r>
    </w:p>
    <w:p>
      <w:pPr>
        <w:spacing w:after="0" w:line="161" w:lineRule="exact"/>
        <w:rPr>
          <w:rFonts w:ascii="Times New Roman" w:cs="Times New Roman" w:eastAsia="Times New Roman" w:hAnsi="Times New Roman"/>
          <w:sz w:val="18"/>
          <w:szCs w:val="18"/>
          <w:color w:val="auto"/>
        </w:rPr>
      </w:pPr>
    </w:p>
    <w:p>
      <w:pPr>
        <w:ind w:left="340" w:right="160" w:hanging="332"/>
        <w:spacing w:after="0" w:line="26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grants that collectively provide more than USD 500,000 in additional non-dilutive capital to support the advancement of diagnostic programs targeting TDP-43 (TAR DNA-binding protein 43) were awarded to AC Immune by The Michael J. Fox Foundation for Parkinson’s Research (MJFF) and the Target ALS Foundation.</w:t>
      </w:r>
    </w:p>
    <w:p>
      <w:pPr>
        <w:spacing w:after="0" w:line="175" w:lineRule="exact"/>
        <w:rPr>
          <w:rFonts w:ascii="Times New Roman" w:cs="Times New Roman" w:eastAsia="Times New Roman" w:hAnsi="Times New Roman"/>
          <w:sz w:val="18"/>
          <w:szCs w:val="18"/>
          <w:color w:val="auto"/>
        </w:rPr>
      </w:pPr>
    </w:p>
    <w:p>
      <w:pPr>
        <w:ind w:left="340" w:right="28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Strengthened leadership team with appointments of Dr. Nuno Mendonça as Chief Medical Officer, Dr. Madiha Derouazi as Chief Scientific Officer, and Mr. Christopher Roberts as Chief Financial Officer.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Thought Leadership and Collaborations</w:t>
      </w:r>
    </w:p>
    <w:p>
      <w:pPr>
        <w:spacing w:after="0" w:line="229" w:lineRule="exact"/>
        <w:rPr>
          <w:sz w:val="20"/>
          <w:szCs w:val="20"/>
          <w:color w:val="auto"/>
        </w:rPr>
      </w:pPr>
    </w:p>
    <w:p>
      <w:pPr>
        <w:ind w:left="340" w:right="20" w:hanging="332"/>
        <w:spacing w:after="0" w:line="22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a research collaboration with Prof. Michael Heneka, director of the Luxembourg Centre for Systems Biomedicine, University of Luxembourg, to evaluate the therapeutic potential of AC Immune’s SupraAntigen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and Morphomer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-derived inhibitors of the NLRP3-ASC inflammasome pathway in preclinical disease models.</w:t>
      </w:r>
    </w:p>
    <w:p>
      <w:pPr>
        <w:spacing w:after="0" w:line="20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Hosted webinar on PET imaging in AD featuring key opinion leader (KOL) Victor Villemagne, M.D. (University of Pittsburg).</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Hosted KOL webinar on early diagnosis and prevention of AD featuring presentations by Kaj Blennow, MD, PhD, of University of Gothenburg and Sahlgrenska University Hospital, and Giovanni Frisoni, MD, of University of Geneva and the Memory Clinic at Geneva University Hospital.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Anticipated 2024 Milestones</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28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ACI-24.060</w:t>
            </w:r>
          </w:p>
        </w:tc>
        <w:tc>
          <w:tcPr>
            <w:tcW w:w="8960" w:type="dxa"/>
            <w:vAlign w:val="bottom"/>
            <w:tcBorders>
              <w:top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 6-month and 12-month Abeta-PET data in AD expected in Q2 2024 and H2 2024, respectively</w:t>
            </w:r>
          </w:p>
        </w:tc>
        <w:tc>
          <w:tcPr>
            <w:tcW w:w="0" w:type="dxa"/>
            <w:vAlign w:val="bottom"/>
          </w:tcPr>
          <w:p>
            <w:pPr>
              <w:spacing w:after="0"/>
              <w:rPr>
                <w:sz w:val="1"/>
                <w:szCs w:val="1"/>
                <w:color w:val="auto"/>
              </w:rPr>
            </w:pPr>
          </w:p>
        </w:tc>
      </w:tr>
      <w:tr>
        <w:trPr>
          <w:trHeight w:val="108"/>
        </w:trPr>
        <w:tc>
          <w:tcPr>
            <w:tcW w:w="2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anti-Abeta active</w:t>
            </w:r>
          </w:p>
        </w:tc>
        <w:tc>
          <w:tcPr>
            <w:tcW w:w="89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280" w:type="dxa"/>
            <w:vAlign w:val="bottom"/>
            <w:tcBorders>
              <w:left w:val="single" w:sz="8" w:color="auto"/>
              <w:right w:val="single" w:sz="8" w:color="auto"/>
            </w:tcBorders>
            <w:vMerge w:val="continue"/>
          </w:tcPr>
          <w:p>
            <w:pPr>
              <w:spacing w:after="0"/>
              <w:rPr>
                <w:sz w:val="9"/>
                <w:szCs w:val="9"/>
                <w:color w:val="auto"/>
              </w:rPr>
            </w:pPr>
          </w:p>
        </w:tc>
        <w:tc>
          <w:tcPr>
            <w:tcW w:w="896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 Initial safety and immunogenicity data in DS cohort expected in H2 2024</w:t>
            </w:r>
          </w:p>
        </w:tc>
        <w:tc>
          <w:tcPr>
            <w:tcW w:w="0" w:type="dxa"/>
            <w:vAlign w:val="bottom"/>
          </w:tcPr>
          <w:p>
            <w:pPr>
              <w:spacing w:after="0"/>
              <w:rPr>
                <w:sz w:val="1"/>
                <w:szCs w:val="1"/>
                <w:color w:val="auto"/>
              </w:rPr>
            </w:pPr>
          </w:p>
        </w:tc>
      </w:tr>
      <w:tr>
        <w:trPr>
          <w:trHeight w:val="126"/>
        </w:trPr>
        <w:tc>
          <w:tcPr>
            <w:tcW w:w="2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immunotherapy</w:t>
            </w:r>
          </w:p>
        </w:tc>
        <w:tc>
          <w:tcPr>
            <w:tcW w:w="89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8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89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280" w:type="dxa"/>
            <w:vAlign w:val="bottom"/>
            <w:tcBorders>
              <w:left w:val="single" w:sz="8" w:color="auto"/>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ACI-7104.056</w:t>
            </w:r>
          </w:p>
        </w:tc>
        <w:tc>
          <w:tcPr>
            <w:tcW w:w="8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anti-a-syn active</w:t>
            </w:r>
          </w:p>
        </w:tc>
        <w:tc>
          <w:tcPr>
            <w:tcW w:w="89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Interim safety and immunogenicity update from the Phase 2 VacSYn study in Parkinson’s disease expected in H2 2024</w:t>
            </w:r>
          </w:p>
        </w:tc>
        <w:tc>
          <w:tcPr>
            <w:tcW w:w="0" w:type="dxa"/>
            <w:vAlign w:val="bottom"/>
          </w:tcPr>
          <w:p>
            <w:pPr>
              <w:spacing w:after="0"/>
              <w:rPr>
                <w:sz w:val="1"/>
                <w:szCs w:val="1"/>
                <w:color w:val="auto"/>
              </w:rPr>
            </w:pPr>
          </w:p>
        </w:tc>
      </w:tr>
      <w:tr>
        <w:trPr>
          <w:trHeight w:val="234"/>
        </w:trPr>
        <w:tc>
          <w:tcPr>
            <w:tcW w:w="22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immunotherapy</w:t>
            </w:r>
          </w:p>
        </w:tc>
        <w:tc>
          <w:tcPr>
            <w:tcW w:w="89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280" w:type="dxa"/>
            <w:vAlign w:val="bottom"/>
            <w:tcBorders>
              <w:left w:val="single" w:sz="8" w:color="auto"/>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ACI-35.030</w:t>
            </w:r>
          </w:p>
        </w:tc>
        <w:tc>
          <w:tcPr>
            <w:tcW w:w="8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anti-pTau active</w:t>
            </w:r>
          </w:p>
        </w:tc>
        <w:tc>
          <w:tcPr>
            <w:tcW w:w="89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First-patient in ReTain Phase 2b clinical trial expected in H1 2024</w:t>
            </w:r>
          </w:p>
        </w:tc>
        <w:tc>
          <w:tcPr>
            <w:tcW w:w="0" w:type="dxa"/>
            <w:vAlign w:val="bottom"/>
          </w:tcPr>
          <w:p>
            <w:pPr>
              <w:spacing w:after="0"/>
              <w:rPr>
                <w:sz w:val="1"/>
                <w:szCs w:val="1"/>
                <w:color w:val="auto"/>
              </w:rPr>
            </w:pPr>
          </w:p>
        </w:tc>
      </w:tr>
      <w:tr>
        <w:trPr>
          <w:trHeight w:val="234"/>
        </w:trPr>
        <w:tc>
          <w:tcPr>
            <w:tcW w:w="22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immunotherapy</w:t>
            </w:r>
          </w:p>
        </w:tc>
        <w:tc>
          <w:tcPr>
            <w:tcW w:w="89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2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Anti-TDP-43 antibody</w:t>
            </w:r>
          </w:p>
        </w:tc>
        <w:tc>
          <w:tcPr>
            <w:tcW w:w="8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Completion of regulatory tox studies expected in H1 2024</w:t>
            </w:r>
          </w:p>
        </w:tc>
        <w:tc>
          <w:tcPr>
            <w:tcW w:w="0" w:type="dxa"/>
            <w:vAlign w:val="bottom"/>
          </w:tcPr>
          <w:p>
            <w:pPr>
              <w:spacing w:after="0"/>
              <w:rPr>
                <w:sz w:val="1"/>
                <w:szCs w:val="1"/>
                <w:color w:val="auto"/>
              </w:rPr>
            </w:pPr>
          </w:p>
        </w:tc>
      </w:tr>
      <w:tr>
        <w:trPr>
          <w:trHeight w:val="210"/>
        </w:trPr>
        <w:tc>
          <w:tcPr>
            <w:tcW w:w="22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TDP-43-PET tracer</w:t>
            </w:r>
          </w:p>
        </w:tc>
        <w:tc>
          <w:tcPr>
            <w:tcW w:w="8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Phase 1 initiation expected in H2 2024</w:t>
            </w:r>
          </w:p>
        </w:tc>
        <w:tc>
          <w:tcPr>
            <w:tcW w:w="0" w:type="dxa"/>
            <w:vAlign w:val="bottom"/>
          </w:tcPr>
          <w:p>
            <w:pPr>
              <w:spacing w:after="0"/>
              <w:rPr>
                <w:sz w:val="1"/>
                <w:szCs w:val="1"/>
                <w:color w:val="auto"/>
              </w:rPr>
            </w:pPr>
          </w:p>
        </w:tc>
      </w:tr>
      <w:tr>
        <w:trPr>
          <w:trHeight w:val="191"/>
        </w:trPr>
        <w:tc>
          <w:tcPr>
            <w:tcW w:w="2280" w:type="dxa"/>
            <w:vAlign w:val="bottom"/>
            <w:tcBorders>
              <w:left w:val="single" w:sz="8" w:color="auto"/>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ACI-15916</w:t>
            </w:r>
          </w:p>
        </w:tc>
        <w:tc>
          <w:tcPr>
            <w:tcW w:w="896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 IND-enabling studies in PD expected to be completed in H2 2024</w:t>
            </w:r>
          </w:p>
        </w:tc>
        <w:tc>
          <w:tcPr>
            <w:tcW w:w="0" w:type="dxa"/>
            <w:vAlign w:val="bottom"/>
          </w:tcPr>
          <w:p>
            <w:pPr>
              <w:spacing w:after="0"/>
              <w:rPr>
                <w:sz w:val="1"/>
                <w:szCs w:val="1"/>
                <w:color w:val="auto"/>
              </w:rPr>
            </w:pPr>
          </w:p>
        </w:tc>
      </w:tr>
      <w:tr>
        <w:trPr>
          <w:trHeight w:val="126"/>
        </w:trPr>
        <w:tc>
          <w:tcPr>
            <w:tcW w:w="228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a-syn-PET tracer</w:t>
            </w:r>
          </w:p>
        </w:tc>
        <w:tc>
          <w:tcPr>
            <w:tcW w:w="89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8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89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42"/>
        </w:trPr>
        <w:tc>
          <w:tcPr>
            <w:tcW w:w="2280" w:type="dxa"/>
            <w:vAlign w:val="bottom"/>
            <w:tcBorders>
              <w:bottom w:val="single" w:sz="8" w:color="auto"/>
            </w:tcBorders>
          </w:tcPr>
          <w:p>
            <w:pPr>
              <w:spacing w:after="0"/>
              <w:rPr>
                <w:sz w:val="24"/>
                <w:szCs w:val="24"/>
                <w:color w:val="auto"/>
              </w:rPr>
            </w:pPr>
          </w:p>
        </w:tc>
        <w:tc>
          <w:tcPr>
            <w:tcW w:w="8960" w:type="dxa"/>
            <w:vAlign w:val="bottom"/>
            <w:tcBorders>
              <w:bottom w:val="single" w:sz="8" w:color="auto"/>
            </w:tcBorders>
          </w:tcPr>
          <w:p>
            <w:pPr>
              <w:ind w:left="8640"/>
              <w:spacing w:after="0"/>
              <w:rPr>
                <w:sz w:val="20"/>
                <w:szCs w:val="20"/>
                <w:color w:val="auto"/>
              </w:rPr>
            </w:pPr>
            <w:r>
              <w:rPr>
                <w:rFonts w:ascii="Times New Roman" w:cs="Times New Roman" w:eastAsia="Times New Roman" w:hAnsi="Times New Roman"/>
                <w:sz w:val="18"/>
                <w:szCs w:val="18"/>
                <w:color w:val="auto"/>
                <w:w w:val="87"/>
              </w:rPr>
              <w:t>3 / 7</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Analysis of Financial Statements for the Year Ended December 31, 2023</w:t>
      </w:r>
    </w:p>
    <w:p>
      <w:pPr>
        <w:spacing w:after="0" w:line="225" w:lineRule="exact"/>
        <w:rPr>
          <w:sz w:val="20"/>
          <w:szCs w:val="20"/>
          <w:color w:val="auto"/>
        </w:rPr>
      </w:pPr>
    </w:p>
    <w:p>
      <w:pPr>
        <w:ind w:left="660" w:hanging="328"/>
        <w:spacing w:after="0" w:line="259"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Position: </w:t>
      </w:r>
      <w:r>
        <w:rPr>
          <w:rFonts w:ascii="Times New Roman" w:cs="Times New Roman" w:eastAsia="Times New Roman" w:hAnsi="Times New Roman"/>
          <w:sz w:val="18"/>
          <w:szCs w:val="18"/>
          <w:color w:val="auto"/>
        </w:rPr>
        <w:t>The Company had a total cash balance of CHF 103.1 million as of December 31, 2023, compared to a total cash balance of CHF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122.6 million as of December 31, 2022. On February 1, 2024, the Company received the milestone payment of CHF 14.8 million from Janssen for the commencement of ReTain, the ACI-35.030 Phase 2b clinical study. The Company’s cash balance provides sufficient capital resources to progress into at least Q1 2026, assuming potential milestone payment of CHF 24.6 million related to achieving an undisclosed enrolment target for our ACI-35.030 and no other milestones.</w:t>
      </w:r>
    </w:p>
    <w:p>
      <w:pPr>
        <w:spacing w:after="0" w:line="179" w:lineRule="exact"/>
        <w:rPr>
          <w:rFonts w:ascii="Times New Roman" w:cs="Times New Roman" w:eastAsia="Times New Roman" w:hAnsi="Times New Roman"/>
          <w:sz w:val="18"/>
          <w:szCs w:val="18"/>
          <w:color w:val="auto"/>
        </w:rPr>
      </w:pPr>
    </w:p>
    <w:p>
      <w:pPr>
        <w:ind w:left="660" w:right="80" w:hanging="328"/>
        <w:spacing w:after="0" w:line="268"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Contract Revenues: </w:t>
      </w:r>
      <w:r>
        <w:rPr>
          <w:rFonts w:ascii="Times New Roman" w:cs="Times New Roman" w:eastAsia="Times New Roman" w:hAnsi="Times New Roman"/>
          <w:sz w:val="18"/>
          <w:szCs w:val="18"/>
          <w:color w:val="auto"/>
        </w:rPr>
        <w:t>The Company recorded CHF 14.8 million in contract revenues for the year end December 31, 2023 compared with CHF 3.9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in contract revenues in the prior year. For the year ended December 31, 2023, our contract revenues of CHF 14.8 million were related to the commencement of the first Phase 2b clinical study of ACI-35.030 per our agreement with Janssen.</w:t>
      </w:r>
    </w:p>
    <w:p>
      <w:pPr>
        <w:spacing w:after="0" w:line="170" w:lineRule="exact"/>
        <w:rPr>
          <w:rFonts w:ascii="Times New Roman" w:cs="Times New Roman" w:eastAsia="Times New Roman" w:hAnsi="Times New Roman"/>
          <w:sz w:val="18"/>
          <w:szCs w:val="18"/>
          <w:color w:val="auto"/>
        </w:rPr>
      </w:pPr>
    </w:p>
    <w:p>
      <w:pPr>
        <w:ind w:left="660" w:right="260" w:hanging="328"/>
        <w:spacing w:after="0" w:line="28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R&amp;D Expenditures: </w:t>
      </w:r>
      <w:r>
        <w:rPr>
          <w:rFonts w:ascii="Times New Roman" w:cs="Times New Roman" w:eastAsia="Times New Roman" w:hAnsi="Times New Roman"/>
          <w:sz w:val="18"/>
          <w:szCs w:val="18"/>
          <w:color w:val="auto"/>
        </w:rPr>
        <w:t>R&amp;D expenses decreased by CHF 5.7 million for the year ended December 31, 2023 to CHF 54.6 million, predominantly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due to:</w:t>
      </w:r>
    </w:p>
    <w:p>
      <w:pPr>
        <w:spacing w:after="0" w:line="155" w:lineRule="exact"/>
        <w:rPr>
          <w:sz w:val="20"/>
          <w:szCs w:val="20"/>
          <w:color w:val="auto"/>
        </w:rPr>
      </w:pPr>
    </w:p>
    <w:p>
      <w:pPr>
        <w:ind w:left="1300" w:right="320" w:hanging="320"/>
        <w:spacing w:after="0" w:line="263"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Discovery and preclinical expenses (- CHF 5.8 million)</w:t>
      </w:r>
      <w:r>
        <w:rPr>
          <w:rFonts w:ascii="Times New Roman" w:cs="Times New Roman" w:eastAsia="Times New Roman" w:hAnsi="Times New Roman"/>
          <w:sz w:val="18"/>
          <w:szCs w:val="18"/>
          <w:color w:val="auto"/>
        </w:rPr>
        <w:t>: The Company decreased expenditures across a variety of its discovery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preclinical programs.</w:t>
      </w:r>
    </w:p>
    <w:p>
      <w:pPr>
        <w:ind w:left="1300" w:right="20" w:hanging="320"/>
        <w:spacing w:after="0" w:line="250"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Clinical expenses (- CHF 2.0 million): </w:t>
      </w:r>
      <w:r>
        <w:rPr>
          <w:rFonts w:ascii="Times New Roman" w:cs="Times New Roman" w:eastAsia="Times New Roman" w:hAnsi="Times New Roman"/>
          <w:sz w:val="18"/>
          <w:szCs w:val="18"/>
          <w:color w:val="auto"/>
        </w:rPr>
        <w:t>The Company had a net decrease in clinical expenditures largely due the completion of the Phase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1b/2a and the advancement into Phase 2b for our ACI-35.030 active immunotherapy. We increased expenditures for the continued clinical development of our Phase 1b/2 ABATE study for ACI-24.060.</w:t>
      </w:r>
    </w:p>
    <w:p>
      <w:pPr>
        <w:spacing w:after="0" w:line="1" w:lineRule="exact"/>
        <w:rPr>
          <w:rFonts w:ascii="Times New Roman" w:cs="Times New Roman" w:eastAsia="Times New Roman" w:hAnsi="Times New Roman"/>
          <w:sz w:val="18"/>
          <w:szCs w:val="18"/>
          <w:color w:val="auto"/>
        </w:rPr>
      </w:pPr>
    </w:p>
    <w:p>
      <w:pPr>
        <w:ind w:left="1300" w:right="640" w:hanging="320"/>
        <w:spacing w:after="0" w:line="260"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Salary- and benefit-related costs (+ CHF 2.2 million): </w:t>
      </w:r>
      <w:r>
        <w:rPr>
          <w:rFonts w:ascii="Times New Roman" w:cs="Times New Roman" w:eastAsia="Times New Roman" w:hAnsi="Times New Roman"/>
          <w:sz w:val="18"/>
          <w:szCs w:val="18"/>
          <w:color w:val="auto"/>
        </w:rPr>
        <w:t>While the staffing position remained stable in 2023, personnel 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increased due to the annualization of 2022 hires.</w:t>
      </w:r>
    </w:p>
    <w:p>
      <w:pPr>
        <w:spacing w:after="0" w:line="177" w:lineRule="exact"/>
        <w:rPr>
          <w:rFonts w:ascii="Times New Roman" w:cs="Times New Roman" w:eastAsia="Times New Roman" w:hAnsi="Times New Roman"/>
          <w:sz w:val="18"/>
          <w:szCs w:val="18"/>
          <w:color w:val="auto"/>
        </w:rPr>
      </w:pPr>
    </w:p>
    <w:p>
      <w:pPr>
        <w:ind w:left="660" w:right="140" w:hanging="328"/>
        <w:spacing w:after="0" w:line="28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G&amp;A Expenditures: </w:t>
      </w:r>
      <w:r>
        <w:rPr>
          <w:rFonts w:ascii="Times New Roman" w:cs="Times New Roman" w:eastAsia="Times New Roman" w:hAnsi="Times New Roman"/>
          <w:sz w:val="18"/>
          <w:szCs w:val="18"/>
          <w:color w:val="auto"/>
        </w:rPr>
        <w:t>G&amp;A expenses decreased by CHF 0.5 million for the year ended December 31, 2023 to CHF 15.3 million. This decrease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related to a decrease in operating expenses across various cost centers. This is partially offset by an increase in salaries and related costs.</w:t>
      </w:r>
    </w:p>
    <w:p>
      <w:pPr>
        <w:spacing w:after="0" w:line="154" w:lineRule="exact"/>
        <w:rPr>
          <w:rFonts w:ascii="Times New Roman" w:cs="Times New Roman" w:eastAsia="Times New Roman" w:hAnsi="Times New Roman"/>
          <w:sz w:val="18"/>
          <w:szCs w:val="18"/>
          <w:color w:val="auto"/>
        </w:rPr>
      </w:pPr>
    </w:p>
    <w:p>
      <w:pPr>
        <w:ind w:left="660" w:right="200" w:hanging="328"/>
        <w:spacing w:after="0" w:line="28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Other Operating Income: </w:t>
      </w:r>
      <w:r>
        <w:rPr>
          <w:rFonts w:ascii="Times New Roman" w:cs="Times New Roman" w:eastAsia="Times New Roman" w:hAnsi="Times New Roman"/>
          <w:sz w:val="18"/>
          <w:szCs w:val="18"/>
          <w:color w:val="auto"/>
        </w:rPr>
        <w:t>The Company recorded CHF 1.4 million in grant income for R&amp;D activities performed under our grants for the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December 31, 2023.</w:t>
      </w:r>
    </w:p>
    <w:p>
      <w:pPr>
        <w:spacing w:after="0" w:line="154" w:lineRule="exact"/>
        <w:rPr>
          <w:rFonts w:ascii="Times New Roman" w:cs="Times New Roman" w:eastAsia="Times New Roman" w:hAnsi="Times New Roman"/>
          <w:sz w:val="18"/>
          <w:szCs w:val="18"/>
          <w:color w:val="auto"/>
        </w:rPr>
      </w:pPr>
    </w:p>
    <w:p>
      <w:pPr>
        <w:ind w:left="660" w:right="260" w:hanging="328"/>
        <w:spacing w:after="0" w:line="28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IFRS Loss for the Period: </w:t>
      </w:r>
      <w:r>
        <w:rPr>
          <w:rFonts w:ascii="Times New Roman" w:cs="Times New Roman" w:eastAsia="Times New Roman" w:hAnsi="Times New Roman"/>
          <w:sz w:val="18"/>
          <w:szCs w:val="18"/>
          <w:color w:val="auto"/>
        </w:rPr>
        <w:t>The Company reported a net loss after taxes of CHF 54.2 million for the year ended December 31, 2023, compared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 net loss of CHF 70.8 million for the prior period.</w:t>
      </w:r>
    </w:p>
    <w:p>
      <w:pPr>
        <w:spacing w:after="0" w:line="3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About AC Immune SA</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AC Immune SA is a clinical-stage biopharmaceutical company and a global leader in precision prevention for neurodegenerative diseases, including Alzheimer’s disease, Parkinson’s disease, and NeuroOrphan indications driven by misfolded proteins. The Company’s two clinically validated technology platforms, SupraAntigen® and Morphomer®, fuel its broad and diversified pipeline of first- and best-in-class assets, which currently features sixteen therapeutic and diagnostic programs, five of which are currently in Phase 2 clinical trials and one of which is in Phase 3. AC Immune has a strong track record of securing strategic partnerships with leading global pharmaceutical companies, resulting in substantial non-dilutive funding in potential milestone payments plus royalties.</w:t>
      </w:r>
    </w:p>
    <w:p>
      <w:pPr>
        <w:spacing w:after="0" w:line="18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SupraAntigen® is a registered trademark of AC Immune SA in the following territories: AU, EU, CH, GB, JP, RU, SG and USA. Morphomer® is a registered trademark of AC Immune SA in CN, CH, GB, JP, KR, NO and RU.</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information on our website and any other websites referenced herein is expressly not incorporated by reference into, and does not constitute a part of, this press release.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For further information, please contact:</w:t>
            </w:r>
          </w:p>
        </w:tc>
        <w:tc>
          <w:tcPr>
            <w:tcW w:w="10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27"/>
        </w:trPr>
        <w:tc>
          <w:tcPr>
            <w:tcW w:w="480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SVP, Investor Relations &amp; Corporate Communications</w:t>
            </w:r>
          </w:p>
        </w:tc>
        <w:tc>
          <w:tcPr>
            <w:tcW w:w="302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U.S. Investors</w:t>
            </w:r>
          </w:p>
        </w:tc>
      </w:tr>
      <w:tr>
        <w:trPr>
          <w:trHeight w:val="216"/>
        </w:trPr>
        <w:tc>
          <w:tcPr>
            <w:tcW w:w="48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Gary Waanders, Ph.D., MBA</w:t>
            </w:r>
          </w:p>
        </w:tc>
        <w:tc>
          <w:tcPr>
            <w:tcW w:w="30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Corey Davis, Ph.D.</w:t>
            </w:r>
          </w:p>
        </w:tc>
      </w:tr>
      <w:tr>
        <w:trPr>
          <w:trHeight w:val="216"/>
        </w:trPr>
        <w:tc>
          <w:tcPr>
            <w:tcW w:w="48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AC Immune</w:t>
            </w:r>
          </w:p>
        </w:tc>
        <w:tc>
          <w:tcPr>
            <w:tcW w:w="30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LifeSci Advisors</w:t>
            </w:r>
          </w:p>
        </w:tc>
      </w:tr>
      <w:tr>
        <w:trPr>
          <w:trHeight w:val="216"/>
        </w:trPr>
        <w:tc>
          <w:tcPr>
            <w:tcW w:w="48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Phone: +41 21 345 91 91</w:t>
            </w:r>
          </w:p>
        </w:tc>
        <w:tc>
          <w:tcPr>
            <w:tcW w:w="30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Phone: +1 212 915 2577</w:t>
            </w:r>
          </w:p>
        </w:tc>
      </w:tr>
      <w:tr>
        <w:trPr>
          <w:trHeight w:val="194"/>
        </w:trPr>
        <w:tc>
          <w:tcPr>
            <w:tcW w:w="4800" w:type="dxa"/>
            <w:vAlign w:val="bottom"/>
            <w:gridSpan w:val="4"/>
          </w:tcPr>
          <w:p>
            <w:pPr>
              <w:ind w:left="100"/>
              <w:spacing w:after="0" w:line="194" w:lineRule="exact"/>
              <w:rPr>
                <w:sz w:val="20"/>
                <w:szCs w:val="20"/>
                <w:color w:val="auto"/>
              </w:rPr>
            </w:pPr>
            <w:r>
              <w:rPr>
                <w:rFonts w:ascii="Times New Roman" w:cs="Times New Roman" w:eastAsia="Times New Roman" w:hAnsi="Times New Roman"/>
                <w:sz w:val="18"/>
                <w:szCs w:val="18"/>
                <w:color w:val="auto"/>
              </w:rPr>
              <w:t>Email: gary.waanders@acimmune.com</w:t>
            </w:r>
          </w:p>
        </w:tc>
        <w:tc>
          <w:tcPr>
            <w:tcW w:w="3020" w:type="dxa"/>
            <w:vAlign w:val="bottom"/>
            <w:gridSpan w:val="2"/>
          </w:tcPr>
          <w:p>
            <w:pPr>
              <w:ind w:left="480"/>
              <w:spacing w:after="0" w:line="194" w:lineRule="exact"/>
              <w:rPr>
                <w:sz w:val="20"/>
                <w:szCs w:val="20"/>
                <w:color w:val="auto"/>
              </w:rPr>
            </w:pPr>
            <w:r>
              <w:rPr>
                <w:rFonts w:ascii="Times New Roman" w:cs="Times New Roman" w:eastAsia="Times New Roman" w:hAnsi="Times New Roman"/>
                <w:sz w:val="18"/>
                <w:szCs w:val="18"/>
                <w:color w:val="auto"/>
                <w:w w:val="98"/>
              </w:rPr>
              <w:t>Email: cdavis@lifesciadvisors.com</w:t>
            </w:r>
          </w:p>
        </w:tc>
      </w:tr>
      <w:tr>
        <w:trPr>
          <w:trHeight w:val="20"/>
        </w:trPr>
        <w:tc>
          <w:tcPr>
            <w:tcW w:w="62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r>
      <w:tr>
        <w:trPr>
          <w:trHeight w:val="448"/>
        </w:trPr>
        <w:tc>
          <w:tcPr>
            <w:tcW w:w="480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International Media</w:t>
            </w:r>
          </w:p>
        </w:tc>
        <w:tc>
          <w:tcPr>
            <w:tcW w:w="10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16"/>
        </w:trPr>
        <w:tc>
          <w:tcPr>
            <w:tcW w:w="48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Chris Maggos</w:t>
            </w:r>
          </w:p>
        </w:tc>
        <w:tc>
          <w:tcPr>
            <w:tcW w:w="10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48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Cohesion Bureau</w:t>
            </w:r>
          </w:p>
        </w:tc>
        <w:tc>
          <w:tcPr>
            <w:tcW w:w="10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48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Phone: +41 79 367 6254</w:t>
            </w:r>
          </w:p>
        </w:tc>
        <w:tc>
          <w:tcPr>
            <w:tcW w:w="100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194"/>
        </w:trPr>
        <w:tc>
          <w:tcPr>
            <w:tcW w:w="4800" w:type="dxa"/>
            <w:vAlign w:val="bottom"/>
            <w:gridSpan w:val="4"/>
          </w:tcPr>
          <w:p>
            <w:pPr>
              <w:ind w:left="100"/>
              <w:spacing w:after="0" w:line="194" w:lineRule="exact"/>
              <w:rPr>
                <w:sz w:val="20"/>
                <w:szCs w:val="20"/>
                <w:color w:val="auto"/>
              </w:rPr>
            </w:pPr>
            <w:r>
              <w:rPr>
                <w:rFonts w:ascii="Times New Roman" w:cs="Times New Roman" w:eastAsia="Times New Roman" w:hAnsi="Times New Roman"/>
                <w:sz w:val="18"/>
                <w:szCs w:val="18"/>
                <w:color w:val="auto"/>
              </w:rPr>
              <w:t>Email: chris.maggos@cohesionbureau.com</w:t>
            </w:r>
          </w:p>
        </w:tc>
        <w:tc>
          <w:tcPr>
            <w:tcW w:w="100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20"/>
        </w:trPr>
        <w:tc>
          <w:tcPr>
            <w:tcW w:w="620" w:type="dxa"/>
            <w:vAlign w:val="bottom"/>
          </w:tcPr>
          <w:p>
            <w:pPr>
              <w:spacing w:after="0" w:line="20" w:lineRule="exact"/>
              <w:rPr>
                <w:sz w:val="1"/>
                <w:szCs w:val="1"/>
                <w:color w:val="auto"/>
              </w:rPr>
            </w:pPr>
          </w:p>
        </w:tc>
        <w:tc>
          <w:tcPr>
            <w:tcW w:w="2620" w:type="dxa"/>
            <w:vAlign w:val="bottom"/>
            <w:gridSpan w:val="2"/>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453"/>
        </w:trPr>
        <w:tc>
          <w:tcPr>
            <w:tcW w:w="48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tc>
        <w:tc>
          <w:tcPr>
            <w:tcW w:w="1000" w:type="dxa"/>
            <w:vAlign w:val="bottom"/>
          </w:tcPr>
          <w:p>
            <w:pPr>
              <w:spacing w:after="0"/>
              <w:rPr>
                <w:sz w:val="24"/>
                <w:szCs w:val="24"/>
                <w:color w:val="auto"/>
              </w:rPr>
            </w:pPr>
          </w:p>
        </w:tc>
        <w:tc>
          <w:tcPr>
            <w:tcW w:w="2020" w:type="dxa"/>
            <w:vAlign w:val="bottom"/>
          </w:tcPr>
          <w:p>
            <w:pPr>
              <w:spacing w:after="0"/>
              <w:rPr>
                <w:sz w:val="24"/>
                <w:szCs w:val="24"/>
                <w:color w:val="auto"/>
              </w:rPr>
            </w:pPr>
          </w:p>
        </w:tc>
      </w:tr>
    </w:tbl>
    <w:p>
      <w:pPr>
        <w:spacing w:after="0" w:line="19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Non-current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Property, plant and equipment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Right-of-use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financial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p>
      <w:pPr>
        <w:spacing w:after="0" w:line="20" w:lineRule="exact"/>
        <w:rPr>
          <w:sz w:val="20"/>
          <w:szCs w:val="20"/>
          <w:color w:val="auto"/>
        </w:rPr>
      </w:pPr>
      <w:r>
        <w:rPr>
          <w:sz w:val="20"/>
          <w:szCs w:val="20"/>
          <w:color w:val="auto"/>
        </w:rPr>
        <w:br w:type="column"/>
      </w:r>
    </w:p>
    <w:p>
      <w:pPr>
        <w:jc w:val="center"/>
        <w:ind w:right="4520"/>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43" w:lineRule="exact"/>
        <w:rPr>
          <w:sz w:val="20"/>
          <w:szCs w:val="20"/>
          <w:color w:val="auto"/>
        </w:rPr>
      </w:pPr>
    </w:p>
    <w:p>
      <w:pPr>
        <w:jc w:val="center"/>
        <w:ind w:right="4520"/>
        <w:spacing w:after="0"/>
        <w:rPr>
          <w:sz w:val="20"/>
          <w:szCs w:val="20"/>
          <w:color w:val="auto"/>
        </w:rPr>
      </w:pPr>
      <w:r>
        <w:rPr>
          <w:rFonts w:ascii="Times New Roman" w:cs="Times New Roman" w:eastAsia="Times New Roman" w:hAnsi="Times New Roman"/>
          <w:sz w:val="18"/>
          <w:szCs w:val="18"/>
          <w:b w:val="1"/>
          <w:bCs w:val="1"/>
          <w:color w:val="auto"/>
        </w:rPr>
        <w:t>(In CHF thousands)</w:t>
      </w:r>
    </w:p>
    <w:p>
      <w:pPr>
        <w:spacing w:after="0" w:line="203" w:lineRule="exact"/>
        <w:rPr>
          <w:sz w:val="20"/>
          <w:szCs w:val="20"/>
          <w:color w:val="auto"/>
        </w:rPr>
      </w:pPr>
    </w:p>
    <w:p>
      <w:pPr>
        <w:jc w:val="center"/>
        <w:ind w:left="-3479"/>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1" w:lineRule="exact"/>
        <w:rPr>
          <w:sz w:val="20"/>
          <w:szCs w:val="20"/>
          <w:color w:val="auto"/>
        </w:rPr>
      </w:pPr>
    </w:p>
    <w:p>
      <w:pPr>
        <w:jc w:val="center"/>
        <w:ind w:left="-3479"/>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14605</wp:posOffset>
            </wp:positionV>
            <wp:extent cx="17056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7" w:lineRule="exact"/>
        <w:rPr>
          <w:sz w:val="20"/>
          <w:szCs w:val="20"/>
          <w:color w:val="auto"/>
        </w:rPr>
      </w:pPr>
    </w:p>
    <w:p>
      <w:pPr>
        <w:ind w:left="4360"/>
        <w:spacing w:after="0"/>
        <w:tabs>
          <w:tab w:leader="none" w:pos="5800" w:val="left"/>
        </w:tabs>
        <w:rPr>
          <w:sz w:val="20"/>
          <w:szCs w:val="20"/>
          <w:color w:val="auto"/>
        </w:rPr>
      </w:pPr>
      <w:r>
        <w:rPr>
          <w:rFonts w:ascii="Times New Roman" w:cs="Times New Roman" w:eastAsia="Times New Roman" w:hAnsi="Times New Roman"/>
          <w:sz w:val="18"/>
          <w:szCs w:val="18"/>
          <w:b w:val="1"/>
          <w:bCs w:val="1"/>
          <w:color w:val="auto"/>
        </w:rPr>
        <w:t>2023</w:t>
      </w:r>
      <w:r>
        <w:rPr>
          <w:sz w:val="20"/>
          <w:szCs w:val="20"/>
          <w:color w:val="auto"/>
        </w:rPr>
        <w:tab/>
      </w:r>
      <w:r>
        <w:rPr>
          <w:rFonts w:ascii="Times New Roman" w:cs="Times New Roman" w:eastAsia="Times New Roman" w:hAnsi="Times New Roman"/>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19685</wp:posOffset>
            </wp:positionV>
            <wp:extent cx="713232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3920" w:type="dxa"/>
        <w:tblCellMar>
          <w:top w:w="0" w:type="dxa"/>
          <w:left w:w="0" w:type="dxa"/>
          <w:bottom w:w="0" w:type="dxa"/>
          <w:right w:w="0" w:type="dxa"/>
        </w:tblCellMar>
      </w:tblPr>
      <w:tr>
        <w:trPr>
          <w:trHeight w:val="216"/>
        </w:trPr>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3,376</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4,259</w:t>
            </w:r>
          </w:p>
        </w:tc>
      </w:tr>
      <w:tr>
        <w:trPr>
          <w:trHeight w:val="216"/>
        </w:trPr>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3,508</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w:t>
            </w:r>
          </w:p>
        </w:tc>
      </w:tr>
      <w:tr>
        <w:trPr>
          <w:trHeight w:val="229"/>
        </w:trPr>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50,416</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50,416</w:t>
            </w:r>
          </w:p>
        </w:tc>
      </w:tr>
      <w:tr>
        <w:trPr>
          <w:trHeight w:val="234"/>
        </w:trPr>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23"/>
        </w:trPr>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57,661</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57,844</w:t>
            </w: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-736600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-462280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-179070</wp:posOffset>
            </wp:positionV>
            <wp:extent cx="713232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00" w:space="720"/>
            <w:col w:w="6720"/>
          </w:cols>
          <w:pgMar w:left="320" w:top="900" w:right="339" w:bottom="1440" w:gutter="0" w:footer="0" w:header="0"/>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6,437</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4,708</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income</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246</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receivables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622</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14,800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Short-term financial assets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24,554</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91,000</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78,494</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31,586</w:t>
            </w:r>
          </w:p>
        </w:tc>
        <w:tc>
          <w:tcPr>
            <w:tcW w:w="0" w:type="dxa"/>
            <w:vAlign w:val="bottom"/>
          </w:tcPr>
          <w:p>
            <w:pPr>
              <w:spacing w:after="0"/>
              <w:rPr>
                <w:sz w:val="1"/>
                <w:szCs w:val="1"/>
                <w:color w:val="auto"/>
              </w:rPr>
            </w:pPr>
          </w:p>
        </w:tc>
      </w:tr>
      <w:tr>
        <w:trPr>
          <w:trHeight w:val="263"/>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125,153</w:t>
            </w:r>
          </w:p>
        </w:tc>
        <w:tc>
          <w:tcPr>
            <w:tcW w:w="220" w:type="dxa"/>
            <w:vAlign w:val="bottom"/>
            <w:tcBorders>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128,094</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44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 assets</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182,814</w:t>
            </w:r>
          </w:p>
        </w:tc>
        <w:tc>
          <w:tcPr>
            <w:tcW w:w="2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185,938</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 and liabilities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2,089</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1,797</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premium</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474,907</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431,323</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differences</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losses</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(316,197)</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(264,015)</w:t>
            </w:r>
          </w:p>
        </w:tc>
        <w:tc>
          <w:tcPr>
            <w:tcW w:w="0" w:type="dxa"/>
            <w:vAlign w:val="bottom"/>
          </w:tcPr>
          <w:p>
            <w:pPr>
              <w:spacing w:after="0"/>
              <w:rPr>
                <w:sz w:val="1"/>
                <w:szCs w:val="1"/>
                <w:color w:val="auto"/>
              </w:rPr>
            </w:pPr>
          </w:p>
        </w:tc>
      </w:tr>
      <w:tr>
        <w:trPr>
          <w:trHeight w:val="223"/>
        </w:trPr>
        <w:tc>
          <w:tcPr>
            <w:tcW w:w="8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160,643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2,825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2,253</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employee defined benefit liabilities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5,770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3,213</w:t>
            </w:r>
          </w:p>
        </w:tc>
        <w:tc>
          <w:tcPr>
            <w:tcW w:w="0" w:type="dxa"/>
            <w:vAlign w:val="bottom"/>
          </w:tcPr>
          <w:p>
            <w:pPr>
              <w:spacing w:after="0"/>
              <w:rPr>
                <w:sz w:val="1"/>
                <w:szCs w:val="1"/>
                <w:color w:val="auto"/>
              </w:rPr>
            </w:pPr>
          </w:p>
        </w:tc>
      </w:tr>
      <w:tr>
        <w:trPr>
          <w:trHeight w:val="263"/>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8,595</w:t>
            </w:r>
          </w:p>
        </w:tc>
        <w:tc>
          <w:tcPr>
            <w:tcW w:w="220" w:type="dxa"/>
            <w:vAlign w:val="bottom"/>
            <w:tcBorders>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5,466</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84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1,679</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929</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11,087</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9,417</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r>
        <w:trPr>
          <w:trHeight w:val="230"/>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liabilities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672</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r>
        <w:trPr>
          <w:trHeight w:val="223"/>
        </w:trPr>
        <w:tc>
          <w:tcPr>
            <w:tcW w:w="8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440" w:type="dxa"/>
            <w:vAlign w:val="bottom"/>
            <w:tcBorders>
              <w:bottom w:val="single" w:sz="8" w:color="CCEEFF"/>
            </w:tcBorders>
            <w:vMerge w:val="continue"/>
          </w:tcPr>
          <w:p>
            <w:pPr>
              <w:spacing w:after="0"/>
              <w:rPr>
                <w:sz w:val="20"/>
                <w:szCs w:val="20"/>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22,171</w:t>
            </w:r>
          </w:p>
        </w:tc>
        <w:tc>
          <w:tcPr>
            <w:tcW w:w="220" w:type="dxa"/>
            <w:vAlign w:val="bottom"/>
            <w:tcBorders>
              <w:bottom w:val="single" w:sz="8" w:color="CCEEFF"/>
            </w:tcBorders>
            <w:vMerge w:val="continue"/>
          </w:tcPr>
          <w:p>
            <w:pPr>
              <w:spacing w:after="0"/>
              <w:rPr>
                <w:sz w:val="20"/>
                <w:szCs w:val="20"/>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16,947</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844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 shareholders’ equity and liabilities</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182,814</w:t>
            </w:r>
          </w:p>
        </w:tc>
        <w:tc>
          <w:tcPr>
            <w:tcW w:w="2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185,938</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84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 / 7</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 CHF thousands, except for per-share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9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For the Year Ended</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698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980" w:type="dxa"/>
            <w:vAlign w:val="bottom"/>
          </w:tcPr>
          <w:p>
            <w:pPr>
              <w:spacing w:after="0"/>
              <w:rPr>
                <w:sz w:val="19"/>
                <w:szCs w:val="19"/>
                <w:color w:val="auto"/>
              </w:rPr>
            </w:pPr>
          </w:p>
        </w:tc>
        <w:tc>
          <w:tcPr>
            <w:tcW w:w="12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Pr>
          <w:p>
            <w:pPr>
              <w:spacing w:after="0"/>
              <w:rPr>
                <w:sz w:val="19"/>
                <w:szCs w:val="19"/>
                <w:color w:val="auto"/>
              </w:rPr>
            </w:pPr>
          </w:p>
        </w:tc>
        <w:tc>
          <w:tcPr>
            <w:tcW w:w="140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19"/>
                <w:szCs w:val="19"/>
                <w:color w:val="auto"/>
              </w:rPr>
            </w:pP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Contract revenue</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14,801</w:t>
            </w:r>
          </w:p>
        </w:tc>
        <w:tc>
          <w:tcPr>
            <w:tcW w:w="162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3,935</w:t>
            </w:r>
          </w:p>
        </w:tc>
        <w:tc>
          <w:tcPr>
            <w:tcW w:w="134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14,801</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93"/>
              </w:rPr>
              <w:t>3,935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1">
            <w:col w:w="11240"/>
          </w:cols>
          <w:pgMar w:left="320" w:top="900"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&amp; development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&amp; administrative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operating income/(expense),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loss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income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expense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differences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Finance result, net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before tax</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(54,606)</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(60,336)</w:t>
            </w: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(62,282)</w:t>
            </w:r>
          </w:p>
        </w:tc>
        <w:tc>
          <w:tcPr>
            <w:tcW w:w="0" w:type="dxa"/>
            <w:vAlign w:val="bottom"/>
          </w:tcPr>
          <w:p>
            <w:pPr>
              <w:spacing w:after="0"/>
              <w:rPr>
                <w:sz w:val="1"/>
                <w:szCs w:val="1"/>
                <w:color w:val="auto"/>
              </w:rPr>
            </w:pPr>
          </w:p>
        </w:tc>
      </w:tr>
      <w:tr>
        <w:trPr>
          <w:trHeight w:val="230"/>
        </w:trPr>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(15,305)</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(15,789)</w:t>
            </w: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(17,910)</w:t>
            </w:r>
          </w:p>
        </w:tc>
        <w:tc>
          <w:tcPr>
            <w:tcW w:w="0" w:type="dxa"/>
            <w:vAlign w:val="bottom"/>
          </w:tcPr>
          <w:p>
            <w:pPr>
              <w:spacing w:after="0"/>
              <w:rPr>
                <w:sz w:val="1"/>
                <w:szCs w:val="1"/>
                <w:color w:val="auto"/>
              </w:rPr>
            </w:pPr>
          </w:p>
        </w:tc>
      </w:tr>
      <w:tr>
        <w:trPr>
          <w:trHeight w:val="234"/>
        </w:trPr>
        <w:tc>
          <w:tcPr>
            <w:tcW w:w="14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1,486</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1,343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1,182</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(68,425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(74,782</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(79,010</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(53,624)</w:t>
            </w:r>
          </w:p>
        </w:tc>
        <w:tc>
          <w:tcPr>
            <w:tcW w:w="220" w:type="dxa"/>
            <w:vAlign w:val="bottom"/>
            <w:vMerge w:val="continue"/>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(70,847)</w:t>
            </w:r>
          </w:p>
        </w:tc>
        <w:tc>
          <w:tcPr>
            <w:tcW w:w="220" w:type="dxa"/>
            <w:vAlign w:val="bottom"/>
            <w:vMerge w:val="continue"/>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(79,010)</w:t>
            </w:r>
          </w:p>
        </w:tc>
        <w:tc>
          <w:tcPr>
            <w:tcW w:w="40" w:type="dxa"/>
            <w:vAlign w:val="bottom"/>
            <w:gridSpan w:val="2"/>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5"/>
        </w:trPr>
        <w:tc>
          <w:tcPr>
            <w:tcW w:w="14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1,044</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69</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6,485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(176)</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(355)</w:t>
            </w: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248"/>
        </w:trPr>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(1,467)</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393</w:t>
            </w:r>
          </w:p>
        </w:tc>
        <w:tc>
          <w:tcPr>
            <w:tcW w:w="128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113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20" w:type="dxa"/>
            <w:vAlign w:val="bottom"/>
          </w:tcPr>
          <w:p>
            <w:pPr>
              <w:spacing w:after="0"/>
              <w:rPr>
                <w:sz w:val="19"/>
                <w:szCs w:val="19"/>
                <w:color w:val="auto"/>
              </w:rPr>
            </w:pPr>
          </w:p>
        </w:tc>
        <w:tc>
          <w:tcPr>
            <w:tcW w:w="12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6,017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(54,223)</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(70,740)</w:t>
            </w: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(72,993)</w:t>
            </w:r>
          </w:p>
        </w:tc>
        <w:tc>
          <w:tcPr>
            <w:tcW w:w="0" w:type="dxa"/>
            <w:vAlign w:val="bottom"/>
          </w:tcPr>
          <w:p>
            <w:pPr>
              <w:spacing w:after="0"/>
              <w:rPr>
                <w:sz w:val="1"/>
                <w:szCs w:val="1"/>
                <w:color w:val="auto"/>
              </w:rPr>
            </w:pPr>
          </w:p>
        </w:tc>
      </w:tr>
      <w:tr>
        <w:trPr>
          <w:trHeight w:val="248"/>
        </w:trPr>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w:t>
            </w: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(54,233</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(70,753</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bottom w:val="single" w:sz="8" w:color="auto"/>
            </w:tcBorders>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(72,996</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67281"/>
              </w:rPr>
              <w:t>)</w:t>
            </w:r>
          </w:p>
        </w:tc>
        <w:tc>
          <w:tcPr>
            <w:tcW w:w="0" w:type="dxa"/>
            <w:vAlign w:val="bottom"/>
          </w:tcPr>
          <w:p>
            <w:pPr>
              <w:spacing w:after="0"/>
              <w:rPr>
                <w:sz w:val="1"/>
                <w:szCs w:val="1"/>
                <w:color w:val="auto"/>
              </w:rPr>
            </w:pP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-2211070</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-1936750</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-1653540</wp:posOffset>
            </wp:positionV>
            <wp:extent cx="713232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-1336675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-1062355</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-779145</wp:posOffset>
            </wp:positionV>
            <wp:extent cx="713232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-462280</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-179070</wp:posOffset>
            </wp:positionV>
            <wp:extent cx="713232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60" w:space="720"/>
            <w:col w:w="4260"/>
          </w:cols>
          <w:pgMar w:left="320" w:top="900"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share:</w:t>
            </w:r>
          </w:p>
        </w:tc>
        <w:tc>
          <w:tcPr>
            <w:tcW w:w="1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loss for the period attributable to equity holders</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60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(0.85)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(0.97)</w:t>
            </w:r>
          </w:p>
        </w:tc>
      </w:tr>
      <w:tr>
        <w:trPr>
          <w:trHeight w:val="391"/>
        </w:trPr>
        <w:tc>
          <w:tcPr>
            <w:tcW w:w="8300" w:type="dxa"/>
            <w:vAlign w:val="bottom"/>
            <w:gridSpan w:val="3"/>
          </w:tcPr>
          <w:p>
            <w:pPr>
              <w:ind w:left="338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Income/(Loss)</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6980" w:type="dxa"/>
            <w:vAlign w:val="bottom"/>
          </w:tcPr>
          <w:p>
            <w:pPr>
              <w:ind w:left="4860"/>
              <w:spacing w:after="0"/>
              <w:rPr>
                <w:sz w:val="20"/>
                <w:szCs w:val="20"/>
                <w:color w:val="auto"/>
              </w:rPr>
            </w:pPr>
            <w:r>
              <w:rPr>
                <w:rFonts w:ascii="Times New Roman" w:cs="Times New Roman" w:eastAsia="Times New Roman" w:hAnsi="Times New Roman"/>
                <w:sz w:val="18"/>
                <w:szCs w:val="18"/>
                <w:b w:val="1"/>
                <w:bCs w:val="1"/>
                <w:color w:val="auto"/>
              </w:rPr>
              <w:t>(In CHF thousands)</w:t>
            </w:r>
          </w:p>
        </w:tc>
        <w:tc>
          <w:tcPr>
            <w:tcW w:w="1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3"/>
        </w:trPr>
        <w:tc>
          <w:tcPr>
            <w:tcW w:w="69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0" w:type="dxa"/>
            <w:vAlign w:val="bottom"/>
            <w:gridSpan w:val="3"/>
          </w:tcPr>
          <w:p>
            <w:pPr>
              <w:jc w:val="center"/>
              <w:ind w:right="1"/>
              <w:spacing w:after="0"/>
              <w:rPr>
                <w:sz w:val="20"/>
                <w:szCs w:val="20"/>
                <w:color w:val="auto"/>
              </w:rPr>
            </w:pPr>
            <w:r>
              <w:rPr>
                <w:rFonts w:ascii="Times New Roman" w:cs="Times New Roman" w:eastAsia="Times New Roman" w:hAnsi="Times New Roman"/>
                <w:sz w:val="18"/>
                <w:szCs w:val="18"/>
                <w:b w:val="1"/>
                <w:bCs w:val="1"/>
                <w:color w:val="auto"/>
                <w:w w:val="98"/>
              </w:rPr>
              <w:t>For the Year Ended</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698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980" w:type="dxa"/>
            <w:vAlign w:val="bottom"/>
          </w:tcPr>
          <w:p>
            <w:pPr>
              <w:spacing w:after="0"/>
              <w:rPr>
                <w:sz w:val="19"/>
                <w:szCs w:val="19"/>
                <w:color w:val="auto"/>
              </w:rPr>
            </w:pPr>
          </w:p>
        </w:tc>
        <w:tc>
          <w:tcPr>
            <w:tcW w:w="12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9"/>
                <w:szCs w:val="19"/>
                <w:color w:val="auto"/>
              </w:rPr>
            </w:pPr>
          </w:p>
        </w:tc>
        <w:tc>
          <w:tcPr>
            <w:tcW w:w="13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19"/>
                <w:szCs w:val="19"/>
                <w:color w:val="auto"/>
              </w:rPr>
            </w:pP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(54,233)</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(70,753)</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(72,996)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Items that may be reclassified to income or loss in subsequent periods (net of tax):</w:t>
            </w: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differences</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60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Items that will not to be reclassified to income or loss in subsequent periods (net of tax):</w:t>
            </w: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Remeasurement gains/(losses) on defined-benefit plans (net of tax)</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160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4,426</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956</w:t>
            </w:r>
          </w:p>
        </w:tc>
      </w:tr>
      <w:tr>
        <w:trPr>
          <w:trHeight w:val="263"/>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comprehensive income/(loss)</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CCEEFF"/>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4,436</w:t>
            </w:r>
          </w:p>
        </w:tc>
        <w:tc>
          <w:tcPr>
            <w:tcW w:w="220" w:type="dxa"/>
            <w:vAlign w:val="bottom"/>
            <w:tcBorders>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00" w:type="dxa"/>
            <w:vAlign w:val="bottom"/>
            <w:tcBorders>
              <w:bottom w:val="single" w:sz="8" w:color="CCEEFF"/>
            </w:tcBorders>
          </w:tcPr>
          <w:p>
            <w:pPr>
              <w:spacing w:after="0"/>
              <w:rPr>
                <w:sz w:val="22"/>
                <w:szCs w:val="22"/>
                <w:color w:val="auto"/>
              </w:rPr>
            </w:pPr>
          </w:p>
        </w:tc>
      </w:tr>
      <w:tr>
        <w:trPr>
          <w:trHeight w:val="196"/>
        </w:trPr>
        <w:tc>
          <w:tcPr>
            <w:tcW w:w="698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 comprehensive loss, net of tax</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(55,963</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(66,317</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(72,040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9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69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 / 7</w:t>
            </w: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lvl w:ilvl="1">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2024-03-14T06:51:25Z</dcterms:created>
  <dcterms:modified xsi:type="dcterms:W3CDTF">2024-03-14T06:51:25Z</dcterms:modified>
</cp:coreProperties>
</file>