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147320</wp:posOffset>
            </wp:positionH>
            <wp:positionV relativeFrom="page">
              <wp:posOffset>147320</wp:posOffset>
            </wp:positionV>
            <wp:extent cx="7266305"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6305" cy="36830"/>
                    </a:xfrm>
                    <a:prstGeom prst="rect">
                      <a:avLst/>
                    </a:prstGeom>
                    <a:noFill/>
                  </pic:spPr>
                </pic:pic>
              </a:graphicData>
            </a:graphic>
          </wp:anchor>
        </w:drawing>
        <w:drawing>
          <wp:anchor simplePos="0" relativeHeight="251657728" behindDoc="1" locked="0" layoutInCell="0" allowOverlap="1">
            <wp:simplePos x="0" y="0"/>
            <wp:positionH relativeFrom="page">
              <wp:posOffset>147320</wp:posOffset>
            </wp:positionH>
            <wp:positionV relativeFrom="page">
              <wp:posOffset>191770</wp:posOffset>
            </wp:positionV>
            <wp:extent cx="72663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6305" cy="7620"/>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6-K</w:t>
      </w:r>
    </w:p>
    <w:p>
      <w:pPr>
        <w:spacing w:after="0" w:line="260"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b w:val="1"/>
          <w:bCs w:val="1"/>
          <w:color w:val="auto"/>
        </w:rPr>
        <w:t>REPORT OF FOREIGN PRIVATE ISSUER PURSUANT TO RULE 13a-16 OR 15d-16 UNDER THE SECURITIES EXCHANGE ACT OF 1934</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For the month of April,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2606040</wp:posOffset>
            </wp:positionH>
            <wp:positionV relativeFrom="paragraph">
              <wp:posOffset>43815</wp:posOffset>
            </wp:positionV>
            <wp:extent cx="18167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16735" cy="7620"/>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Commission File Number: 001-37891</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AC IMMUNE SA</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EPFL Innovation Park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Building B</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1015 Lausanne, Switzerland</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(Address of principal executive office)</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Indicate by check mark whether the registrant files or will file annual reports under cover of Form 20-F or Form 40-F:</w:t>
      </w:r>
    </w:p>
    <w:p>
      <w:pPr>
        <w:spacing w:after="0" w:line="197" w:lineRule="exact"/>
        <w:rPr>
          <w:sz w:val="24"/>
          <w:szCs w:val="24"/>
          <w:color w:val="auto"/>
        </w:rPr>
      </w:pPr>
    </w:p>
    <w:p>
      <w:pPr>
        <w:ind w:left="3180"/>
        <w:spacing w:after="0"/>
        <w:tabs>
          <w:tab w:leader="none" w:pos="4660" w:val="left"/>
          <w:tab w:leader="none" w:pos="6460" w:val="left"/>
        </w:tabs>
        <w:rPr>
          <w:sz w:val="20"/>
          <w:szCs w:val="20"/>
          <w:color w:val="auto"/>
        </w:rPr>
      </w:pPr>
      <w:r>
        <w:rPr>
          <w:rFonts w:ascii="Arial" w:cs="Arial" w:eastAsia="Arial" w:hAnsi="Arial"/>
          <w:sz w:val="15"/>
          <w:szCs w:val="15"/>
          <w:color w:val="auto"/>
        </w:rPr>
        <w:t>Form 20-F</w:t>
      </w:r>
      <w:r>
        <w:rPr>
          <w:sz w:val="20"/>
          <w:szCs w:val="20"/>
          <w:color w:val="auto"/>
        </w:rPr>
        <w:tab/>
      </w:r>
      <w:r>
        <w:rPr>
          <w:rFonts w:ascii="Arial" w:cs="Arial" w:eastAsia="Arial" w:hAnsi="Arial"/>
          <w:sz w:val="15"/>
          <w:szCs w:val="15"/>
          <w:color w:val="auto"/>
        </w:rPr>
        <w:t>X</w:t>
      </w:r>
      <w:r>
        <w:rPr>
          <w:sz w:val="20"/>
          <w:szCs w:val="20"/>
          <w:color w:val="auto"/>
        </w:rPr>
        <w:tab/>
      </w:r>
      <w:r>
        <w:rPr>
          <w:rFonts w:ascii="Arial" w:cs="Arial" w:eastAsia="Arial" w:hAnsi="Arial"/>
          <w:sz w:val="14"/>
          <w:szCs w:val="14"/>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2752090</wp:posOffset>
            </wp:positionH>
            <wp:positionV relativeFrom="paragraph">
              <wp:posOffset>6985</wp:posOffset>
            </wp:positionV>
            <wp:extent cx="51308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3080" cy="7620"/>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21590</wp:posOffset>
            </wp:positionV>
            <wp:extent cx="50546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5460" cy="7620"/>
                    </a:xfrm>
                    <a:prstGeom prst="rect">
                      <a:avLst/>
                    </a:prstGeom>
                    <a:noFill/>
                  </pic:spPr>
                </pic:pic>
              </a:graphicData>
            </a:graphic>
          </wp:anchor>
        </w:drawing>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Indicate by check mark if the registrant is submitting the Form 6-K in paper as permitted by Regulation S-T Rule 101(b)(1):</w:t>
      </w:r>
    </w:p>
    <w:p>
      <w:pPr>
        <w:spacing w:after="0" w:line="197" w:lineRule="exact"/>
        <w:rPr>
          <w:sz w:val="24"/>
          <w:szCs w:val="24"/>
          <w:color w:val="auto"/>
        </w:rPr>
      </w:pPr>
    </w:p>
    <w:p>
      <w:pPr>
        <w:ind w:left="3400"/>
        <w:spacing w:after="0"/>
        <w:tabs>
          <w:tab w:leader="none" w:pos="6680" w:val="left"/>
          <w:tab w:leader="none" w:pos="7920" w:val="left"/>
        </w:tabs>
        <w:rPr>
          <w:sz w:val="20"/>
          <w:szCs w:val="20"/>
          <w:color w:val="auto"/>
        </w:rPr>
      </w:pPr>
      <w:r>
        <w:rPr>
          <w:rFonts w:ascii="Arial" w:cs="Arial" w:eastAsia="Arial" w:hAnsi="Arial"/>
          <w:sz w:val="15"/>
          <w:szCs w:val="15"/>
          <w:color w:val="auto"/>
        </w:rPr>
        <w:t>Yes</w:t>
      </w:r>
      <w:r>
        <w:rPr>
          <w:sz w:val="20"/>
          <w:szCs w:val="20"/>
          <w:color w:val="auto"/>
        </w:rPr>
        <w:tab/>
      </w:r>
      <w:r>
        <w:rPr>
          <w:rFonts w:ascii="Arial" w:cs="Arial" w:eastAsia="Arial" w:hAnsi="Arial"/>
          <w:sz w:val="15"/>
          <w:szCs w:val="15"/>
          <w:color w:val="auto"/>
        </w:rPr>
        <w:t>No</w:t>
      </w:r>
      <w:r>
        <w:rPr>
          <w:sz w:val="20"/>
          <w:szCs w:val="20"/>
          <w:color w:val="auto"/>
        </w:rPr>
        <w:tab/>
      </w:r>
      <w:r>
        <w:rPr>
          <w:rFonts w:ascii="Arial" w:cs="Arial" w:eastAsia="Arial" w:hAnsi="Arial"/>
          <w:sz w:val="15"/>
          <w:szCs w:val="15"/>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4825365</wp:posOffset>
            </wp:positionH>
            <wp:positionV relativeFrom="paragraph">
              <wp:posOffset>6985</wp:posOffset>
            </wp:positionV>
            <wp:extent cx="50546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5460" cy="7620"/>
                    </a:xfrm>
                    <a:prstGeom prst="rect">
                      <a:avLst/>
                    </a:prstGeom>
                    <a:noFill/>
                  </pic:spPr>
                </pic:pic>
              </a:graphicData>
            </a:graphic>
          </wp:anchor>
        </w:drawing>
        <w:drawing>
          <wp:anchor simplePos="0" relativeHeight="251657728" behindDoc="1" locked="0" layoutInCell="0" allowOverlap="1">
            <wp:simplePos x="0" y="0"/>
            <wp:positionH relativeFrom="column">
              <wp:posOffset>2752090</wp:posOffset>
            </wp:positionH>
            <wp:positionV relativeFrom="paragraph">
              <wp:posOffset>21590</wp:posOffset>
            </wp:positionV>
            <wp:extent cx="51308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3080" cy="7620"/>
                    </a:xfrm>
                    <a:prstGeom prst="rect">
                      <a:avLst/>
                    </a:prstGeom>
                    <a:noFill/>
                  </pic:spPr>
                </pic:pic>
              </a:graphicData>
            </a:graphic>
          </wp:anchor>
        </w:drawing>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Indicate by check mark if the registrant is submitting the Form 6-K in paper as permitted by Regulation S-T Rule 101(b)(7):</w:t>
      </w:r>
    </w:p>
    <w:p>
      <w:pPr>
        <w:spacing w:after="0" w:line="197" w:lineRule="exact"/>
        <w:rPr>
          <w:sz w:val="24"/>
          <w:szCs w:val="24"/>
          <w:color w:val="auto"/>
        </w:rPr>
      </w:pPr>
    </w:p>
    <w:p>
      <w:pPr>
        <w:ind w:left="3400"/>
        <w:spacing w:after="0"/>
        <w:tabs>
          <w:tab w:leader="none" w:pos="6680" w:val="left"/>
          <w:tab w:leader="none" w:pos="7920" w:val="left"/>
        </w:tabs>
        <w:rPr>
          <w:sz w:val="20"/>
          <w:szCs w:val="20"/>
          <w:color w:val="auto"/>
        </w:rPr>
      </w:pPr>
      <w:r>
        <w:rPr>
          <w:rFonts w:ascii="Arial" w:cs="Arial" w:eastAsia="Arial" w:hAnsi="Arial"/>
          <w:sz w:val="15"/>
          <w:szCs w:val="15"/>
          <w:color w:val="auto"/>
        </w:rPr>
        <w:t>Yes</w:t>
      </w:r>
      <w:r>
        <w:rPr>
          <w:sz w:val="20"/>
          <w:szCs w:val="20"/>
          <w:color w:val="auto"/>
        </w:rPr>
        <w:tab/>
      </w:r>
      <w:r>
        <w:rPr>
          <w:rFonts w:ascii="Arial" w:cs="Arial" w:eastAsia="Arial" w:hAnsi="Arial"/>
          <w:sz w:val="15"/>
          <w:szCs w:val="15"/>
          <w:color w:val="auto"/>
        </w:rPr>
        <w:t>No</w:t>
      </w:r>
      <w:r>
        <w:rPr>
          <w:sz w:val="20"/>
          <w:szCs w:val="20"/>
          <w:color w:val="auto"/>
        </w:rPr>
        <w:tab/>
      </w:r>
      <w:r>
        <w:rPr>
          <w:rFonts w:ascii="Arial" w:cs="Arial" w:eastAsia="Arial" w:hAnsi="Arial"/>
          <w:sz w:val="15"/>
          <w:szCs w:val="15"/>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4825365</wp:posOffset>
            </wp:positionH>
            <wp:positionV relativeFrom="paragraph">
              <wp:posOffset>6985</wp:posOffset>
            </wp:positionV>
            <wp:extent cx="50546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5460" cy="7620"/>
                    </a:xfrm>
                    <a:prstGeom prst="rect">
                      <a:avLst/>
                    </a:prstGeom>
                    <a:noFill/>
                  </pic:spPr>
                </pic:pic>
              </a:graphicData>
            </a:graphic>
          </wp:anchor>
        </w:drawing>
        <w:drawing>
          <wp:anchor simplePos="0" relativeHeight="251657728" behindDoc="1" locked="0" layoutInCell="0" allowOverlap="1">
            <wp:simplePos x="0" y="0"/>
            <wp:positionH relativeFrom="column">
              <wp:posOffset>2752090</wp:posOffset>
            </wp:positionH>
            <wp:positionV relativeFrom="paragraph">
              <wp:posOffset>21590</wp:posOffset>
            </wp:positionV>
            <wp:extent cx="51308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3080" cy="7620"/>
                    </a:xfrm>
                    <a:prstGeom prst="rect">
                      <a:avLst/>
                    </a:prstGeom>
                    <a:noFill/>
                  </pic:spPr>
                </pic:pic>
              </a:graphicData>
            </a:graphic>
          </wp:anchor>
        </w:drawing>
        <w:drawing>
          <wp:anchor simplePos="0" relativeHeight="251657728" behindDoc="1" locked="0" layoutInCell="0" allowOverlap="1">
            <wp:simplePos x="0" y="0"/>
            <wp:positionH relativeFrom="column">
              <wp:posOffset>-118745</wp:posOffset>
            </wp:positionH>
            <wp:positionV relativeFrom="paragraph">
              <wp:posOffset>314960</wp:posOffset>
            </wp:positionV>
            <wp:extent cx="726630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060"/>
          </w:cols>
          <w:pgMar w:left="420" w:top="486" w:right="419" w:bottom="1440" w:gutter="0" w:footer="0" w:header="0"/>
        </w:sectPr>
      </w:pPr>
    </w:p>
    <w:bookmarkStart w:id="1" w:name="page2"/>
    <w:bookmarkEnd w:id="1"/>
    <w:p>
      <w:pPr>
        <w:spacing w:after="0"/>
        <w:rPr>
          <w:sz w:val="20"/>
          <w:szCs w:val="20"/>
          <w:color w:val="auto"/>
        </w:rPr>
      </w:pPr>
      <w:r>
        <w:rPr>
          <w:rFonts w:ascii="Arial" w:cs="Arial" w:eastAsia="Arial" w:hAnsi="Arial"/>
          <w:sz w:val="15"/>
          <w:szCs w:val="15"/>
          <w:b w:val="1"/>
          <w:bCs w:val="1"/>
          <w:color w:val="auto"/>
        </w:rPr>
        <w:t>Extraordinary General Meeting Results</w:t>
      </w:r>
    </w:p>
    <w:p>
      <w:pPr>
        <w:spacing w:after="0" w:line="197" w:lineRule="exact"/>
        <w:rPr>
          <w:sz w:val="20"/>
          <w:szCs w:val="20"/>
          <w:color w:val="auto"/>
        </w:rPr>
      </w:pPr>
    </w:p>
    <w:p>
      <w:pPr>
        <w:ind w:right="80" w:firstLine="554"/>
        <w:spacing w:after="0" w:line="293" w:lineRule="auto"/>
        <w:rPr>
          <w:sz w:val="20"/>
          <w:szCs w:val="20"/>
          <w:color w:val="auto"/>
        </w:rPr>
      </w:pPr>
      <w:r>
        <w:rPr>
          <w:rFonts w:ascii="Arial" w:cs="Arial" w:eastAsia="Arial" w:hAnsi="Arial"/>
          <w:sz w:val="15"/>
          <w:szCs w:val="15"/>
          <w:color w:val="auto"/>
        </w:rPr>
        <w:t>On April 27, 2018, AC Immune SA (“</w:t>
      </w:r>
      <w:r>
        <w:rPr>
          <w:rFonts w:ascii="Arial" w:cs="Arial" w:eastAsia="Arial" w:hAnsi="Arial"/>
          <w:sz w:val="15"/>
          <w:szCs w:val="15"/>
          <w:b w:val="1"/>
          <w:bCs w:val="1"/>
          <w:color w:val="auto"/>
        </w:rPr>
        <w:t>AC Immune</w:t>
      </w:r>
      <w:r>
        <w:rPr>
          <w:rFonts w:ascii="Arial" w:cs="Arial" w:eastAsia="Arial" w:hAnsi="Arial"/>
          <w:sz w:val="15"/>
          <w:szCs w:val="15"/>
          <w:color w:val="auto"/>
        </w:rPr>
        <w:t>”) held an Extraordinary General Meeting. The presentation that was given at the Extraordinary General Meeting is attached hereto as Exhibit 99.1. The final results of each of the agenda items submitted to a vote of the shareholders are as follows: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Agenda Item 1: Election of Member to the Board of Directors</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AC Immune shareholders approved the election of Douglas Williams as a new member of the Board of Directors, until the end of the next ordinary General Meeting.</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Agenda Item 2: Election to the Compensation, Nomination &amp; Corporate Governance Committee</w:t>
      </w:r>
    </w:p>
    <w:p>
      <w:pPr>
        <w:spacing w:after="0" w:line="201" w:lineRule="exact"/>
        <w:rPr>
          <w:sz w:val="20"/>
          <w:szCs w:val="20"/>
          <w:color w:val="auto"/>
        </w:rPr>
      </w:pPr>
    </w:p>
    <w:p>
      <w:pPr>
        <w:ind w:right="80" w:firstLine="554"/>
        <w:spacing w:after="0" w:line="288" w:lineRule="auto"/>
        <w:rPr>
          <w:sz w:val="20"/>
          <w:szCs w:val="20"/>
          <w:color w:val="auto"/>
        </w:rPr>
      </w:pPr>
      <w:r>
        <w:rPr>
          <w:rFonts w:ascii="Arial" w:cs="Arial" w:eastAsia="Arial" w:hAnsi="Arial"/>
          <w:sz w:val="15"/>
          <w:szCs w:val="15"/>
          <w:color w:val="auto"/>
        </w:rPr>
        <w:t>AC Immune shareholders approved the election of Douglas Williams as a new member of the Compensation, Nomination &amp; Corporate Governance Committee, until the end of the next ordinary General Meeting.</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Agenda Item 3: Compensation for the newly elected Member of the Board of Directors</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AC Immune shareholders approved:</w:t>
      </w:r>
    </w:p>
    <w:p>
      <w:pPr>
        <w:spacing w:after="0" w:line="197" w:lineRule="exact"/>
        <w:rPr>
          <w:sz w:val="20"/>
          <w:szCs w:val="20"/>
          <w:color w:val="auto"/>
        </w:rPr>
      </w:pPr>
    </w:p>
    <w:p>
      <w:pPr>
        <w:ind w:left="1100" w:right="20" w:hanging="277"/>
        <w:spacing w:after="0" w:line="288" w:lineRule="auto"/>
        <w:tabs>
          <w:tab w:leader="none" w:pos="1100" w:val="left"/>
        </w:tabs>
        <w:numPr>
          <w:ilvl w:val="0"/>
          <w:numId w:val="1"/>
        </w:numPr>
        <w:rPr>
          <w:rFonts w:ascii="Arial" w:cs="Arial" w:eastAsia="Arial" w:hAnsi="Arial"/>
          <w:sz w:val="15"/>
          <w:szCs w:val="15"/>
          <w:color w:val="auto"/>
        </w:rPr>
      </w:pPr>
      <w:r>
        <w:rPr>
          <w:rFonts w:ascii="Arial" w:cs="Arial" w:eastAsia="Arial" w:hAnsi="Arial"/>
          <w:sz w:val="15"/>
          <w:szCs w:val="15"/>
          <w:color w:val="auto"/>
        </w:rPr>
        <w:t xml:space="preserve">An additional maximum amount of non-performance-related compensation for the new member of the Board of Directors covering the period from 27 April 2018 to 30 June 2018, </w:t>
      </w:r>
      <w:r>
        <w:rPr>
          <w:rFonts w:ascii="Arial" w:cs="Arial" w:eastAsia="Arial" w:hAnsi="Arial"/>
          <w:sz w:val="15"/>
          <w:szCs w:val="15"/>
          <w:i w:val="1"/>
          <w:iCs w:val="1"/>
          <w:color w:val="auto"/>
        </w:rPr>
        <w:t>i</w:t>
      </w:r>
      <w:r>
        <w:rPr>
          <w:rFonts w:ascii="Arial" w:cs="Arial" w:eastAsia="Arial" w:hAnsi="Arial"/>
          <w:sz w:val="15"/>
          <w:szCs w:val="15"/>
          <w:color w:val="auto"/>
        </w:rPr>
        <w:t>.</w:t>
      </w:r>
      <w:r>
        <w:rPr>
          <w:rFonts w:ascii="Arial" w:cs="Arial" w:eastAsia="Arial" w:hAnsi="Arial"/>
          <w:sz w:val="15"/>
          <w:szCs w:val="15"/>
          <w:i w:val="1"/>
          <w:iCs w:val="1"/>
          <w:color w:val="auto"/>
        </w:rPr>
        <w:t>e</w:t>
      </w:r>
      <w:r>
        <w:rPr>
          <w:rFonts w:ascii="Arial" w:cs="Arial" w:eastAsia="Arial" w:hAnsi="Arial"/>
          <w:sz w:val="15"/>
          <w:szCs w:val="15"/>
          <w:color w:val="auto"/>
        </w:rPr>
        <w:t>., CHF 11,800 (cash base compensation plus social security costs); and</w:t>
      </w:r>
    </w:p>
    <w:p>
      <w:pPr>
        <w:spacing w:after="0" w:line="139" w:lineRule="exact"/>
        <w:rPr>
          <w:rFonts w:ascii="Arial" w:cs="Arial" w:eastAsia="Arial" w:hAnsi="Arial"/>
          <w:sz w:val="15"/>
          <w:szCs w:val="15"/>
          <w:color w:val="auto"/>
        </w:rPr>
      </w:pPr>
    </w:p>
    <w:p>
      <w:pPr>
        <w:ind w:left="1100" w:hanging="277"/>
        <w:spacing w:after="0" w:line="288" w:lineRule="auto"/>
        <w:tabs>
          <w:tab w:leader="none" w:pos="1100" w:val="left"/>
        </w:tabs>
        <w:numPr>
          <w:ilvl w:val="0"/>
          <w:numId w:val="1"/>
        </w:numPr>
        <w:rPr>
          <w:rFonts w:ascii="Arial" w:cs="Arial" w:eastAsia="Arial" w:hAnsi="Arial"/>
          <w:sz w:val="15"/>
          <w:szCs w:val="15"/>
          <w:color w:val="auto"/>
        </w:rPr>
      </w:pPr>
      <w:r>
        <w:rPr>
          <w:rFonts w:ascii="Arial" w:cs="Arial" w:eastAsia="Arial" w:hAnsi="Arial"/>
          <w:sz w:val="15"/>
          <w:szCs w:val="15"/>
          <w:color w:val="auto"/>
        </w:rPr>
        <w:t>An additional maximum grant of equity or equity linked instruments for the new member of the Board of Directors from 27 April 2018 to 30 June 2018 with maximum value of CHF 76,000 (equity or equity linked instruments value plus social security costs).</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Agenda Item 4: Share Capital Increase</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AC Immune shareholders approved:</w:t>
      </w:r>
    </w:p>
    <w:p>
      <w:pPr>
        <w:spacing w:after="0" w:line="197" w:lineRule="exact"/>
        <w:rPr>
          <w:sz w:val="20"/>
          <w:szCs w:val="20"/>
          <w:color w:val="auto"/>
        </w:rPr>
      </w:pPr>
    </w:p>
    <w:p>
      <w:pPr>
        <w:ind w:left="1140" w:hanging="283"/>
        <w:spacing w:after="0"/>
        <w:tabs>
          <w:tab w:leader="none" w:pos="1140" w:val="left"/>
        </w:tabs>
        <w:numPr>
          <w:ilvl w:val="0"/>
          <w:numId w:val="2"/>
        </w:numPr>
        <w:rPr>
          <w:rFonts w:ascii="Arial" w:cs="Arial" w:eastAsia="Arial" w:hAnsi="Arial"/>
          <w:sz w:val="15"/>
          <w:szCs w:val="15"/>
          <w:color w:val="auto"/>
        </w:rPr>
      </w:pPr>
      <w:r>
        <w:rPr>
          <w:rFonts w:ascii="Arial" w:cs="Arial" w:eastAsia="Arial" w:hAnsi="Arial"/>
          <w:sz w:val="15"/>
          <w:szCs w:val="15"/>
          <w:color w:val="auto"/>
        </w:rPr>
        <w:t>An ordinary share capital increase for institutional investors as follows:</w:t>
      </w:r>
    </w:p>
    <w:p>
      <w:pPr>
        <w:spacing w:after="0" w:line="196" w:lineRule="exact"/>
        <w:rPr>
          <w:rFonts w:ascii="Arial" w:cs="Arial" w:eastAsia="Arial" w:hAnsi="Arial"/>
          <w:sz w:val="15"/>
          <w:szCs w:val="15"/>
          <w:color w:val="auto"/>
        </w:rPr>
      </w:pPr>
    </w:p>
    <w:p>
      <w:pPr>
        <w:ind w:left="1680" w:right="20" w:hanging="269"/>
        <w:spacing w:after="0" w:line="288" w:lineRule="auto"/>
        <w:tabs>
          <w:tab w:leader="none" w:pos="1680" w:val="left"/>
        </w:tabs>
        <w:numPr>
          <w:ilvl w:val="1"/>
          <w:numId w:val="2"/>
        </w:numPr>
        <w:rPr>
          <w:rFonts w:ascii="Arial" w:cs="Arial" w:eastAsia="Arial" w:hAnsi="Arial"/>
          <w:sz w:val="15"/>
          <w:szCs w:val="15"/>
          <w:i w:val="1"/>
          <w:iCs w:val="1"/>
          <w:color w:val="auto"/>
        </w:rPr>
      </w:pPr>
      <w:r>
        <w:rPr>
          <w:rFonts w:ascii="Arial" w:cs="Arial" w:eastAsia="Arial" w:hAnsi="Arial"/>
          <w:sz w:val="15"/>
          <w:szCs w:val="15"/>
          <w:i w:val="1"/>
          <w:iCs w:val="1"/>
          <w:color w:val="auto"/>
        </w:rPr>
        <w:t>the share capital of the Company is increased by way of an ordinary increase by up to CHF 170,000 by issuing up to 8,500,000 registered shares with a nominal value of CHF 0.02 each;</w:t>
      </w:r>
    </w:p>
    <w:p>
      <w:pPr>
        <w:spacing w:after="0" w:line="139" w:lineRule="exact"/>
        <w:rPr>
          <w:rFonts w:ascii="Arial" w:cs="Arial" w:eastAsia="Arial" w:hAnsi="Arial"/>
          <w:sz w:val="15"/>
          <w:szCs w:val="15"/>
          <w:i w:val="1"/>
          <w:iCs w:val="1"/>
          <w:color w:val="auto"/>
        </w:rPr>
      </w:pPr>
    </w:p>
    <w:p>
      <w:pPr>
        <w:ind w:left="1680" w:right="20" w:hanging="269"/>
        <w:spacing w:after="0" w:line="288" w:lineRule="auto"/>
        <w:tabs>
          <w:tab w:leader="none" w:pos="1680" w:val="left"/>
        </w:tabs>
        <w:numPr>
          <w:ilvl w:val="1"/>
          <w:numId w:val="2"/>
        </w:numPr>
        <w:rPr>
          <w:rFonts w:ascii="Arial" w:cs="Arial" w:eastAsia="Arial" w:hAnsi="Arial"/>
          <w:sz w:val="15"/>
          <w:szCs w:val="15"/>
          <w:i w:val="1"/>
          <w:iCs w:val="1"/>
          <w:color w:val="auto"/>
        </w:rPr>
      </w:pPr>
      <w:r>
        <w:rPr>
          <w:rFonts w:ascii="Arial" w:cs="Arial" w:eastAsia="Arial" w:hAnsi="Arial"/>
          <w:sz w:val="15"/>
          <w:szCs w:val="15"/>
          <w:i w:val="1"/>
          <w:iCs w:val="1"/>
          <w:color w:val="auto"/>
        </w:rPr>
        <w:t>the pre-emptive rights of the shareholders for the newly issued registered shares shall be preserved; the Board of Directors shall be entitled to publish the subscription price by electronic media including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264160</wp:posOffset>
            </wp:positionV>
            <wp:extent cx="726630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440"/>
          </w:cols>
          <w:pgMar w:left="240" w:top="517" w:right="219" w:bottom="1440" w:gutter="0" w:footer="0" w:header="0"/>
        </w:sectPr>
      </w:pPr>
    </w:p>
    <w:bookmarkStart w:id="2" w:name="page3"/>
    <w:bookmarkEnd w:id="2"/>
    <w:p>
      <w:pPr>
        <w:ind w:left="500" w:right="20"/>
        <w:spacing w:after="0" w:line="288" w:lineRule="auto"/>
        <w:rPr>
          <w:sz w:val="20"/>
          <w:szCs w:val="20"/>
          <w:color w:val="auto"/>
        </w:rPr>
      </w:pPr>
      <w:r>
        <w:rPr>
          <w:rFonts w:ascii="Arial" w:cs="Arial" w:eastAsia="Arial" w:hAnsi="Arial"/>
          <w:sz w:val="15"/>
          <w:szCs w:val="15"/>
          <w:i w:val="1"/>
          <w:iCs w:val="1"/>
          <w:color w:val="auto"/>
        </w:rPr>
        <w:t>and e-mail and to limit the subscription period to one business day; any new shares not subscribed shall be allocated by the Board of Directors at its discretion;</w:t>
      </w:r>
    </w:p>
    <w:p>
      <w:pPr>
        <w:spacing w:after="0" w:line="140" w:lineRule="exact"/>
        <w:rPr>
          <w:sz w:val="20"/>
          <w:szCs w:val="20"/>
          <w:color w:val="auto"/>
        </w:rPr>
      </w:pPr>
    </w:p>
    <w:p>
      <w:pPr>
        <w:ind w:left="480" w:hanging="269"/>
        <w:spacing w:after="0"/>
        <w:tabs>
          <w:tab w:leader="none" w:pos="480" w:val="left"/>
        </w:tabs>
        <w:numPr>
          <w:ilvl w:val="1"/>
          <w:numId w:val="3"/>
        </w:numPr>
        <w:rPr>
          <w:rFonts w:ascii="Arial" w:cs="Arial" w:eastAsia="Arial" w:hAnsi="Arial"/>
          <w:sz w:val="15"/>
          <w:szCs w:val="15"/>
          <w:i w:val="1"/>
          <w:iCs w:val="1"/>
          <w:color w:val="auto"/>
        </w:rPr>
      </w:pPr>
      <w:r>
        <w:rPr>
          <w:rFonts w:ascii="Arial" w:cs="Arial" w:eastAsia="Arial" w:hAnsi="Arial"/>
          <w:sz w:val="15"/>
          <w:szCs w:val="15"/>
          <w:i w:val="1"/>
          <w:iCs w:val="1"/>
          <w:color w:val="auto"/>
        </w:rPr>
        <w:t>the technical issuance of price of the new shares to be paid in cash shall be determined by the Board of Directors;</w:t>
      </w:r>
    </w:p>
    <w:p>
      <w:pPr>
        <w:spacing w:after="0" w:line="196" w:lineRule="exact"/>
        <w:rPr>
          <w:rFonts w:ascii="Arial" w:cs="Arial" w:eastAsia="Arial" w:hAnsi="Arial"/>
          <w:sz w:val="15"/>
          <w:szCs w:val="15"/>
          <w:i w:val="1"/>
          <w:iCs w:val="1"/>
          <w:color w:val="auto"/>
        </w:rPr>
      </w:pPr>
    </w:p>
    <w:p>
      <w:pPr>
        <w:ind w:left="480" w:hanging="269"/>
        <w:spacing w:after="0"/>
        <w:tabs>
          <w:tab w:leader="none" w:pos="480" w:val="left"/>
        </w:tabs>
        <w:numPr>
          <w:ilvl w:val="1"/>
          <w:numId w:val="3"/>
        </w:numPr>
        <w:rPr>
          <w:rFonts w:ascii="Arial" w:cs="Arial" w:eastAsia="Arial" w:hAnsi="Arial"/>
          <w:sz w:val="15"/>
          <w:szCs w:val="15"/>
          <w:i w:val="1"/>
          <w:iCs w:val="1"/>
          <w:color w:val="auto"/>
        </w:rPr>
      </w:pPr>
      <w:r>
        <w:rPr>
          <w:rFonts w:ascii="Arial" w:cs="Arial" w:eastAsia="Arial" w:hAnsi="Arial"/>
          <w:sz w:val="15"/>
          <w:szCs w:val="15"/>
          <w:i w:val="1"/>
          <w:iCs w:val="1"/>
          <w:color w:val="auto"/>
        </w:rPr>
        <w:t>the new shares are entitled to dividends for the business year starting 1 January 2018;</w:t>
      </w:r>
    </w:p>
    <w:p>
      <w:pPr>
        <w:spacing w:after="0" w:line="196" w:lineRule="exact"/>
        <w:rPr>
          <w:rFonts w:ascii="Arial" w:cs="Arial" w:eastAsia="Arial" w:hAnsi="Arial"/>
          <w:sz w:val="15"/>
          <w:szCs w:val="15"/>
          <w:i w:val="1"/>
          <w:iCs w:val="1"/>
          <w:color w:val="auto"/>
        </w:rPr>
      </w:pPr>
    </w:p>
    <w:p>
      <w:pPr>
        <w:ind w:left="480" w:hanging="269"/>
        <w:spacing w:after="0"/>
        <w:tabs>
          <w:tab w:leader="none" w:pos="480" w:val="left"/>
        </w:tabs>
        <w:numPr>
          <w:ilvl w:val="1"/>
          <w:numId w:val="3"/>
        </w:numPr>
        <w:rPr>
          <w:rFonts w:ascii="Arial" w:cs="Arial" w:eastAsia="Arial" w:hAnsi="Arial"/>
          <w:sz w:val="15"/>
          <w:szCs w:val="15"/>
          <w:i w:val="1"/>
          <w:iCs w:val="1"/>
          <w:color w:val="auto"/>
        </w:rPr>
      </w:pPr>
      <w:r>
        <w:rPr>
          <w:rFonts w:ascii="Arial" w:cs="Arial" w:eastAsia="Arial" w:hAnsi="Arial"/>
          <w:sz w:val="15"/>
          <w:szCs w:val="15"/>
          <w:i w:val="1"/>
          <w:iCs w:val="1"/>
          <w:color w:val="auto"/>
        </w:rPr>
        <w:t>the new shares are subject to the transfer restrictions as outlined in article 4 of the Articles of Association;</w:t>
      </w:r>
    </w:p>
    <w:p>
      <w:pPr>
        <w:spacing w:after="0" w:line="196" w:lineRule="exact"/>
        <w:rPr>
          <w:rFonts w:ascii="Arial" w:cs="Arial" w:eastAsia="Arial" w:hAnsi="Arial"/>
          <w:sz w:val="15"/>
          <w:szCs w:val="15"/>
          <w:i w:val="1"/>
          <w:iCs w:val="1"/>
          <w:color w:val="auto"/>
        </w:rPr>
      </w:pPr>
    </w:p>
    <w:p>
      <w:pPr>
        <w:ind w:left="480" w:hanging="269"/>
        <w:spacing w:after="0"/>
        <w:tabs>
          <w:tab w:leader="none" w:pos="480" w:val="left"/>
        </w:tabs>
        <w:numPr>
          <w:ilvl w:val="1"/>
          <w:numId w:val="3"/>
        </w:numPr>
        <w:rPr>
          <w:rFonts w:ascii="Arial" w:cs="Arial" w:eastAsia="Arial" w:hAnsi="Arial"/>
          <w:sz w:val="15"/>
          <w:szCs w:val="15"/>
          <w:i w:val="1"/>
          <w:iCs w:val="1"/>
          <w:color w:val="auto"/>
        </w:rPr>
      </w:pPr>
      <w:r>
        <w:rPr>
          <w:rFonts w:ascii="Arial" w:cs="Arial" w:eastAsia="Arial" w:hAnsi="Arial"/>
          <w:sz w:val="15"/>
          <w:szCs w:val="15"/>
          <w:i w:val="1"/>
          <w:iCs w:val="1"/>
          <w:color w:val="auto"/>
        </w:rPr>
        <w:t>the stamp duty shall be paid by the Company; and</w:t>
      </w:r>
    </w:p>
    <w:p>
      <w:pPr>
        <w:spacing w:after="0" w:line="196" w:lineRule="exact"/>
        <w:rPr>
          <w:rFonts w:ascii="Arial" w:cs="Arial" w:eastAsia="Arial" w:hAnsi="Arial"/>
          <w:sz w:val="15"/>
          <w:szCs w:val="15"/>
          <w:i w:val="1"/>
          <w:iCs w:val="1"/>
          <w:color w:val="auto"/>
        </w:rPr>
      </w:pPr>
    </w:p>
    <w:p>
      <w:pPr>
        <w:ind w:left="-340" w:right="1220" w:firstLine="551"/>
        <w:spacing w:after="0" w:line="550" w:lineRule="auto"/>
        <w:tabs>
          <w:tab w:leader="none" w:pos="491" w:val="left"/>
        </w:tabs>
        <w:numPr>
          <w:ilvl w:val="1"/>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the Board of Directors is authorized and instructed to implement and register this capital increase with the competent commercial register. </w:t>
      </w:r>
      <w:r>
        <w:rPr>
          <w:rFonts w:ascii="Arial" w:cs="Arial" w:eastAsia="Arial" w:hAnsi="Arial"/>
          <w:sz w:val="14"/>
          <w:szCs w:val="14"/>
          <w:color w:val="auto"/>
        </w:rPr>
        <w:t>B. An ordinary share capital increase for current shareholders at identical terms as offered in the preceding ordinary share capital increase as follows:</w:t>
      </w:r>
    </w:p>
    <w:p>
      <w:pPr>
        <w:ind w:left="480" w:hanging="269"/>
        <w:spacing w:after="0" w:line="288" w:lineRule="auto"/>
        <w:tabs>
          <w:tab w:leader="none" w:pos="480" w:val="left"/>
        </w:tabs>
        <w:numPr>
          <w:ilvl w:val="1"/>
          <w:numId w:val="4"/>
        </w:numPr>
        <w:rPr>
          <w:rFonts w:ascii="Arial" w:cs="Arial" w:eastAsia="Arial" w:hAnsi="Arial"/>
          <w:sz w:val="15"/>
          <w:szCs w:val="15"/>
          <w:i w:val="1"/>
          <w:iCs w:val="1"/>
          <w:color w:val="auto"/>
        </w:rPr>
      </w:pPr>
      <w:r>
        <w:rPr>
          <w:rFonts w:ascii="Arial" w:cs="Arial" w:eastAsia="Arial" w:hAnsi="Arial"/>
          <w:sz w:val="15"/>
          <w:szCs w:val="15"/>
          <w:i w:val="1"/>
          <w:iCs w:val="1"/>
          <w:color w:val="auto"/>
        </w:rPr>
        <w:t>the share capital of the Company is increased by way of an ordinary increase of up to CHF 30,000 by issuing up to 1,500,000 registered shares with a nominal value of CHF 0.02 each;</w:t>
      </w:r>
    </w:p>
    <w:p>
      <w:pPr>
        <w:spacing w:after="0" w:line="139" w:lineRule="exact"/>
        <w:rPr>
          <w:rFonts w:ascii="Arial" w:cs="Arial" w:eastAsia="Arial" w:hAnsi="Arial"/>
          <w:sz w:val="15"/>
          <w:szCs w:val="15"/>
          <w:i w:val="1"/>
          <w:iCs w:val="1"/>
          <w:color w:val="auto"/>
        </w:rPr>
      </w:pPr>
    </w:p>
    <w:p>
      <w:pPr>
        <w:jc w:val="both"/>
        <w:ind w:left="480" w:hanging="269"/>
        <w:spacing w:after="0" w:line="267" w:lineRule="auto"/>
        <w:tabs>
          <w:tab w:leader="none" w:pos="480" w:val="left"/>
        </w:tabs>
        <w:numPr>
          <w:ilvl w:val="1"/>
          <w:numId w:val="4"/>
        </w:numPr>
        <w:rPr>
          <w:rFonts w:ascii="Arial" w:cs="Arial" w:eastAsia="Arial" w:hAnsi="Arial"/>
          <w:sz w:val="15"/>
          <w:szCs w:val="15"/>
          <w:i w:val="1"/>
          <w:iCs w:val="1"/>
          <w:color w:val="auto"/>
        </w:rPr>
      </w:pPr>
      <w:r>
        <w:rPr>
          <w:rFonts w:ascii="Arial" w:cs="Arial" w:eastAsia="Arial" w:hAnsi="Arial"/>
          <w:sz w:val="15"/>
          <w:szCs w:val="15"/>
          <w:i w:val="1"/>
          <w:iCs w:val="1"/>
          <w:color w:val="auto"/>
        </w:rPr>
        <w:t>the pre-emptive rights of the shareholders for the newly issued registered shares shall be preserved; the Board of Directors shall credit each shareholder with a corresponding number of non-tradable subscription rights with identical terms as offered to institution investors in the ordinary share capital increase resolution resolved today. Such subscription rights may be exercised during a subscription period of at least six business days; any new shares not subscribed shall be allocated by the Board of Directors at its discretion in first priority to current shareholders;</w:t>
      </w:r>
    </w:p>
    <w:p>
      <w:pPr>
        <w:spacing w:after="0" w:line="155" w:lineRule="exact"/>
        <w:rPr>
          <w:rFonts w:ascii="Arial" w:cs="Arial" w:eastAsia="Arial" w:hAnsi="Arial"/>
          <w:sz w:val="15"/>
          <w:szCs w:val="15"/>
          <w:i w:val="1"/>
          <w:iCs w:val="1"/>
          <w:color w:val="auto"/>
        </w:rPr>
      </w:pPr>
    </w:p>
    <w:p>
      <w:pPr>
        <w:ind w:left="480" w:hanging="269"/>
        <w:spacing w:after="0"/>
        <w:tabs>
          <w:tab w:leader="none" w:pos="480" w:val="left"/>
        </w:tabs>
        <w:numPr>
          <w:ilvl w:val="1"/>
          <w:numId w:val="4"/>
        </w:numPr>
        <w:rPr>
          <w:rFonts w:ascii="Arial" w:cs="Arial" w:eastAsia="Arial" w:hAnsi="Arial"/>
          <w:sz w:val="15"/>
          <w:szCs w:val="15"/>
          <w:i w:val="1"/>
          <w:iCs w:val="1"/>
          <w:color w:val="auto"/>
        </w:rPr>
      </w:pPr>
      <w:r>
        <w:rPr>
          <w:rFonts w:ascii="Arial" w:cs="Arial" w:eastAsia="Arial" w:hAnsi="Arial"/>
          <w:sz w:val="15"/>
          <w:szCs w:val="15"/>
          <w:i w:val="1"/>
          <w:iCs w:val="1"/>
          <w:color w:val="auto"/>
        </w:rPr>
        <w:t>the technical issuance price of the new shares to be paid in cash shall be determined by the Board of Directors;</w:t>
      </w:r>
    </w:p>
    <w:p>
      <w:pPr>
        <w:spacing w:after="0" w:line="196" w:lineRule="exact"/>
        <w:rPr>
          <w:rFonts w:ascii="Arial" w:cs="Arial" w:eastAsia="Arial" w:hAnsi="Arial"/>
          <w:sz w:val="15"/>
          <w:szCs w:val="15"/>
          <w:i w:val="1"/>
          <w:iCs w:val="1"/>
          <w:color w:val="auto"/>
        </w:rPr>
      </w:pPr>
    </w:p>
    <w:p>
      <w:pPr>
        <w:ind w:left="480" w:hanging="269"/>
        <w:spacing w:after="0"/>
        <w:tabs>
          <w:tab w:leader="none" w:pos="480" w:val="left"/>
        </w:tabs>
        <w:numPr>
          <w:ilvl w:val="1"/>
          <w:numId w:val="4"/>
        </w:numPr>
        <w:rPr>
          <w:rFonts w:ascii="Arial" w:cs="Arial" w:eastAsia="Arial" w:hAnsi="Arial"/>
          <w:sz w:val="15"/>
          <w:szCs w:val="15"/>
          <w:i w:val="1"/>
          <w:iCs w:val="1"/>
          <w:color w:val="auto"/>
        </w:rPr>
      </w:pPr>
      <w:r>
        <w:rPr>
          <w:rFonts w:ascii="Arial" w:cs="Arial" w:eastAsia="Arial" w:hAnsi="Arial"/>
          <w:sz w:val="15"/>
          <w:szCs w:val="15"/>
          <w:i w:val="1"/>
          <w:iCs w:val="1"/>
          <w:color w:val="auto"/>
        </w:rPr>
        <w:t>the new shares are entitled to dividends for the business year starting 1 January 2018;</w:t>
      </w:r>
    </w:p>
    <w:p>
      <w:pPr>
        <w:spacing w:after="0" w:line="196" w:lineRule="exact"/>
        <w:rPr>
          <w:rFonts w:ascii="Arial" w:cs="Arial" w:eastAsia="Arial" w:hAnsi="Arial"/>
          <w:sz w:val="15"/>
          <w:szCs w:val="15"/>
          <w:i w:val="1"/>
          <w:iCs w:val="1"/>
          <w:color w:val="auto"/>
        </w:rPr>
      </w:pPr>
    </w:p>
    <w:p>
      <w:pPr>
        <w:ind w:left="480" w:hanging="269"/>
        <w:spacing w:after="0"/>
        <w:tabs>
          <w:tab w:leader="none" w:pos="480" w:val="left"/>
        </w:tabs>
        <w:numPr>
          <w:ilvl w:val="1"/>
          <w:numId w:val="4"/>
        </w:numPr>
        <w:rPr>
          <w:rFonts w:ascii="Arial" w:cs="Arial" w:eastAsia="Arial" w:hAnsi="Arial"/>
          <w:sz w:val="15"/>
          <w:szCs w:val="15"/>
          <w:i w:val="1"/>
          <w:iCs w:val="1"/>
          <w:color w:val="auto"/>
        </w:rPr>
      </w:pPr>
      <w:r>
        <w:rPr>
          <w:rFonts w:ascii="Arial" w:cs="Arial" w:eastAsia="Arial" w:hAnsi="Arial"/>
          <w:sz w:val="15"/>
          <w:szCs w:val="15"/>
          <w:i w:val="1"/>
          <w:iCs w:val="1"/>
          <w:color w:val="auto"/>
        </w:rPr>
        <w:t>the new shares are subject to the transfer restrictions as outlined in article 4 of the Articles of Association;</w:t>
      </w:r>
    </w:p>
    <w:p>
      <w:pPr>
        <w:spacing w:after="0" w:line="196" w:lineRule="exact"/>
        <w:rPr>
          <w:rFonts w:ascii="Arial" w:cs="Arial" w:eastAsia="Arial" w:hAnsi="Arial"/>
          <w:sz w:val="15"/>
          <w:szCs w:val="15"/>
          <w:i w:val="1"/>
          <w:iCs w:val="1"/>
          <w:color w:val="auto"/>
        </w:rPr>
      </w:pPr>
    </w:p>
    <w:p>
      <w:pPr>
        <w:ind w:left="480" w:hanging="269"/>
        <w:spacing w:after="0"/>
        <w:tabs>
          <w:tab w:leader="none" w:pos="480" w:val="left"/>
        </w:tabs>
        <w:numPr>
          <w:ilvl w:val="1"/>
          <w:numId w:val="4"/>
        </w:numPr>
        <w:rPr>
          <w:rFonts w:ascii="Arial" w:cs="Arial" w:eastAsia="Arial" w:hAnsi="Arial"/>
          <w:sz w:val="15"/>
          <w:szCs w:val="15"/>
          <w:i w:val="1"/>
          <w:iCs w:val="1"/>
          <w:color w:val="auto"/>
        </w:rPr>
      </w:pPr>
      <w:r>
        <w:rPr>
          <w:rFonts w:ascii="Arial" w:cs="Arial" w:eastAsia="Arial" w:hAnsi="Arial"/>
          <w:sz w:val="15"/>
          <w:szCs w:val="15"/>
          <w:i w:val="1"/>
          <w:iCs w:val="1"/>
          <w:color w:val="auto"/>
        </w:rPr>
        <w:t>the stamp duty shall be paid by the Company; and</w:t>
      </w:r>
    </w:p>
    <w:p>
      <w:pPr>
        <w:spacing w:after="0" w:line="196" w:lineRule="exact"/>
        <w:rPr>
          <w:rFonts w:ascii="Arial" w:cs="Arial" w:eastAsia="Arial" w:hAnsi="Arial"/>
          <w:sz w:val="15"/>
          <w:szCs w:val="15"/>
          <w:i w:val="1"/>
          <w:iCs w:val="1"/>
          <w:color w:val="auto"/>
        </w:rPr>
      </w:pPr>
    </w:p>
    <w:p>
      <w:pPr>
        <w:ind w:left="480" w:hanging="269"/>
        <w:spacing w:after="0"/>
        <w:tabs>
          <w:tab w:leader="none" w:pos="480" w:val="left"/>
        </w:tabs>
        <w:numPr>
          <w:ilvl w:val="1"/>
          <w:numId w:val="4"/>
        </w:numPr>
        <w:rPr>
          <w:rFonts w:ascii="Arial" w:cs="Arial" w:eastAsia="Arial" w:hAnsi="Arial"/>
          <w:sz w:val="15"/>
          <w:szCs w:val="15"/>
          <w:i w:val="1"/>
          <w:iCs w:val="1"/>
          <w:color w:val="auto"/>
        </w:rPr>
      </w:pPr>
      <w:r>
        <w:rPr>
          <w:rFonts w:ascii="Arial" w:cs="Arial" w:eastAsia="Arial" w:hAnsi="Arial"/>
          <w:sz w:val="15"/>
          <w:szCs w:val="15"/>
          <w:i w:val="1"/>
          <w:iCs w:val="1"/>
          <w:color w:val="auto"/>
        </w:rPr>
        <w:t>the Board of Directors is authorized and instructed to implement and register this capital increase with the competent commercial register.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300355</wp:posOffset>
            </wp:positionV>
            <wp:extent cx="726630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0240"/>
          </w:cols>
          <w:pgMar w:left="1440" w:top="521" w:right="219" w:bottom="1440" w:gutter="0" w:footer="0" w:header="0"/>
        </w:sectPr>
      </w:pPr>
    </w:p>
    <w:bookmarkStart w:id="3" w:name="page4"/>
    <w:bookmarkEnd w:id="3"/>
    <w:p>
      <w:pPr>
        <w:jc w:val="center"/>
        <w:spacing w:after="0"/>
        <w:rPr>
          <w:sz w:val="20"/>
          <w:szCs w:val="20"/>
          <w:color w:val="auto"/>
        </w:rPr>
      </w:pPr>
      <w:r>
        <w:rPr>
          <w:rFonts w:ascii="Arial" w:cs="Arial" w:eastAsia="Arial" w:hAnsi="Arial"/>
          <w:sz w:val="15"/>
          <w:szCs w:val="15"/>
          <w:b w:val="1"/>
          <w:bCs w:val="1"/>
          <w:color w:val="auto"/>
        </w:rPr>
        <w:t>SIGNATURE</w:t>
      </w:r>
    </w:p>
    <w:p>
      <w:pPr>
        <w:spacing w:after="0" w:line="201" w:lineRule="exact"/>
        <w:rPr>
          <w:sz w:val="20"/>
          <w:szCs w:val="20"/>
          <w:color w:val="auto"/>
        </w:rPr>
      </w:pPr>
    </w:p>
    <w:p>
      <w:pPr>
        <w:ind w:right="640" w:firstLine="277"/>
        <w:spacing w:after="0" w:line="288"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thereunto duly authorized.</w:t>
      </w:r>
    </w:p>
    <w:p>
      <w:pPr>
        <w:spacing w:after="0" w:line="136" w:lineRule="exact"/>
        <w:rPr>
          <w:sz w:val="20"/>
          <w:szCs w:val="20"/>
          <w:color w:val="auto"/>
        </w:rPr>
      </w:pPr>
    </w:p>
    <w:tbl>
      <w:tblPr>
        <w:tblLayout w:type="fixed"/>
        <w:tblInd w:w="4120" w:type="dxa"/>
        <w:tblCellMar>
          <w:top w:w="0" w:type="dxa"/>
          <w:left w:w="0" w:type="dxa"/>
          <w:bottom w:w="0" w:type="dxa"/>
          <w:right w:w="0" w:type="dxa"/>
        </w:tblCellMar>
      </w:tblPr>
      <w:tr>
        <w:trPr>
          <w:trHeight w:val="199"/>
        </w:trPr>
        <w:tc>
          <w:tcPr>
            <w:tcW w:w="1440" w:type="dxa"/>
            <w:vAlign w:val="bottom"/>
            <w:gridSpan w:val="2"/>
          </w:tcPr>
          <w:p>
            <w:pPr>
              <w:spacing w:after="0"/>
              <w:rPr>
                <w:sz w:val="20"/>
                <w:szCs w:val="20"/>
                <w:color w:val="auto"/>
              </w:rPr>
            </w:pPr>
            <w:r>
              <w:rPr>
                <w:rFonts w:ascii="Arial" w:cs="Arial" w:eastAsia="Arial" w:hAnsi="Arial"/>
                <w:sz w:val="15"/>
                <w:szCs w:val="15"/>
                <w:b w:val="1"/>
                <w:bCs w:val="1"/>
                <w:color w:val="auto"/>
              </w:rPr>
              <w:t>AC IMMUNE SA</w:t>
            </w:r>
          </w:p>
        </w:tc>
        <w:tc>
          <w:tcPr>
            <w:tcW w:w="5880" w:type="dxa"/>
            <w:vAlign w:val="bottom"/>
          </w:tcPr>
          <w:p>
            <w:pPr>
              <w:spacing w:after="0"/>
              <w:rPr>
                <w:sz w:val="17"/>
                <w:szCs w:val="17"/>
                <w:color w:val="auto"/>
              </w:rPr>
            </w:pPr>
          </w:p>
        </w:tc>
      </w:tr>
      <w:tr>
        <w:trPr>
          <w:trHeight w:val="369"/>
        </w:trPr>
        <w:tc>
          <w:tcPr>
            <w:tcW w:w="680" w:type="dxa"/>
            <w:vAlign w:val="bottom"/>
          </w:tcPr>
          <w:p>
            <w:pPr>
              <w:spacing w:after="0"/>
              <w:rPr>
                <w:sz w:val="20"/>
                <w:szCs w:val="20"/>
                <w:color w:val="auto"/>
              </w:rPr>
            </w:pPr>
            <w:r>
              <w:rPr>
                <w:rFonts w:ascii="Arial" w:cs="Arial" w:eastAsia="Arial" w:hAnsi="Arial"/>
                <w:sz w:val="15"/>
                <w:szCs w:val="15"/>
                <w:color w:val="auto"/>
              </w:rPr>
              <w:t>By:</w:t>
            </w:r>
          </w:p>
        </w:tc>
        <w:tc>
          <w:tcPr>
            <w:tcW w:w="664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/s/ Andrea Pfeifer</w:t>
            </w:r>
          </w:p>
        </w:tc>
      </w:tr>
      <w:tr>
        <w:trPr>
          <w:trHeight w:val="166"/>
        </w:trPr>
        <w:tc>
          <w:tcPr>
            <w:tcW w:w="680" w:type="dxa"/>
            <w:vAlign w:val="bottom"/>
          </w:tcPr>
          <w:p>
            <w:pPr>
              <w:spacing w:after="0"/>
              <w:rPr>
                <w:sz w:val="14"/>
                <w:szCs w:val="14"/>
                <w:color w:val="auto"/>
              </w:rPr>
            </w:pPr>
          </w:p>
        </w:tc>
        <w:tc>
          <w:tcPr>
            <w:tcW w:w="760" w:type="dxa"/>
            <w:vAlign w:val="bottom"/>
          </w:tcPr>
          <w:p>
            <w:pPr>
              <w:spacing w:after="0" w:line="166" w:lineRule="exact"/>
              <w:rPr>
                <w:sz w:val="20"/>
                <w:szCs w:val="20"/>
                <w:color w:val="auto"/>
              </w:rPr>
            </w:pPr>
            <w:r>
              <w:rPr>
                <w:rFonts w:ascii="Arial" w:cs="Arial" w:eastAsia="Arial" w:hAnsi="Arial"/>
                <w:sz w:val="15"/>
                <w:szCs w:val="15"/>
                <w:color w:val="auto"/>
              </w:rPr>
              <w:t>Name:</w:t>
            </w:r>
          </w:p>
        </w:tc>
        <w:tc>
          <w:tcPr>
            <w:tcW w:w="5880" w:type="dxa"/>
            <w:vAlign w:val="bottom"/>
          </w:tcPr>
          <w:p>
            <w:pPr>
              <w:ind w:left="260"/>
              <w:spacing w:after="0" w:line="166" w:lineRule="exact"/>
              <w:rPr>
                <w:sz w:val="20"/>
                <w:szCs w:val="20"/>
                <w:color w:val="auto"/>
              </w:rPr>
            </w:pPr>
            <w:r>
              <w:rPr>
                <w:rFonts w:ascii="Arial" w:cs="Arial" w:eastAsia="Arial" w:hAnsi="Arial"/>
                <w:sz w:val="15"/>
                <w:szCs w:val="15"/>
                <w:color w:val="auto"/>
              </w:rPr>
              <w:t>Andrea Pfeifer</w:t>
            </w:r>
          </w:p>
        </w:tc>
      </w:tr>
      <w:tr>
        <w:trPr>
          <w:trHeight w:val="195"/>
        </w:trPr>
        <w:tc>
          <w:tcPr>
            <w:tcW w:w="680" w:type="dxa"/>
            <w:vAlign w:val="bottom"/>
          </w:tcPr>
          <w:p>
            <w:pPr>
              <w:spacing w:after="0"/>
              <w:rPr>
                <w:sz w:val="16"/>
                <w:szCs w:val="16"/>
                <w:color w:val="auto"/>
              </w:rPr>
            </w:pPr>
          </w:p>
        </w:tc>
        <w:tc>
          <w:tcPr>
            <w:tcW w:w="760" w:type="dxa"/>
            <w:vAlign w:val="bottom"/>
          </w:tcPr>
          <w:p>
            <w:pPr>
              <w:spacing w:after="0"/>
              <w:rPr>
                <w:sz w:val="20"/>
                <w:szCs w:val="20"/>
                <w:color w:val="auto"/>
              </w:rPr>
            </w:pPr>
            <w:r>
              <w:rPr>
                <w:rFonts w:ascii="Arial" w:cs="Arial" w:eastAsia="Arial" w:hAnsi="Arial"/>
                <w:sz w:val="15"/>
                <w:szCs w:val="15"/>
                <w:color w:val="auto"/>
              </w:rPr>
              <w:t>Title:</w:t>
            </w:r>
          </w:p>
        </w:tc>
        <w:tc>
          <w:tcPr>
            <w:tcW w:w="5880" w:type="dxa"/>
            <w:vAlign w:val="bottom"/>
          </w:tcPr>
          <w:p>
            <w:pPr>
              <w:ind w:left="260"/>
              <w:spacing w:after="0"/>
              <w:rPr>
                <w:sz w:val="20"/>
                <w:szCs w:val="20"/>
                <w:color w:val="auto"/>
              </w:rPr>
            </w:pPr>
            <w:r>
              <w:rPr>
                <w:rFonts w:ascii="Arial" w:cs="Arial" w:eastAsia="Arial" w:hAnsi="Arial"/>
                <w:sz w:val="15"/>
                <w:szCs w:val="15"/>
                <w:color w:val="auto"/>
              </w:rPr>
              <w:t>Chief Executive Officer</w:t>
            </w:r>
          </w:p>
        </w:tc>
      </w:tr>
      <w:tr>
        <w:trPr>
          <w:trHeight w:val="554"/>
        </w:trPr>
        <w:tc>
          <w:tcPr>
            <w:tcW w:w="680" w:type="dxa"/>
            <w:vAlign w:val="bottom"/>
          </w:tcPr>
          <w:p>
            <w:pPr>
              <w:spacing w:after="0"/>
              <w:rPr>
                <w:sz w:val="20"/>
                <w:szCs w:val="20"/>
                <w:color w:val="auto"/>
              </w:rPr>
            </w:pPr>
            <w:r>
              <w:rPr>
                <w:rFonts w:ascii="Arial" w:cs="Arial" w:eastAsia="Arial" w:hAnsi="Arial"/>
                <w:sz w:val="15"/>
                <w:szCs w:val="15"/>
                <w:color w:val="auto"/>
              </w:rPr>
              <w:t>By:</w:t>
            </w:r>
          </w:p>
        </w:tc>
        <w:tc>
          <w:tcPr>
            <w:tcW w:w="664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/s/ Joerg Hornstein</w:t>
            </w:r>
          </w:p>
        </w:tc>
      </w:tr>
      <w:tr>
        <w:trPr>
          <w:trHeight w:val="166"/>
        </w:trPr>
        <w:tc>
          <w:tcPr>
            <w:tcW w:w="680" w:type="dxa"/>
            <w:vAlign w:val="bottom"/>
          </w:tcPr>
          <w:p>
            <w:pPr>
              <w:spacing w:after="0"/>
              <w:rPr>
                <w:sz w:val="14"/>
                <w:szCs w:val="14"/>
                <w:color w:val="auto"/>
              </w:rPr>
            </w:pPr>
          </w:p>
        </w:tc>
        <w:tc>
          <w:tcPr>
            <w:tcW w:w="760" w:type="dxa"/>
            <w:vAlign w:val="bottom"/>
          </w:tcPr>
          <w:p>
            <w:pPr>
              <w:spacing w:after="0" w:line="166" w:lineRule="exact"/>
              <w:rPr>
                <w:sz w:val="20"/>
                <w:szCs w:val="20"/>
                <w:color w:val="auto"/>
              </w:rPr>
            </w:pPr>
            <w:r>
              <w:rPr>
                <w:rFonts w:ascii="Arial" w:cs="Arial" w:eastAsia="Arial" w:hAnsi="Arial"/>
                <w:sz w:val="15"/>
                <w:szCs w:val="15"/>
                <w:color w:val="auto"/>
              </w:rPr>
              <w:t>Name:</w:t>
            </w:r>
          </w:p>
        </w:tc>
        <w:tc>
          <w:tcPr>
            <w:tcW w:w="5880" w:type="dxa"/>
            <w:vAlign w:val="bottom"/>
          </w:tcPr>
          <w:p>
            <w:pPr>
              <w:ind w:left="260"/>
              <w:spacing w:after="0" w:line="166" w:lineRule="exact"/>
              <w:rPr>
                <w:sz w:val="20"/>
                <w:szCs w:val="20"/>
                <w:color w:val="auto"/>
              </w:rPr>
            </w:pPr>
            <w:r>
              <w:rPr>
                <w:rFonts w:ascii="Arial" w:cs="Arial" w:eastAsia="Arial" w:hAnsi="Arial"/>
                <w:sz w:val="15"/>
                <w:szCs w:val="15"/>
                <w:color w:val="auto"/>
              </w:rPr>
              <w:t>Joerg Hornstein</w:t>
            </w:r>
          </w:p>
        </w:tc>
      </w:tr>
      <w:tr>
        <w:trPr>
          <w:trHeight w:val="195"/>
        </w:trPr>
        <w:tc>
          <w:tcPr>
            <w:tcW w:w="680" w:type="dxa"/>
            <w:vAlign w:val="bottom"/>
          </w:tcPr>
          <w:p>
            <w:pPr>
              <w:spacing w:after="0"/>
              <w:rPr>
                <w:sz w:val="16"/>
                <w:szCs w:val="16"/>
                <w:color w:val="auto"/>
              </w:rPr>
            </w:pPr>
          </w:p>
        </w:tc>
        <w:tc>
          <w:tcPr>
            <w:tcW w:w="760" w:type="dxa"/>
            <w:vAlign w:val="bottom"/>
          </w:tcPr>
          <w:p>
            <w:pPr>
              <w:spacing w:after="0"/>
              <w:rPr>
                <w:sz w:val="20"/>
                <w:szCs w:val="20"/>
                <w:color w:val="auto"/>
              </w:rPr>
            </w:pPr>
            <w:r>
              <w:rPr>
                <w:rFonts w:ascii="Arial" w:cs="Arial" w:eastAsia="Arial" w:hAnsi="Arial"/>
                <w:sz w:val="15"/>
                <w:szCs w:val="15"/>
                <w:color w:val="auto"/>
              </w:rPr>
              <w:t>Title:</w:t>
            </w:r>
          </w:p>
        </w:tc>
        <w:tc>
          <w:tcPr>
            <w:tcW w:w="5880" w:type="dxa"/>
            <w:vAlign w:val="bottom"/>
          </w:tcPr>
          <w:p>
            <w:pPr>
              <w:ind w:left="260"/>
              <w:spacing w:after="0"/>
              <w:rPr>
                <w:sz w:val="20"/>
                <w:szCs w:val="20"/>
                <w:color w:val="auto"/>
              </w:rPr>
            </w:pPr>
            <w:r>
              <w:rPr>
                <w:rFonts w:ascii="Arial" w:cs="Arial" w:eastAsia="Arial" w:hAnsi="Arial"/>
                <w:sz w:val="15"/>
                <w:szCs w:val="15"/>
                <w:color w:val="auto"/>
              </w:rPr>
              <w:t>Chief Financial Officer</w:t>
            </w:r>
          </w:p>
        </w:tc>
      </w:tr>
    </w:tbl>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Date: April 27,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300355</wp:posOffset>
            </wp:positionV>
            <wp:extent cx="726630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440"/>
          </w:cols>
          <w:pgMar w:left="240" w:top="517" w:right="2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9"/>
        </w:trPr>
        <w:tc>
          <w:tcPr>
            <w:tcW w:w="1220" w:type="dxa"/>
            <w:vAlign w:val="bottom"/>
          </w:tcPr>
          <w:p>
            <w:pPr>
              <w:spacing w:after="0"/>
              <w:rPr>
                <w:sz w:val="17"/>
                <w:szCs w:val="17"/>
                <w:color w:val="auto"/>
              </w:rPr>
            </w:pPr>
          </w:p>
        </w:tc>
        <w:tc>
          <w:tcPr>
            <w:tcW w:w="10220" w:type="dxa"/>
            <w:vAlign w:val="bottom"/>
          </w:tcPr>
          <w:p>
            <w:pPr>
              <w:ind w:left="3900"/>
              <w:spacing w:after="0"/>
              <w:rPr>
                <w:sz w:val="20"/>
                <w:szCs w:val="20"/>
                <w:color w:val="auto"/>
              </w:rPr>
            </w:pPr>
            <w:r>
              <w:rPr>
                <w:rFonts w:ascii="Arial" w:cs="Arial" w:eastAsia="Arial" w:hAnsi="Arial"/>
                <w:sz w:val="15"/>
                <w:szCs w:val="15"/>
                <w:b w:val="1"/>
                <w:bCs w:val="1"/>
                <w:color w:val="auto"/>
              </w:rPr>
              <w:t>EXHIBIT INDEX</w:t>
            </w:r>
          </w:p>
        </w:tc>
      </w:tr>
      <w:tr>
        <w:trPr>
          <w:trHeight w:val="369"/>
        </w:trPr>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Exhibit Number</w:t>
            </w:r>
          </w:p>
        </w:tc>
        <w:tc>
          <w:tcPr>
            <w:tcW w:w="10220" w:type="dxa"/>
            <w:vAlign w:val="bottom"/>
            <w:tcBorders>
              <w:bottom w:val="single" w:sz="8" w:color="auto"/>
            </w:tcBorders>
          </w:tcPr>
          <w:p>
            <w:pPr>
              <w:ind w:left="4740"/>
              <w:spacing w:after="0"/>
              <w:rPr>
                <w:sz w:val="20"/>
                <w:szCs w:val="20"/>
                <w:color w:val="auto"/>
              </w:rPr>
            </w:pPr>
            <w:r>
              <w:rPr>
                <w:rFonts w:ascii="Arial" w:cs="Arial" w:eastAsia="Arial" w:hAnsi="Arial"/>
                <w:sz w:val="15"/>
                <w:szCs w:val="15"/>
                <w:b w:val="1"/>
                <w:bCs w:val="1"/>
                <w:color w:val="auto"/>
              </w:rPr>
              <w:t>Description</w:t>
            </w:r>
          </w:p>
        </w:tc>
      </w:tr>
      <w:tr>
        <w:trPr>
          <w:trHeight w:val="166"/>
        </w:trPr>
        <w:tc>
          <w:tcPr>
            <w:tcW w:w="1220" w:type="dxa"/>
            <w:vAlign w:val="bottom"/>
          </w:tcPr>
          <w:p>
            <w:pPr>
              <w:jc w:val="center"/>
              <w:spacing w:after="0" w:line="166" w:lineRule="exact"/>
              <w:rPr>
                <w:sz w:val="20"/>
                <w:szCs w:val="20"/>
                <w:color w:val="auto"/>
              </w:rPr>
            </w:pPr>
            <w:r>
              <w:rPr>
                <w:rFonts w:ascii="Arial" w:cs="Arial" w:eastAsia="Arial" w:hAnsi="Arial"/>
                <w:sz w:val="15"/>
                <w:szCs w:val="15"/>
                <w:color w:val="auto"/>
                <w:w w:val="88"/>
              </w:rPr>
              <w:t>99.1</w:t>
            </w:r>
          </w:p>
        </w:tc>
        <w:tc>
          <w:tcPr>
            <w:tcW w:w="10220" w:type="dxa"/>
            <w:vAlign w:val="bottom"/>
          </w:tcPr>
          <w:p>
            <w:pPr>
              <w:ind w:left="40"/>
              <w:spacing w:after="0" w:line="166" w:lineRule="exact"/>
              <w:rPr>
                <w:sz w:val="20"/>
                <w:szCs w:val="20"/>
                <w:color w:val="auto"/>
              </w:rPr>
            </w:pPr>
            <w:r>
              <w:rPr>
                <w:rFonts w:ascii="Arial" w:cs="Arial" w:eastAsia="Arial" w:hAnsi="Arial"/>
                <w:sz w:val="15"/>
                <w:szCs w:val="15"/>
                <w:color w:val="auto"/>
              </w:rPr>
              <w:t>Extraordinary General Meeting presentation</w:t>
            </w:r>
          </w:p>
        </w:tc>
      </w:tr>
      <w:tr>
        <w:trPr>
          <w:trHeight w:val="195"/>
        </w:trPr>
        <w:tc>
          <w:tcPr>
            <w:tcW w:w="1220" w:type="dxa"/>
            <w:vAlign w:val="bottom"/>
          </w:tcPr>
          <w:p>
            <w:pPr>
              <w:jc w:val="center"/>
              <w:spacing w:after="0"/>
              <w:rPr>
                <w:sz w:val="20"/>
                <w:szCs w:val="20"/>
                <w:color w:val="auto"/>
              </w:rPr>
            </w:pPr>
            <w:r>
              <w:rPr>
                <w:rFonts w:ascii="Arial" w:cs="Arial" w:eastAsia="Arial" w:hAnsi="Arial"/>
                <w:sz w:val="15"/>
                <w:szCs w:val="15"/>
                <w:color w:val="auto"/>
                <w:w w:val="88"/>
              </w:rPr>
              <w:t>99.2</w:t>
            </w:r>
          </w:p>
        </w:tc>
        <w:tc>
          <w:tcPr>
            <w:tcW w:w="10220" w:type="dxa"/>
            <w:vAlign w:val="bottom"/>
          </w:tcPr>
          <w:p>
            <w:pPr>
              <w:ind w:left="40"/>
              <w:spacing w:after="0"/>
              <w:rPr>
                <w:sz w:val="20"/>
                <w:szCs w:val="20"/>
                <w:color w:val="auto"/>
              </w:rPr>
            </w:pPr>
            <w:r>
              <w:rPr>
                <w:rFonts w:ascii="Arial" w:cs="Arial" w:eastAsia="Arial" w:hAnsi="Arial"/>
                <w:sz w:val="15"/>
                <w:szCs w:val="15"/>
                <w:color w:val="auto"/>
              </w:rPr>
              <w:t>AC Immune SA Articles of Association dated March 26, 2018</w:t>
            </w:r>
          </w:p>
        </w:tc>
      </w:tr>
      <w:tr>
        <w:trPr>
          <w:trHeight w:val="473"/>
        </w:trPr>
        <w:tc>
          <w:tcPr>
            <w:tcW w:w="122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517" w:right="219" w:bottom="1440" w:gutter="0" w:footer="0" w:header="0"/>
        </w:sectPr>
      </w:pPr>
    </w:p>
    <w:bookmarkStart w:id="5" w:name="page6"/>
    <w:bookmarkEnd w:id="5"/>
    <w:p>
      <w:pPr>
        <w:ind w:left="9280"/>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286385</wp:posOffset>
            </wp:positionV>
            <wp:extent cx="7320280" cy="5398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0" w:num="1">
            <w:col w:w="10240"/>
          </w:cols>
          <w:pgMar w:left="1440" w:top="115" w:right="21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5728970</wp:posOffset>
            </wp:positionV>
            <wp:extent cx="726630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231"/>
        </w:trPr>
        <w:tc>
          <w:tcPr>
            <w:tcW w:w="500" w:type="dxa"/>
            <w:vAlign w:val="bottom"/>
            <w:tcBorders>
              <w:top w:val="single" w:sz="8" w:color="auto"/>
              <w:left w:val="single" w:sz="8" w:color="auto"/>
            </w:tcBorders>
          </w:tcPr>
          <w:p>
            <w:pPr>
              <w:spacing w:after="0"/>
              <w:rPr>
                <w:sz w:val="20"/>
                <w:szCs w:val="20"/>
                <w:color w:val="auto"/>
              </w:rPr>
            </w:pPr>
          </w:p>
        </w:tc>
        <w:tc>
          <w:tcPr>
            <w:tcW w:w="5120" w:type="dxa"/>
            <w:vAlign w:val="bottom"/>
            <w:tcBorders>
              <w:top w:val="single" w:sz="8" w:color="auto"/>
              <w:right w:val="single" w:sz="8" w:color="auto"/>
            </w:tcBorders>
          </w:tcPr>
          <w:p>
            <w:pPr>
              <w:jc w:val="center"/>
              <w:ind w:right="443"/>
              <w:spacing w:after="0"/>
              <w:rPr>
                <w:sz w:val="20"/>
                <w:szCs w:val="20"/>
                <w:color w:val="auto"/>
              </w:rPr>
            </w:pPr>
            <w:r>
              <w:rPr>
                <w:rFonts w:ascii="Arial" w:cs="Arial" w:eastAsia="Arial" w:hAnsi="Arial"/>
                <w:sz w:val="15"/>
                <w:szCs w:val="15"/>
                <w:b w:val="1"/>
                <w:bCs w:val="1"/>
                <w:color w:val="auto"/>
              </w:rPr>
              <w:t>ARTICLES OF ASSOCIATION</w:t>
            </w:r>
          </w:p>
        </w:tc>
        <w:tc>
          <w:tcPr>
            <w:tcW w:w="220" w:type="dxa"/>
            <w:vAlign w:val="bottom"/>
            <w:tcBorders>
              <w:top w:val="single" w:sz="8" w:color="auto"/>
              <w:right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5120" w:type="dxa"/>
            <w:vAlign w:val="bottom"/>
            <w:tcBorders>
              <w:top w:val="single" w:sz="8" w:color="auto"/>
              <w:right w:val="single" w:sz="8" w:color="auto"/>
            </w:tcBorders>
          </w:tcPr>
          <w:p>
            <w:pPr>
              <w:jc w:val="center"/>
              <w:ind w:right="423"/>
              <w:spacing w:after="0"/>
              <w:rPr>
                <w:sz w:val="20"/>
                <w:szCs w:val="20"/>
                <w:color w:val="auto"/>
              </w:rPr>
            </w:pPr>
            <w:r>
              <w:rPr>
                <w:rFonts w:ascii="Arial" w:cs="Arial" w:eastAsia="Arial" w:hAnsi="Arial"/>
                <w:sz w:val="15"/>
                <w:szCs w:val="15"/>
                <w:b w:val="1"/>
                <w:bCs w:val="1"/>
                <w:color w:val="auto"/>
              </w:rPr>
              <w:t>STATUTS</w:t>
            </w:r>
          </w:p>
        </w:tc>
      </w:tr>
      <w:tr>
        <w:trPr>
          <w:trHeight w:val="346"/>
        </w:trPr>
        <w:tc>
          <w:tcPr>
            <w:tcW w:w="500" w:type="dxa"/>
            <w:vAlign w:val="bottom"/>
            <w:tcBorders>
              <w:left w:val="single" w:sz="8" w:color="auto"/>
            </w:tcBorders>
          </w:tcPr>
          <w:p>
            <w:pPr>
              <w:spacing w:after="0"/>
              <w:rPr>
                <w:sz w:val="24"/>
                <w:szCs w:val="24"/>
                <w:color w:val="auto"/>
              </w:rPr>
            </w:pPr>
          </w:p>
        </w:tc>
        <w:tc>
          <w:tcPr>
            <w:tcW w:w="5120" w:type="dxa"/>
            <w:vAlign w:val="bottom"/>
            <w:tcBorders>
              <w:right w:val="single" w:sz="8" w:color="auto"/>
            </w:tcBorders>
          </w:tcPr>
          <w:p>
            <w:pPr>
              <w:jc w:val="center"/>
              <w:ind w:right="443"/>
              <w:spacing w:after="0"/>
              <w:rPr>
                <w:sz w:val="20"/>
                <w:szCs w:val="20"/>
                <w:color w:val="auto"/>
              </w:rPr>
            </w:pPr>
            <w:r>
              <w:rPr>
                <w:rFonts w:ascii="Arial" w:cs="Arial" w:eastAsia="Arial" w:hAnsi="Arial"/>
                <w:sz w:val="15"/>
                <w:szCs w:val="15"/>
                <w:b w:val="1"/>
                <w:bCs w:val="1"/>
                <w:color w:val="auto"/>
              </w:rPr>
              <w:t>of</w:t>
            </w:r>
          </w:p>
        </w:tc>
        <w:tc>
          <w:tcPr>
            <w:tcW w:w="220" w:type="dxa"/>
            <w:vAlign w:val="bottom"/>
            <w:tcBorders>
              <w:righ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5120" w:type="dxa"/>
            <w:vAlign w:val="bottom"/>
            <w:tcBorders>
              <w:right w:val="single" w:sz="8" w:color="auto"/>
            </w:tcBorders>
          </w:tcPr>
          <w:p>
            <w:pPr>
              <w:jc w:val="center"/>
              <w:ind w:right="423"/>
              <w:spacing w:after="0"/>
              <w:rPr>
                <w:sz w:val="20"/>
                <w:szCs w:val="20"/>
                <w:color w:val="auto"/>
              </w:rPr>
            </w:pPr>
            <w:r>
              <w:rPr>
                <w:rFonts w:ascii="Arial" w:cs="Arial" w:eastAsia="Arial" w:hAnsi="Arial"/>
                <w:sz w:val="15"/>
                <w:szCs w:val="15"/>
                <w:b w:val="1"/>
                <w:bCs w:val="1"/>
                <w:color w:val="auto"/>
              </w:rPr>
              <w:t>de</w:t>
            </w:r>
          </w:p>
        </w:tc>
      </w:tr>
      <w:tr>
        <w:trPr>
          <w:trHeight w:val="316"/>
        </w:trPr>
        <w:tc>
          <w:tcPr>
            <w:tcW w:w="500" w:type="dxa"/>
            <w:vAlign w:val="bottom"/>
            <w:tcBorders>
              <w:left w:val="single" w:sz="8" w:color="auto"/>
            </w:tcBorders>
          </w:tcPr>
          <w:p>
            <w:pPr>
              <w:spacing w:after="0"/>
              <w:rPr>
                <w:sz w:val="24"/>
                <w:szCs w:val="24"/>
                <w:color w:val="auto"/>
              </w:rPr>
            </w:pPr>
          </w:p>
        </w:tc>
        <w:tc>
          <w:tcPr>
            <w:tcW w:w="5120" w:type="dxa"/>
            <w:vAlign w:val="bottom"/>
            <w:tcBorders>
              <w:right w:val="single" w:sz="8" w:color="auto"/>
            </w:tcBorders>
          </w:tcPr>
          <w:p>
            <w:pPr>
              <w:jc w:val="center"/>
              <w:ind w:right="443"/>
              <w:spacing w:after="0"/>
              <w:rPr>
                <w:sz w:val="20"/>
                <w:szCs w:val="20"/>
                <w:color w:val="auto"/>
              </w:rPr>
            </w:pPr>
            <w:r>
              <w:rPr>
                <w:rFonts w:ascii="Arial" w:cs="Arial" w:eastAsia="Arial" w:hAnsi="Arial"/>
                <w:sz w:val="15"/>
                <w:szCs w:val="15"/>
                <w:b w:val="1"/>
                <w:bCs w:val="1"/>
                <w:color w:val="auto"/>
              </w:rPr>
              <w:t>AC Immune SA</w:t>
            </w:r>
          </w:p>
        </w:tc>
        <w:tc>
          <w:tcPr>
            <w:tcW w:w="220" w:type="dxa"/>
            <w:vAlign w:val="bottom"/>
            <w:tcBorders>
              <w:righ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5120" w:type="dxa"/>
            <w:vAlign w:val="bottom"/>
            <w:tcBorders>
              <w:right w:val="single" w:sz="8" w:color="auto"/>
            </w:tcBorders>
          </w:tcPr>
          <w:p>
            <w:pPr>
              <w:jc w:val="center"/>
              <w:ind w:right="423"/>
              <w:spacing w:after="0"/>
              <w:rPr>
                <w:sz w:val="20"/>
                <w:szCs w:val="20"/>
                <w:color w:val="auto"/>
              </w:rPr>
            </w:pPr>
            <w:r>
              <w:rPr>
                <w:rFonts w:ascii="Arial" w:cs="Arial" w:eastAsia="Arial" w:hAnsi="Arial"/>
                <w:sz w:val="15"/>
                <w:szCs w:val="15"/>
                <w:b w:val="1"/>
                <w:bCs w:val="1"/>
                <w:color w:val="auto"/>
              </w:rPr>
              <w:t>AC Immune SA</w:t>
            </w:r>
          </w:p>
        </w:tc>
      </w:tr>
      <w:tr>
        <w:trPr>
          <w:trHeight w:val="173"/>
        </w:trPr>
        <w:tc>
          <w:tcPr>
            <w:tcW w:w="500" w:type="dxa"/>
            <w:vAlign w:val="bottom"/>
            <w:tcBorders>
              <w:left w:val="single" w:sz="8" w:color="auto"/>
            </w:tcBorders>
          </w:tcPr>
          <w:p>
            <w:pPr>
              <w:spacing w:after="0"/>
              <w:rPr>
                <w:sz w:val="15"/>
                <w:szCs w:val="15"/>
                <w:color w:val="auto"/>
              </w:rPr>
            </w:pPr>
          </w:p>
        </w:tc>
        <w:tc>
          <w:tcPr>
            <w:tcW w:w="5120" w:type="dxa"/>
            <w:vAlign w:val="bottom"/>
            <w:tcBorders>
              <w:right w:val="single" w:sz="8" w:color="auto"/>
            </w:tcBorders>
          </w:tcPr>
          <w:p>
            <w:pPr>
              <w:jc w:val="center"/>
              <w:ind w:right="443"/>
              <w:spacing w:after="0"/>
              <w:rPr>
                <w:sz w:val="20"/>
                <w:szCs w:val="20"/>
                <w:color w:val="auto"/>
              </w:rPr>
            </w:pPr>
            <w:r>
              <w:rPr>
                <w:rFonts w:ascii="Arial" w:cs="Arial" w:eastAsia="Arial" w:hAnsi="Arial"/>
                <w:sz w:val="15"/>
                <w:szCs w:val="15"/>
                <w:b w:val="1"/>
                <w:bCs w:val="1"/>
                <w:color w:val="auto"/>
              </w:rPr>
              <w:t>(AC Immune AG)</w:t>
            </w:r>
          </w:p>
        </w:tc>
        <w:tc>
          <w:tcPr>
            <w:tcW w:w="220" w:type="dxa"/>
            <w:vAlign w:val="bottom"/>
            <w:tcBorders>
              <w:right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5120" w:type="dxa"/>
            <w:vAlign w:val="bottom"/>
            <w:tcBorders>
              <w:right w:val="single" w:sz="8" w:color="auto"/>
            </w:tcBorders>
          </w:tcPr>
          <w:p>
            <w:pPr>
              <w:jc w:val="center"/>
              <w:ind w:right="423"/>
              <w:spacing w:after="0"/>
              <w:rPr>
                <w:sz w:val="20"/>
                <w:szCs w:val="20"/>
                <w:color w:val="auto"/>
              </w:rPr>
            </w:pPr>
            <w:r>
              <w:rPr>
                <w:rFonts w:ascii="Arial" w:cs="Arial" w:eastAsia="Arial" w:hAnsi="Arial"/>
                <w:sz w:val="15"/>
                <w:szCs w:val="15"/>
                <w:b w:val="1"/>
                <w:bCs w:val="1"/>
                <w:color w:val="auto"/>
              </w:rPr>
              <w:t>(AC Immune AG)</w:t>
            </w:r>
          </w:p>
        </w:tc>
      </w:tr>
      <w:tr>
        <w:trPr>
          <w:trHeight w:val="203"/>
        </w:trPr>
        <w:tc>
          <w:tcPr>
            <w:tcW w:w="500" w:type="dxa"/>
            <w:vAlign w:val="bottom"/>
            <w:tcBorders>
              <w:left w:val="single" w:sz="8" w:color="auto"/>
            </w:tcBorders>
          </w:tcPr>
          <w:p>
            <w:pPr>
              <w:spacing w:after="0"/>
              <w:rPr>
                <w:sz w:val="17"/>
                <w:szCs w:val="17"/>
                <w:color w:val="auto"/>
              </w:rPr>
            </w:pPr>
          </w:p>
        </w:tc>
        <w:tc>
          <w:tcPr>
            <w:tcW w:w="5120" w:type="dxa"/>
            <w:vAlign w:val="bottom"/>
            <w:tcBorders>
              <w:right w:val="single" w:sz="8" w:color="auto"/>
            </w:tcBorders>
          </w:tcPr>
          <w:p>
            <w:pPr>
              <w:jc w:val="center"/>
              <w:ind w:right="443"/>
              <w:spacing w:after="0"/>
              <w:rPr>
                <w:sz w:val="20"/>
                <w:szCs w:val="20"/>
                <w:color w:val="auto"/>
              </w:rPr>
            </w:pPr>
            <w:r>
              <w:rPr>
                <w:rFonts w:ascii="Arial" w:cs="Arial" w:eastAsia="Arial" w:hAnsi="Arial"/>
                <w:sz w:val="15"/>
                <w:szCs w:val="15"/>
                <w:b w:val="1"/>
                <w:bCs w:val="1"/>
                <w:color w:val="auto"/>
              </w:rPr>
              <w:t>(AC Immune Ltd)</w:t>
            </w:r>
          </w:p>
        </w:tc>
        <w:tc>
          <w:tcPr>
            <w:tcW w:w="22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5120" w:type="dxa"/>
            <w:vAlign w:val="bottom"/>
            <w:tcBorders>
              <w:right w:val="single" w:sz="8" w:color="auto"/>
            </w:tcBorders>
          </w:tcPr>
          <w:p>
            <w:pPr>
              <w:jc w:val="center"/>
              <w:ind w:right="403"/>
              <w:spacing w:after="0"/>
              <w:rPr>
                <w:sz w:val="20"/>
                <w:szCs w:val="20"/>
                <w:color w:val="auto"/>
              </w:rPr>
            </w:pPr>
            <w:r>
              <w:rPr>
                <w:rFonts w:ascii="Arial" w:cs="Arial" w:eastAsia="Arial" w:hAnsi="Arial"/>
                <w:sz w:val="15"/>
                <w:szCs w:val="15"/>
                <w:b w:val="1"/>
                <w:bCs w:val="1"/>
                <w:color w:val="auto"/>
              </w:rPr>
              <w:t>(AC Immune Ltd)</w:t>
            </w:r>
          </w:p>
        </w:tc>
      </w:tr>
      <w:tr>
        <w:trPr>
          <w:trHeight w:val="346"/>
        </w:trPr>
        <w:tc>
          <w:tcPr>
            <w:tcW w:w="500" w:type="dxa"/>
            <w:vAlign w:val="bottom"/>
            <w:tcBorders>
              <w:left w:val="single" w:sz="8" w:color="auto"/>
            </w:tcBorders>
          </w:tcPr>
          <w:p>
            <w:pPr>
              <w:spacing w:after="0"/>
              <w:rPr>
                <w:sz w:val="24"/>
                <w:szCs w:val="24"/>
                <w:color w:val="auto"/>
              </w:rPr>
            </w:pPr>
          </w:p>
        </w:tc>
        <w:tc>
          <w:tcPr>
            <w:tcW w:w="5120" w:type="dxa"/>
            <w:vAlign w:val="bottom"/>
            <w:tcBorders>
              <w:right w:val="single" w:sz="8" w:color="auto"/>
            </w:tcBorders>
          </w:tcPr>
          <w:p>
            <w:pPr>
              <w:jc w:val="center"/>
              <w:ind w:right="443"/>
              <w:spacing w:after="0"/>
              <w:rPr>
                <w:sz w:val="20"/>
                <w:szCs w:val="20"/>
                <w:color w:val="auto"/>
              </w:rPr>
            </w:pPr>
            <w:r>
              <w:rPr>
                <w:rFonts w:ascii="Arial" w:cs="Arial" w:eastAsia="Arial" w:hAnsi="Arial"/>
                <w:sz w:val="15"/>
                <w:szCs w:val="15"/>
                <w:b w:val="1"/>
                <w:bCs w:val="1"/>
                <w:color w:val="auto"/>
              </w:rPr>
              <w:t>with registered office in</w:t>
            </w:r>
          </w:p>
        </w:tc>
        <w:tc>
          <w:tcPr>
            <w:tcW w:w="220" w:type="dxa"/>
            <w:vAlign w:val="bottom"/>
            <w:tcBorders>
              <w:righ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5120" w:type="dxa"/>
            <w:vAlign w:val="bottom"/>
            <w:tcBorders>
              <w:right w:val="single" w:sz="8" w:color="auto"/>
            </w:tcBorders>
          </w:tcPr>
          <w:p>
            <w:pPr>
              <w:jc w:val="center"/>
              <w:ind w:right="423"/>
              <w:spacing w:after="0"/>
              <w:rPr>
                <w:sz w:val="20"/>
                <w:szCs w:val="20"/>
                <w:color w:val="auto"/>
              </w:rPr>
            </w:pPr>
            <w:r>
              <w:rPr>
                <w:rFonts w:ascii="Arial" w:cs="Arial" w:eastAsia="Arial" w:hAnsi="Arial"/>
                <w:sz w:val="15"/>
                <w:szCs w:val="15"/>
                <w:b w:val="1"/>
                <w:bCs w:val="1"/>
                <w:color w:val="auto"/>
              </w:rPr>
              <w:t>avec siège à</w:t>
            </w:r>
          </w:p>
        </w:tc>
      </w:tr>
      <w:tr>
        <w:trPr>
          <w:trHeight w:val="346"/>
        </w:trPr>
        <w:tc>
          <w:tcPr>
            <w:tcW w:w="500" w:type="dxa"/>
            <w:vAlign w:val="bottom"/>
            <w:tcBorders>
              <w:left w:val="single" w:sz="8" w:color="auto"/>
            </w:tcBorders>
          </w:tcPr>
          <w:p>
            <w:pPr>
              <w:spacing w:after="0"/>
              <w:rPr>
                <w:sz w:val="24"/>
                <w:szCs w:val="24"/>
                <w:color w:val="auto"/>
              </w:rPr>
            </w:pPr>
          </w:p>
        </w:tc>
        <w:tc>
          <w:tcPr>
            <w:tcW w:w="5120" w:type="dxa"/>
            <w:vAlign w:val="bottom"/>
            <w:tcBorders>
              <w:right w:val="single" w:sz="8" w:color="auto"/>
            </w:tcBorders>
          </w:tcPr>
          <w:p>
            <w:pPr>
              <w:jc w:val="center"/>
              <w:ind w:right="443"/>
              <w:spacing w:after="0"/>
              <w:rPr>
                <w:sz w:val="20"/>
                <w:szCs w:val="20"/>
                <w:color w:val="auto"/>
              </w:rPr>
            </w:pPr>
            <w:r>
              <w:rPr>
                <w:rFonts w:ascii="Arial" w:cs="Arial" w:eastAsia="Arial" w:hAnsi="Arial"/>
                <w:sz w:val="15"/>
                <w:szCs w:val="15"/>
                <w:b w:val="1"/>
                <w:bCs w:val="1"/>
                <w:color w:val="auto"/>
              </w:rPr>
              <w:t>Ecublens (VD)</w:t>
            </w:r>
          </w:p>
        </w:tc>
        <w:tc>
          <w:tcPr>
            <w:tcW w:w="220" w:type="dxa"/>
            <w:vAlign w:val="bottom"/>
            <w:tcBorders>
              <w:righ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5120" w:type="dxa"/>
            <w:vAlign w:val="bottom"/>
            <w:tcBorders>
              <w:right w:val="single" w:sz="8" w:color="auto"/>
            </w:tcBorders>
          </w:tcPr>
          <w:p>
            <w:pPr>
              <w:jc w:val="center"/>
              <w:ind w:right="403"/>
              <w:spacing w:after="0"/>
              <w:rPr>
                <w:sz w:val="20"/>
                <w:szCs w:val="20"/>
                <w:color w:val="auto"/>
              </w:rPr>
            </w:pPr>
            <w:r>
              <w:rPr>
                <w:rFonts w:ascii="Arial" w:cs="Arial" w:eastAsia="Arial" w:hAnsi="Arial"/>
                <w:sz w:val="15"/>
                <w:szCs w:val="15"/>
                <w:b w:val="1"/>
                <w:bCs w:val="1"/>
                <w:color w:val="auto"/>
              </w:rPr>
              <w:t>Ecublens (VD)</w:t>
            </w:r>
          </w:p>
        </w:tc>
      </w:tr>
      <w:tr>
        <w:trPr>
          <w:trHeight w:val="346"/>
        </w:trPr>
        <w:tc>
          <w:tcPr>
            <w:tcW w:w="500" w:type="dxa"/>
            <w:vAlign w:val="bottom"/>
            <w:tcBorders>
              <w:left w:val="single" w:sz="8" w:color="auto"/>
            </w:tcBorders>
          </w:tcPr>
          <w:p>
            <w:pPr>
              <w:spacing w:after="0"/>
              <w:rPr>
                <w:sz w:val="24"/>
                <w:szCs w:val="24"/>
                <w:color w:val="auto"/>
              </w:rPr>
            </w:pPr>
          </w:p>
        </w:tc>
        <w:tc>
          <w:tcPr>
            <w:tcW w:w="5120" w:type="dxa"/>
            <w:vAlign w:val="bottom"/>
            <w:tcBorders>
              <w:right w:val="single" w:sz="8" w:color="auto"/>
            </w:tcBorders>
          </w:tcPr>
          <w:p>
            <w:pPr>
              <w:jc w:val="center"/>
              <w:ind w:right="443"/>
              <w:spacing w:after="0"/>
              <w:rPr>
                <w:sz w:val="20"/>
                <w:szCs w:val="20"/>
                <w:color w:val="auto"/>
              </w:rPr>
            </w:pPr>
            <w:r>
              <w:rPr>
                <w:rFonts w:ascii="Arial" w:cs="Arial" w:eastAsia="Arial" w:hAnsi="Arial"/>
                <w:sz w:val="15"/>
                <w:szCs w:val="15"/>
                <w:color w:val="auto"/>
              </w:rPr>
              <w:t>The French version of these articles of association shall prevail.</w:t>
            </w:r>
          </w:p>
        </w:tc>
        <w:tc>
          <w:tcPr>
            <w:tcW w:w="220" w:type="dxa"/>
            <w:vAlign w:val="bottom"/>
            <w:tcBorders>
              <w:righ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5120" w:type="dxa"/>
            <w:vAlign w:val="bottom"/>
            <w:tcBorders>
              <w:right w:val="single" w:sz="8" w:color="auto"/>
            </w:tcBorders>
          </w:tcPr>
          <w:p>
            <w:pPr>
              <w:jc w:val="center"/>
              <w:ind w:right="423"/>
              <w:spacing w:after="0"/>
              <w:rPr>
                <w:sz w:val="20"/>
                <w:szCs w:val="20"/>
                <w:color w:val="auto"/>
              </w:rPr>
            </w:pPr>
            <w:r>
              <w:rPr>
                <w:rFonts w:ascii="Arial" w:cs="Arial" w:eastAsia="Arial" w:hAnsi="Arial"/>
                <w:sz w:val="15"/>
                <w:szCs w:val="15"/>
                <w:color w:val="auto"/>
              </w:rPr>
              <w:t>La version française de ces statuts fait foi.</w:t>
            </w:r>
          </w:p>
        </w:tc>
      </w:tr>
      <w:tr>
        <w:trPr>
          <w:trHeight w:val="196"/>
        </w:trPr>
        <w:tc>
          <w:tcPr>
            <w:tcW w:w="500" w:type="dxa"/>
            <w:vAlign w:val="bottom"/>
            <w:tcBorders>
              <w:left w:val="single" w:sz="8" w:color="auto"/>
              <w:bottom w:val="single" w:sz="8" w:color="auto"/>
            </w:tcBorders>
          </w:tcPr>
          <w:p>
            <w:pPr>
              <w:spacing w:after="0"/>
              <w:rPr>
                <w:sz w:val="17"/>
                <w:szCs w:val="17"/>
                <w:color w:val="auto"/>
              </w:rPr>
            </w:pPr>
          </w:p>
        </w:tc>
        <w:tc>
          <w:tcPr>
            <w:tcW w:w="512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5120" w:type="dxa"/>
            <w:vAlign w:val="bottom"/>
            <w:tcBorders>
              <w:bottom w:val="single" w:sz="8" w:color="auto"/>
              <w:right w:val="single" w:sz="8" w:color="auto"/>
            </w:tcBorders>
          </w:tcPr>
          <w:p>
            <w:pPr>
              <w:spacing w:after="0"/>
              <w:rPr>
                <w:sz w:val="17"/>
                <w:szCs w:val="17"/>
                <w:color w:val="auto"/>
              </w:rPr>
            </w:pPr>
          </w:p>
        </w:tc>
      </w:tr>
      <w:tr>
        <w:trPr>
          <w:trHeight w:val="180"/>
        </w:trPr>
        <w:tc>
          <w:tcPr>
            <w:tcW w:w="500" w:type="dxa"/>
            <w:vAlign w:val="bottom"/>
            <w:tcBorders>
              <w:left w:val="single" w:sz="8" w:color="auto"/>
            </w:tcBorders>
          </w:tcPr>
          <w:p>
            <w:pPr>
              <w:spacing w:after="0"/>
              <w:rPr>
                <w:sz w:val="20"/>
                <w:szCs w:val="20"/>
                <w:color w:val="auto"/>
              </w:rPr>
            </w:pPr>
            <w:r>
              <w:rPr>
                <w:rFonts w:ascii="Arial" w:cs="Arial" w:eastAsia="Arial" w:hAnsi="Arial"/>
                <w:sz w:val="15"/>
                <w:szCs w:val="15"/>
                <w:b w:val="1"/>
                <w:bCs w:val="1"/>
                <w:color w:val="auto"/>
              </w:rPr>
              <w:t>I.</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5"/>
                <w:szCs w:val="15"/>
                <w:b w:val="1"/>
                <w:bCs w:val="1"/>
                <w:color w:val="auto"/>
              </w:rPr>
              <w:t>CORPORATE NAME, PRINCIPAL OFFICE, DURATION AND PURPOSE</w:t>
            </w:r>
          </w:p>
        </w:tc>
        <w:tc>
          <w:tcPr>
            <w:tcW w:w="220" w:type="dxa"/>
            <w:vAlign w:val="bottom"/>
            <w:tcBorders>
              <w:right w:val="single" w:sz="8" w:color="auto"/>
            </w:tcBorders>
          </w:tcPr>
          <w:p>
            <w:pPr>
              <w:spacing w:after="0"/>
              <w:rPr>
                <w:sz w:val="15"/>
                <w:szCs w:val="15"/>
                <w:color w:val="auto"/>
              </w:rPr>
            </w:pPr>
          </w:p>
        </w:tc>
        <w:tc>
          <w:tcPr>
            <w:tcW w:w="480" w:type="dxa"/>
            <w:vAlign w:val="bottom"/>
          </w:tcPr>
          <w:p>
            <w:pPr>
              <w:ind w:left="40"/>
              <w:spacing w:after="0"/>
              <w:rPr>
                <w:sz w:val="20"/>
                <w:szCs w:val="20"/>
                <w:color w:val="auto"/>
              </w:rPr>
            </w:pPr>
            <w:r>
              <w:rPr>
                <w:rFonts w:ascii="Arial" w:cs="Arial" w:eastAsia="Arial" w:hAnsi="Arial"/>
                <w:sz w:val="15"/>
                <w:szCs w:val="15"/>
                <w:b w:val="1"/>
                <w:bCs w:val="1"/>
                <w:color w:val="auto"/>
              </w:rPr>
              <w:t>I.</w:t>
            </w:r>
          </w:p>
        </w:tc>
        <w:tc>
          <w:tcPr>
            <w:tcW w:w="5120" w:type="dxa"/>
            <w:vAlign w:val="bottom"/>
            <w:tcBorders>
              <w:right w:val="single" w:sz="8" w:color="auto"/>
            </w:tcBorders>
          </w:tcPr>
          <w:p>
            <w:pPr>
              <w:ind w:left="60"/>
              <w:spacing w:after="0"/>
              <w:rPr>
                <w:sz w:val="20"/>
                <w:szCs w:val="20"/>
                <w:color w:val="auto"/>
              </w:rPr>
            </w:pPr>
            <w:r>
              <w:rPr>
                <w:rFonts w:ascii="Arial" w:cs="Arial" w:eastAsia="Arial" w:hAnsi="Arial"/>
                <w:sz w:val="15"/>
                <w:szCs w:val="15"/>
                <w:b w:val="1"/>
                <w:bCs w:val="1"/>
                <w:color w:val="auto"/>
              </w:rPr>
              <w:t>RAISON SOCIALE, SIÈGE,</w:t>
            </w:r>
          </w:p>
        </w:tc>
      </w:tr>
      <w:tr>
        <w:trPr>
          <w:trHeight w:val="203"/>
        </w:trPr>
        <w:tc>
          <w:tcPr>
            <w:tcW w:w="500" w:type="dxa"/>
            <w:vAlign w:val="bottom"/>
            <w:tcBorders>
              <w:left w:val="single" w:sz="8" w:color="auto"/>
            </w:tcBorders>
          </w:tcPr>
          <w:p>
            <w:pPr>
              <w:spacing w:after="0"/>
              <w:rPr>
                <w:sz w:val="17"/>
                <w:szCs w:val="17"/>
                <w:color w:val="auto"/>
              </w:rPr>
            </w:pPr>
          </w:p>
        </w:tc>
        <w:tc>
          <w:tcPr>
            <w:tcW w:w="5120" w:type="dxa"/>
            <w:vAlign w:val="bottom"/>
            <w:tcBorders>
              <w:right w:val="single" w:sz="8" w:color="auto"/>
            </w:tcBorders>
          </w:tcPr>
          <w:p>
            <w:pPr>
              <w:ind w:left="60"/>
              <w:spacing w:after="0"/>
              <w:rPr>
                <w:sz w:val="20"/>
                <w:szCs w:val="20"/>
                <w:color w:val="auto"/>
              </w:rPr>
            </w:pPr>
            <w:r>
              <w:rPr>
                <w:rFonts w:ascii="Arial" w:cs="Arial" w:eastAsia="Arial" w:hAnsi="Arial"/>
                <w:sz w:val="15"/>
                <w:szCs w:val="15"/>
                <w:b w:val="1"/>
                <w:bCs w:val="1"/>
                <w:color w:val="auto"/>
              </w:rPr>
              <w:t>OF THE COMPANY</w:t>
            </w:r>
          </w:p>
        </w:tc>
        <w:tc>
          <w:tcPr>
            <w:tcW w:w="22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5120" w:type="dxa"/>
            <w:vAlign w:val="bottom"/>
            <w:tcBorders>
              <w:right w:val="single" w:sz="8" w:color="auto"/>
            </w:tcBorders>
          </w:tcPr>
          <w:p>
            <w:pPr>
              <w:ind w:left="100"/>
              <w:spacing w:after="0"/>
              <w:rPr>
                <w:sz w:val="20"/>
                <w:szCs w:val="20"/>
                <w:color w:val="auto"/>
              </w:rPr>
            </w:pPr>
            <w:r>
              <w:rPr>
                <w:rFonts w:ascii="Arial" w:cs="Arial" w:eastAsia="Arial" w:hAnsi="Arial"/>
                <w:sz w:val="15"/>
                <w:szCs w:val="15"/>
                <w:b w:val="1"/>
                <w:bCs w:val="1"/>
                <w:color w:val="auto"/>
              </w:rPr>
              <w:t>DURÉE ET BUT DE LA SOCIÉTÉ</w:t>
            </w:r>
          </w:p>
        </w:tc>
      </w:tr>
      <w:tr>
        <w:trPr>
          <w:trHeight w:val="196"/>
        </w:trPr>
        <w:tc>
          <w:tcPr>
            <w:tcW w:w="5620" w:type="dxa"/>
            <w:vAlign w:val="bottom"/>
            <w:tcBorders>
              <w:left w:val="single" w:sz="8" w:color="auto"/>
              <w:bottom w:val="single" w:sz="8" w:color="auto"/>
              <w:right w:val="single" w:sz="8" w:color="auto"/>
            </w:tcBorders>
            <w:gridSpan w:val="2"/>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600" w:type="dxa"/>
            <w:vAlign w:val="bottom"/>
            <w:tcBorders>
              <w:bottom w:val="single" w:sz="8" w:color="auto"/>
              <w:right w:val="single" w:sz="8" w:color="auto"/>
            </w:tcBorders>
            <w:gridSpan w:val="2"/>
          </w:tcPr>
          <w:p>
            <w:pPr>
              <w:spacing w:after="0"/>
              <w:rPr>
                <w:sz w:val="17"/>
                <w:szCs w:val="17"/>
                <w:color w:val="auto"/>
              </w:rPr>
            </w:pPr>
          </w:p>
        </w:tc>
      </w:tr>
      <w:tr>
        <w:trPr>
          <w:trHeight w:val="211"/>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Art. 1  Corporate Name and Duration</w:t>
            </w:r>
          </w:p>
        </w:tc>
        <w:tc>
          <w:tcPr>
            <w:tcW w:w="2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Art. 1  Raison sociale et durée</w:t>
            </w:r>
          </w:p>
        </w:tc>
      </w:tr>
      <w:tr>
        <w:trPr>
          <w:trHeight w:val="346"/>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Under the name</w:t>
            </w:r>
          </w:p>
        </w:tc>
        <w:tc>
          <w:tcPr>
            <w:tcW w:w="22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Sous la raison sociale</w:t>
            </w:r>
          </w:p>
        </w:tc>
      </w:tr>
      <w:tr>
        <w:trPr>
          <w:trHeight w:val="334"/>
        </w:trPr>
        <w:tc>
          <w:tcPr>
            <w:tcW w:w="500" w:type="dxa"/>
            <w:vAlign w:val="bottom"/>
            <w:tcBorders>
              <w:left w:val="single" w:sz="8" w:color="auto"/>
            </w:tcBorders>
          </w:tcPr>
          <w:p>
            <w:pPr>
              <w:spacing w:after="0"/>
              <w:rPr>
                <w:sz w:val="24"/>
                <w:szCs w:val="24"/>
                <w:color w:val="auto"/>
              </w:rPr>
            </w:pPr>
          </w:p>
        </w:tc>
        <w:tc>
          <w:tcPr>
            <w:tcW w:w="5120" w:type="dxa"/>
            <w:vAlign w:val="bottom"/>
            <w:tcBorders>
              <w:right w:val="single" w:sz="8" w:color="auto"/>
            </w:tcBorders>
          </w:tcPr>
          <w:p>
            <w:pPr>
              <w:jc w:val="center"/>
              <w:ind w:right="423"/>
              <w:spacing w:after="0"/>
              <w:rPr>
                <w:sz w:val="20"/>
                <w:szCs w:val="20"/>
                <w:color w:val="auto"/>
              </w:rPr>
            </w:pPr>
            <w:r>
              <w:rPr>
                <w:rFonts w:ascii="Arial" w:cs="Arial" w:eastAsia="Arial" w:hAnsi="Arial"/>
                <w:sz w:val="15"/>
                <w:szCs w:val="15"/>
                <w:color w:val="auto"/>
              </w:rPr>
              <w:t>AC Immune SA</w:t>
            </w:r>
          </w:p>
        </w:tc>
        <w:tc>
          <w:tcPr>
            <w:tcW w:w="220" w:type="dxa"/>
            <w:vAlign w:val="bottom"/>
            <w:tcBorders>
              <w:righ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5120" w:type="dxa"/>
            <w:vAlign w:val="bottom"/>
            <w:tcBorders>
              <w:right w:val="single" w:sz="8" w:color="auto"/>
            </w:tcBorders>
          </w:tcPr>
          <w:p>
            <w:pPr>
              <w:jc w:val="center"/>
              <w:ind w:right="423"/>
              <w:spacing w:after="0"/>
              <w:rPr>
                <w:sz w:val="20"/>
                <w:szCs w:val="20"/>
                <w:color w:val="auto"/>
              </w:rPr>
            </w:pPr>
            <w:r>
              <w:rPr>
                <w:rFonts w:ascii="Arial" w:cs="Arial" w:eastAsia="Arial" w:hAnsi="Arial"/>
                <w:sz w:val="15"/>
                <w:szCs w:val="15"/>
                <w:color w:val="auto"/>
              </w:rPr>
              <w:t>AC Immune SA</w:t>
            </w:r>
          </w:p>
        </w:tc>
      </w:tr>
      <w:tr>
        <w:trPr>
          <w:trHeight w:val="173"/>
        </w:trPr>
        <w:tc>
          <w:tcPr>
            <w:tcW w:w="500" w:type="dxa"/>
            <w:vAlign w:val="bottom"/>
            <w:tcBorders>
              <w:left w:val="single" w:sz="8" w:color="auto"/>
            </w:tcBorders>
          </w:tcPr>
          <w:p>
            <w:pPr>
              <w:spacing w:after="0"/>
              <w:rPr>
                <w:sz w:val="15"/>
                <w:szCs w:val="15"/>
                <w:color w:val="auto"/>
              </w:rPr>
            </w:pPr>
          </w:p>
        </w:tc>
        <w:tc>
          <w:tcPr>
            <w:tcW w:w="5120" w:type="dxa"/>
            <w:vAlign w:val="bottom"/>
            <w:tcBorders>
              <w:right w:val="single" w:sz="8" w:color="auto"/>
            </w:tcBorders>
          </w:tcPr>
          <w:p>
            <w:pPr>
              <w:jc w:val="center"/>
              <w:ind w:right="423"/>
              <w:spacing w:after="0"/>
              <w:rPr>
                <w:sz w:val="20"/>
                <w:szCs w:val="20"/>
                <w:color w:val="auto"/>
              </w:rPr>
            </w:pPr>
            <w:r>
              <w:rPr>
                <w:rFonts w:ascii="Arial" w:cs="Arial" w:eastAsia="Arial" w:hAnsi="Arial"/>
                <w:sz w:val="15"/>
                <w:szCs w:val="15"/>
                <w:color w:val="auto"/>
              </w:rPr>
              <w:t>(AC Immune AG)</w:t>
            </w:r>
          </w:p>
        </w:tc>
        <w:tc>
          <w:tcPr>
            <w:tcW w:w="220" w:type="dxa"/>
            <w:vAlign w:val="bottom"/>
            <w:tcBorders>
              <w:right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5120" w:type="dxa"/>
            <w:vAlign w:val="bottom"/>
            <w:tcBorders>
              <w:right w:val="single" w:sz="8" w:color="auto"/>
            </w:tcBorders>
          </w:tcPr>
          <w:p>
            <w:pPr>
              <w:jc w:val="center"/>
              <w:ind w:right="423"/>
              <w:spacing w:after="0"/>
              <w:rPr>
                <w:sz w:val="20"/>
                <w:szCs w:val="20"/>
                <w:color w:val="auto"/>
              </w:rPr>
            </w:pPr>
            <w:r>
              <w:rPr>
                <w:rFonts w:ascii="Arial" w:cs="Arial" w:eastAsia="Arial" w:hAnsi="Arial"/>
                <w:sz w:val="15"/>
                <w:szCs w:val="15"/>
                <w:color w:val="auto"/>
              </w:rPr>
              <w:t>(AC Immune AG)</w:t>
            </w:r>
          </w:p>
        </w:tc>
      </w:tr>
      <w:tr>
        <w:trPr>
          <w:trHeight w:val="185"/>
        </w:trPr>
        <w:tc>
          <w:tcPr>
            <w:tcW w:w="500" w:type="dxa"/>
            <w:vAlign w:val="bottom"/>
            <w:tcBorders>
              <w:left w:val="single" w:sz="8" w:color="auto"/>
            </w:tcBorders>
          </w:tcPr>
          <w:p>
            <w:pPr>
              <w:spacing w:after="0"/>
              <w:rPr>
                <w:sz w:val="16"/>
                <w:szCs w:val="16"/>
                <w:color w:val="auto"/>
              </w:rPr>
            </w:pPr>
          </w:p>
        </w:tc>
        <w:tc>
          <w:tcPr>
            <w:tcW w:w="5120" w:type="dxa"/>
            <w:vAlign w:val="bottom"/>
            <w:tcBorders>
              <w:right w:val="single" w:sz="8" w:color="auto"/>
            </w:tcBorders>
          </w:tcPr>
          <w:p>
            <w:pPr>
              <w:jc w:val="center"/>
              <w:ind w:right="443"/>
              <w:spacing w:after="0"/>
              <w:rPr>
                <w:sz w:val="20"/>
                <w:szCs w:val="20"/>
                <w:color w:val="auto"/>
              </w:rPr>
            </w:pPr>
            <w:r>
              <w:rPr>
                <w:rFonts w:ascii="Arial" w:cs="Arial" w:eastAsia="Arial" w:hAnsi="Arial"/>
                <w:sz w:val="15"/>
                <w:szCs w:val="15"/>
                <w:color w:val="auto"/>
              </w:rPr>
              <w:t>(AC Immune Ltd)</w:t>
            </w:r>
          </w:p>
        </w:tc>
        <w:tc>
          <w:tcPr>
            <w:tcW w:w="220" w:type="dxa"/>
            <w:vAlign w:val="bottom"/>
            <w:tcBorders>
              <w:righ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5120" w:type="dxa"/>
            <w:vAlign w:val="bottom"/>
            <w:tcBorders>
              <w:right w:val="single" w:sz="8" w:color="auto"/>
            </w:tcBorders>
          </w:tcPr>
          <w:p>
            <w:pPr>
              <w:jc w:val="center"/>
              <w:ind w:right="423"/>
              <w:spacing w:after="0"/>
              <w:rPr>
                <w:sz w:val="20"/>
                <w:szCs w:val="20"/>
                <w:color w:val="auto"/>
              </w:rPr>
            </w:pPr>
            <w:r>
              <w:rPr>
                <w:rFonts w:ascii="Arial" w:cs="Arial" w:eastAsia="Arial" w:hAnsi="Arial"/>
                <w:sz w:val="15"/>
                <w:szCs w:val="15"/>
                <w:color w:val="auto"/>
              </w:rPr>
              <w:t>(AC Immune Ltd)</w:t>
            </w:r>
          </w:p>
        </w:tc>
      </w:tr>
      <w:tr>
        <w:trPr>
          <w:trHeight w:val="334"/>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 xml:space="preserve">there exists a Company pursuant to the provisions of Articles 620 </w:t>
            </w:r>
            <w:r>
              <w:rPr>
                <w:rFonts w:ascii="Arial" w:cs="Arial" w:eastAsia="Arial" w:hAnsi="Arial"/>
                <w:sz w:val="15"/>
                <w:szCs w:val="15"/>
                <w:i w:val="1"/>
                <w:iCs w:val="1"/>
                <w:color w:val="auto"/>
              </w:rPr>
              <w:t>et seq.</w:t>
            </w:r>
            <w:r>
              <w:rPr>
                <w:rFonts w:ascii="Arial" w:cs="Arial" w:eastAsia="Arial" w:hAnsi="Arial"/>
                <w:sz w:val="15"/>
                <w:szCs w:val="15"/>
                <w:color w:val="auto"/>
              </w:rPr>
              <w:t xml:space="preserve"> of the</w:t>
            </w:r>
          </w:p>
        </w:tc>
        <w:tc>
          <w:tcPr>
            <w:tcW w:w="22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il existe une société conformément aux articles 620 ss. du Code des Obligations</w:t>
            </w: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Swiss Code of Obligations (CO) with registered office in Ecublens (VD). The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suisse (CO) ayant son siège à Ecublens (VD). La durée de la société est</w:t>
            </w:r>
          </w:p>
        </w:tc>
      </w:tr>
      <w:tr>
        <w:trPr>
          <w:trHeight w:val="185"/>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duration of the Company is unlimited.</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illimitée.</w:t>
            </w:r>
          </w:p>
        </w:tc>
      </w:tr>
      <w:tr>
        <w:trPr>
          <w:trHeight w:val="196"/>
        </w:trPr>
        <w:tc>
          <w:tcPr>
            <w:tcW w:w="500" w:type="dxa"/>
            <w:vAlign w:val="bottom"/>
            <w:tcBorders>
              <w:left w:val="single" w:sz="8" w:color="auto"/>
              <w:bottom w:val="single" w:sz="8" w:color="auto"/>
            </w:tcBorders>
          </w:tcPr>
          <w:p>
            <w:pPr>
              <w:spacing w:after="0"/>
              <w:rPr>
                <w:sz w:val="17"/>
                <w:szCs w:val="17"/>
                <w:color w:val="auto"/>
              </w:rPr>
            </w:pPr>
          </w:p>
        </w:tc>
        <w:tc>
          <w:tcPr>
            <w:tcW w:w="512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5120" w:type="dxa"/>
            <w:vAlign w:val="bottom"/>
            <w:tcBorders>
              <w:bottom w:val="single" w:sz="8" w:color="auto"/>
              <w:right w:val="single" w:sz="8" w:color="auto"/>
            </w:tcBorders>
          </w:tcPr>
          <w:p>
            <w:pPr>
              <w:spacing w:after="0"/>
              <w:rPr>
                <w:sz w:val="17"/>
                <w:szCs w:val="17"/>
                <w:color w:val="auto"/>
              </w:rPr>
            </w:pPr>
          </w:p>
        </w:tc>
      </w:tr>
      <w:tr>
        <w:trPr>
          <w:trHeight w:val="211"/>
        </w:trPr>
        <w:tc>
          <w:tcPr>
            <w:tcW w:w="500" w:type="dxa"/>
            <w:vAlign w:val="bottom"/>
            <w:tcBorders>
              <w:left w:val="single" w:sz="8" w:color="auto"/>
            </w:tcBorders>
          </w:tcPr>
          <w:p>
            <w:pPr>
              <w:ind w:left="40"/>
              <w:spacing w:after="0"/>
              <w:rPr>
                <w:sz w:val="20"/>
                <w:szCs w:val="20"/>
                <w:color w:val="auto"/>
              </w:rPr>
            </w:pPr>
            <w:r>
              <w:rPr>
                <w:rFonts w:ascii="Arial" w:cs="Arial" w:eastAsia="Arial" w:hAnsi="Arial"/>
                <w:sz w:val="15"/>
                <w:szCs w:val="15"/>
                <w:b w:val="1"/>
                <w:bCs w:val="1"/>
                <w:color w:val="auto"/>
              </w:rPr>
              <w:t>Art. 2</w:t>
            </w:r>
          </w:p>
        </w:tc>
        <w:tc>
          <w:tcPr>
            <w:tcW w:w="5120" w:type="dxa"/>
            <w:vAlign w:val="bottom"/>
            <w:tcBorders>
              <w:right w:val="single" w:sz="8" w:color="auto"/>
            </w:tcBorders>
          </w:tcPr>
          <w:p>
            <w:pPr>
              <w:ind w:left="60"/>
              <w:spacing w:after="0"/>
              <w:rPr>
                <w:sz w:val="20"/>
                <w:szCs w:val="20"/>
                <w:color w:val="auto"/>
              </w:rPr>
            </w:pPr>
            <w:r>
              <w:rPr>
                <w:rFonts w:ascii="Arial" w:cs="Arial" w:eastAsia="Arial" w:hAnsi="Arial"/>
                <w:sz w:val="15"/>
                <w:szCs w:val="15"/>
                <w:b w:val="1"/>
                <w:bCs w:val="1"/>
                <w:color w:val="auto"/>
              </w:rPr>
              <w:t>Purpose</w:t>
            </w:r>
          </w:p>
        </w:tc>
        <w:tc>
          <w:tcPr>
            <w:tcW w:w="220" w:type="dxa"/>
            <w:vAlign w:val="bottom"/>
            <w:tcBorders>
              <w:right w:val="single" w:sz="8" w:color="auto"/>
            </w:tcBorders>
          </w:tcPr>
          <w:p>
            <w:pPr>
              <w:spacing w:after="0"/>
              <w:rPr>
                <w:sz w:val="18"/>
                <w:szCs w:val="18"/>
                <w:color w:val="auto"/>
              </w:rPr>
            </w:pPr>
          </w:p>
        </w:tc>
        <w:tc>
          <w:tcPr>
            <w:tcW w:w="480" w:type="dxa"/>
            <w:vAlign w:val="bottom"/>
          </w:tcPr>
          <w:p>
            <w:pPr>
              <w:ind w:left="40"/>
              <w:spacing w:after="0"/>
              <w:rPr>
                <w:sz w:val="20"/>
                <w:szCs w:val="20"/>
                <w:color w:val="auto"/>
              </w:rPr>
            </w:pPr>
            <w:r>
              <w:rPr>
                <w:rFonts w:ascii="Arial" w:cs="Arial" w:eastAsia="Arial" w:hAnsi="Arial"/>
                <w:sz w:val="15"/>
                <w:szCs w:val="15"/>
                <w:b w:val="1"/>
                <w:bCs w:val="1"/>
                <w:color w:val="auto"/>
              </w:rPr>
              <w:t>Art. 2</w:t>
            </w:r>
          </w:p>
        </w:tc>
        <w:tc>
          <w:tcPr>
            <w:tcW w:w="5120" w:type="dxa"/>
            <w:vAlign w:val="bottom"/>
            <w:tcBorders>
              <w:right w:val="single" w:sz="8" w:color="auto"/>
            </w:tcBorders>
          </w:tcPr>
          <w:p>
            <w:pPr>
              <w:ind w:left="120"/>
              <w:spacing w:after="0"/>
              <w:rPr>
                <w:sz w:val="20"/>
                <w:szCs w:val="20"/>
                <w:color w:val="auto"/>
              </w:rPr>
            </w:pPr>
            <w:r>
              <w:rPr>
                <w:rFonts w:ascii="Arial" w:cs="Arial" w:eastAsia="Arial" w:hAnsi="Arial"/>
                <w:sz w:val="15"/>
                <w:szCs w:val="15"/>
                <w:b w:val="1"/>
                <w:bCs w:val="1"/>
                <w:color w:val="auto"/>
              </w:rPr>
              <w:t>But</w:t>
            </w:r>
          </w:p>
        </w:tc>
      </w:tr>
      <w:tr>
        <w:trPr>
          <w:trHeight w:val="334"/>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The purpose of the Company is the research, study, development, manufacture,</w:t>
            </w:r>
          </w:p>
        </w:tc>
        <w:tc>
          <w:tcPr>
            <w:tcW w:w="22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Le  but  de  la  société  est  la  recherche,  les  études,  le  développement,  la</w:t>
            </w: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promotion,  sale  and  marketing  of  products  and  substances  within  the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fabrication, la promotion, la vente et le marketing des produits et des substances</w:t>
            </w: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pharmaceutical  and  nutrition  industry  as  well  as  the  purchase,  sale  and</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au sein de l'industrie pharmaceutique et de la nutrition ainsi que l'achat, la vente</w:t>
            </w:r>
          </w:p>
        </w:tc>
      </w:tr>
      <w:tr>
        <w:trPr>
          <w:trHeight w:val="185"/>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exploitation of patents and licenses in this field.</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et l'exploitation de brevets et de licences dans ce domaine.</w:t>
            </w:r>
          </w:p>
        </w:tc>
      </w:tr>
      <w:tr>
        <w:trPr>
          <w:trHeight w:val="196"/>
        </w:trPr>
        <w:tc>
          <w:tcPr>
            <w:tcW w:w="5620" w:type="dxa"/>
            <w:vAlign w:val="bottom"/>
            <w:tcBorders>
              <w:left w:val="single" w:sz="8" w:color="auto"/>
              <w:bottom w:val="single" w:sz="8" w:color="auto"/>
              <w:right w:val="single" w:sz="8" w:color="auto"/>
            </w:tcBorders>
            <w:gridSpan w:val="2"/>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600" w:type="dxa"/>
            <w:vAlign w:val="bottom"/>
            <w:tcBorders>
              <w:bottom w:val="single" w:sz="8" w:color="auto"/>
              <w:right w:val="single" w:sz="8" w:color="auto"/>
            </w:tcBorders>
            <w:gridSpan w:val="2"/>
          </w:tcPr>
          <w:p>
            <w:pPr>
              <w:spacing w:after="0"/>
              <w:rPr>
                <w:sz w:val="17"/>
                <w:szCs w:val="17"/>
                <w:color w:val="auto"/>
              </w:rPr>
            </w:pPr>
          </w:p>
        </w:tc>
      </w:tr>
      <w:tr>
        <w:trPr>
          <w:trHeight w:val="198"/>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The Company may engage in any activities which are apt to favor the purpose of</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La  société  peut  se  livrer  à  des  activités  qui  sont  de  nature  à  favoriser</w:t>
            </w: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the Company directly or indirectly. The Company may also acquire and sell real</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directement ou indirectement le but de la société. La société peut également</w:t>
            </w:r>
          </w:p>
        </w:tc>
      </w:tr>
      <w:tr>
        <w:trPr>
          <w:trHeight w:val="185"/>
        </w:trPr>
        <w:tc>
          <w:tcPr>
            <w:tcW w:w="500" w:type="dxa"/>
            <w:vAlign w:val="bottom"/>
            <w:tcBorders>
              <w:left w:val="single" w:sz="8" w:color="auto"/>
            </w:tcBorders>
          </w:tcPr>
          <w:p>
            <w:pPr>
              <w:ind w:left="40"/>
              <w:spacing w:after="0"/>
              <w:rPr>
                <w:sz w:val="20"/>
                <w:szCs w:val="20"/>
                <w:color w:val="auto"/>
              </w:rPr>
            </w:pPr>
            <w:r>
              <w:rPr>
                <w:rFonts w:ascii="Arial" w:cs="Arial" w:eastAsia="Arial" w:hAnsi="Arial"/>
                <w:sz w:val="15"/>
                <w:szCs w:val="15"/>
                <w:color w:val="auto"/>
                <w:w w:val="97"/>
              </w:rPr>
              <w:t>estate.</w:t>
            </w:r>
          </w:p>
        </w:tc>
        <w:tc>
          <w:tcPr>
            <w:tcW w:w="5120" w:type="dxa"/>
            <w:vAlign w:val="bottom"/>
            <w:tcBorders>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acquérir et vendre des biens immobiliers.</w:t>
            </w:r>
          </w:p>
        </w:tc>
      </w:tr>
      <w:tr>
        <w:trPr>
          <w:trHeight w:val="23"/>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gridSpan w:val="2"/>
          </w:tcPr>
          <w:p>
            <w:pPr>
              <w:spacing w:after="0"/>
              <w:rPr>
                <w:sz w:val="2"/>
                <w:szCs w:val="2"/>
                <w:color w:val="auto"/>
              </w:rPr>
            </w:pPr>
          </w:p>
        </w:tc>
      </w:tr>
      <w:tr>
        <w:trPr>
          <w:trHeight w:val="198"/>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The Company may open branch offices in Switzerland and abroad and may also</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La société peut ouvrir des succursales en Suisse et à l'étranger et peut</w:t>
            </w:r>
          </w:p>
        </w:tc>
      </w:tr>
      <w:tr>
        <w:trPr>
          <w:trHeight w:val="185"/>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acquire participations in other companies.</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également acquérir des participations dans d'autres sociétés.</w:t>
            </w:r>
          </w:p>
        </w:tc>
      </w:tr>
      <w:tr>
        <w:trPr>
          <w:trHeight w:val="23"/>
        </w:trPr>
        <w:tc>
          <w:tcPr>
            <w:tcW w:w="500" w:type="dxa"/>
            <w:vAlign w:val="bottom"/>
            <w:tcBorders>
              <w:left w:val="single" w:sz="8" w:color="auto"/>
              <w:bottom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r>
      <w:tr>
        <w:trPr>
          <w:trHeight w:val="499"/>
        </w:trPr>
        <w:tc>
          <w:tcPr>
            <w:tcW w:w="50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111" w:right="219" w:bottom="1440" w:gutter="0" w:footer="0" w:header="0"/>
        </w:sectPr>
      </w:pPr>
    </w:p>
    <w:bookmarkStart w:id="32" w:name="page33"/>
    <w:bookmarkEnd w:id="3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36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4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289"/>
        </w:trPr>
        <w:tc>
          <w:tcPr>
            <w:tcW w:w="5620" w:type="dxa"/>
            <w:vAlign w:val="bottom"/>
            <w:tcBorders>
              <w:bottom w:val="single" w:sz="8" w:color="auto"/>
            </w:tcBorders>
            <w:gridSpan w:val="2"/>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gridSpan w:val="2"/>
          </w:tcPr>
          <w:p>
            <w:pPr>
              <w:spacing w:after="0"/>
              <w:rPr>
                <w:sz w:val="24"/>
                <w:szCs w:val="24"/>
                <w:color w:val="auto"/>
              </w:rPr>
            </w:pPr>
          </w:p>
        </w:tc>
      </w:tr>
      <w:tr>
        <w:trPr>
          <w:trHeight w:val="198"/>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The Company may provide securities to its subsidiaries and supply guarantees.</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La  société  peut  fournir  des  titres  à  ses  filiales  et  des  garanties</w:t>
            </w:r>
          </w:p>
        </w:tc>
      </w:tr>
      <w:tr>
        <w:trPr>
          <w:trHeight w:val="185"/>
        </w:trPr>
        <w:tc>
          <w:tcPr>
            <w:tcW w:w="360" w:type="dxa"/>
            <w:vAlign w:val="bottom"/>
            <w:tcBorders>
              <w:left w:val="single" w:sz="8" w:color="auto"/>
            </w:tcBorders>
          </w:tcPr>
          <w:p>
            <w:pPr>
              <w:spacing w:after="0"/>
              <w:rPr>
                <w:sz w:val="16"/>
                <w:szCs w:val="16"/>
                <w:color w:val="auto"/>
              </w:rPr>
            </w:pPr>
          </w:p>
        </w:tc>
        <w:tc>
          <w:tcPr>
            <w:tcW w:w="5260" w:type="dxa"/>
            <w:vAlign w:val="bottom"/>
            <w:tcBorders>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d'approvisionnement.</w:t>
            </w:r>
          </w:p>
        </w:tc>
      </w:tr>
      <w:tr>
        <w:trPr>
          <w:trHeight w:val="23"/>
        </w:trPr>
        <w:tc>
          <w:tcPr>
            <w:tcW w:w="360" w:type="dxa"/>
            <w:vAlign w:val="bottom"/>
            <w:tcBorders>
              <w:left w:val="single" w:sz="8" w:color="auto"/>
              <w:bottom w:val="single" w:sz="8" w:color="auto"/>
            </w:tcBorders>
          </w:tcPr>
          <w:p>
            <w:pPr>
              <w:spacing w:after="0"/>
              <w:rPr>
                <w:sz w:val="2"/>
                <w:szCs w:val="2"/>
                <w:color w:val="auto"/>
              </w:rPr>
            </w:pPr>
          </w:p>
        </w:tc>
        <w:tc>
          <w:tcPr>
            <w:tcW w:w="526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240" w:type="dxa"/>
            <w:vAlign w:val="bottom"/>
            <w:tcBorders>
              <w:bottom w:val="single" w:sz="8" w:color="auto"/>
              <w:right w:val="single" w:sz="8" w:color="auto"/>
            </w:tcBorders>
          </w:tcPr>
          <w:p>
            <w:pPr>
              <w:spacing w:after="0"/>
              <w:rPr>
                <w:sz w:val="2"/>
                <w:szCs w:val="2"/>
                <w:color w:val="auto"/>
              </w:rPr>
            </w:pPr>
          </w:p>
        </w:tc>
      </w:tr>
      <w:tr>
        <w:trPr>
          <w:trHeight w:val="211"/>
        </w:trPr>
        <w:tc>
          <w:tcPr>
            <w:tcW w:w="360" w:type="dxa"/>
            <w:vAlign w:val="bottom"/>
            <w:tcBorders>
              <w:left w:val="single" w:sz="8" w:color="auto"/>
            </w:tcBorders>
          </w:tcPr>
          <w:p>
            <w:pPr>
              <w:spacing w:after="0"/>
              <w:rPr>
                <w:sz w:val="20"/>
                <w:szCs w:val="20"/>
                <w:color w:val="auto"/>
              </w:rPr>
            </w:pPr>
            <w:r>
              <w:rPr>
                <w:rFonts w:ascii="Arial" w:cs="Arial" w:eastAsia="Arial" w:hAnsi="Arial"/>
                <w:sz w:val="15"/>
                <w:szCs w:val="15"/>
                <w:b w:val="1"/>
                <w:bCs w:val="1"/>
                <w:color w:val="auto"/>
              </w:rPr>
              <w:t>II.</w:t>
            </w:r>
          </w:p>
        </w:tc>
        <w:tc>
          <w:tcPr>
            <w:tcW w:w="5260" w:type="dxa"/>
            <w:vAlign w:val="bottom"/>
            <w:tcBorders>
              <w:right w:val="single" w:sz="8" w:color="auto"/>
            </w:tcBorders>
          </w:tcPr>
          <w:p>
            <w:pPr>
              <w:ind w:left="160"/>
              <w:spacing w:after="0"/>
              <w:rPr>
                <w:sz w:val="20"/>
                <w:szCs w:val="20"/>
                <w:color w:val="auto"/>
              </w:rPr>
            </w:pPr>
            <w:r>
              <w:rPr>
                <w:rFonts w:ascii="Arial" w:cs="Arial" w:eastAsia="Arial" w:hAnsi="Arial"/>
                <w:sz w:val="15"/>
                <w:szCs w:val="15"/>
                <w:b w:val="1"/>
                <w:bCs w:val="1"/>
                <w:color w:val="auto"/>
              </w:rPr>
              <w:t>SHARE CAPITAL AND SHARES</w:t>
            </w:r>
          </w:p>
        </w:tc>
        <w:tc>
          <w:tcPr>
            <w:tcW w:w="220" w:type="dxa"/>
            <w:vAlign w:val="bottom"/>
            <w:tcBorders>
              <w:right w:val="single" w:sz="8" w:color="auto"/>
            </w:tcBorders>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5"/>
                <w:szCs w:val="15"/>
                <w:b w:val="1"/>
                <w:bCs w:val="1"/>
                <w:color w:val="auto"/>
              </w:rPr>
              <w:t>II.</w:t>
            </w:r>
          </w:p>
        </w:tc>
        <w:tc>
          <w:tcPr>
            <w:tcW w:w="5240" w:type="dxa"/>
            <w:vAlign w:val="bottom"/>
            <w:tcBorders>
              <w:right w:val="single" w:sz="8" w:color="auto"/>
            </w:tcBorders>
          </w:tcPr>
          <w:p>
            <w:pPr>
              <w:jc w:val="right"/>
              <w:ind w:right="2543"/>
              <w:spacing w:after="0"/>
              <w:rPr>
                <w:sz w:val="20"/>
                <w:szCs w:val="20"/>
                <w:color w:val="auto"/>
              </w:rPr>
            </w:pPr>
            <w:r>
              <w:rPr>
                <w:rFonts w:ascii="Arial" w:cs="Arial" w:eastAsia="Arial" w:hAnsi="Arial"/>
                <w:sz w:val="15"/>
                <w:szCs w:val="15"/>
                <w:b w:val="1"/>
                <w:bCs w:val="1"/>
                <w:color w:val="auto"/>
              </w:rPr>
              <w:t>CAPITAL-ACTIONS ET ACTIONS</w:t>
            </w:r>
          </w:p>
        </w:tc>
      </w:tr>
      <w:tr>
        <w:trPr>
          <w:trHeight w:val="23"/>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gridSpan w:val="2"/>
          </w:tcPr>
          <w:p>
            <w:pPr>
              <w:spacing w:after="0"/>
              <w:rPr>
                <w:sz w:val="2"/>
                <w:szCs w:val="2"/>
                <w:color w:val="auto"/>
              </w:rPr>
            </w:pPr>
          </w:p>
        </w:tc>
      </w:tr>
      <w:tr>
        <w:trPr>
          <w:trHeight w:val="211"/>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Art. 3  Share Capital and Shares</w:t>
            </w:r>
          </w:p>
        </w:tc>
        <w:tc>
          <w:tcPr>
            <w:tcW w:w="2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Art. 3   Capital-actions et actions</w:t>
            </w:r>
          </w:p>
        </w:tc>
      </w:tr>
      <w:tr>
        <w:trPr>
          <w:trHeight w:val="334"/>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The Share Capital of the Company is CHF 1'147'253.80. It is divided into</w:t>
            </w:r>
          </w:p>
        </w:tc>
        <w:tc>
          <w:tcPr>
            <w:tcW w:w="22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Le capital-actions de la société se monte à CHF 1'147'253.80. Il est divisé en</w:t>
            </w: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57'362'690 registered shares with a nominal value of CHF 0.02 each, fully paid-</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57'362'690 actions nominatives d'une valeur nominale de CHF 0.02 chacune,</w:t>
            </w:r>
          </w:p>
        </w:tc>
      </w:tr>
      <w:tr>
        <w:trPr>
          <w:trHeight w:val="185"/>
        </w:trPr>
        <w:tc>
          <w:tcPr>
            <w:tcW w:w="360" w:type="dxa"/>
            <w:vAlign w:val="bottom"/>
            <w:tcBorders>
              <w:left w:val="single" w:sz="8" w:color="auto"/>
            </w:tcBorders>
          </w:tcPr>
          <w:p>
            <w:pPr>
              <w:ind w:left="40"/>
              <w:spacing w:after="0"/>
              <w:rPr>
                <w:sz w:val="20"/>
                <w:szCs w:val="20"/>
                <w:color w:val="auto"/>
              </w:rPr>
            </w:pPr>
            <w:r>
              <w:rPr>
                <w:rFonts w:ascii="Arial" w:cs="Arial" w:eastAsia="Arial" w:hAnsi="Arial"/>
                <w:sz w:val="15"/>
                <w:szCs w:val="15"/>
                <w:color w:val="auto"/>
              </w:rPr>
              <w:t>in.</w:t>
            </w:r>
          </w:p>
        </w:tc>
        <w:tc>
          <w:tcPr>
            <w:tcW w:w="5260" w:type="dxa"/>
            <w:vAlign w:val="bottom"/>
            <w:tcBorders>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entièrement libérées.</w:t>
            </w:r>
          </w:p>
        </w:tc>
      </w:tr>
      <w:tr>
        <w:trPr>
          <w:trHeight w:val="196"/>
        </w:trPr>
        <w:tc>
          <w:tcPr>
            <w:tcW w:w="5620" w:type="dxa"/>
            <w:vAlign w:val="bottom"/>
            <w:tcBorders>
              <w:left w:val="single" w:sz="8" w:color="auto"/>
              <w:bottom w:val="single" w:sz="8" w:color="auto"/>
              <w:right w:val="single" w:sz="8" w:color="auto"/>
            </w:tcBorders>
            <w:gridSpan w:val="2"/>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600" w:type="dxa"/>
            <w:vAlign w:val="bottom"/>
            <w:tcBorders>
              <w:bottom w:val="single" w:sz="8" w:color="auto"/>
              <w:right w:val="single" w:sz="8" w:color="auto"/>
            </w:tcBorders>
            <w:gridSpan w:val="2"/>
          </w:tcPr>
          <w:p>
            <w:pPr>
              <w:spacing w:after="0"/>
              <w:rPr>
                <w:sz w:val="17"/>
                <w:szCs w:val="17"/>
                <w:color w:val="auto"/>
              </w:rPr>
            </w:pPr>
          </w:p>
        </w:tc>
      </w:tr>
      <w:tr>
        <w:trPr>
          <w:trHeight w:val="234"/>
        </w:trPr>
        <w:tc>
          <w:tcPr>
            <w:tcW w:w="360" w:type="dxa"/>
            <w:vAlign w:val="bottom"/>
            <w:tcBorders>
              <w:left w:val="single" w:sz="8" w:color="auto"/>
              <w:bottom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240" w:type="dxa"/>
            <w:vAlign w:val="bottom"/>
            <w:tcBorders>
              <w:bottom w:val="single" w:sz="8" w:color="auto"/>
              <w:right w:val="single" w:sz="8" w:color="auto"/>
            </w:tcBorders>
          </w:tcPr>
          <w:p>
            <w:pPr>
              <w:spacing w:after="0"/>
              <w:rPr>
                <w:sz w:val="20"/>
                <w:szCs w:val="20"/>
                <w:color w:val="auto"/>
              </w:rPr>
            </w:pPr>
          </w:p>
        </w:tc>
      </w:tr>
      <w:tr>
        <w:trPr>
          <w:trHeight w:val="211"/>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Art. 3a Authorized Capital Increase of Share Capital</w:t>
            </w:r>
          </w:p>
        </w:tc>
        <w:tc>
          <w:tcPr>
            <w:tcW w:w="2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Art. 3a   Augmentation autorisée du capital-actions</w:t>
            </w:r>
          </w:p>
        </w:tc>
      </w:tr>
      <w:tr>
        <w:trPr>
          <w:trHeight w:val="23"/>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gridSpan w:val="2"/>
          </w:tcPr>
          <w:p>
            <w:pPr>
              <w:spacing w:after="0"/>
              <w:rPr>
                <w:sz w:val="2"/>
                <w:szCs w:val="2"/>
                <w:color w:val="auto"/>
              </w:rPr>
            </w:pPr>
          </w:p>
        </w:tc>
      </w:tr>
      <w:tr>
        <w:trPr>
          <w:trHeight w:val="198"/>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The Board of Directors is authorized to increase the share capital, in one or</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Le conseil d'administration est autorisé à augmenter le capital-actions, en une ou</w:t>
            </w: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several steps until 20 October 2017, by a maximum amount of CHF 288'950 by</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plusieurs étapes jusqu'au 20 octobre 2017, d'un montant maximum de CHF</w:t>
            </w: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issuing a maximum of 14'447'500 registered shares with a par value of CHF 0.02</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288'950  par  l'émission  d'un  montant  maximum  de  14'447'500  actions</w:t>
            </w: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each, to be fully paid up. An increase of the share capital (i) by means of an</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nominatives d'une valeur nominale de CHF 0.02 chacune, à libérer entièrement.</w:t>
            </w: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offering underwritten by a financial institution, a syndicate or another third party</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Une augmentation de capital (i) par souscription d'actions par une institution</w:t>
            </w: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or third parties, followed by an offer to the then-existing shareholders of the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financière, un syndicat ou un tiers ou des tiers, suivie par une souscription</w:t>
            </w: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Company and (ii) in partial amounts shall also be permissible.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d'actions par les actionnaires de la société alors existants et (ii) par montants</w:t>
            </w:r>
          </w:p>
        </w:tc>
      </w:tr>
      <w:tr>
        <w:trPr>
          <w:trHeight w:val="185"/>
        </w:trPr>
        <w:tc>
          <w:tcPr>
            <w:tcW w:w="360" w:type="dxa"/>
            <w:vAlign w:val="bottom"/>
            <w:tcBorders>
              <w:left w:val="single" w:sz="8" w:color="auto"/>
            </w:tcBorders>
          </w:tcPr>
          <w:p>
            <w:pPr>
              <w:spacing w:after="0"/>
              <w:rPr>
                <w:sz w:val="16"/>
                <w:szCs w:val="16"/>
                <w:color w:val="auto"/>
              </w:rPr>
            </w:pPr>
          </w:p>
        </w:tc>
        <w:tc>
          <w:tcPr>
            <w:tcW w:w="5260" w:type="dxa"/>
            <w:vAlign w:val="bottom"/>
            <w:tcBorders>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partiels, est également autorisée.</w:t>
            </w:r>
          </w:p>
        </w:tc>
      </w:tr>
      <w:tr>
        <w:trPr>
          <w:trHeight w:val="23"/>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gridSpan w:val="2"/>
          </w:tcPr>
          <w:p>
            <w:pPr>
              <w:spacing w:after="0"/>
              <w:rPr>
                <w:sz w:val="2"/>
                <w:szCs w:val="2"/>
                <w:color w:val="auto"/>
              </w:rPr>
            </w:pPr>
          </w:p>
        </w:tc>
      </w:tr>
      <w:tr>
        <w:trPr>
          <w:trHeight w:val="198"/>
        </w:trPr>
        <w:tc>
          <w:tcPr>
            <w:tcW w:w="5620" w:type="dxa"/>
            <w:vAlign w:val="bottom"/>
            <w:tcBorders>
              <w:left w:val="single" w:sz="8" w:color="auto"/>
              <w:right w:val="single" w:sz="8" w:color="auto"/>
            </w:tcBorders>
            <w:gridSpan w:val="2"/>
          </w:tcPr>
          <w:p>
            <w:pPr>
              <w:spacing w:after="0"/>
              <w:rPr>
                <w:sz w:val="20"/>
                <w:szCs w:val="20"/>
                <w:color w:val="auto"/>
              </w:rPr>
            </w:pPr>
            <w:r>
              <w:rPr>
                <w:rFonts w:ascii="Arial" w:cs="Arial" w:eastAsia="Arial" w:hAnsi="Arial"/>
                <w:sz w:val="15"/>
                <w:szCs w:val="15"/>
                <w:color w:val="auto"/>
              </w:rPr>
              <w:t>The Board of Directors shall determine the time of the issuance, the issue price,</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gridSpan w:val="2"/>
          </w:tcPr>
          <w:p>
            <w:pPr>
              <w:spacing w:after="0"/>
              <w:rPr>
                <w:sz w:val="20"/>
                <w:szCs w:val="20"/>
                <w:color w:val="auto"/>
              </w:rPr>
            </w:pPr>
            <w:r>
              <w:rPr>
                <w:rFonts w:ascii="Arial" w:cs="Arial" w:eastAsia="Arial" w:hAnsi="Arial"/>
                <w:sz w:val="15"/>
                <w:szCs w:val="15"/>
                <w:color w:val="auto"/>
              </w:rPr>
              <w:t>Le conseil d'administration fixe la date d'émission, le prix d'émission, la manière</w:t>
            </w:r>
          </w:p>
        </w:tc>
      </w:tr>
      <w:tr>
        <w:trPr>
          <w:trHeight w:val="173"/>
        </w:trPr>
        <w:tc>
          <w:tcPr>
            <w:tcW w:w="5620" w:type="dxa"/>
            <w:vAlign w:val="bottom"/>
            <w:tcBorders>
              <w:left w:val="single" w:sz="8" w:color="auto"/>
              <w:right w:val="single" w:sz="8" w:color="auto"/>
            </w:tcBorders>
            <w:gridSpan w:val="2"/>
          </w:tcPr>
          <w:p>
            <w:pPr>
              <w:spacing w:after="0"/>
              <w:rPr>
                <w:sz w:val="20"/>
                <w:szCs w:val="20"/>
                <w:color w:val="auto"/>
              </w:rPr>
            </w:pPr>
            <w:r>
              <w:rPr>
                <w:rFonts w:ascii="Arial" w:cs="Arial" w:eastAsia="Arial" w:hAnsi="Arial"/>
                <w:sz w:val="15"/>
                <w:szCs w:val="15"/>
                <w:color w:val="auto"/>
              </w:rPr>
              <w:t>the manner in which the new registered shares have to be paid up, the date from</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spacing w:after="0"/>
              <w:rPr>
                <w:sz w:val="20"/>
                <w:szCs w:val="20"/>
                <w:color w:val="auto"/>
              </w:rPr>
            </w:pPr>
            <w:r>
              <w:rPr>
                <w:rFonts w:ascii="Arial" w:cs="Arial" w:eastAsia="Arial" w:hAnsi="Arial"/>
                <w:sz w:val="15"/>
                <w:szCs w:val="15"/>
                <w:color w:val="auto"/>
              </w:rPr>
              <w:t>de libérer les nouvelles actions nominatives, la date à partir de laquelle les</w:t>
            </w:r>
          </w:p>
        </w:tc>
      </w:tr>
      <w:tr>
        <w:trPr>
          <w:trHeight w:val="173"/>
        </w:trPr>
        <w:tc>
          <w:tcPr>
            <w:tcW w:w="5620" w:type="dxa"/>
            <w:vAlign w:val="bottom"/>
            <w:tcBorders>
              <w:left w:val="single" w:sz="8" w:color="auto"/>
              <w:right w:val="single" w:sz="8" w:color="auto"/>
            </w:tcBorders>
            <w:gridSpan w:val="2"/>
          </w:tcPr>
          <w:p>
            <w:pPr>
              <w:spacing w:after="0"/>
              <w:rPr>
                <w:sz w:val="20"/>
                <w:szCs w:val="20"/>
                <w:color w:val="auto"/>
              </w:rPr>
            </w:pPr>
            <w:r>
              <w:rPr>
                <w:rFonts w:ascii="Arial" w:cs="Arial" w:eastAsia="Arial" w:hAnsi="Arial"/>
                <w:sz w:val="15"/>
                <w:szCs w:val="15"/>
                <w:color w:val="auto"/>
              </w:rPr>
              <w:t>which the registered shares carry the right to dividends, the conditions for the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spacing w:after="0"/>
              <w:rPr>
                <w:sz w:val="20"/>
                <w:szCs w:val="20"/>
                <w:color w:val="auto"/>
              </w:rPr>
            </w:pPr>
            <w:r>
              <w:rPr>
                <w:rFonts w:ascii="Arial" w:cs="Arial" w:eastAsia="Arial" w:hAnsi="Arial"/>
                <w:sz w:val="15"/>
                <w:szCs w:val="15"/>
                <w:color w:val="auto"/>
              </w:rPr>
              <w:t>actions nominatives donnent droit à un dividende, les conditions pour l'exercice</w:t>
            </w:r>
          </w:p>
        </w:tc>
      </w:tr>
      <w:tr>
        <w:trPr>
          <w:trHeight w:val="173"/>
        </w:trPr>
        <w:tc>
          <w:tcPr>
            <w:tcW w:w="5620" w:type="dxa"/>
            <w:vAlign w:val="bottom"/>
            <w:tcBorders>
              <w:left w:val="single" w:sz="8" w:color="auto"/>
              <w:right w:val="single" w:sz="8" w:color="auto"/>
            </w:tcBorders>
            <w:gridSpan w:val="2"/>
          </w:tcPr>
          <w:p>
            <w:pPr>
              <w:spacing w:after="0"/>
              <w:rPr>
                <w:sz w:val="20"/>
                <w:szCs w:val="20"/>
                <w:color w:val="auto"/>
              </w:rPr>
            </w:pPr>
            <w:r>
              <w:rPr>
                <w:rFonts w:ascii="Arial" w:cs="Arial" w:eastAsia="Arial" w:hAnsi="Arial"/>
                <w:sz w:val="15"/>
                <w:szCs w:val="15"/>
                <w:color w:val="auto"/>
              </w:rPr>
              <w:t>exercise of the preemptive rights and the allotment of preemptive rights that have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spacing w:after="0"/>
              <w:rPr>
                <w:sz w:val="20"/>
                <w:szCs w:val="20"/>
                <w:color w:val="auto"/>
              </w:rPr>
            </w:pPr>
            <w:r>
              <w:rPr>
                <w:rFonts w:ascii="Arial" w:cs="Arial" w:eastAsia="Arial" w:hAnsi="Arial"/>
                <w:sz w:val="15"/>
                <w:szCs w:val="15"/>
                <w:color w:val="auto"/>
              </w:rPr>
              <w:t>des droits de souscription préférentiels et l'attribution des droits de souscription</w:t>
            </w:r>
          </w:p>
        </w:tc>
      </w:tr>
      <w:tr>
        <w:trPr>
          <w:trHeight w:val="173"/>
        </w:trPr>
        <w:tc>
          <w:tcPr>
            <w:tcW w:w="5620" w:type="dxa"/>
            <w:vAlign w:val="bottom"/>
            <w:tcBorders>
              <w:left w:val="single" w:sz="8" w:color="auto"/>
              <w:right w:val="single" w:sz="8" w:color="auto"/>
            </w:tcBorders>
            <w:gridSpan w:val="2"/>
          </w:tcPr>
          <w:p>
            <w:pPr>
              <w:spacing w:after="0"/>
              <w:rPr>
                <w:sz w:val="20"/>
                <w:szCs w:val="20"/>
                <w:color w:val="auto"/>
              </w:rPr>
            </w:pPr>
            <w:r>
              <w:rPr>
                <w:rFonts w:ascii="Arial" w:cs="Arial" w:eastAsia="Arial" w:hAnsi="Arial"/>
                <w:sz w:val="15"/>
                <w:szCs w:val="15"/>
                <w:color w:val="auto"/>
              </w:rPr>
              <w:t>not been exercised. The Board of Directors may allow the preemptive rights that</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spacing w:after="0"/>
              <w:rPr>
                <w:sz w:val="20"/>
                <w:szCs w:val="20"/>
                <w:color w:val="auto"/>
              </w:rPr>
            </w:pPr>
            <w:r>
              <w:rPr>
                <w:rFonts w:ascii="Arial" w:cs="Arial" w:eastAsia="Arial" w:hAnsi="Arial"/>
                <w:sz w:val="15"/>
                <w:szCs w:val="15"/>
                <w:color w:val="auto"/>
              </w:rPr>
              <w:t>préférentiels qui n'ont pas été exercés. Le conseil d'administration peut autoriser</w:t>
            </w:r>
          </w:p>
        </w:tc>
      </w:tr>
      <w:tr>
        <w:trPr>
          <w:trHeight w:val="173"/>
        </w:trPr>
        <w:tc>
          <w:tcPr>
            <w:tcW w:w="5620" w:type="dxa"/>
            <w:vAlign w:val="bottom"/>
            <w:tcBorders>
              <w:left w:val="single" w:sz="8" w:color="auto"/>
              <w:right w:val="single" w:sz="8" w:color="auto"/>
            </w:tcBorders>
            <w:gridSpan w:val="2"/>
          </w:tcPr>
          <w:p>
            <w:pPr>
              <w:spacing w:after="0"/>
              <w:rPr>
                <w:sz w:val="20"/>
                <w:szCs w:val="20"/>
                <w:color w:val="auto"/>
              </w:rPr>
            </w:pPr>
            <w:r>
              <w:rPr>
                <w:rFonts w:ascii="Arial" w:cs="Arial" w:eastAsia="Arial" w:hAnsi="Arial"/>
                <w:sz w:val="15"/>
                <w:szCs w:val="15"/>
                <w:color w:val="auto"/>
              </w:rPr>
              <w:t>have not been exercised to expire, or it may place with third parties such rights or</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spacing w:after="0"/>
              <w:rPr>
                <w:sz w:val="20"/>
                <w:szCs w:val="20"/>
                <w:color w:val="auto"/>
              </w:rPr>
            </w:pPr>
            <w:r>
              <w:rPr>
                <w:rFonts w:ascii="Arial" w:cs="Arial" w:eastAsia="Arial" w:hAnsi="Arial"/>
                <w:sz w:val="15"/>
                <w:szCs w:val="15"/>
                <w:color w:val="auto"/>
              </w:rPr>
              <w:t>que des droits de souscription préférentiels qui n'ont pas été exercés expirent ou</w:t>
            </w:r>
          </w:p>
        </w:tc>
      </w:tr>
      <w:tr>
        <w:trPr>
          <w:trHeight w:val="173"/>
        </w:trPr>
        <w:tc>
          <w:tcPr>
            <w:tcW w:w="5620" w:type="dxa"/>
            <w:vAlign w:val="bottom"/>
            <w:tcBorders>
              <w:left w:val="single" w:sz="8" w:color="auto"/>
              <w:right w:val="single" w:sz="8" w:color="auto"/>
            </w:tcBorders>
            <w:gridSpan w:val="2"/>
          </w:tcPr>
          <w:p>
            <w:pPr>
              <w:spacing w:after="0"/>
              <w:rPr>
                <w:sz w:val="20"/>
                <w:szCs w:val="20"/>
                <w:color w:val="auto"/>
              </w:rPr>
            </w:pPr>
            <w:r>
              <w:rPr>
                <w:rFonts w:ascii="Arial" w:cs="Arial" w:eastAsia="Arial" w:hAnsi="Arial"/>
                <w:sz w:val="15"/>
                <w:szCs w:val="15"/>
                <w:color w:val="auto"/>
              </w:rPr>
              <w:t>registered shares, the preemptive rights of which have not been exercised, at</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spacing w:after="0"/>
              <w:rPr>
                <w:sz w:val="20"/>
                <w:szCs w:val="20"/>
                <w:color w:val="auto"/>
              </w:rPr>
            </w:pPr>
            <w:r>
              <w:rPr>
                <w:rFonts w:ascii="Arial" w:cs="Arial" w:eastAsia="Arial" w:hAnsi="Arial"/>
                <w:sz w:val="15"/>
                <w:szCs w:val="15"/>
                <w:color w:val="auto"/>
              </w:rPr>
              <w:t>attribuer à des tiers ces droits ou actions nominatives, dont les droits de</w:t>
            </w:r>
          </w:p>
        </w:tc>
      </w:tr>
      <w:tr>
        <w:trPr>
          <w:trHeight w:val="173"/>
        </w:trPr>
        <w:tc>
          <w:tcPr>
            <w:tcW w:w="5620" w:type="dxa"/>
            <w:vAlign w:val="bottom"/>
            <w:tcBorders>
              <w:left w:val="single" w:sz="8" w:color="auto"/>
              <w:right w:val="single" w:sz="8" w:color="auto"/>
            </w:tcBorders>
            <w:gridSpan w:val="2"/>
          </w:tcPr>
          <w:p>
            <w:pPr>
              <w:spacing w:after="0"/>
              <w:rPr>
                <w:sz w:val="20"/>
                <w:szCs w:val="20"/>
                <w:color w:val="auto"/>
              </w:rPr>
            </w:pPr>
            <w:r>
              <w:rPr>
                <w:rFonts w:ascii="Arial" w:cs="Arial" w:eastAsia="Arial" w:hAnsi="Arial"/>
                <w:sz w:val="15"/>
                <w:szCs w:val="15"/>
                <w:color w:val="auto"/>
              </w:rPr>
              <w:t>market conditions or use them otherwise in the interest of the Company.</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spacing w:after="0"/>
              <w:rPr>
                <w:sz w:val="20"/>
                <w:szCs w:val="20"/>
                <w:color w:val="auto"/>
              </w:rPr>
            </w:pPr>
            <w:r>
              <w:rPr>
                <w:rFonts w:ascii="Arial" w:cs="Arial" w:eastAsia="Arial" w:hAnsi="Arial"/>
                <w:sz w:val="15"/>
                <w:szCs w:val="15"/>
                <w:color w:val="auto"/>
              </w:rPr>
              <w:t>souscription préférentiels n'ont pas été exercés, aux conditions du marché ou les</w:t>
            </w:r>
          </w:p>
        </w:tc>
      </w:tr>
      <w:tr>
        <w:trPr>
          <w:trHeight w:val="185"/>
        </w:trPr>
        <w:tc>
          <w:tcPr>
            <w:tcW w:w="360" w:type="dxa"/>
            <w:vAlign w:val="bottom"/>
            <w:tcBorders>
              <w:left w:val="single" w:sz="8" w:color="auto"/>
            </w:tcBorders>
          </w:tcPr>
          <w:p>
            <w:pPr>
              <w:spacing w:after="0"/>
              <w:rPr>
                <w:sz w:val="16"/>
                <w:szCs w:val="16"/>
                <w:color w:val="auto"/>
              </w:rPr>
            </w:pPr>
          </w:p>
        </w:tc>
        <w:tc>
          <w:tcPr>
            <w:tcW w:w="5260" w:type="dxa"/>
            <w:vAlign w:val="bottom"/>
            <w:tcBorders>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gridSpan w:val="2"/>
          </w:tcPr>
          <w:p>
            <w:pPr>
              <w:spacing w:after="0"/>
              <w:rPr>
                <w:sz w:val="20"/>
                <w:szCs w:val="20"/>
                <w:color w:val="auto"/>
              </w:rPr>
            </w:pPr>
            <w:r>
              <w:rPr>
                <w:rFonts w:ascii="Arial" w:cs="Arial" w:eastAsia="Arial" w:hAnsi="Arial"/>
                <w:sz w:val="15"/>
                <w:szCs w:val="15"/>
                <w:color w:val="auto"/>
              </w:rPr>
              <w:t>utiliser autrement dans l'intérêt de la société.</w:t>
            </w:r>
          </w:p>
        </w:tc>
      </w:tr>
      <w:tr>
        <w:trPr>
          <w:trHeight w:val="23"/>
        </w:trPr>
        <w:tc>
          <w:tcPr>
            <w:tcW w:w="360" w:type="dxa"/>
            <w:vAlign w:val="bottom"/>
            <w:tcBorders>
              <w:left w:val="single" w:sz="8" w:color="auto"/>
              <w:bottom w:val="single" w:sz="8" w:color="auto"/>
            </w:tcBorders>
          </w:tcPr>
          <w:p>
            <w:pPr>
              <w:spacing w:after="0"/>
              <w:rPr>
                <w:sz w:val="2"/>
                <w:szCs w:val="2"/>
                <w:color w:val="auto"/>
              </w:rPr>
            </w:pPr>
          </w:p>
        </w:tc>
        <w:tc>
          <w:tcPr>
            <w:tcW w:w="526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240" w:type="dxa"/>
            <w:vAlign w:val="bottom"/>
            <w:tcBorders>
              <w:bottom w:val="single" w:sz="8" w:color="auto"/>
              <w:right w:val="single" w:sz="8" w:color="auto"/>
            </w:tcBorders>
          </w:tcPr>
          <w:p>
            <w:pPr>
              <w:spacing w:after="0"/>
              <w:rPr>
                <w:sz w:val="2"/>
                <w:szCs w:val="2"/>
                <w:color w:val="auto"/>
              </w:rPr>
            </w:pPr>
          </w:p>
        </w:tc>
      </w:tr>
      <w:tr>
        <w:trPr>
          <w:trHeight w:val="499"/>
        </w:trPr>
        <w:tc>
          <w:tcPr>
            <w:tcW w:w="36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231" w:right="219" w:bottom="1440" w:gutter="0" w:footer="0" w:header="0"/>
        </w:sectPr>
      </w:pPr>
    </w:p>
    <w:bookmarkStart w:id="33" w:name="page34"/>
    <w:bookmarkEnd w:id="33"/>
    <w:p>
      <w:pPr>
        <w:ind w:left="11262"/>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191135</wp:posOffset>
            </wp:positionV>
            <wp:extent cx="7266305" cy="383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6305" cy="3830955"/>
                    </a:xfrm>
                    <a:prstGeom prst="rect">
                      <a:avLst/>
                    </a:prstGeom>
                    <a:noFill/>
                  </pic:spPr>
                </pic:pic>
              </a:graphicData>
            </a:graphic>
          </wp:anchor>
        </w:drawing>
      </w:r>
    </w:p>
    <w:p>
      <w:pPr>
        <w:sectPr>
          <w:pgSz w:w="11900" w:h="16838" w:orient="portrait"/>
          <w:cols w:equalWidth="0" w:num="1">
            <w:col w:w="11362"/>
          </w:cols>
          <w:pgMar w:left="278" w:top="231" w:right="259" w:bottom="1440" w:gutter="0" w:footer="0" w:header="0"/>
        </w:sectPr>
      </w:pPr>
    </w:p>
    <w:p>
      <w:pPr>
        <w:spacing w:after="0" w:line="347" w:lineRule="exact"/>
        <w:rPr>
          <w:sz w:val="20"/>
          <w:szCs w:val="20"/>
          <w:color w:val="auto"/>
        </w:rPr>
      </w:pPr>
    </w:p>
    <w:p>
      <w:pPr>
        <w:ind w:left="2"/>
        <w:spacing w:after="0" w:line="258" w:lineRule="auto"/>
        <w:rPr>
          <w:sz w:val="20"/>
          <w:szCs w:val="20"/>
          <w:color w:val="auto"/>
        </w:rPr>
      </w:pPr>
      <w:r>
        <w:rPr>
          <w:rFonts w:ascii="Arial" w:cs="Arial" w:eastAsia="Arial" w:hAnsi="Arial"/>
          <w:sz w:val="15"/>
          <w:szCs w:val="15"/>
          <w:color w:val="auto"/>
        </w:rPr>
        <w:t>The Board of Directors is authorized to withdraw or limit the preemptive rights of the shareholders and to allot them to third parties:</w:t>
      </w:r>
    </w:p>
    <w:p>
      <w:pPr>
        <w:spacing w:after="0" w:line="148" w:lineRule="exact"/>
        <w:rPr>
          <w:sz w:val="20"/>
          <w:szCs w:val="20"/>
          <w:color w:val="auto"/>
        </w:rPr>
      </w:pPr>
    </w:p>
    <w:p>
      <w:pPr>
        <w:ind w:left="322" w:hanging="322"/>
        <w:spacing w:after="0" w:line="258" w:lineRule="auto"/>
        <w:tabs>
          <w:tab w:leader="none" w:pos="321" w:val="left"/>
        </w:tabs>
        <w:numPr>
          <w:ilvl w:val="0"/>
          <w:numId w:val="5"/>
        </w:numPr>
        <w:rPr>
          <w:rFonts w:ascii="Arial" w:cs="Arial" w:eastAsia="Arial" w:hAnsi="Arial"/>
          <w:sz w:val="15"/>
          <w:szCs w:val="15"/>
          <w:color w:val="auto"/>
        </w:rPr>
      </w:pPr>
      <w:r>
        <w:rPr>
          <w:rFonts w:ascii="Arial" w:cs="Arial" w:eastAsia="Arial" w:hAnsi="Arial"/>
          <w:sz w:val="15"/>
          <w:szCs w:val="15"/>
          <w:color w:val="auto"/>
        </w:rPr>
        <w:t>if the issue price of the new registered shares is determined by reference to the market price; or</w:t>
      </w:r>
    </w:p>
    <w:p>
      <w:pPr>
        <w:spacing w:after="0" w:line="321" w:lineRule="exact"/>
        <w:rPr>
          <w:rFonts w:ascii="Arial" w:cs="Arial" w:eastAsia="Arial" w:hAnsi="Arial"/>
          <w:sz w:val="15"/>
          <w:szCs w:val="15"/>
          <w:color w:val="auto"/>
        </w:rPr>
      </w:pPr>
    </w:p>
    <w:p>
      <w:pPr>
        <w:jc w:val="both"/>
        <w:ind w:left="322" w:hanging="322"/>
        <w:spacing w:after="0" w:line="249" w:lineRule="auto"/>
        <w:tabs>
          <w:tab w:leader="none" w:pos="323" w:val="left"/>
        </w:tabs>
        <w:numPr>
          <w:ilvl w:val="0"/>
          <w:numId w:val="5"/>
        </w:numPr>
        <w:rPr>
          <w:rFonts w:ascii="Arial" w:cs="Arial" w:eastAsia="Arial" w:hAnsi="Arial"/>
          <w:sz w:val="15"/>
          <w:szCs w:val="15"/>
          <w:color w:val="auto"/>
        </w:rPr>
      </w:pPr>
      <w:r>
        <w:rPr>
          <w:rFonts w:ascii="Arial" w:cs="Arial" w:eastAsia="Arial" w:hAnsi="Arial"/>
          <w:sz w:val="15"/>
          <w:szCs w:val="15"/>
          <w:color w:val="auto"/>
        </w:rPr>
        <w:t>for the acquisition of an enterprise, part of an enterprise or participations, or for the financing or refinancing of any of such acquisition, or in the event of share placement for the financing or refinancing of such placement; or</w:t>
      </w:r>
    </w:p>
    <w:p>
      <w:pPr>
        <w:spacing w:after="0" w:line="155" w:lineRule="exact"/>
        <w:rPr>
          <w:rFonts w:ascii="Arial" w:cs="Arial" w:eastAsia="Arial" w:hAnsi="Arial"/>
          <w:sz w:val="15"/>
          <w:szCs w:val="15"/>
          <w:color w:val="auto"/>
        </w:rPr>
      </w:pPr>
    </w:p>
    <w:p>
      <w:pPr>
        <w:jc w:val="both"/>
        <w:ind w:left="322" w:hanging="322"/>
        <w:spacing w:after="0" w:line="246" w:lineRule="auto"/>
        <w:tabs>
          <w:tab w:leader="none" w:pos="312" w:val="left"/>
        </w:tabs>
        <w:numPr>
          <w:ilvl w:val="0"/>
          <w:numId w:val="5"/>
        </w:numPr>
        <w:rPr>
          <w:rFonts w:ascii="Arial" w:cs="Arial" w:eastAsia="Arial" w:hAnsi="Arial"/>
          <w:sz w:val="15"/>
          <w:szCs w:val="15"/>
          <w:color w:val="auto"/>
        </w:rPr>
      </w:pPr>
      <w:r>
        <w:rPr>
          <w:rFonts w:ascii="Arial" w:cs="Arial" w:eastAsia="Arial" w:hAnsi="Arial"/>
          <w:sz w:val="15"/>
          <w:szCs w:val="15"/>
          <w:color w:val="auto"/>
        </w:rPr>
        <w:t>for purposes of broadening the shareholder constituency of the Company in certain financial or investor markets, for purposes of the participation of strategic partners, or in connection with the listing or registration of new registered shares on domestic or foreign stock exchanges; or</w:t>
      </w:r>
    </w:p>
    <w:p>
      <w:pPr>
        <w:spacing w:after="0" w:line="331" w:lineRule="exact"/>
        <w:rPr>
          <w:rFonts w:ascii="Arial" w:cs="Arial" w:eastAsia="Arial" w:hAnsi="Arial"/>
          <w:sz w:val="15"/>
          <w:szCs w:val="15"/>
          <w:color w:val="auto"/>
        </w:rPr>
      </w:pPr>
    </w:p>
    <w:p>
      <w:pPr>
        <w:jc w:val="both"/>
        <w:ind w:left="322" w:hanging="322"/>
        <w:spacing w:after="0" w:line="249" w:lineRule="auto"/>
        <w:tabs>
          <w:tab w:leader="none" w:pos="324" w:val="left"/>
        </w:tabs>
        <w:numPr>
          <w:ilvl w:val="0"/>
          <w:numId w:val="5"/>
        </w:numPr>
        <w:rPr>
          <w:rFonts w:ascii="Arial" w:cs="Arial" w:eastAsia="Arial" w:hAnsi="Arial"/>
          <w:sz w:val="15"/>
          <w:szCs w:val="15"/>
          <w:color w:val="auto"/>
        </w:rPr>
      </w:pPr>
      <w:r>
        <w:rPr>
          <w:rFonts w:ascii="Arial" w:cs="Arial" w:eastAsia="Arial" w:hAnsi="Arial"/>
          <w:sz w:val="15"/>
          <w:szCs w:val="15"/>
          <w:color w:val="auto"/>
        </w:rPr>
        <w:t>for purposes of granting an over-allotment option (Greenshoe) of up to 20% of the total number of registered shares in a placement or sale of registered shares to the respective initial purchaser(s) or underwriter(s); or</w:t>
      </w:r>
    </w:p>
    <w:p>
      <w:pPr>
        <w:spacing w:after="0" w:line="155" w:lineRule="exact"/>
        <w:rPr>
          <w:rFonts w:ascii="Arial" w:cs="Arial" w:eastAsia="Arial" w:hAnsi="Arial"/>
          <w:sz w:val="15"/>
          <w:szCs w:val="15"/>
          <w:color w:val="auto"/>
        </w:rPr>
      </w:pPr>
    </w:p>
    <w:p>
      <w:pPr>
        <w:jc w:val="both"/>
        <w:ind w:left="322" w:hanging="322"/>
        <w:spacing w:after="0" w:line="249" w:lineRule="auto"/>
        <w:tabs>
          <w:tab w:leader="none" w:pos="407" w:val="left"/>
        </w:tabs>
        <w:numPr>
          <w:ilvl w:val="0"/>
          <w:numId w:val="5"/>
        </w:numPr>
        <w:rPr>
          <w:rFonts w:ascii="Arial" w:cs="Arial" w:eastAsia="Arial" w:hAnsi="Arial"/>
          <w:sz w:val="15"/>
          <w:szCs w:val="15"/>
          <w:color w:val="auto"/>
        </w:rPr>
      </w:pPr>
      <w:r>
        <w:rPr>
          <w:rFonts w:ascii="Arial" w:cs="Arial" w:eastAsia="Arial" w:hAnsi="Arial"/>
          <w:sz w:val="15"/>
          <w:szCs w:val="15"/>
          <w:color w:val="auto"/>
        </w:rPr>
        <w:t>for raising of capital (including private placements) in a fast and flexible which probably could not be reached without the exclusion of the statutory pre-emptive right of the existing shareholders; or</w:t>
      </w:r>
    </w:p>
    <w:p>
      <w:pPr>
        <w:spacing w:after="0" w:line="155" w:lineRule="exact"/>
        <w:rPr>
          <w:rFonts w:ascii="Arial" w:cs="Arial" w:eastAsia="Arial" w:hAnsi="Arial"/>
          <w:sz w:val="15"/>
          <w:szCs w:val="15"/>
          <w:color w:val="auto"/>
        </w:rPr>
      </w:pPr>
    </w:p>
    <w:p>
      <w:pPr>
        <w:ind w:left="302" w:hanging="302"/>
        <w:spacing w:after="0"/>
        <w:tabs>
          <w:tab w:leader="none" w:pos="302" w:val="left"/>
        </w:tabs>
        <w:numPr>
          <w:ilvl w:val="0"/>
          <w:numId w:val="5"/>
        </w:numPr>
        <w:rPr>
          <w:rFonts w:ascii="Arial" w:cs="Arial" w:eastAsia="Arial" w:hAnsi="Arial"/>
          <w:sz w:val="15"/>
          <w:szCs w:val="15"/>
          <w:color w:val="auto"/>
        </w:rPr>
      </w:pPr>
      <w:r>
        <w:rPr>
          <w:rFonts w:ascii="Arial" w:cs="Arial" w:eastAsia="Arial" w:hAnsi="Arial"/>
          <w:sz w:val="15"/>
          <w:szCs w:val="15"/>
          <w:color w:val="auto"/>
        </w:rPr>
        <w:t>for other valid grounds in the sense of Article 652b para. 2 CO; or</w:t>
      </w:r>
    </w:p>
    <w:p>
      <w:pPr>
        <w:spacing w:after="0" w:line="173" w:lineRule="exact"/>
        <w:rPr>
          <w:rFonts w:ascii="Arial" w:cs="Arial" w:eastAsia="Arial" w:hAnsi="Arial"/>
          <w:sz w:val="15"/>
          <w:szCs w:val="15"/>
          <w:color w:val="auto"/>
        </w:rPr>
      </w:pPr>
    </w:p>
    <w:p>
      <w:pPr>
        <w:jc w:val="both"/>
        <w:ind w:left="322" w:hanging="322"/>
        <w:spacing w:after="0" w:line="227" w:lineRule="auto"/>
        <w:tabs>
          <w:tab w:leader="none" w:pos="330" w:val="left"/>
        </w:tabs>
        <w:numPr>
          <w:ilvl w:val="0"/>
          <w:numId w:val="5"/>
        </w:numPr>
        <w:rPr>
          <w:rFonts w:ascii="Arial" w:cs="Arial" w:eastAsia="Arial" w:hAnsi="Arial"/>
          <w:sz w:val="15"/>
          <w:szCs w:val="15"/>
          <w:color w:val="auto"/>
        </w:rPr>
      </w:pPr>
      <w:r>
        <w:rPr>
          <w:rFonts w:ascii="Arial" w:cs="Arial" w:eastAsia="Arial" w:hAnsi="Arial"/>
          <w:sz w:val="15"/>
          <w:szCs w:val="15"/>
          <w:color w:val="auto"/>
        </w:rPr>
        <w:t xml:space="preserve">following a shareholder or a group of shareholders acting in concert having accumulated shareholdings in excess of 33 </w:t>
      </w:r>
      <w:r>
        <w:rPr>
          <w:rFonts w:ascii="Arial" w:cs="Arial" w:eastAsia="Arial" w:hAnsi="Arial"/>
          <w:sz w:val="25"/>
          <w:szCs w:val="25"/>
          <w:color w:val="auto"/>
          <w:vertAlign w:val="superscript"/>
        </w:rPr>
        <w:t>1</w:t>
      </w:r>
      <w:r>
        <w:rPr>
          <w:rFonts w:ascii="Arial" w:cs="Arial" w:eastAsia="Arial" w:hAnsi="Arial"/>
          <w:sz w:val="15"/>
          <w:szCs w:val="15"/>
          <w:color w:val="auto"/>
        </w:rPr>
        <w:t>/</w:t>
      </w:r>
      <w:r>
        <w:rPr>
          <w:rFonts w:ascii="Arial" w:cs="Arial" w:eastAsia="Arial" w:hAnsi="Arial"/>
          <w:sz w:val="25"/>
          <w:szCs w:val="25"/>
          <w:color w:val="auto"/>
          <w:vertAlign w:val="subscript"/>
        </w:rPr>
        <w:t>3</w:t>
      </w:r>
      <w:r>
        <w:rPr>
          <w:rFonts w:ascii="Arial" w:cs="Arial" w:eastAsia="Arial" w:hAnsi="Arial"/>
          <w:sz w:val="15"/>
          <w:szCs w:val="15"/>
          <w:color w:val="auto"/>
        </w:rPr>
        <w:t xml:space="preserve"> % of the share capital registered in the commercial register without having submitted to the other shareholders a takeover offer recommended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674370</wp:posOffset>
            </wp:positionV>
            <wp:extent cx="726630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ind w:left="5" w:right="20"/>
        <w:spacing w:after="0" w:line="258" w:lineRule="auto"/>
        <w:rPr>
          <w:sz w:val="20"/>
          <w:szCs w:val="20"/>
          <w:color w:val="auto"/>
        </w:rPr>
      </w:pPr>
      <w:r>
        <w:rPr>
          <w:rFonts w:ascii="Arial" w:cs="Arial" w:eastAsia="Arial" w:hAnsi="Arial"/>
          <w:sz w:val="15"/>
          <w:szCs w:val="15"/>
          <w:color w:val="auto"/>
        </w:rPr>
        <w:t>Le conseil d'administration est autorisé à retirer ou de limiter les droits de souscription préférentiels des actionnaires et de les attribuer à des tiers:</w:t>
      </w:r>
    </w:p>
    <w:p>
      <w:pPr>
        <w:spacing w:after="0" w:line="148" w:lineRule="exact"/>
        <w:rPr>
          <w:sz w:val="20"/>
          <w:szCs w:val="20"/>
          <w:color w:val="auto"/>
        </w:rPr>
      </w:pPr>
    </w:p>
    <w:p>
      <w:pPr>
        <w:ind w:left="325" w:right="20" w:hanging="325"/>
        <w:spacing w:after="0" w:line="258" w:lineRule="auto"/>
        <w:tabs>
          <w:tab w:leader="none" w:pos="342" w:val="left"/>
        </w:tabs>
        <w:numPr>
          <w:ilvl w:val="0"/>
          <w:numId w:val="6"/>
        </w:numPr>
        <w:rPr>
          <w:rFonts w:ascii="Arial" w:cs="Arial" w:eastAsia="Arial" w:hAnsi="Arial"/>
          <w:sz w:val="15"/>
          <w:szCs w:val="15"/>
          <w:color w:val="auto"/>
        </w:rPr>
      </w:pPr>
      <w:r>
        <w:rPr>
          <w:rFonts w:ascii="Arial" w:cs="Arial" w:eastAsia="Arial" w:hAnsi="Arial"/>
          <w:sz w:val="15"/>
          <w:szCs w:val="15"/>
          <w:color w:val="auto"/>
        </w:rPr>
        <w:t>si le prix d'émission des nouvelles actions nominatives est déterminé avec une référence au prix de marché; ou</w:t>
      </w:r>
    </w:p>
    <w:p>
      <w:pPr>
        <w:spacing w:after="0" w:line="148" w:lineRule="exact"/>
        <w:rPr>
          <w:rFonts w:ascii="Arial" w:cs="Arial" w:eastAsia="Arial" w:hAnsi="Arial"/>
          <w:sz w:val="15"/>
          <w:szCs w:val="15"/>
          <w:color w:val="auto"/>
        </w:rPr>
      </w:pPr>
    </w:p>
    <w:p>
      <w:pPr>
        <w:jc w:val="both"/>
        <w:ind w:left="325" w:right="20" w:hanging="325"/>
        <w:spacing w:after="0" w:line="246" w:lineRule="auto"/>
        <w:tabs>
          <w:tab w:leader="none" w:pos="315" w:val="left"/>
        </w:tabs>
        <w:numPr>
          <w:ilvl w:val="0"/>
          <w:numId w:val="6"/>
        </w:numPr>
        <w:rPr>
          <w:rFonts w:ascii="Arial" w:cs="Arial" w:eastAsia="Arial" w:hAnsi="Arial"/>
          <w:sz w:val="15"/>
          <w:szCs w:val="15"/>
          <w:color w:val="auto"/>
        </w:rPr>
      </w:pPr>
      <w:r>
        <w:rPr>
          <w:rFonts w:ascii="Arial" w:cs="Arial" w:eastAsia="Arial" w:hAnsi="Arial"/>
          <w:sz w:val="15"/>
          <w:szCs w:val="15"/>
          <w:color w:val="auto"/>
        </w:rPr>
        <w:t>pour l'acquisition d'une entreprise, part d'entreprise ou participation, ou pour le financement ou le refinancement de ladite acquisition, ou en cas de placement d'actions pour le financement ou le refinancement dudit placement; ou</w:t>
      </w:r>
    </w:p>
    <w:p>
      <w:pPr>
        <w:spacing w:after="0" w:line="157" w:lineRule="exact"/>
        <w:rPr>
          <w:rFonts w:ascii="Arial" w:cs="Arial" w:eastAsia="Arial" w:hAnsi="Arial"/>
          <w:sz w:val="15"/>
          <w:szCs w:val="15"/>
          <w:color w:val="auto"/>
        </w:rPr>
      </w:pPr>
    </w:p>
    <w:p>
      <w:pPr>
        <w:jc w:val="both"/>
        <w:ind w:left="325" w:right="20" w:hanging="325"/>
        <w:spacing w:after="0" w:line="246" w:lineRule="auto"/>
        <w:tabs>
          <w:tab w:leader="none" w:pos="306" w:val="left"/>
        </w:tabs>
        <w:numPr>
          <w:ilvl w:val="0"/>
          <w:numId w:val="6"/>
        </w:numPr>
        <w:rPr>
          <w:rFonts w:ascii="Arial" w:cs="Arial" w:eastAsia="Arial" w:hAnsi="Arial"/>
          <w:sz w:val="15"/>
          <w:szCs w:val="15"/>
          <w:color w:val="auto"/>
        </w:rPr>
      </w:pPr>
      <w:r>
        <w:rPr>
          <w:rFonts w:ascii="Arial" w:cs="Arial" w:eastAsia="Arial" w:hAnsi="Arial"/>
          <w:sz w:val="15"/>
          <w:szCs w:val="15"/>
          <w:color w:val="auto"/>
        </w:rPr>
        <w:t>pour l'élargissement de la base des actionnaires de la société dans certains marchés financiers ou d'investissement, afin de permettre une participation de partenaires stratégiques, ou dans le cas de cotation ou d'enregistrement de nouvelles actions nominatives aux bourses nationales ou étrangères; ou</w:t>
      </w:r>
    </w:p>
    <w:p>
      <w:pPr>
        <w:spacing w:after="0" w:line="157" w:lineRule="exact"/>
        <w:rPr>
          <w:rFonts w:ascii="Arial" w:cs="Arial" w:eastAsia="Arial" w:hAnsi="Arial"/>
          <w:sz w:val="15"/>
          <w:szCs w:val="15"/>
          <w:color w:val="auto"/>
        </w:rPr>
      </w:pPr>
    </w:p>
    <w:p>
      <w:pPr>
        <w:jc w:val="both"/>
        <w:ind w:left="325" w:right="20" w:hanging="325"/>
        <w:spacing w:after="0" w:line="246" w:lineRule="auto"/>
        <w:tabs>
          <w:tab w:leader="none" w:pos="379" w:val="left"/>
        </w:tabs>
        <w:numPr>
          <w:ilvl w:val="0"/>
          <w:numId w:val="6"/>
        </w:numPr>
        <w:rPr>
          <w:rFonts w:ascii="Arial" w:cs="Arial" w:eastAsia="Arial" w:hAnsi="Arial"/>
          <w:sz w:val="15"/>
          <w:szCs w:val="15"/>
          <w:color w:val="auto"/>
        </w:rPr>
      </w:pPr>
      <w:r>
        <w:rPr>
          <w:rFonts w:ascii="Arial" w:cs="Arial" w:eastAsia="Arial" w:hAnsi="Arial"/>
          <w:sz w:val="15"/>
          <w:szCs w:val="15"/>
          <w:color w:val="auto"/>
        </w:rPr>
        <w:t>pour octroyer une option de surallocation (Greenshoe) d'un maximum de 20% du nombre total d'actions nominatives dans un placement ou une vente d'actions nominatives à l'/des acheteur(s) initial(s) ou du/des souscripteur(s) respectif(s); ou</w:t>
      </w:r>
    </w:p>
    <w:p>
      <w:pPr>
        <w:spacing w:after="0" w:line="157" w:lineRule="exact"/>
        <w:rPr>
          <w:rFonts w:ascii="Arial" w:cs="Arial" w:eastAsia="Arial" w:hAnsi="Arial"/>
          <w:sz w:val="15"/>
          <w:szCs w:val="15"/>
          <w:color w:val="auto"/>
        </w:rPr>
      </w:pPr>
    </w:p>
    <w:p>
      <w:pPr>
        <w:jc w:val="both"/>
        <w:ind w:left="325" w:right="20" w:hanging="325"/>
        <w:spacing w:after="0" w:line="246" w:lineRule="auto"/>
        <w:tabs>
          <w:tab w:leader="none" w:pos="332" w:val="left"/>
        </w:tabs>
        <w:numPr>
          <w:ilvl w:val="0"/>
          <w:numId w:val="6"/>
        </w:numPr>
        <w:rPr>
          <w:rFonts w:ascii="Arial" w:cs="Arial" w:eastAsia="Arial" w:hAnsi="Arial"/>
          <w:sz w:val="15"/>
          <w:szCs w:val="15"/>
          <w:color w:val="auto"/>
        </w:rPr>
      </w:pPr>
      <w:r>
        <w:rPr>
          <w:rFonts w:ascii="Arial" w:cs="Arial" w:eastAsia="Arial" w:hAnsi="Arial"/>
          <w:sz w:val="15"/>
          <w:szCs w:val="15"/>
          <w:color w:val="auto"/>
        </w:rPr>
        <w:t>pour lever des capitaux (y compris des placements privés) dans un délai rapide et flexible, ce qui ne pourrait probablement pas être réalisé sans l'exclusion du droit préférentiel de souscription statuaire des actionnaires existants; ou</w:t>
      </w:r>
    </w:p>
    <w:p>
      <w:pPr>
        <w:spacing w:after="0" w:line="157" w:lineRule="exact"/>
        <w:rPr>
          <w:rFonts w:ascii="Arial" w:cs="Arial" w:eastAsia="Arial" w:hAnsi="Arial"/>
          <w:sz w:val="15"/>
          <w:szCs w:val="15"/>
          <w:color w:val="auto"/>
        </w:rPr>
      </w:pPr>
    </w:p>
    <w:p>
      <w:pPr>
        <w:ind w:left="305" w:hanging="305"/>
        <w:spacing w:after="0"/>
        <w:tabs>
          <w:tab w:leader="none" w:pos="305" w:val="left"/>
        </w:tabs>
        <w:numPr>
          <w:ilvl w:val="0"/>
          <w:numId w:val="6"/>
        </w:numPr>
        <w:rPr>
          <w:rFonts w:ascii="Arial" w:cs="Arial" w:eastAsia="Arial" w:hAnsi="Arial"/>
          <w:sz w:val="15"/>
          <w:szCs w:val="15"/>
          <w:color w:val="auto"/>
        </w:rPr>
      </w:pPr>
      <w:r>
        <w:rPr>
          <w:rFonts w:ascii="Arial" w:cs="Arial" w:eastAsia="Arial" w:hAnsi="Arial"/>
          <w:sz w:val="15"/>
          <w:szCs w:val="15"/>
          <w:color w:val="auto"/>
        </w:rPr>
        <w:t>pour d'autres motifs valables au sens de l'article 652b al. 2 CO; ou</w:t>
      </w:r>
    </w:p>
    <w:p>
      <w:pPr>
        <w:spacing w:after="0" w:line="173" w:lineRule="exact"/>
        <w:rPr>
          <w:rFonts w:ascii="Arial" w:cs="Arial" w:eastAsia="Arial" w:hAnsi="Arial"/>
          <w:sz w:val="15"/>
          <w:szCs w:val="15"/>
          <w:color w:val="auto"/>
        </w:rPr>
      </w:pPr>
    </w:p>
    <w:p>
      <w:pPr>
        <w:jc w:val="both"/>
        <w:ind w:left="325" w:right="20" w:hanging="325"/>
        <w:spacing w:after="0" w:line="229" w:lineRule="auto"/>
        <w:tabs>
          <w:tab w:leader="none" w:pos="462" w:val="left"/>
        </w:tabs>
        <w:numPr>
          <w:ilvl w:val="0"/>
          <w:numId w:val="6"/>
        </w:numPr>
        <w:rPr>
          <w:rFonts w:ascii="Arial" w:cs="Arial" w:eastAsia="Arial" w:hAnsi="Arial"/>
          <w:sz w:val="15"/>
          <w:szCs w:val="15"/>
          <w:color w:val="auto"/>
        </w:rPr>
      </w:pPr>
      <w:r>
        <w:rPr>
          <w:rFonts w:ascii="Arial" w:cs="Arial" w:eastAsia="Arial" w:hAnsi="Arial"/>
          <w:sz w:val="15"/>
          <w:szCs w:val="15"/>
          <w:color w:val="auto"/>
        </w:rPr>
        <w:t xml:space="preserve">suite à l'accumulation par un actionnaire ou un groupe d'actionnaires agissant de concert de participations supérieures à 33 </w:t>
      </w:r>
      <w:r>
        <w:rPr>
          <w:rFonts w:ascii="Arial" w:cs="Arial" w:eastAsia="Arial" w:hAnsi="Arial"/>
          <w:sz w:val="25"/>
          <w:szCs w:val="25"/>
          <w:color w:val="auto"/>
          <w:vertAlign w:val="superscript"/>
        </w:rPr>
        <w:t>1</w:t>
      </w:r>
      <w:r>
        <w:rPr>
          <w:rFonts w:ascii="Arial" w:cs="Arial" w:eastAsia="Arial" w:hAnsi="Arial"/>
          <w:sz w:val="15"/>
          <w:szCs w:val="15"/>
          <w:color w:val="auto"/>
        </w:rPr>
        <w:t>/</w:t>
      </w:r>
      <w:r>
        <w:rPr>
          <w:rFonts w:ascii="Arial" w:cs="Arial" w:eastAsia="Arial" w:hAnsi="Arial"/>
          <w:sz w:val="25"/>
          <w:szCs w:val="25"/>
          <w:color w:val="auto"/>
          <w:vertAlign w:val="subscript"/>
        </w:rPr>
        <w:t>3</w:t>
      </w:r>
      <w:r>
        <w:rPr>
          <w:rFonts w:ascii="Arial" w:cs="Arial" w:eastAsia="Arial" w:hAnsi="Arial"/>
          <w:sz w:val="15"/>
          <w:szCs w:val="15"/>
          <w:color w:val="auto"/>
        </w:rPr>
        <w:t xml:space="preserve"> % du capital-actions inscrit au registre du commerce sans avoir soumis aux autres actionnaires une offre publique d'achat recommandée par le conseil d'administration, ou pour la</w:t>
      </w:r>
    </w:p>
    <w:p>
      <w:pPr>
        <w:sectPr>
          <w:pgSz w:w="11900" w:h="16838" w:orient="portrait"/>
          <w:cols w:equalWidth="0" w:num="2">
            <w:col w:w="5522" w:space="315"/>
            <w:col w:w="5525"/>
          </w:cols>
          <w:pgMar w:left="278" w:top="231" w:right="259" w:bottom="1440" w:gutter="0" w:footer="0" w:header="0"/>
          <w:type w:val="continuous"/>
        </w:sectPr>
      </w:pPr>
    </w:p>
    <w:bookmarkStart w:id="34" w:name="page35"/>
    <w:bookmarkEnd w:id="34"/>
    <w:tbl>
      <w:tblPr>
        <w:tblLayout w:type="fixed"/>
        <w:tblInd w:w="10" w:type="dxa"/>
        <w:tblCellMar>
          <w:top w:w="0" w:type="dxa"/>
          <w:left w:w="0" w:type="dxa"/>
          <w:bottom w:w="0" w:type="dxa"/>
          <w:right w:w="0" w:type="dxa"/>
        </w:tblCellMar>
      </w:tblPr>
      <w:tr>
        <w:trPr>
          <w:trHeight w:val="185"/>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289"/>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r>
        <w:trPr>
          <w:trHeight w:val="198"/>
        </w:trPr>
        <w:tc>
          <w:tcPr>
            <w:tcW w:w="5620" w:type="dxa"/>
            <w:vAlign w:val="bottom"/>
            <w:tcBorders>
              <w:left w:val="single" w:sz="8" w:color="auto"/>
              <w:right w:val="single" w:sz="8" w:color="auto"/>
            </w:tcBorders>
          </w:tcPr>
          <w:p>
            <w:pPr>
              <w:ind w:left="420"/>
              <w:spacing w:after="0"/>
              <w:rPr>
                <w:sz w:val="20"/>
                <w:szCs w:val="20"/>
                <w:color w:val="auto"/>
              </w:rPr>
            </w:pPr>
            <w:r>
              <w:rPr>
                <w:rFonts w:ascii="Arial" w:cs="Arial" w:eastAsia="Arial" w:hAnsi="Arial"/>
                <w:sz w:val="15"/>
                <w:szCs w:val="15"/>
                <w:color w:val="auto"/>
              </w:rPr>
              <w:t>or for the defense of an actual, threatened or potential takeover bid, in</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ind w:left="420"/>
              <w:spacing w:after="0"/>
              <w:rPr>
                <w:sz w:val="20"/>
                <w:szCs w:val="20"/>
                <w:color w:val="auto"/>
              </w:rPr>
            </w:pPr>
            <w:r>
              <w:rPr>
                <w:rFonts w:ascii="Arial" w:cs="Arial" w:eastAsia="Arial" w:hAnsi="Arial"/>
                <w:sz w:val="15"/>
                <w:szCs w:val="15"/>
                <w:color w:val="auto"/>
              </w:rPr>
              <w:t>défense d'une offre publique d'achat réelle, imminente ou potentielle, pour</w:t>
            </w:r>
          </w:p>
        </w:tc>
      </w:tr>
      <w:tr>
        <w:trPr>
          <w:trHeight w:val="173"/>
        </w:trPr>
        <w:tc>
          <w:tcPr>
            <w:tcW w:w="56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relation  to  which  the  Board  of  Directors,  upon  consultation  with  an</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laquelle le conseil d'administration, après consultation avec un conseiller</w:t>
            </w:r>
          </w:p>
        </w:tc>
      </w:tr>
      <w:tr>
        <w:trPr>
          <w:trHeight w:val="173"/>
        </w:trPr>
        <w:tc>
          <w:tcPr>
            <w:tcW w:w="56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independent financial adviser retained by it, has not recommended to the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financier indépendant retenu par lui, n'a pas recommandé l'acceptation aux</w:t>
            </w:r>
          </w:p>
        </w:tc>
      </w:tr>
      <w:tr>
        <w:trPr>
          <w:trHeight w:val="173"/>
        </w:trPr>
        <w:tc>
          <w:tcPr>
            <w:tcW w:w="56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shareholders acceptance on the basis that the Board of Directors has not</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actionnaires  car  il  a  estimé  que  l'offre  publique  d'achat  n'était  pas</w:t>
            </w:r>
          </w:p>
        </w:tc>
      </w:tr>
      <w:tr>
        <w:trPr>
          <w:trHeight w:val="185"/>
        </w:trPr>
        <w:tc>
          <w:tcPr>
            <w:tcW w:w="5620" w:type="dxa"/>
            <w:vAlign w:val="bottom"/>
            <w:tcBorders>
              <w:left w:val="single" w:sz="8" w:color="auto"/>
              <w:right w:val="single" w:sz="8" w:color="auto"/>
            </w:tcBorders>
          </w:tcPr>
          <w:p>
            <w:pPr>
              <w:ind w:left="420"/>
              <w:spacing w:after="0"/>
              <w:rPr>
                <w:sz w:val="20"/>
                <w:szCs w:val="20"/>
                <w:color w:val="auto"/>
              </w:rPr>
            </w:pPr>
            <w:r>
              <w:rPr>
                <w:rFonts w:ascii="Arial" w:cs="Arial" w:eastAsia="Arial" w:hAnsi="Arial"/>
                <w:sz w:val="15"/>
                <w:szCs w:val="15"/>
                <w:color w:val="auto"/>
              </w:rPr>
              <w:t>found the takeover bid to be financially fair to the shareholders.</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ind w:left="420"/>
              <w:spacing w:after="0"/>
              <w:rPr>
                <w:sz w:val="20"/>
                <w:szCs w:val="20"/>
                <w:color w:val="auto"/>
              </w:rPr>
            </w:pPr>
            <w:r>
              <w:rPr>
                <w:rFonts w:ascii="Arial" w:cs="Arial" w:eastAsia="Arial" w:hAnsi="Arial"/>
                <w:sz w:val="15"/>
                <w:szCs w:val="15"/>
                <w:color w:val="auto"/>
              </w:rPr>
              <w:t>financièrement équitable pour les actionnaires.</w:t>
            </w:r>
          </w:p>
        </w:tc>
      </w:tr>
      <w:tr>
        <w:trPr>
          <w:trHeight w:val="23"/>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198"/>
        </w:trPr>
        <w:tc>
          <w:tcPr>
            <w:tcW w:w="56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The acquisition of registered shares out of authorized capital increase of share</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L'acquisition d'actions nominatives dans le cadre d'une augmentation autorisée</w:t>
            </w:r>
          </w:p>
        </w:tc>
      </w:tr>
      <w:tr>
        <w:trPr>
          <w:trHeight w:val="173"/>
        </w:trPr>
        <w:tc>
          <w:tcPr>
            <w:tcW w:w="56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capital for general purposes and any transfers of registered shares shall be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du capital-actions à des fins générales et les transferts d'actions nominatives</w:t>
            </w:r>
          </w:p>
        </w:tc>
      </w:tr>
      <w:tr>
        <w:trPr>
          <w:trHeight w:val="185"/>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subject to the restrictions specified in Article 4 of the Articles of Association.</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sont soumis aux restrictions prévues à l'article 4 des statuts.</w:t>
            </w:r>
          </w:p>
        </w:tc>
      </w:tr>
      <w:tr>
        <w:trPr>
          <w:trHeight w:val="23"/>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180"/>
        </w:trPr>
        <w:tc>
          <w:tcPr>
            <w:tcW w:w="5620" w:type="dxa"/>
            <w:vAlign w:val="bottom"/>
            <w:tcBorders>
              <w:left w:val="single" w:sz="8" w:color="auto"/>
              <w:right w:val="single" w:sz="8" w:color="auto"/>
            </w:tcBorders>
          </w:tcPr>
          <w:p>
            <w:pPr>
              <w:jc w:val="right"/>
              <w:ind w:right="743"/>
              <w:spacing w:after="0"/>
              <w:rPr>
                <w:sz w:val="20"/>
                <w:szCs w:val="20"/>
                <w:color w:val="auto"/>
              </w:rPr>
            </w:pPr>
            <w:r>
              <w:rPr>
                <w:rFonts w:ascii="Arial" w:cs="Arial" w:eastAsia="Arial" w:hAnsi="Arial"/>
                <w:sz w:val="15"/>
                <w:szCs w:val="15"/>
                <w:b w:val="1"/>
                <w:bCs w:val="1"/>
                <w:color w:val="auto"/>
              </w:rPr>
              <w:t>Art. 3b   Conditional Capital Increase for Bonds and Similar Debt</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Art. 3b Augmentation conditionnelle du capital-actions pour les obligations</w:t>
            </w:r>
          </w:p>
        </w:tc>
      </w:tr>
      <w:tr>
        <w:trPr>
          <w:trHeight w:val="203"/>
        </w:trPr>
        <w:tc>
          <w:tcPr>
            <w:tcW w:w="5620" w:type="dxa"/>
            <w:vAlign w:val="bottom"/>
            <w:tcBorders>
              <w:left w:val="single" w:sz="8" w:color="auto"/>
              <w:right w:val="single" w:sz="8" w:color="auto"/>
            </w:tcBorders>
          </w:tcPr>
          <w:p>
            <w:pPr>
              <w:jc w:val="right"/>
              <w:ind w:right="3903"/>
              <w:spacing w:after="0"/>
              <w:rPr>
                <w:sz w:val="20"/>
                <w:szCs w:val="20"/>
                <w:color w:val="auto"/>
              </w:rPr>
            </w:pPr>
            <w:r>
              <w:rPr>
                <w:rFonts w:ascii="Arial" w:cs="Arial" w:eastAsia="Arial" w:hAnsi="Arial"/>
                <w:sz w:val="15"/>
                <w:szCs w:val="15"/>
                <w:b w:val="1"/>
                <w:bCs w:val="1"/>
                <w:color w:val="auto"/>
              </w:rPr>
              <w:t>Instruments</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jc w:val="right"/>
              <w:ind w:right="2523"/>
              <w:spacing w:after="0"/>
              <w:rPr>
                <w:sz w:val="20"/>
                <w:szCs w:val="20"/>
                <w:color w:val="auto"/>
              </w:rPr>
            </w:pPr>
            <w:r>
              <w:rPr>
                <w:rFonts w:ascii="Arial" w:cs="Arial" w:eastAsia="Arial" w:hAnsi="Arial"/>
                <w:sz w:val="15"/>
                <w:szCs w:val="15"/>
                <w:b w:val="1"/>
                <w:bCs w:val="1"/>
                <w:color w:val="auto"/>
              </w:rPr>
              <w:t>et instruments de dettes similaire</w:t>
            </w:r>
          </w:p>
        </w:tc>
      </w:tr>
      <w:tr>
        <w:trPr>
          <w:trHeight w:val="23"/>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198"/>
        </w:trPr>
        <w:tc>
          <w:tcPr>
            <w:tcW w:w="56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The share capital of the Company shall be increased by a maximum amount of</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Le capital-actions de la société peut être augmenté d'un montant maximum de</w:t>
            </w:r>
          </w:p>
        </w:tc>
      </w:tr>
      <w:tr>
        <w:trPr>
          <w:trHeight w:val="173"/>
        </w:trPr>
        <w:tc>
          <w:tcPr>
            <w:tcW w:w="56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CHF 91'867.50 through the issue of a maximum of 4'593'375 registered shares,</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CHF 91'867.50 par l'émission d'un maximum de 4'593'375 actions nominatives,</w:t>
            </w:r>
          </w:p>
        </w:tc>
      </w:tr>
      <w:tr>
        <w:trPr>
          <w:trHeight w:val="173"/>
        </w:trPr>
        <w:tc>
          <w:tcPr>
            <w:tcW w:w="56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payable in full, each with a nominal value of CHF 0.02 through the exercise of</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d'une valeur nominale de CHF 0.02 chacune, à libérer entièrement, suite à</w:t>
            </w:r>
          </w:p>
        </w:tc>
      </w:tr>
      <w:tr>
        <w:trPr>
          <w:trHeight w:val="173"/>
        </w:trPr>
        <w:tc>
          <w:tcPr>
            <w:tcW w:w="56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conversion and/or option or warrant rights granted in connection with bonds or</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l'exercice de droits de conversion et/ou d'option ou de bons de souscription</w:t>
            </w:r>
          </w:p>
        </w:tc>
      </w:tr>
      <w:tr>
        <w:trPr>
          <w:trHeight w:val="173"/>
        </w:trPr>
        <w:tc>
          <w:tcPr>
            <w:tcW w:w="56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similar instruments, issued or to be issued by the Company or by subsidiaries of</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accordés en relation avec des obligations ou d'instruments similaires, émis ou</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the Company, including convertible debt instruments.</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devant être émis par la société ou par des filiales de la société, y compris les</w:t>
            </w:r>
          </w:p>
        </w:tc>
      </w:tr>
      <w:tr>
        <w:trPr>
          <w:trHeight w:val="185"/>
        </w:trPr>
        <w:tc>
          <w:tcPr>
            <w:tcW w:w="5620" w:type="dxa"/>
            <w:vAlign w:val="bottom"/>
            <w:tcBorders>
              <w:left w:val="single" w:sz="8" w:color="auto"/>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instruments d'emprunt convertibles.</w:t>
            </w:r>
          </w:p>
        </w:tc>
      </w:tr>
      <w:tr>
        <w:trPr>
          <w:trHeight w:val="23"/>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198"/>
        </w:trPr>
        <w:tc>
          <w:tcPr>
            <w:tcW w:w="56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Shareholders'  subscription  rights  are  excluded.  Shareholders'  advance</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Le droit de souscription préférentiel des actionnaires est exclu. Les droits de</w:t>
            </w:r>
          </w:p>
        </w:tc>
      </w:tr>
      <w:tr>
        <w:trPr>
          <w:trHeight w:val="173"/>
        </w:trPr>
        <w:tc>
          <w:tcPr>
            <w:tcW w:w="56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subscription rights with regard to the new bonds or similar instruments may be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souscription préférentiels préalables des actionnaires à l'égard des nouvelles</w:t>
            </w:r>
          </w:p>
        </w:tc>
      </w:tr>
      <w:tr>
        <w:trPr>
          <w:trHeight w:val="173"/>
        </w:trPr>
        <w:tc>
          <w:tcPr>
            <w:tcW w:w="56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restricted or excluded by decision of the Board of Directors in order to finance or</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obligations ou instruments similaires peuvent être limités ou exclus par décision</w:t>
            </w:r>
          </w:p>
        </w:tc>
      </w:tr>
      <w:tr>
        <w:trPr>
          <w:trHeight w:val="173"/>
        </w:trPr>
        <w:tc>
          <w:tcPr>
            <w:tcW w:w="56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re-finance the acquisition of companies, parts of companies or holdings, or new</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du  conseil  d'administration  afin  de  financer  ou  de  refinancer  l'acquisition</w:t>
            </w:r>
          </w:p>
        </w:tc>
      </w:tr>
      <w:tr>
        <w:trPr>
          <w:trHeight w:val="173"/>
        </w:trPr>
        <w:tc>
          <w:tcPr>
            <w:tcW w:w="56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investments planned by the Company, or in order to issue convertible bonds and</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d'entreprises,  parts  d'entreprises  ou  de  holdings,  ou  de  nouveaux</w:t>
            </w:r>
          </w:p>
        </w:tc>
      </w:tr>
      <w:tr>
        <w:trPr>
          <w:trHeight w:val="173"/>
        </w:trPr>
        <w:tc>
          <w:tcPr>
            <w:tcW w:w="56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warrants on the international capital markets or through private placement. If</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investissements prévus par la société, ou en vue d'émettre des obligations</w:t>
            </w:r>
          </w:p>
        </w:tc>
      </w:tr>
      <w:tr>
        <w:trPr>
          <w:trHeight w:val="173"/>
        </w:trPr>
        <w:tc>
          <w:tcPr>
            <w:tcW w:w="56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advance subscription rights are excluded, then (1) the instruments are to be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convertibles et des bons de souscription sur les marchés internationaux de</w:t>
            </w:r>
          </w:p>
        </w:tc>
      </w:tr>
      <w:tr>
        <w:trPr>
          <w:trHeight w:val="185"/>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placed at market</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capitaux ou par placement privé. Si les droits de</w:t>
            </w:r>
          </w:p>
        </w:tc>
      </w:tr>
      <w:tr>
        <w:trPr>
          <w:trHeight w:val="23"/>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499"/>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231" w:right="219" w:bottom="1440" w:gutter="0" w:footer="0" w:header="0"/>
        </w:sectPr>
      </w:pPr>
    </w:p>
    <w:bookmarkStart w:id="35" w:name="page36"/>
    <w:bookmarkEnd w:id="3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0" w:type="dxa"/>
            <w:vAlign w:val="bottom"/>
          </w:tcPr>
          <w:p>
            <w:pPr>
              <w:ind w:left="5460"/>
              <w:spacing w:after="0"/>
              <w:rPr>
                <w:sz w:val="20"/>
                <w:szCs w:val="20"/>
                <w:color w:val="auto"/>
              </w:rPr>
            </w:pPr>
            <w:r>
              <w:rPr>
                <w:rFonts w:ascii="Arial" w:cs="Arial" w:eastAsia="Arial" w:hAnsi="Arial"/>
                <w:sz w:val="15"/>
                <w:szCs w:val="15"/>
                <w:color w:val="auto"/>
              </w:rPr>
              <w:t>5</w:t>
            </w:r>
          </w:p>
        </w:tc>
      </w:tr>
      <w:tr>
        <w:trPr>
          <w:trHeight w:val="289"/>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r>
        <w:trPr>
          <w:trHeight w:val="198"/>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conditions, (2) the exercise period is not to exceed ten years from the date of</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souscription préférentiels préalables sont exclus, (1) les instruments doivent être</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issue for warrants and twenty years for conversion rights and (3) the conversion</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attribués aux conditions du marché, (2) la période d'exercice ne doit pas</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or exercise price for the new shares is to be set at least in line with the market</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dépasser dix ans à partir de la date d'émission des bons de souscription et vingt</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conditions prevailing at the date on which the instruments are issued. The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ans pour les droits de conversion et (3) le prix de conversion ou d'exercice des</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respective holders of conversion and/or option or warrant rights are entitled to</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actions nouvelles doit être fixé au moins aux conditions du marché prévalant à la</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subscribe the new shares.</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date à laquelle les instruments sont émis. Les détenteurs respectifs de droits de</w:t>
            </w:r>
          </w:p>
        </w:tc>
      </w:tr>
      <w:tr>
        <w:trPr>
          <w:trHeight w:val="173"/>
        </w:trPr>
        <w:tc>
          <w:tcPr>
            <w:tcW w:w="5620" w:type="dxa"/>
            <w:vAlign w:val="bottom"/>
            <w:tcBorders>
              <w:left w:val="single" w:sz="8" w:color="auto"/>
              <w:right w:val="single" w:sz="8" w:color="auto"/>
            </w:tcBorders>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conversion et/ou option ou de bons de souscription ont le droit de souscrire les</w:t>
            </w:r>
          </w:p>
        </w:tc>
      </w:tr>
      <w:tr>
        <w:trPr>
          <w:trHeight w:val="185"/>
        </w:trPr>
        <w:tc>
          <w:tcPr>
            <w:tcW w:w="5620" w:type="dxa"/>
            <w:vAlign w:val="bottom"/>
            <w:tcBorders>
              <w:left w:val="single" w:sz="8" w:color="auto"/>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nouvelles actions.</w:t>
            </w:r>
          </w:p>
        </w:tc>
      </w:tr>
      <w:tr>
        <w:trPr>
          <w:trHeight w:val="23"/>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198"/>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The acquisition of registered shares through the exercise of conversion rights or</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L'acquisition d'actions nominatives par l'exercice de droits ou de bons de</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warrants  and  any  transfers  of  registered  shares  shall  be  subject  to  the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conversion  et  les  transferts  d'actions  nominatives  sont  assujetties  aux</w:t>
            </w:r>
          </w:p>
        </w:tc>
      </w:tr>
      <w:tr>
        <w:trPr>
          <w:trHeight w:val="185"/>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restrictions specified in Article 4 of the Articles of Association.</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restrictions prévues par l'article 4 des statuts.</w:t>
            </w:r>
          </w:p>
        </w:tc>
      </w:tr>
      <w:tr>
        <w:trPr>
          <w:trHeight w:val="23"/>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180"/>
        </w:trPr>
        <w:tc>
          <w:tcPr>
            <w:tcW w:w="5620" w:type="dxa"/>
            <w:vAlign w:val="bottom"/>
            <w:tcBorders>
              <w:left w:val="single" w:sz="8" w:color="auto"/>
              <w:right w:val="single" w:sz="8" w:color="auto"/>
            </w:tcBorders>
          </w:tcPr>
          <w:p>
            <w:pPr>
              <w:spacing w:after="0"/>
              <w:rPr>
                <w:sz w:val="20"/>
                <w:szCs w:val="20"/>
                <w:color w:val="auto"/>
              </w:rPr>
            </w:pPr>
            <w:r>
              <w:rPr>
                <w:rFonts w:ascii="Arial" w:cs="Arial" w:eastAsia="Arial" w:hAnsi="Arial"/>
                <w:sz w:val="15"/>
                <w:szCs w:val="15"/>
                <w:b w:val="1"/>
                <w:bCs w:val="1"/>
                <w:color w:val="auto"/>
              </w:rPr>
              <w:t>Art. 3c Conditional Share Capital Increase for Employee Benefit Plans</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spacing w:after="0"/>
              <w:rPr>
                <w:sz w:val="20"/>
                <w:szCs w:val="20"/>
                <w:color w:val="auto"/>
              </w:rPr>
            </w:pPr>
            <w:r>
              <w:rPr>
                <w:rFonts w:ascii="Arial" w:cs="Arial" w:eastAsia="Arial" w:hAnsi="Arial"/>
                <w:sz w:val="15"/>
                <w:szCs w:val="15"/>
                <w:b w:val="1"/>
                <w:bCs w:val="1"/>
                <w:color w:val="auto"/>
              </w:rPr>
              <w:t>Art. 3c Augmentation conditionnelle du capital-actions pour les plans</w:t>
            </w:r>
          </w:p>
        </w:tc>
      </w:tr>
      <w:tr>
        <w:trPr>
          <w:trHeight w:val="203"/>
        </w:trPr>
        <w:tc>
          <w:tcPr>
            <w:tcW w:w="562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ind w:left="560"/>
              <w:spacing w:after="0"/>
              <w:rPr>
                <w:sz w:val="20"/>
                <w:szCs w:val="20"/>
                <w:color w:val="auto"/>
              </w:rPr>
            </w:pPr>
            <w:r>
              <w:rPr>
                <w:rFonts w:ascii="Arial" w:cs="Arial" w:eastAsia="Arial" w:hAnsi="Arial"/>
                <w:sz w:val="15"/>
                <w:szCs w:val="15"/>
                <w:b w:val="1"/>
                <w:bCs w:val="1"/>
                <w:color w:val="auto"/>
              </w:rPr>
              <w:t>d'avantages sociaux</w:t>
            </w:r>
          </w:p>
        </w:tc>
      </w:tr>
      <w:tr>
        <w:trPr>
          <w:trHeight w:val="23"/>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198"/>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The share capital of the Company shall be increased by an amount not</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Le capital social de la société sera augmenté d'un montant ne dépassant pas</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exceeding  CHF  57'073.04  through  the  issue  of  a  maximum  of  2'853'652</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CHF 57'073.04 par l'émission d'un maximum de 2'853'652 actions nominatives,</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registered shares, payable in full, each with a nominal value of CHF 0.02, in</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entièrement libérées, chacune avec une valeur nominale de CHF 0.02, dans le</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connection with the exercise of option rights granted to any employee of the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cadre de l'exercice de droits d'option accordés à tout employé de la Société ou</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Company  or  a  subsidiary,  and  any  consultant,  members  of  the  Board  of</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d'une succursale, et à tout consultant, aux membres du conseil d'administration,</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Directors, or other person providing services to the Company or a subsidiary.</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ou à autres personnes fournissant des services en faveur de la société ou d'une</w:t>
            </w:r>
          </w:p>
        </w:tc>
      </w:tr>
      <w:tr>
        <w:trPr>
          <w:trHeight w:val="185"/>
        </w:trPr>
        <w:tc>
          <w:tcPr>
            <w:tcW w:w="5620" w:type="dxa"/>
            <w:vAlign w:val="bottom"/>
            <w:tcBorders>
              <w:left w:val="single" w:sz="8" w:color="auto"/>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filiale.</w:t>
            </w:r>
          </w:p>
        </w:tc>
      </w:tr>
      <w:tr>
        <w:trPr>
          <w:trHeight w:val="23"/>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198"/>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Shareholders' subscription rights shall be excluded with regard to these shares.</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Le droit de souscription préférentiel des actionnaires est exclu à l'égard de ces</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These new registered shares may be issued at a price below the current market</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actions. Ces nouvelles actions nominatives peuvent être émises à un prix</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price. The Board of Directors shall specify the precise conditions of issue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inférieur au prix du marché actuel. Le conseil d'administration doit préciser les</w:t>
            </w:r>
          </w:p>
        </w:tc>
      </w:tr>
      <w:tr>
        <w:trPr>
          <w:trHeight w:val="185"/>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including the issue price of the shares.</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conditions précises d'émission, y compris le prix d'émission des actions.</w:t>
            </w:r>
          </w:p>
        </w:tc>
      </w:tr>
      <w:tr>
        <w:trPr>
          <w:trHeight w:val="23"/>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198"/>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The acquisition of registered shares in connection with employee participation</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L'acquisition  d'actions  nominatives  dans  le  cadre  de  la  participation  des</w:t>
            </w:r>
          </w:p>
        </w:tc>
      </w:tr>
      <w:tr>
        <w:trPr>
          <w:trHeight w:val="185"/>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and any</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employés et</w:t>
            </w:r>
          </w:p>
        </w:tc>
      </w:tr>
      <w:tr>
        <w:trPr>
          <w:trHeight w:val="23"/>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499"/>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231" w:right="219" w:bottom="1440" w:gutter="0" w:footer="0" w:header="0"/>
        </w:sectPr>
      </w:pPr>
    </w:p>
    <w:bookmarkStart w:id="36" w:name="page37"/>
    <w:bookmarkEnd w:id="3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0" w:type="dxa"/>
            <w:vAlign w:val="bottom"/>
          </w:tcPr>
          <w:p>
            <w:pPr>
              <w:ind w:left="5460"/>
              <w:spacing w:after="0"/>
              <w:rPr>
                <w:sz w:val="20"/>
                <w:szCs w:val="20"/>
                <w:color w:val="auto"/>
              </w:rPr>
            </w:pPr>
            <w:r>
              <w:rPr>
                <w:rFonts w:ascii="Arial" w:cs="Arial" w:eastAsia="Arial" w:hAnsi="Arial"/>
                <w:sz w:val="15"/>
                <w:szCs w:val="15"/>
                <w:color w:val="auto"/>
              </w:rPr>
              <w:t>6</w:t>
            </w:r>
          </w:p>
        </w:tc>
      </w:tr>
      <w:tr>
        <w:trPr>
          <w:trHeight w:val="289"/>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r>
        <w:trPr>
          <w:trHeight w:val="198"/>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further transfers of registered shares shall be subject to the restrictions specified</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d'autres transferts d'actions nominatives sont soumis aux restrictions prévues à</w:t>
            </w:r>
          </w:p>
        </w:tc>
      </w:tr>
      <w:tr>
        <w:trPr>
          <w:trHeight w:val="185"/>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in Article 4 of the Articles of Association.</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l'article 4 des statuts.</w:t>
            </w:r>
          </w:p>
        </w:tc>
      </w:tr>
      <w:tr>
        <w:trPr>
          <w:trHeight w:val="23"/>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11"/>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b w:val="1"/>
                <w:bCs w:val="1"/>
                <w:color w:val="auto"/>
              </w:rPr>
              <w:t>Art. 4  Share Register</w:t>
            </w:r>
          </w:p>
        </w:tc>
        <w:tc>
          <w:tcPr>
            <w:tcW w:w="2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b w:val="1"/>
                <w:bCs w:val="1"/>
                <w:color w:val="auto"/>
              </w:rPr>
              <w:t>Art. 4  Registre des actions</w:t>
            </w:r>
          </w:p>
        </w:tc>
      </w:tr>
      <w:tr>
        <w:trPr>
          <w:trHeight w:val="334"/>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The Company shall maintain a share register in which it shall register the name,</w:t>
            </w:r>
          </w:p>
        </w:tc>
        <w:tc>
          <w:tcPr>
            <w:tcW w:w="22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La société tient un registre des actions nominatives, dans lequel sont inscrits le</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first name and place of residence (in case of legal persons the place of</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nom, le prénom et l'adresse (dans le cas d'une personne morale, le siège) des</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incorporation) of the owners and usufructuaries of its registered shares. Natural</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propriétaires  et  des  usufruitiers  des  actions.  Les  personnes  physiques  et</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and legal persons as well as legal representatives of minors etc. entitled by law</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morales ainsi que les représentants légaux des mineurs etc. autorisés par la loi à</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to the voting rights of a share which they do not own will be noted in the share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voter alors qu'ils ne sont pas propriétaires des actions seront, sur demande,</w:t>
            </w:r>
          </w:p>
        </w:tc>
      </w:tr>
      <w:tr>
        <w:trPr>
          <w:trHeight w:val="185"/>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register upon request.</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inscrits dans le registre des actions.</w:t>
            </w:r>
          </w:p>
        </w:tc>
      </w:tr>
      <w:tr>
        <w:trPr>
          <w:trHeight w:val="196"/>
        </w:trPr>
        <w:tc>
          <w:tcPr>
            <w:tcW w:w="5620" w:type="dxa"/>
            <w:vAlign w:val="bottom"/>
            <w:tcBorders>
              <w:left w:val="single" w:sz="8" w:color="auto"/>
              <w:bottom w:val="single" w:sz="8" w:color="auto"/>
              <w:right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600" w:type="dxa"/>
            <w:vAlign w:val="bottom"/>
            <w:tcBorders>
              <w:bottom w:val="single" w:sz="8" w:color="auto"/>
              <w:right w:val="single" w:sz="8" w:color="auto"/>
            </w:tcBorders>
          </w:tcPr>
          <w:p>
            <w:pPr>
              <w:spacing w:after="0"/>
              <w:rPr>
                <w:sz w:val="17"/>
                <w:szCs w:val="17"/>
                <w:color w:val="auto"/>
              </w:rPr>
            </w:pPr>
          </w:p>
        </w:tc>
      </w:tr>
      <w:tr>
        <w:trPr>
          <w:trHeight w:val="198"/>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Upon request, acquirers of shares will be registered in the share register without</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Sur demande, les acquéreurs d'actions seront inscrits dans le registre des</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limitation as shareholders if they expressly certify that they acquired the shares</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actions sans limitation comme actionnaires s'ils attestent expressément qu'ils ont</w:t>
            </w:r>
          </w:p>
        </w:tc>
      </w:tr>
      <w:tr>
        <w:trPr>
          <w:trHeight w:val="185"/>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in their own name and for their own account.</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acquis les actions en leur propre nom et pour leur propre compte.</w:t>
            </w:r>
          </w:p>
        </w:tc>
      </w:tr>
      <w:tr>
        <w:trPr>
          <w:trHeight w:val="23"/>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198"/>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Persons who do not expressly declare in the registration application that they are</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Les  personnes  qui  ne  déclarent  pas  expressément  dans  la  demande</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holding the shares on their own account (thereafter: nominees) shall forthwith be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d'inscription qu'ils détiennent les actions pour leur propre compte (par la suite:</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entered on the share register as shareholders with voting rights up to a maximum</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les candidats) doivent immédiatement être inscrits dans le registre des actions</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of 3 percent of the share capital. Beyond that limit, registered shares of</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comme actionnaires avec droit de vote pour un maximum de 3 pour cent du</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nominees shall only be entered as voting if the nominees in question confirm in</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capital-actions. Au-delà de cette limite, les actions nominatives des candidats ne</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writing that they are willing to disclose the names, addresses and shareholdings</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sont inscrites avec droit de vote que si les candidats en question confirment par</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of the persons on whose account they hold 0.5 percent or more of the share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écrit qu'ils sont prêts à divulguer les noms, adresses et participations des</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capital. The Board of Directors concludes agreements with nominees that among</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personnes pour le compte desquelles ils détiennent 0,5 pour cent ou plus du</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other things govern the representation of shareholders and the voting rights.</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capital-actions.  Le  conseil  d'administration  conclut  des  accords  avec  les</w:t>
            </w:r>
          </w:p>
        </w:tc>
      </w:tr>
      <w:tr>
        <w:trPr>
          <w:trHeight w:val="173"/>
        </w:trPr>
        <w:tc>
          <w:tcPr>
            <w:tcW w:w="5620" w:type="dxa"/>
            <w:vAlign w:val="bottom"/>
            <w:tcBorders>
              <w:left w:val="single" w:sz="8" w:color="auto"/>
              <w:right w:val="single" w:sz="8" w:color="auto"/>
            </w:tcBorders>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candidats qui, entre autres choses, régissent la représentation des actionnaires</w:t>
            </w:r>
          </w:p>
        </w:tc>
      </w:tr>
      <w:tr>
        <w:trPr>
          <w:trHeight w:val="185"/>
        </w:trPr>
        <w:tc>
          <w:tcPr>
            <w:tcW w:w="5620" w:type="dxa"/>
            <w:vAlign w:val="bottom"/>
            <w:tcBorders>
              <w:left w:val="single" w:sz="8" w:color="auto"/>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et des droits de vote.</w:t>
            </w:r>
          </w:p>
        </w:tc>
      </w:tr>
      <w:tr>
        <w:trPr>
          <w:trHeight w:val="23"/>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198"/>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After hearing the registered shareholder or nominee, the Board of Directors may</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Après  avoir  entendu  l'actionnaire  enregistré  ou  le  candidat,  le  conseil</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remove entries in the share register with retroactive effect as per the date of</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d'administration peut supprimer des inscriptions dans le registre des actions</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entry, if such entry was based on false information. The party affected must be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avec effet rétroactif à la date d'inscription, si cette inscription était basée sur de</w:t>
            </w:r>
          </w:p>
        </w:tc>
      </w:tr>
      <w:tr>
        <w:trPr>
          <w:trHeight w:val="185"/>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informed of such removal</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fausses informations. La partie</w:t>
            </w:r>
          </w:p>
        </w:tc>
      </w:tr>
      <w:tr>
        <w:trPr>
          <w:trHeight w:val="23"/>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499"/>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231" w:right="219" w:bottom="1440" w:gutter="0" w:footer="0" w:header="0"/>
        </w:sectPr>
      </w:pPr>
    </w:p>
    <w:bookmarkStart w:id="37" w:name="page38"/>
    <w:bookmarkEnd w:id="3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0" w:type="dxa"/>
            <w:vAlign w:val="bottom"/>
          </w:tcPr>
          <w:p>
            <w:pPr>
              <w:ind w:left="5460"/>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89"/>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immediately.</w:t>
            </w:r>
          </w:p>
        </w:tc>
        <w:tc>
          <w:tcPr>
            <w:tcW w:w="2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touchée doit être immédiatement informée de cette suppression.</w:t>
            </w:r>
          </w:p>
        </w:tc>
        <w:tc>
          <w:tcPr>
            <w:tcW w:w="0" w:type="dxa"/>
            <w:vAlign w:val="bottom"/>
          </w:tcPr>
          <w:p>
            <w:pPr>
              <w:spacing w:after="0"/>
              <w:rPr>
                <w:sz w:val="1"/>
                <w:szCs w:val="1"/>
                <w:color w:val="auto"/>
              </w:rPr>
            </w:pPr>
          </w:p>
        </w:tc>
      </w:tr>
      <w:tr>
        <w:trPr>
          <w:trHeight w:val="23"/>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No individual or legal entity may, directly or indirectly, formally, constructively or</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Aucune personne physique ou morale ne peut, directement ou indirectement,</w:t>
            </w: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beneficially own (as defined in the next paragraph below) or otherwise control</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formellement  ou  implicitement  détenir  à  son  profit  (comme  défini  dans  le</w:t>
            </w:r>
          </w:p>
        </w:tc>
        <w:tc>
          <w:tcPr>
            <w:tcW w:w="0" w:type="dxa"/>
            <w:vAlign w:val="bottom"/>
          </w:tcPr>
          <w:p>
            <w:pPr>
              <w:spacing w:after="0"/>
              <w:rPr>
                <w:sz w:val="1"/>
                <w:szCs w:val="1"/>
                <w:color w:val="auto"/>
              </w:rPr>
            </w:pPr>
          </w:p>
        </w:tc>
      </w:tr>
      <w:tr>
        <w:trPr>
          <w:trHeight w:val="174"/>
        </w:trPr>
        <w:tc>
          <w:tcPr>
            <w:tcW w:w="5620" w:type="dxa"/>
            <w:vAlign w:val="bottom"/>
            <w:tcBorders>
              <w:left w:val="single" w:sz="8" w:color="auto"/>
              <w:right w:val="single" w:sz="8" w:color="auto"/>
            </w:tcBorders>
          </w:tcPr>
          <w:p>
            <w:pPr>
              <w:ind w:left="40"/>
              <w:spacing w:after="0" w:line="174" w:lineRule="exact"/>
              <w:rPr>
                <w:sz w:val="20"/>
                <w:szCs w:val="20"/>
                <w:color w:val="auto"/>
              </w:rPr>
            </w:pPr>
            <w:r>
              <w:rPr>
                <w:rFonts w:ascii="Arial" w:cs="Arial" w:eastAsia="Arial" w:hAnsi="Arial"/>
                <w:sz w:val="13"/>
                <w:szCs w:val="13"/>
                <w:color w:val="auto"/>
              </w:rPr>
              <w:t xml:space="preserve">voting rights ("Controlled Shares") with respect to 33 </w:t>
            </w:r>
            <w:r>
              <w:rPr>
                <w:rFonts w:ascii="Arial" w:cs="Arial" w:eastAsia="Arial" w:hAnsi="Arial"/>
                <w:sz w:val="20"/>
                <w:szCs w:val="20"/>
                <w:color w:val="auto"/>
                <w:vertAlign w:val="superscript"/>
              </w:rPr>
              <w:t>1</w:t>
            </w:r>
            <w:r>
              <w:rPr>
                <w:rFonts w:ascii="Arial" w:cs="Arial" w:eastAsia="Arial" w:hAnsi="Arial"/>
                <w:sz w:val="13"/>
                <w:szCs w:val="13"/>
                <w:color w:val="auto"/>
              </w:rPr>
              <w:t>/</w:t>
            </w:r>
            <w:r>
              <w:rPr>
                <w:rFonts w:ascii="Arial" w:cs="Arial" w:eastAsia="Arial" w:hAnsi="Arial"/>
                <w:sz w:val="20"/>
                <w:szCs w:val="20"/>
                <w:color w:val="auto"/>
                <w:vertAlign w:val="subscript"/>
              </w:rPr>
              <w:t>3</w:t>
            </w:r>
            <w:r>
              <w:rPr>
                <w:rFonts w:ascii="Arial" w:cs="Arial" w:eastAsia="Arial" w:hAnsi="Arial"/>
                <w:sz w:val="13"/>
                <w:szCs w:val="13"/>
                <w:color w:val="auto"/>
              </w:rPr>
              <w:t xml:space="preserve">  % or more of the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paragraphe ci-dessous) ou, d'une autre manière, contrôler le droit de vote (les</w:t>
            </w: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5"/>
                <w:szCs w:val="15"/>
                <w:color w:val="auto"/>
              </w:rPr>
              <w:t>registered share capital recorded in the Commercial Register except if such</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line="173" w:lineRule="exact"/>
              <w:rPr>
                <w:sz w:val="20"/>
                <w:szCs w:val="20"/>
                <w:color w:val="auto"/>
              </w:rPr>
            </w:pPr>
            <w:r>
              <w:rPr>
                <w:rFonts w:ascii="Arial" w:cs="Arial" w:eastAsia="Arial" w:hAnsi="Arial"/>
                <w:sz w:val="13"/>
                <w:szCs w:val="13"/>
                <w:color w:val="auto"/>
              </w:rPr>
              <w:t xml:space="preserve">"Actions Contrôlées") de 33 </w:t>
            </w:r>
            <w:r>
              <w:rPr>
                <w:rFonts w:ascii="Arial" w:cs="Arial" w:eastAsia="Arial" w:hAnsi="Arial"/>
                <w:sz w:val="20"/>
                <w:szCs w:val="20"/>
                <w:color w:val="auto"/>
                <w:vertAlign w:val="superscript"/>
              </w:rPr>
              <w:t>1</w:t>
            </w:r>
            <w:r>
              <w:rPr>
                <w:rFonts w:ascii="Arial" w:cs="Arial" w:eastAsia="Arial" w:hAnsi="Arial"/>
                <w:sz w:val="13"/>
                <w:szCs w:val="13"/>
                <w:color w:val="auto"/>
              </w:rPr>
              <w:t>/  % ou plus du capital-actions nominatif tel</w:t>
            </w:r>
          </w:p>
        </w:tc>
        <w:tc>
          <w:tcPr>
            <w:tcW w:w="0" w:type="dxa"/>
            <w:vAlign w:val="bottom"/>
          </w:tcPr>
          <w:p>
            <w:pPr>
              <w:spacing w:after="0"/>
              <w:rPr>
                <w:sz w:val="1"/>
                <w:szCs w:val="1"/>
                <w:color w:val="auto"/>
              </w:rPr>
            </w:pPr>
          </w:p>
        </w:tc>
      </w:tr>
      <w:tr>
        <w:trPr>
          <w:trHeight w:val="57"/>
        </w:trPr>
        <w:tc>
          <w:tcPr>
            <w:tcW w:w="5620" w:type="dxa"/>
            <w:vAlign w:val="bottom"/>
            <w:tcBorders>
              <w:left w:val="single" w:sz="8" w:color="auto"/>
              <w:right w:val="single" w:sz="8" w:color="auto"/>
            </w:tcBorders>
            <w:vMerge w:val="continue"/>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5600" w:type="dxa"/>
            <w:vAlign w:val="bottom"/>
            <w:tcBorders>
              <w:right w:val="single" w:sz="8" w:color="auto"/>
            </w:tcBorders>
          </w:tcPr>
          <w:p>
            <w:pPr>
              <w:ind w:left="2280"/>
              <w:spacing w:after="0" w:line="57" w:lineRule="exact"/>
              <w:rPr>
                <w:sz w:val="20"/>
                <w:szCs w:val="20"/>
                <w:color w:val="auto"/>
              </w:rPr>
            </w:pPr>
            <w:r>
              <w:rPr>
                <w:rFonts w:ascii="Arial" w:cs="Arial" w:eastAsia="Arial" w:hAnsi="Arial"/>
                <w:sz w:val="6"/>
                <w:szCs w:val="6"/>
                <w:color w:val="auto"/>
              </w:rPr>
              <w:t>3</w:t>
            </w: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individual or legal entity has submitted prior to the acquisition of such Controlled</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qu'inscrit au registre du commerce sauf si cette personne physique ou morale a</w:t>
            </w: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Shares an orderly tender offer to all shareholders with a minimum price of the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présenté avant l'acquisition de ces Actions Contrôlée une offre publique d'achat</w:t>
            </w: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higher of (i) the volume weighted average price of the last 60 trading days prior</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en bonne et due forme à tous les actionnaires à un prix minimum équivalent au</w:t>
            </w: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to the publication of the tender offer or (ii) the highest price paid by such</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montant le plus élevé entre (i) le cours moyen pondéré en fonction du volume</w:t>
            </w: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individual or legal entity in the 12 months preceding to the publication of the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des 60 derniers jours de bourse précédant la publication de l'offre publique</w:t>
            </w: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tender offer. Those associated through capital, voting power, joint management</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d'achat et (ii) le plus haut prix payé par cette personne physique ou morale dans</w:t>
            </w: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or in any other way, or joining for the acquisition of shares, shall be regarded as</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les 12 mois précédant la publication de l'offre publique d'achat. Les personnes</w:t>
            </w:r>
          </w:p>
        </w:tc>
        <w:tc>
          <w:tcPr>
            <w:tcW w:w="0" w:type="dxa"/>
            <w:vAlign w:val="bottom"/>
          </w:tcPr>
          <w:p>
            <w:pPr>
              <w:spacing w:after="0"/>
              <w:rPr>
                <w:sz w:val="1"/>
                <w:szCs w:val="1"/>
                <w:color w:val="auto"/>
              </w:rPr>
            </w:pPr>
          </w:p>
        </w:tc>
      </w:tr>
      <w:tr>
        <w:trPr>
          <w:trHeight w:val="174"/>
        </w:trPr>
        <w:tc>
          <w:tcPr>
            <w:tcW w:w="5620" w:type="dxa"/>
            <w:vAlign w:val="bottom"/>
            <w:tcBorders>
              <w:left w:val="single" w:sz="8" w:color="auto"/>
              <w:right w:val="single" w:sz="8" w:color="auto"/>
            </w:tcBorders>
          </w:tcPr>
          <w:p>
            <w:pPr>
              <w:ind w:left="40"/>
              <w:spacing w:after="0" w:line="174" w:lineRule="exact"/>
              <w:rPr>
                <w:sz w:val="20"/>
                <w:szCs w:val="20"/>
                <w:color w:val="auto"/>
              </w:rPr>
            </w:pPr>
            <w:r>
              <w:rPr>
                <w:rFonts w:ascii="Arial" w:cs="Arial" w:eastAsia="Arial" w:hAnsi="Arial"/>
                <w:sz w:val="13"/>
                <w:szCs w:val="13"/>
                <w:color w:val="auto"/>
              </w:rPr>
              <w:t xml:space="preserve">one person. The registered shares exceeding the limit of 33 </w:t>
            </w:r>
            <w:r>
              <w:rPr>
                <w:rFonts w:ascii="Arial" w:cs="Arial" w:eastAsia="Arial" w:hAnsi="Arial"/>
                <w:sz w:val="20"/>
                <w:szCs w:val="20"/>
                <w:color w:val="auto"/>
                <w:vertAlign w:val="superscript"/>
              </w:rPr>
              <w:t>1</w:t>
            </w:r>
            <w:r>
              <w:rPr>
                <w:rFonts w:ascii="Arial" w:cs="Arial" w:eastAsia="Arial" w:hAnsi="Arial"/>
                <w:sz w:val="13"/>
                <w:szCs w:val="13"/>
                <w:color w:val="auto"/>
              </w:rPr>
              <w:t>/</w:t>
            </w:r>
            <w:r>
              <w:rPr>
                <w:rFonts w:ascii="Arial" w:cs="Arial" w:eastAsia="Arial" w:hAnsi="Arial"/>
                <w:sz w:val="20"/>
                <w:szCs w:val="20"/>
                <w:color w:val="auto"/>
                <w:vertAlign w:val="subscript"/>
              </w:rPr>
              <w:t>3</w:t>
            </w:r>
            <w:r>
              <w:rPr>
                <w:rFonts w:ascii="Arial" w:cs="Arial" w:eastAsia="Arial" w:hAnsi="Arial"/>
                <w:sz w:val="13"/>
                <w:szCs w:val="13"/>
                <w:color w:val="auto"/>
              </w:rPr>
              <w:t xml:space="preserve"> % and not</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associées par le capital, les droits de vote, une gestion commune ou de toute</w:t>
            </w:r>
          </w:p>
        </w:tc>
        <w:tc>
          <w:tcPr>
            <w:tcW w:w="0" w:type="dxa"/>
            <w:vAlign w:val="bottom"/>
          </w:tcPr>
          <w:p>
            <w:pPr>
              <w:spacing w:after="0"/>
              <w:rPr>
                <w:sz w:val="1"/>
                <w:szCs w:val="1"/>
                <w:color w:val="auto"/>
              </w:rPr>
            </w:pPr>
          </w:p>
        </w:tc>
      </w:tr>
      <w:tr>
        <w:trPr>
          <w:trHeight w:val="172"/>
        </w:trPr>
        <w:tc>
          <w:tcPr>
            <w:tcW w:w="56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5"/>
                <w:szCs w:val="15"/>
                <w:color w:val="auto"/>
              </w:rPr>
              <w:t>benefiting from the exemption regarding a tender offer shall be entered in the</w:t>
            </w:r>
          </w:p>
        </w:tc>
        <w:tc>
          <w:tcPr>
            <w:tcW w:w="220" w:type="dxa"/>
            <w:vAlign w:val="bottom"/>
            <w:tcBorders>
              <w:right w:val="single" w:sz="8" w:color="auto"/>
            </w:tcBorders>
          </w:tcPr>
          <w:p>
            <w:pPr>
              <w:spacing w:after="0"/>
              <w:rPr>
                <w:sz w:val="14"/>
                <w:szCs w:val="14"/>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autre  manière,  ou  qui  se  joignent  pour  une  acquisition  d'actions,  sont</w:t>
            </w:r>
          </w:p>
        </w:tc>
        <w:tc>
          <w:tcPr>
            <w:tcW w:w="0" w:type="dxa"/>
            <w:vAlign w:val="bottom"/>
          </w:tcPr>
          <w:p>
            <w:pPr>
              <w:spacing w:after="0"/>
              <w:rPr>
                <w:sz w:val="1"/>
                <w:szCs w:val="1"/>
                <w:color w:val="auto"/>
              </w:rPr>
            </w:pPr>
          </w:p>
        </w:tc>
      </w:tr>
      <w:tr>
        <w:trPr>
          <w:trHeight w:val="58"/>
        </w:trPr>
        <w:tc>
          <w:tcPr>
            <w:tcW w:w="5620" w:type="dxa"/>
            <w:vAlign w:val="bottom"/>
            <w:tcBorders>
              <w:left w:val="single" w:sz="8" w:color="auto"/>
              <w:right w:val="single" w:sz="8" w:color="auto"/>
            </w:tcBorders>
            <w:vMerge w:val="continue"/>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560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considérées comme une personne. Les actions nominatives dépassant la limite</w:t>
            </w:r>
          </w:p>
        </w:tc>
        <w:tc>
          <w:tcPr>
            <w:tcW w:w="0" w:type="dxa"/>
            <w:vAlign w:val="bottom"/>
          </w:tcPr>
          <w:p>
            <w:pPr>
              <w:spacing w:after="0"/>
              <w:rPr>
                <w:sz w:val="1"/>
                <w:szCs w:val="1"/>
                <w:color w:val="auto"/>
              </w:rPr>
            </w:pPr>
          </w:p>
        </w:tc>
      </w:tr>
      <w:tr>
        <w:trPr>
          <w:trHeight w:val="115"/>
        </w:trPr>
        <w:tc>
          <w:tcPr>
            <w:tcW w:w="56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5"/>
                <w:szCs w:val="15"/>
                <w:color w:val="auto"/>
              </w:rPr>
              <w:t>share register as shares without voting rights.</w:t>
            </w:r>
          </w:p>
        </w:tc>
        <w:tc>
          <w:tcPr>
            <w:tcW w:w="220" w:type="dxa"/>
            <w:vAlign w:val="bottom"/>
            <w:tcBorders>
              <w:right w:val="single" w:sz="8" w:color="auto"/>
            </w:tcBorders>
          </w:tcPr>
          <w:p>
            <w:pPr>
              <w:spacing w:after="0"/>
              <w:rPr>
                <w:sz w:val="10"/>
                <w:szCs w:val="10"/>
                <w:color w:val="auto"/>
              </w:rPr>
            </w:pPr>
          </w:p>
        </w:tc>
        <w:tc>
          <w:tcPr>
            <w:tcW w:w="56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5620" w:type="dxa"/>
            <w:vAlign w:val="bottom"/>
            <w:tcBorders>
              <w:left w:val="single" w:sz="8" w:color="auto"/>
              <w:right w:val="single" w:sz="8" w:color="auto"/>
            </w:tcBorders>
            <w:vMerge w:val="continue"/>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5600" w:type="dxa"/>
            <w:vAlign w:val="bottom"/>
            <w:tcBorders>
              <w:right w:val="single" w:sz="8" w:color="auto"/>
            </w:tcBorders>
            <w:vMerge w:val="restart"/>
          </w:tcPr>
          <w:p>
            <w:pPr>
              <w:ind w:left="40"/>
              <w:spacing w:after="0" w:line="230" w:lineRule="exact"/>
              <w:rPr>
                <w:sz w:val="20"/>
                <w:szCs w:val="20"/>
                <w:color w:val="auto"/>
              </w:rPr>
            </w:pPr>
            <w:r>
              <w:rPr>
                <w:rFonts w:ascii="Arial" w:cs="Arial" w:eastAsia="Arial" w:hAnsi="Arial"/>
                <w:sz w:val="15"/>
                <w:szCs w:val="15"/>
                <w:color w:val="auto"/>
              </w:rPr>
              <w:t xml:space="preserve">de 33 </w:t>
            </w:r>
            <w:r>
              <w:rPr>
                <w:rFonts w:ascii="Arial" w:cs="Arial" w:eastAsia="Arial" w:hAnsi="Arial"/>
                <w:sz w:val="25"/>
                <w:szCs w:val="25"/>
                <w:color w:val="auto"/>
                <w:vertAlign w:val="superscript"/>
              </w:rPr>
              <w:t>1</w:t>
            </w:r>
            <w:r>
              <w:rPr>
                <w:rFonts w:ascii="Arial" w:cs="Arial" w:eastAsia="Arial" w:hAnsi="Arial"/>
                <w:sz w:val="15"/>
                <w:szCs w:val="15"/>
                <w:color w:val="auto"/>
              </w:rPr>
              <w:t>/</w:t>
            </w:r>
            <w:r>
              <w:rPr>
                <w:rFonts w:ascii="Arial" w:cs="Arial" w:eastAsia="Arial" w:hAnsi="Arial"/>
                <w:sz w:val="25"/>
                <w:szCs w:val="25"/>
                <w:color w:val="auto"/>
                <w:vertAlign w:val="subscript"/>
              </w:rPr>
              <w:t>3</w:t>
            </w:r>
            <w:r>
              <w:rPr>
                <w:rFonts w:ascii="Arial" w:cs="Arial" w:eastAsia="Arial" w:hAnsi="Arial"/>
                <w:sz w:val="15"/>
                <w:szCs w:val="15"/>
                <w:color w:val="auto"/>
              </w:rPr>
              <w:t xml:space="preserve"> % et ne bénéficiant pas de l'exemption relative à une offre publique</w:t>
            </w:r>
          </w:p>
        </w:tc>
        <w:tc>
          <w:tcPr>
            <w:tcW w:w="0" w:type="dxa"/>
            <w:vAlign w:val="bottom"/>
          </w:tcPr>
          <w:p>
            <w:pPr>
              <w:spacing w:after="0"/>
              <w:rPr>
                <w:sz w:val="1"/>
                <w:szCs w:val="1"/>
                <w:color w:val="auto"/>
              </w:rPr>
            </w:pPr>
          </w:p>
        </w:tc>
      </w:tr>
      <w:tr>
        <w:trPr>
          <w:trHeight w:val="161"/>
        </w:trPr>
        <w:tc>
          <w:tcPr>
            <w:tcW w:w="5620" w:type="dxa"/>
            <w:vAlign w:val="bottom"/>
            <w:tcBorders>
              <w:left w:val="single" w:sz="8" w:color="auto"/>
              <w:right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56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d'achat sont inscrites dans le registre des actions comme des actions sans droit</w:t>
            </w:r>
          </w:p>
        </w:tc>
        <w:tc>
          <w:tcPr>
            <w:tcW w:w="0" w:type="dxa"/>
            <w:vAlign w:val="bottom"/>
          </w:tcPr>
          <w:p>
            <w:pPr>
              <w:spacing w:after="0"/>
              <w:rPr>
                <w:sz w:val="1"/>
                <w:szCs w:val="1"/>
                <w:color w:val="auto"/>
              </w:rPr>
            </w:pPr>
          </w:p>
        </w:tc>
      </w:tr>
      <w:tr>
        <w:trPr>
          <w:trHeight w:val="185"/>
        </w:trPr>
        <w:tc>
          <w:tcPr>
            <w:tcW w:w="5620" w:type="dxa"/>
            <w:vAlign w:val="bottom"/>
            <w:tcBorders>
              <w:left w:val="single" w:sz="8" w:color="auto"/>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de vote.</w:t>
            </w:r>
          </w:p>
        </w:tc>
        <w:tc>
          <w:tcPr>
            <w:tcW w:w="0" w:type="dxa"/>
            <w:vAlign w:val="bottom"/>
          </w:tcPr>
          <w:p>
            <w:pPr>
              <w:spacing w:after="0"/>
              <w:rPr>
                <w:sz w:val="1"/>
                <w:szCs w:val="1"/>
                <w:color w:val="auto"/>
              </w:rPr>
            </w:pPr>
          </w:p>
        </w:tc>
      </w:tr>
      <w:tr>
        <w:trPr>
          <w:trHeight w:val="23"/>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For the purposes of this Article 4, "Controlled Shares" in reference to any</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Aux fins du présent article 4, Actions Contrôlées signifie en référence à toute</w:t>
            </w:r>
          </w:p>
        </w:tc>
        <w:tc>
          <w:tcPr>
            <w:tcW w:w="0" w:type="dxa"/>
            <w:vAlign w:val="bottom"/>
          </w:tcPr>
          <w:p>
            <w:pPr>
              <w:spacing w:after="0"/>
              <w:rPr>
                <w:sz w:val="1"/>
                <w:szCs w:val="1"/>
                <w:color w:val="auto"/>
              </w:rPr>
            </w:pPr>
          </w:p>
        </w:tc>
      </w:tr>
      <w:tr>
        <w:trPr>
          <w:trHeight w:val="185"/>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individual or entity means:</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personne physique ou morale:</w:t>
            </w:r>
          </w:p>
        </w:tc>
        <w:tc>
          <w:tcPr>
            <w:tcW w:w="0" w:type="dxa"/>
            <w:vAlign w:val="bottom"/>
          </w:tcPr>
          <w:p>
            <w:pPr>
              <w:spacing w:after="0"/>
              <w:rPr>
                <w:sz w:val="1"/>
                <w:szCs w:val="1"/>
                <w:color w:val="auto"/>
              </w:rPr>
            </w:pPr>
          </w:p>
        </w:tc>
      </w:tr>
      <w:tr>
        <w:trPr>
          <w:trHeight w:val="334"/>
        </w:trPr>
        <w:tc>
          <w:tcPr>
            <w:tcW w:w="5620" w:type="dxa"/>
            <w:vAlign w:val="bottom"/>
            <w:tcBorders>
              <w:left w:val="single" w:sz="8" w:color="auto"/>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(a)   toutes actions directement, indirectement ou implicitement détenues par</w:t>
            </w: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(a)   all shares of the Company directly, indirectly or constructively owned by</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360"/>
              <w:spacing w:after="0"/>
              <w:rPr>
                <w:sz w:val="20"/>
                <w:szCs w:val="20"/>
                <w:color w:val="auto"/>
              </w:rPr>
            </w:pPr>
            <w:r>
              <w:rPr>
                <w:rFonts w:ascii="Arial" w:cs="Arial" w:eastAsia="Arial" w:hAnsi="Arial"/>
                <w:sz w:val="15"/>
                <w:szCs w:val="15"/>
                <w:color w:val="auto"/>
              </w:rPr>
              <w:t>cette personne physique ou morale, à condition que</w:t>
            </w:r>
          </w:p>
        </w:tc>
        <w:tc>
          <w:tcPr>
            <w:tcW w:w="0" w:type="dxa"/>
            <w:vAlign w:val="bottom"/>
          </w:tcPr>
          <w:p>
            <w:pPr>
              <w:spacing w:after="0"/>
              <w:rPr>
                <w:sz w:val="1"/>
                <w:szCs w:val="1"/>
                <w:color w:val="auto"/>
              </w:rPr>
            </w:pPr>
          </w:p>
        </w:tc>
      </w:tr>
      <w:tr>
        <w:trPr>
          <w:trHeight w:val="185"/>
        </w:trPr>
        <w:tc>
          <w:tcPr>
            <w:tcW w:w="562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5"/>
                <w:szCs w:val="15"/>
                <w:color w:val="auto"/>
              </w:rPr>
              <w:t>such individual or entity; provided that</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vMerge w:val="restart"/>
          </w:tcPr>
          <w:p>
            <w:pPr>
              <w:ind w:left="360"/>
              <w:spacing w:after="0"/>
              <w:rPr>
                <w:sz w:val="20"/>
                <w:szCs w:val="20"/>
                <w:color w:val="auto"/>
              </w:rPr>
            </w:pPr>
            <w:r>
              <w:rPr>
                <w:rFonts w:ascii="Arial" w:cs="Arial" w:eastAsia="Arial" w:hAnsi="Arial"/>
                <w:sz w:val="15"/>
                <w:szCs w:val="15"/>
                <w:color w:val="auto"/>
              </w:rPr>
              <w:t>(i)   les actions détenues, directement ou indirectement, par ou pour un</w:t>
            </w:r>
          </w:p>
        </w:tc>
        <w:tc>
          <w:tcPr>
            <w:tcW w:w="0" w:type="dxa"/>
            <w:vAlign w:val="bottom"/>
          </w:tcPr>
          <w:p>
            <w:pPr>
              <w:spacing w:after="0"/>
              <w:rPr>
                <w:sz w:val="1"/>
                <w:szCs w:val="1"/>
                <w:color w:val="auto"/>
              </w:rPr>
            </w:pPr>
          </w:p>
        </w:tc>
      </w:tr>
      <w:tr>
        <w:trPr>
          <w:trHeight w:val="161"/>
        </w:trPr>
        <w:tc>
          <w:tcPr>
            <w:tcW w:w="5620" w:type="dxa"/>
            <w:vAlign w:val="bottom"/>
            <w:tcBorders>
              <w:left w:val="single" w:sz="8" w:color="auto"/>
              <w:right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56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5"/>
                <w:szCs w:val="15"/>
                <w:color w:val="auto"/>
              </w:rPr>
              <w:t>(i)  shares owned, directly or indirectly, by or for a partnership, or trust or</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680"/>
              <w:spacing w:after="0"/>
              <w:rPr>
                <w:sz w:val="20"/>
                <w:szCs w:val="20"/>
                <w:color w:val="auto"/>
              </w:rPr>
            </w:pPr>
            <w:r>
              <w:rPr>
                <w:rFonts w:ascii="Arial" w:cs="Arial" w:eastAsia="Arial" w:hAnsi="Arial"/>
                <w:sz w:val="15"/>
                <w:szCs w:val="15"/>
                <w:color w:val="auto"/>
              </w:rPr>
              <w:t>partenariat,  une  fiducie  ou  une  communauté  d'héritiers  sont</w:t>
            </w: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tcPr>
          <w:p>
            <w:pPr>
              <w:ind w:left="700"/>
              <w:spacing w:after="0"/>
              <w:rPr>
                <w:sz w:val="20"/>
                <w:szCs w:val="20"/>
                <w:color w:val="auto"/>
              </w:rPr>
            </w:pPr>
            <w:r>
              <w:rPr>
                <w:rFonts w:ascii="Arial" w:cs="Arial" w:eastAsia="Arial" w:hAnsi="Arial"/>
                <w:sz w:val="15"/>
                <w:szCs w:val="15"/>
                <w:color w:val="auto"/>
              </w:rPr>
              <w:t>estate  will  be  considered  as  being  owned  proportionately  by  its</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680"/>
              <w:spacing w:after="0"/>
              <w:rPr>
                <w:sz w:val="20"/>
                <w:szCs w:val="20"/>
                <w:color w:val="auto"/>
              </w:rPr>
            </w:pPr>
            <w:r>
              <w:rPr>
                <w:rFonts w:ascii="Arial" w:cs="Arial" w:eastAsia="Arial" w:hAnsi="Arial"/>
                <w:sz w:val="15"/>
                <w:szCs w:val="15"/>
                <w:color w:val="auto"/>
              </w:rPr>
              <w:t>considérées  comme  étant  détenues  proportionnellement  par  leurs</w:t>
            </w:r>
          </w:p>
        </w:tc>
        <w:tc>
          <w:tcPr>
            <w:tcW w:w="0" w:type="dxa"/>
            <w:vAlign w:val="bottom"/>
          </w:tcPr>
          <w:p>
            <w:pPr>
              <w:spacing w:after="0"/>
              <w:rPr>
                <w:sz w:val="1"/>
                <w:szCs w:val="1"/>
                <w:color w:val="auto"/>
              </w:rPr>
            </w:pPr>
          </w:p>
        </w:tc>
      </w:tr>
      <w:tr>
        <w:trPr>
          <w:trHeight w:val="185"/>
        </w:trPr>
        <w:tc>
          <w:tcPr>
            <w:tcW w:w="5620" w:type="dxa"/>
            <w:vAlign w:val="bottom"/>
            <w:tcBorders>
              <w:left w:val="single" w:sz="8" w:color="auto"/>
              <w:right w:val="single" w:sz="8" w:color="auto"/>
            </w:tcBorders>
          </w:tcPr>
          <w:p>
            <w:pPr>
              <w:ind w:left="700"/>
              <w:spacing w:after="0"/>
              <w:rPr>
                <w:sz w:val="20"/>
                <w:szCs w:val="20"/>
                <w:color w:val="auto"/>
              </w:rPr>
            </w:pPr>
            <w:r>
              <w:rPr>
                <w:rFonts w:ascii="Arial" w:cs="Arial" w:eastAsia="Arial" w:hAnsi="Arial"/>
                <w:sz w:val="15"/>
                <w:szCs w:val="15"/>
                <w:color w:val="auto"/>
              </w:rPr>
              <w:t>partners, or beneficiaries; and</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ind w:left="680"/>
              <w:spacing w:after="0"/>
              <w:rPr>
                <w:sz w:val="20"/>
                <w:szCs w:val="20"/>
                <w:color w:val="auto"/>
              </w:rPr>
            </w:pPr>
            <w:r>
              <w:rPr>
                <w:rFonts w:ascii="Arial" w:cs="Arial" w:eastAsia="Arial" w:hAnsi="Arial"/>
                <w:sz w:val="15"/>
                <w:szCs w:val="15"/>
                <w:color w:val="auto"/>
              </w:rPr>
              <w:t>partenaires ou bénéficiaires; et</w:t>
            </w:r>
          </w:p>
        </w:tc>
        <w:tc>
          <w:tcPr>
            <w:tcW w:w="0" w:type="dxa"/>
            <w:vAlign w:val="bottom"/>
          </w:tcPr>
          <w:p>
            <w:pPr>
              <w:spacing w:after="0"/>
              <w:rPr>
                <w:sz w:val="1"/>
                <w:szCs w:val="1"/>
                <w:color w:val="auto"/>
              </w:rPr>
            </w:pPr>
          </w:p>
        </w:tc>
      </w:tr>
      <w:tr>
        <w:trPr>
          <w:trHeight w:val="346"/>
        </w:trPr>
        <w:tc>
          <w:tcPr>
            <w:tcW w:w="5620" w:type="dxa"/>
            <w:vAlign w:val="bottom"/>
            <w:tcBorders>
              <w:left w:val="single" w:sz="8" w:color="auto"/>
              <w:right w:val="single" w:sz="8" w:color="auto"/>
            </w:tcBorders>
            <w:vMerge w:val="restart"/>
          </w:tcPr>
          <w:p>
            <w:pPr>
              <w:ind w:left="360"/>
              <w:spacing w:after="0"/>
              <w:rPr>
                <w:sz w:val="20"/>
                <w:szCs w:val="20"/>
                <w:color w:val="auto"/>
              </w:rPr>
            </w:pPr>
            <w:r>
              <w:rPr>
                <w:rFonts w:ascii="Arial" w:cs="Arial" w:eastAsia="Arial" w:hAnsi="Arial"/>
                <w:sz w:val="15"/>
                <w:szCs w:val="15"/>
                <w:color w:val="auto"/>
              </w:rPr>
              <w:t>(ii)  shares owned, directly or indirectly,</w:t>
            </w:r>
          </w:p>
        </w:tc>
        <w:tc>
          <w:tcPr>
            <w:tcW w:w="22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tcPr>
          <w:p>
            <w:pPr>
              <w:ind w:left="360"/>
              <w:spacing w:after="0"/>
              <w:rPr>
                <w:sz w:val="20"/>
                <w:szCs w:val="20"/>
                <w:color w:val="auto"/>
              </w:rPr>
            </w:pPr>
            <w:r>
              <w:rPr>
                <w:rFonts w:ascii="Arial" w:cs="Arial" w:eastAsia="Arial" w:hAnsi="Arial"/>
                <w:sz w:val="15"/>
                <w:szCs w:val="15"/>
                <w:color w:val="auto"/>
              </w:rPr>
              <w:t>(ii)  les actions détenues, directement ou</w:t>
            </w: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620" w:type="dxa"/>
            <w:vAlign w:val="bottom"/>
            <w:tcBorders>
              <w:left w:val="single" w:sz="8" w:color="auto"/>
              <w:bottom w:val="single" w:sz="8" w:color="auto"/>
              <w:right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6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99"/>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31" w:right="219" w:bottom="1440" w:gutter="0" w:footer="0" w:header="0"/>
        </w:sectPr>
      </w:pPr>
    </w:p>
    <w:bookmarkStart w:id="38" w:name="page39"/>
    <w:bookmarkEnd w:id="38"/>
    <w:p>
      <w:pPr>
        <w:ind w:left="11262"/>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191135</wp:posOffset>
            </wp:positionV>
            <wp:extent cx="7266305" cy="37941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6305" cy="3794125"/>
                    </a:xfrm>
                    <a:prstGeom prst="rect">
                      <a:avLst/>
                    </a:prstGeom>
                    <a:noFill/>
                  </pic:spPr>
                </pic:pic>
              </a:graphicData>
            </a:graphic>
          </wp:anchor>
        </w:drawing>
      </w:r>
    </w:p>
    <w:p>
      <w:pPr>
        <w:sectPr>
          <w:pgSz w:w="11900" w:h="16838" w:orient="portrait"/>
          <w:cols w:equalWidth="0" w:num="1">
            <w:col w:w="11362"/>
          </w:cols>
          <w:pgMar w:left="278" w:top="231" w:right="259" w:bottom="1440" w:gutter="0" w:footer="0" w:header="0"/>
        </w:sectPr>
      </w:pPr>
    </w:p>
    <w:p>
      <w:pPr>
        <w:spacing w:after="0" w:line="347" w:lineRule="exact"/>
        <w:rPr>
          <w:sz w:val="20"/>
          <w:szCs w:val="20"/>
          <w:color w:val="auto"/>
        </w:rPr>
      </w:pPr>
    </w:p>
    <w:p>
      <w:pPr>
        <w:ind w:left="662" w:right="600"/>
        <w:spacing w:after="0" w:line="249" w:lineRule="auto"/>
        <w:rPr>
          <w:sz w:val="20"/>
          <w:szCs w:val="20"/>
          <w:color w:val="auto"/>
        </w:rPr>
      </w:pPr>
      <w:r>
        <w:rPr>
          <w:rFonts w:ascii="Arial" w:cs="Arial" w:eastAsia="Arial" w:hAnsi="Arial"/>
          <w:sz w:val="15"/>
          <w:szCs w:val="15"/>
          <w:color w:val="auto"/>
        </w:rPr>
        <w:t>by or for a corporation will be considered as being owned proportionately by any shareholder owning 50% or more of the outstanding voting shares of such corporation; and</w:t>
      </w:r>
    </w:p>
    <w:p>
      <w:pPr>
        <w:spacing w:after="0" w:line="328" w:lineRule="exact"/>
        <w:rPr>
          <w:sz w:val="20"/>
          <w:szCs w:val="20"/>
          <w:color w:val="auto"/>
        </w:rPr>
      </w:pPr>
    </w:p>
    <w:p>
      <w:pPr>
        <w:ind w:left="662" w:hanging="335"/>
        <w:spacing w:after="0" w:line="258" w:lineRule="auto"/>
        <w:tabs>
          <w:tab w:leader="none" w:pos="763" w:val="left"/>
        </w:tabs>
        <w:numPr>
          <w:ilvl w:val="1"/>
          <w:numId w:val="7"/>
        </w:numPr>
        <w:rPr>
          <w:rFonts w:ascii="Arial" w:cs="Arial" w:eastAsia="Arial" w:hAnsi="Arial"/>
          <w:sz w:val="15"/>
          <w:szCs w:val="15"/>
          <w:color w:val="auto"/>
        </w:rPr>
      </w:pPr>
      <w:r>
        <w:rPr>
          <w:rFonts w:ascii="Arial" w:cs="Arial" w:eastAsia="Arial" w:hAnsi="Arial"/>
          <w:sz w:val="15"/>
          <w:szCs w:val="15"/>
          <w:color w:val="auto"/>
        </w:rPr>
        <w:t>shares subject to options, warrants or other similar rights shall be deemed to be owned; and</w:t>
      </w:r>
    </w:p>
    <w:p>
      <w:pPr>
        <w:spacing w:after="0" w:line="321" w:lineRule="exact"/>
        <w:rPr>
          <w:rFonts w:ascii="Arial" w:cs="Arial" w:eastAsia="Arial" w:hAnsi="Arial"/>
          <w:sz w:val="15"/>
          <w:szCs w:val="15"/>
          <w:color w:val="auto"/>
        </w:rPr>
      </w:pPr>
    </w:p>
    <w:p>
      <w:pPr>
        <w:ind w:left="322" w:hanging="322"/>
        <w:spacing w:after="0" w:line="258" w:lineRule="auto"/>
        <w:tabs>
          <w:tab w:leader="none" w:pos="389" w:val="left"/>
        </w:tabs>
        <w:numPr>
          <w:ilvl w:val="0"/>
          <w:numId w:val="8"/>
        </w:numPr>
        <w:rPr>
          <w:rFonts w:ascii="Arial" w:cs="Arial" w:eastAsia="Arial" w:hAnsi="Arial"/>
          <w:sz w:val="15"/>
          <w:szCs w:val="15"/>
          <w:color w:val="auto"/>
        </w:rPr>
      </w:pPr>
      <w:r>
        <w:rPr>
          <w:rFonts w:ascii="Arial" w:cs="Arial" w:eastAsia="Arial" w:hAnsi="Arial"/>
          <w:sz w:val="15"/>
          <w:szCs w:val="15"/>
          <w:color w:val="auto"/>
        </w:rPr>
        <w:t>all shares of the Company directly, indirectly beneficially owned by such individual or entity; provided that</w:t>
      </w:r>
    </w:p>
    <w:p>
      <w:pPr>
        <w:spacing w:after="0" w:line="148" w:lineRule="exact"/>
        <w:rPr>
          <w:rFonts w:ascii="Arial" w:cs="Arial" w:eastAsia="Arial" w:hAnsi="Arial"/>
          <w:sz w:val="15"/>
          <w:szCs w:val="15"/>
          <w:color w:val="auto"/>
        </w:rPr>
      </w:pPr>
    </w:p>
    <w:p>
      <w:pPr>
        <w:jc w:val="both"/>
        <w:ind w:left="662" w:hanging="335"/>
        <w:spacing w:after="0" w:line="246" w:lineRule="auto"/>
        <w:tabs>
          <w:tab w:leader="none" w:pos="716" w:val="left"/>
        </w:tabs>
        <w:numPr>
          <w:ilvl w:val="1"/>
          <w:numId w:val="8"/>
        </w:numPr>
        <w:rPr>
          <w:rFonts w:ascii="Arial" w:cs="Arial" w:eastAsia="Arial" w:hAnsi="Arial"/>
          <w:sz w:val="15"/>
          <w:szCs w:val="15"/>
          <w:color w:val="auto"/>
        </w:rPr>
      </w:pPr>
      <w:r>
        <w:rPr>
          <w:rFonts w:ascii="Arial" w:cs="Arial" w:eastAsia="Arial" w:hAnsi="Arial"/>
          <w:sz w:val="15"/>
          <w:szCs w:val="15"/>
          <w:color w:val="auto"/>
        </w:rPr>
        <w:t>a beneficial owner of a security includes any person who, directly or indirectly, through any contract, arrangement, understanding, relationship, or otherwise alone or together with other such persons has or shares:</w:t>
      </w:r>
    </w:p>
    <w:p>
      <w:pPr>
        <w:spacing w:after="0" w:line="157" w:lineRule="exact"/>
        <w:rPr>
          <w:rFonts w:ascii="Arial" w:cs="Arial" w:eastAsia="Arial" w:hAnsi="Arial"/>
          <w:sz w:val="15"/>
          <w:szCs w:val="15"/>
          <w:color w:val="auto"/>
        </w:rPr>
      </w:pPr>
    </w:p>
    <w:p>
      <w:pPr>
        <w:ind w:left="982" w:hanging="327"/>
        <w:spacing w:after="0" w:line="258" w:lineRule="auto"/>
        <w:tabs>
          <w:tab w:leader="none" w:pos="1040" w:val="left"/>
        </w:tabs>
        <w:numPr>
          <w:ilvl w:val="2"/>
          <w:numId w:val="8"/>
        </w:numPr>
        <w:rPr>
          <w:rFonts w:ascii="Arial" w:cs="Arial" w:eastAsia="Arial" w:hAnsi="Arial"/>
          <w:sz w:val="15"/>
          <w:szCs w:val="15"/>
          <w:color w:val="auto"/>
        </w:rPr>
      </w:pPr>
      <w:r>
        <w:rPr>
          <w:rFonts w:ascii="Arial" w:cs="Arial" w:eastAsia="Arial" w:hAnsi="Arial"/>
          <w:sz w:val="15"/>
          <w:szCs w:val="15"/>
          <w:color w:val="auto"/>
        </w:rPr>
        <w:t>voting power which includes the power to vote, or to direct the voting of, such security; and/or</w:t>
      </w:r>
    </w:p>
    <w:p>
      <w:pPr>
        <w:spacing w:after="0" w:line="148" w:lineRule="exact"/>
        <w:rPr>
          <w:rFonts w:ascii="Arial" w:cs="Arial" w:eastAsia="Arial" w:hAnsi="Arial"/>
          <w:sz w:val="15"/>
          <w:szCs w:val="15"/>
          <w:color w:val="auto"/>
        </w:rPr>
      </w:pPr>
    </w:p>
    <w:p>
      <w:pPr>
        <w:ind w:left="982" w:hanging="327"/>
        <w:spacing w:after="0" w:line="258" w:lineRule="auto"/>
        <w:tabs>
          <w:tab w:leader="none" w:pos="971" w:val="left"/>
        </w:tabs>
        <w:numPr>
          <w:ilvl w:val="2"/>
          <w:numId w:val="8"/>
        </w:numPr>
        <w:rPr>
          <w:rFonts w:ascii="Arial" w:cs="Arial" w:eastAsia="Arial" w:hAnsi="Arial"/>
          <w:sz w:val="15"/>
          <w:szCs w:val="15"/>
          <w:color w:val="auto"/>
        </w:rPr>
      </w:pPr>
      <w:r>
        <w:rPr>
          <w:rFonts w:ascii="Arial" w:cs="Arial" w:eastAsia="Arial" w:hAnsi="Arial"/>
          <w:sz w:val="15"/>
          <w:szCs w:val="15"/>
          <w:color w:val="auto"/>
        </w:rPr>
        <w:t>investment power which includes the power to dispose, or to direct the disposition of, such security.</w:t>
      </w:r>
    </w:p>
    <w:p>
      <w:pPr>
        <w:spacing w:after="0" w:line="148" w:lineRule="exact"/>
        <w:rPr>
          <w:sz w:val="20"/>
          <w:szCs w:val="20"/>
          <w:color w:val="auto"/>
        </w:rPr>
      </w:pPr>
    </w:p>
    <w:p>
      <w:pPr>
        <w:jc w:val="both"/>
        <w:ind w:left="662" w:hanging="335"/>
        <w:spacing w:after="0" w:line="243" w:lineRule="auto"/>
        <w:tabs>
          <w:tab w:leader="none" w:pos="733" w:val="left"/>
        </w:tabs>
        <w:numPr>
          <w:ilvl w:val="0"/>
          <w:numId w:val="9"/>
        </w:numPr>
        <w:rPr>
          <w:rFonts w:ascii="Arial" w:cs="Arial" w:eastAsia="Arial" w:hAnsi="Arial"/>
          <w:sz w:val="15"/>
          <w:szCs w:val="15"/>
          <w:color w:val="auto"/>
        </w:rPr>
      </w:pPr>
      <w:r>
        <w:rPr>
          <w:rFonts w:ascii="Arial" w:cs="Arial" w:eastAsia="Arial" w:hAnsi="Arial"/>
          <w:sz w:val="15"/>
          <w:szCs w:val="15"/>
          <w:color w:val="auto"/>
        </w:rPr>
        <w:t>Any person who, directly or indirectly, creates or uses a trust, proxy, power of attorney, pooling arrangement or any other contract, arrangement, or device with the purpose or effect of divesting such person of beneficial ownership of shares of the Company or preventing the vesting of such beneficial ownership as part of a plan or scheme to evade the provisions of these articles of association shall be deemed to be the beneficial owner of such shares.</w:t>
      </w:r>
    </w:p>
    <w:p>
      <w:pPr>
        <w:spacing w:after="0" w:line="161" w:lineRule="exact"/>
        <w:rPr>
          <w:rFonts w:ascii="Arial" w:cs="Arial" w:eastAsia="Arial" w:hAnsi="Arial"/>
          <w:sz w:val="15"/>
          <w:szCs w:val="15"/>
          <w:color w:val="auto"/>
        </w:rPr>
      </w:pPr>
    </w:p>
    <w:p>
      <w:pPr>
        <w:ind w:left="662" w:hanging="335"/>
        <w:spacing w:after="0" w:line="258" w:lineRule="auto"/>
        <w:tabs>
          <w:tab w:leader="none" w:pos="694" w:val="left"/>
        </w:tabs>
        <w:numPr>
          <w:ilvl w:val="0"/>
          <w:numId w:val="9"/>
        </w:numPr>
        <w:rPr>
          <w:rFonts w:ascii="Arial" w:cs="Arial" w:eastAsia="Arial" w:hAnsi="Arial"/>
          <w:sz w:val="15"/>
          <w:szCs w:val="15"/>
          <w:color w:val="auto"/>
        </w:rPr>
      </w:pPr>
      <w:r>
        <w:rPr>
          <w:rFonts w:ascii="Arial" w:cs="Arial" w:eastAsia="Arial" w:hAnsi="Arial"/>
          <w:sz w:val="15"/>
          <w:szCs w:val="15"/>
          <w:color w:val="auto"/>
        </w:rPr>
        <w:t>A person shall be deemed to be the beneficial owner of shares if that person has the right to acquire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446405</wp:posOffset>
            </wp:positionV>
            <wp:extent cx="726630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ind w:left="665" w:right="100"/>
        <w:spacing w:after="0" w:line="247" w:lineRule="auto"/>
        <w:rPr>
          <w:sz w:val="20"/>
          <w:szCs w:val="20"/>
          <w:color w:val="auto"/>
        </w:rPr>
      </w:pPr>
      <w:r>
        <w:rPr>
          <w:rFonts w:ascii="Arial" w:cs="Arial" w:eastAsia="Arial" w:hAnsi="Arial"/>
          <w:sz w:val="15"/>
          <w:szCs w:val="15"/>
          <w:color w:val="auto"/>
        </w:rPr>
        <w:t>indirectement, par ou pour une société seront considérées comme étant détenues proportionnellement par tout actionnaire détenant 50% ou plus des actions avec droit de vote en circulation de cette société; et</w:t>
      </w:r>
    </w:p>
    <w:p>
      <w:pPr>
        <w:spacing w:after="0" w:line="333" w:lineRule="exact"/>
        <w:rPr>
          <w:sz w:val="20"/>
          <w:szCs w:val="20"/>
          <w:color w:val="auto"/>
        </w:rPr>
      </w:pPr>
    </w:p>
    <w:p>
      <w:pPr>
        <w:ind w:left="645" w:right="20" w:hanging="318"/>
        <w:spacing w:after="0" w:line="258" w:lineRule="auto"/>
        <w:tabs>
          <w:tab w:leader="none" w:pos="677" w:val="left"/>
        </w:tabs>
        <w:numPr>
          <w:ilvl w:val="1"/>
          <w:numId w:val="10"/>
        </w:numPr>
        <w:rPr>
          <w:rFonts w:ascii="Arial" w:cs="Arial" w:eastAsia="Arial" w:hAnsi="Arial"/>
          <w:sz w:val="15"/>
          <w:szCs w:val="15"/>
          <w:color w:val="auto"/>
        </w:rPr>
      </w:pPr>
      <w:r>
        <w:rPr>
          <w:rFonts w:ascii="Arial" w:cs="Arial" w:eastAsia="Arial" w:hAnsi="Arial"/>
          <w:sz w:val="15"/>
          <w:szCs w:val="15"/>
          <w:color w:val="auto"/>
        </w:rPr>
        <w:t>les actions sujettes à des options, des bons de souscription ou autres droits semblables sont réputées être détenues; et</w:t>
      </w:r>
    </w:p>
    <w:p>
      <w:pPr>
        <w:spacing w:after="0" w:line="148" w:lineRule="exact"/>
        <w:rPr>
          <w:rFonts w:ascii="Arial" w:cs="Arial" w:eastAsia="Arial" w:hAnsi="Arial"/>
          <w:sz w:val="15"/>
          <w:szCs w:val="15"/>
          <w:color w:val="auto"/>
        </w:rPr>
      </w:pPr>
    </w:p>
    <w:p>
      <w:pPr>
        <w:ind w:left="325" w:right="20" w:hanging="325"/>
        <w:spacing w:after="0" w:line="258" w:lineRule="auto"/>
        <w:tabs>
          <w:tab w:leader="none" w:pos="349" w:val="left"/>
        </w:tabs>
        <w:numPr>
          <w:ilvl w:val="0"/>
          <w:numId w:val="11"/>
        </w:numPr>
        <w:rPr>
          <w:rFonts w:ascii="Arial" w:cs="Arial" w:eastAsia="Arial" w:hAnsi="Arial"/>
          <w:sz w:val="15"/>
          <w:szCs w:val="15"/>
          <w:color w:val="auto"/>
        </w:rPr>
      </w:pPr>
      <w:r>
        <w:rPr>
          <w:rFonts w:ascii="Arial" w:cs="Arial" w:eastAsia="Arial" w:hAnsi="Arial"/>
          <w:sz w:val="15"/>
          <w:szCs w:val="15"/>
          <w:color w:val="auto"/>
        </w:rPr>
        <w:t>toutes actions de la société détenues directement, indirectement ou à son profit par cette personne physique ou morale, à condition que</w:t>
      </w:r>
    </w:p>
    <w:p>
      <w:pPr>
        <w:spacing w:after="0" w:line="148" w:lineRule="exact"/>
        <w:rPr>
          <w:rFonts w:ascii="Arial" w:cs="Arial" w:eastAsia="Arial" w:hAnsi="Arial"/>
          <w:sz w:val="15"/>
          <w:szCs w:val="15"/>
          <w:color w:val="auto"/>
        </w:rPr>
      </w:pPr>
    </w:p>
    <w:p>
      <w:pPr>
        <w:jc w:val="both"/>
        <w:ind w:left="645" w:right="20" w:hanging="318"/>
        <w:spacing w:after="0" w:line="246" w:lineRule="auto"/>
        <w:tabs>
          <w:tab w:leader="none" w:pos="847" w:val="left"/>
        </w:tabs>
        <w:numPr>
          <w:ilvl w:val="1"/>
          <w:numId w:val="11"/>
        </w:numPr>
        <w:rPr>
          <w:rFonts w:ascii="Arial" w:cs="Arial" w:eastAsia="Arial" w:hAnsi="Arial"/>
          <w:sz w:val="15"/>
          <w:szCs w:val="15"/>
          <w:color w:val="auto"/>
        </w:rPr>
      </w:pPr>
      <w:r>
        <w:rPr>
          <w:rFonts w:ascii="Arial" w:cs="Arial" w:eastAsia="Arial" w:hAnsi="Arial"/>
          <w:sz w:val="15"/>
          <w:szCs w:val="15"/>
          <w:color w:val="auto"/>
        </w:rPr>
        <w:t>un bénéficiaire effectif d'un titre comprend toute personne qui, directement ou indirectement, par le biais d'un contrat, d'un accord, d'une entente, d'une relation, ou autrement, seul ou avec d'autres personnes a ou partage:</w:t>
      </w:r>
    </w:p>
    <w:p>
      <w:pPr>
        <w:spacing w:after="0" w:line="157" w:lineRule="exact"/>
        <w:rPr>
          <w:rFonts w:ascii="Arial" w:cs="Arial" w:eastAsia="Arial" w:hAnsi="Arial"/>
          <w:sz w:val="15"/>
          <w:szCs w:val="15"/>
          <w:color w:val="auto"/>
        </w:rPr>
      </w:pPr>
    </w:p>
    <w:p>
      <w:pPr>
        <w:ind w:left="985" w:right="20" w:hanging="330"/>
        <w:spacing w:after="0" w:line="258" w:lineRule="auto"/>
        <w:tabs>
          <w:tab w:leader="none" w:pos="1000" w:val="left"/>
        </w:tabs>
        <w:numPr>
          <w:ilvl w:val="2"/>
          <w:numId w:val="11"/>
        </w:numPr>
        <w:rPr>
          <w:rFonts w:ascii="Arial" w:cs="Arial" w:eastAsia="Arial" w:hAnsi="Arial"/>
          <w:sz w:val="15"/>
          <w:szCs w:val="15"/>
          <w:color w:val="auto"/>
        </w:rPr>
      </w:pPr>
      <w:r>
        <w:rPr>
          <w:rFonts w:ascii="Arial" w:cs="Arial" w:eastAsia="Arial" w:hAnsi="Arial"/>
          <w:sz w:val="15"/>
          <w:szCs w:val="15"/>
          <w:color w:val="auto"/>
        </w:rPr>
        <w:t>le pouvoir de voter, y compris le pouvoir de voter ou de diriger le vote d'un tel titre; et/ou</w:t>
      </w:r>
    </w:p>
    <w:p>
      <w:pPr>
        <w:spacing w:after="0" w:line="321" w:lineRule="exact"/>
        <w:rPr>
          <w:rFonts w:ascii="Arial" w:cs="Arial" w:eastAsia="Arial" w:hAnsi="Arial"/>
          <w:sz w:val="15"/>
          <w:szCs w:val="15"/>
          <w:color w:val="auto"/>
        </w:rPr>
      </w:pPr>
    </w:p>
    <w:p>
      <w:pPr>
        <w:ind w:left="985" w:right="20" w:hanging="330"/>
        <w:spacing w:after="0" w:line="258" w:lineRule="auto"/>
        <w:tabs>
          <w:tab w:leader="none" w:pos="982" w:val="left"/>
        </w:tabs>
        <w:numPr>
          <w:ilvl w:val="2"/>
          <w:numId w:val="11"/>
        </w:numPr>
        <w:rPr>
          <w:rFonts w:ascii="Arial" w:cs="Arial" w:eastAsia="Arial" w:hAnsi="Arial"/>
          <w:sz w:val="15"/>
          <w:szCs w:val="15"/>
          <w:color w:val="auto"/>
        </w:rPr>
      </w:pPr>
      <w:r>
        <w:rPr>
          <w:rFonts w:ascii="Arial" w:cs="Arial" w:eastAsia="Arial" w:hAnsi="Arial"/>
          <w:sz w:val="15"/>
          <w:szCs w:val="15"/>
          <w:color w:val="auto"/>
        </w:rPr>
        <w:t>le pouvoir d'investir, y compris le pouvoir de disposer ou de diriger la disposition d'un tel titre.</w:t>
      </w:r>
    </w:p>
    <w:p>
      <w:pPr>
        <w:spacing w:after="0" w:line="148" w:lineRule="exact"/>
        <w:rPr>
          <w:sz w:val="20"/>
          <w:szCs w:val="20"/>
          <w:color w:val="auto"/>
        </w:rPr>
      </w:pPr>
    </w:p>
    <w:p>
      <w:pPr>
        <w:jc w:val="both"/>
        <w:ind w:left="645" w:right="20" w:hanging="318"/>
        <w:spacing w:after="0" w:line="243" w:lineRule="auto"/>
        <w:tabs>
          <w:tab w:leader="none" w:pos="657" w:val="left"/>
        </w:tabs>
        <w:numPr>
          <w:ilvl w:val="0"/>
          <w:numId w:val="12"/>
        </w:numPr>
        <w:rPr>
          <w:rFonts w:ascii="Arial" w:cs="Arial" w:eastAsia="Arial" w:hAnsi="Arial"/>
          <w:sz w:val="15"/>
          <w:szCs w:val="15"/>
          <w:color w:val="auto"/>
        </w:rPr>
      </w:pPr>
      <w:r>
        <w:rPr>
          <w:rFonts w:ascii="Arial" w:cs="Arial" w:eastAsia="Arial" w:hAnsi="Arial"/>
          <w:sz w:val="15"/>
          <w:szCs w:val="15"/>
          <w:color w:val="auto"/>
        </w:rPr>
        <w:t>Toute personne qui, directement ou indirectement, crée ou utilise une fiducie, une procuration, un pooling ou tout autre contrat, accord, ou un dispositif ayant pour objet ou pour effet de priver cette personne de la propriété effective des actions de la société ou d'en empêcher l'acquisition effective au moyen d'un plan ou programme visant à se soustraire aux dispositions de ces statuts est réputée être le propriétaire effectif de ces actions.</w:t>
      </w:r>
    </w:p>
    <w:p>
      <w:pPr>
        <w:spacing w:after="0" w:line="161" w:lineRule="exact"/>
        <w:rPr>
          <w:rFonts w:ascii="Arial" w:cs="Arial" w:eastAsia="Arial" w:hAnsi="Arial"/>
          <w:sz w:val="15"/>
          <w:szCs w:val="15"/>
          <w:color w:val="auto"/>
        </w:rPr>
      </w:pPr>
    </w:p>
    <w:p>
      <w:pPr>
        <w:ind w:left="645" w:right="20" w:hanging="318"/>
        <w:spacing w:after="0" w:line="258" w:lineRule="auto"/>
        <w:tabs>
          <w:tab w:leader="none" w:pos="686" w:val="left"/>
        </w:tabs>
        <w:numPr>
          <w:ilvl w:val="0"/>
          <w:numId w:val="12"/>
        </w:numPr>
        <w:rPr>
          <w:rFonts w:ascii="Arial" w:cs="Arial" w:eastAsia="Arial" w:hAnsi="Arial"/>
          <w:sz w:val="15"/>
          <w:szCs w:val="15"/>
          <w:color w:val="auto"/>
        </w:rPr>
      </w:pPr>
      <w:r>
        <w:rPr>
          <w:rFonts w:ascii="Arial" w:cs="Arial" w:eastAsia="Arial" w:hAnsi="Arial"/>
          <w:sz w:val="15"/>
          <w:szCs w:val="15"/>
          <w:color w:val="auto"/>
        </w:rPr>
        <w:t>Une personne est réputée être propriétaire effective d'actions si cette personne a le droit d'acquérir</w:t>
      </w:r>
    </w:p>
    <w:p>
      <w:pPr>
        <w:sectPr>
          <w:pgSz w:w="11900" w:h="16838" w:orient="portrait"/>
          <w:cols w:equalWidth="0" w:num="2">
            <w:col w:w="5522" w:space="315"/>
            <w:col w:w="5525"/>
          </w:cols>
          <w:pgMar w:left="278" w:top="231" w:right="259" w:bottom="1440" w:gutter="0" w:footer="0" w:header="0"/>
          <w:type w:val="continuous"/>
        </w:sectPr>
      </w:pPr>
    </w:p>
    <w:bookmarkStart w:id="39" w:name="page40"/>
    <w:bookmarkEnd w:id="39"/>
    <w:tbl>
      <w:tblPr>
        <w:tblLayout w:type="fixed"/>
        <w:tblInd w:w="10" w:type="dxa"/>
        <w:tblCellMar>
          <w:top w:w="0" w:type="dxa"/>
          <w:left w:w="0" w:type="dxa"/>
          <w:bottom w:w="0" w:type="dxa"/>
          <w:right w:w="0" w:type="dxa"/>
        </w:tblCellMar>
      </w:tblPr>
      <w:tr>
        <w:trPr>
          <w:trHeight w:val="185"/>
        </w:trPr>
        <w:tc>
          <w:tcPr>
            <w:tcW w:w="68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40" w:type="dxa"/>
            <w:vAlign w:val="bottom"/>
          </w:tcPr>
          <w:p>
            <w:pPr>
              <w:ind w:left="4900"/>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89"/>
        </w:trPr>
        <w:tc>
          <w:tcPr>
            <w:tcW w:w="6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680" w:type="dxa"/>
            <w:vAlign w:val="bottom"/>
            <w:tcBorders>
              <w:left w:val="single" w:sz="8" w:color="auto"/>
            </w:tcBorders>
          </w:tcPr>
          <w:p>
            <w:pPr>
              <w:spacing w:after="0"/>
              <w:rPr>
                <w:sz w:val="17"/>
                <w:szCs w:val="17"/>
                <w:color w:val="auto"/>
              </w:rPr>
            </w:pPr>
          </w:p>
        </w:tc>
        <w:tc>
          <w:tcPr>
            <w:tcW w:w="49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beneficial ownership of such shares within 60 days, including but not</w:t>
            </w:r>
          </w:p>
        </w:tc>
        <w:tc>
          <w:tcPr>
            <w:tcW w:w="220" w:type="dxa"/>
            <w:vAlign w:val="bottom"/>
            <w:tcBorders>
              <w:right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504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la propriété effective de ces actions dans les 60 jours, y compris, mais</w:t>
            </w:r>
          </w:p>
        </w:tc>
        <w:tc>
          <w:tcPr>
            <w:tcW w:w="0" w:type="dxa"/>
            <w:vAlign w:val="bottom"/>
          </w:tcPr>
          <w:p>
            <w:pPr>
              <w:spacing w:after="0"/>
              <w:rPr>
                <w:sz w:val="1"/>
                <w:szCs w:val="1"/>
                <w:color w:val="auto"/>
              </w:rPr>
            </w:pPr>
          </w:p>
        </w:tc>
      </w:tr>
      <w:tr>
        <w:trPr>
          <w:trHeight w:val="173"/>
        </w:trPr>
        <w:tc>
          <w:tcPr>
            <w:tcW w:w="680" w:type="dxa"/>
            <w:vAlign w:val="bottom"/>
            <w:tcBorders>
              <w:left w:val="single" w:sz="8" w:color="auto"/>
            </w:tcBorders>
          </w:tcPr>
          <w:p>
            <w:pPr>
              <w:spacing w:after="0"/>
              <w:rPr>
                <w:sz w:val="15"/>
                <w:szCs w:val="15"/>
                <w:color w:val="auto"/>
              </w:rPr>
            </w:pPr>
          </w:p>
        </w:tc>
        <w:tc>
          <w:tcPr>
            <w:tcW w:w="49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limited to any right acquired: (A) through the exercise of any option,</w:t>
            </w:r>
          </w:p>
        </w:tc>
        <w:tc>
          <w:tcPr>
            <w:tcW w:w="220" w:type="dxa"/>
            <w:vAlign w:val="bottom"/>
            <w:tcBorders>
              <w:right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504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pas limité à un droit acquis: (A) au moyen de l'exercice d'une option,</w:t>
            </w:r>
          </w:p>
        </w:tc>
        <w:tc>
          <w:tcPr>
            <w:tcW w:w="0" w:type="dxa"/>
            <w:vAlign w:val="bottom"/>
          </w:tcPr>
          <w:p>
            <w:pPr>
              <w:spacing w:after="0"/>
              <w:rPr>
                <w:sz w:val="1"/>
                <w:szCs w:val="1"/>
                <w:color w:val="auto"/>
              </w:rPr>
            </w:pPr>
          </w:p>
        </w:tc>
      </w:tr>
      <w:tr>
        <w:trPr>
          <w:trHeight w:val="173"/>
        </w:trPr>
        <w:tc>
          <w:tcPr>
            <w:tcW w:w="680" w:type="dxa"/>
            <w:vAlign w:val="bottom"/>
            <w:tcBorders>
              <w:left w:val="single" w:sz="8" w:color="auto"/>
            </w:tcBorders>
          </w:tcPr>
          <w:p>
            <w:pPr>
              <w:spacing w:after="0"/>
              <w:rPr>
                <w:sz w:val="15"/>
                <w:szCs w:val="15"/>
                <w:color w:val="auto"/>
              </w:rPr>
            </w:pPr>
          </w:p>
        </w:tc>
        <w:tc>
          <w:tcPr>
            <w:tcW w:w="49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warrant or right; (B) through the conversion of a security; (C) pursuant</w:t>
            </w:r>
          </w:p>
        </w:tc>
        <w:tc>
          <w:tcPr>
            <w:tcW w:w="220" w:type="dxa"/>
            <w:vAlign w:val="bottom"/>
            <w:tcBorders>
              <w:right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504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d'un bon ou d'un droit de souscription; (B) par la conversion d'un titre;</w:t>
            </w:r>
          </w:p>
        </w:tc>
        <w:tc>
          <w:tcPr>
            <w:tcW w:w="0" w:type="dxa"/>
            <w:vAlign w:val="bottom"/>
          </w:tcPr>
          <w:p>
            <w:pPr>
              <w:spacing w:after="0"/>
              <w:rPr>
                <w:sz w:val="1"/>
                <w:szCs w:val="1"/>
                <w:color w:val="auto"/>
              </w:rPr>
            </w:pPr>
          </w:p>
        </w:tc>
      </w:tr>
      <w:tr>
        <w:trPr>
          <w:trHeight w:val="173"/>
        </w:trPr>
        <w:tc>
          <w:tcPr>
            <w:tcW w:w="680" w:type="dxa"/>
            <w:vAlign w:val="bottom"/>
            <w:tcBorders>
              <w:left w:val="single" w:sz="8" w:color="auto"/>
            </w:tcBorders>
          </w:tcPr>
          <w:p>
            <w:pPr>
              <w:spacing w:after="0"/>
              <w:rPr>
                <w:sz w:val="15"/>
                <w:szCs w:val="15"/>
                <w:color w:val="auto"/>
              </w:rPr>
            </w:pPr>
          </w:p>
        </w:tc>
        <w:tc>
          <w:tcPr>
            <w:tcW w:w="49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to  the  power  to  revoke  a  trust,  discretionary  account,  or  similar</w:t>
            </w:r>
          </w:p>
        </w:tc>
        <w:tc>
          <w:tcPr>
            <w:tcW w:w="220" w:type="dxa"/>
            <w:vAlign w:val="bottom"/>
            <w:tcBorders>
              <w:right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504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(C)  en  vertu  du  pouvoir  de  révoquer  une  fiducie,  compte</w:t>
            </w:r>
          </w:p>
        </w:tc>
        <w:tc>
          <w:tcPr>
            <w:tcW w:w="0" w:type="dxa"/>
            <w:vAlign w:val="bottom"/>
          </w:tcPr>
          <w:p>
            <w:pPr>
              <w:spacing w:after="0"/>
              <w:rPr>
                <w:sz w:val="1"/>
                <w:szCs w:val="1"/>
                <w:color w:val="auto"/>
              </w:rPr>
            </w:pPr>
          </w:p>
        </w:tc>
      </w:tr>
      <w:tr>
        <w:trPr>
          <w:trHeight w:val="173"/>
        </w:trPr>
        <w:tc>
          <w:tcPr>
            <w:tcW w:w="680" w:type="dxa"/>
            <w:vAlign w:val="bottom"/>
            <w:tcBorders>
              <w:left w:val="single" w:sz="8" w:color="auto"/>
            </w:tcBorders>
          </w:tcPr>
          <w:p>
            <w:pPr>
              <w:spacing w:after="0"/>
              <w:rPr>
                <w:sz w:val="15"/>
                <w:szCs w:val="15"/>
                <w:color w:val="auto"/>
              </w:rPr>
            </w:pPr>
          </w:p>
        </w:tc>
        <w:tc>
          <w:tcPr>
            <w:tcW w:w="49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arrangement; or (D) pursuant to the automatic termination of a trust,</w:t>
            </w:r>
          </w:p>
        </w:tc>
        <w:tc>
          <w:tcPr>
            <w:tcW w:w="220" w:type="dxa"/>
            <w:vAlign w:val="bottom"/>
            <w:tcBorders>
              <w:right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504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discrétionnaire  ou  accord  semblable;  ou  (D)  conformément  à  la</w:t>
            </w:r>
          </w:p>
        </w:tc>
        <w:tc>
          <w:tcPr>
            <w:tcW w:w="0" w:type="dxa"/>
            <w:vAlign w:val="bottom"/>
          </w:tcPr>
          <w:p>
            <w:pPr>
              <w:spacing w:after="0"/>
              <w:rPr>
                <w:sz w:val="1"/>
                <w:szCs w:val="1"/>
                <w:color w:val="auto"/>
              </w:rPr>
            </w:pPr>
          </w:p>
        </w:tc>
      </w:tr>
      <w:tr>
        <w:trPr>
          <w:trHeight w:val="173"/>
        </w:trPr>
        <w:tc>
          <w:tcPr>
            <w:tcW w:w="680" w:type="dxa"/>
            <w:vAlign w:val="bottom"/>
            <w:tcBorders>
              <w:left w:val="single" w:sz="8" w:color="auto"/>
            </w:tcBorders>
          </w:tcPr>
          <w:p>
            <w:pPr>
              <w:spacing w:after="0"/>
              <w:rPr>
                <w:sz w:val="15"/>
                <w:szCs w:val="15"/>
                <w:color w:val="auto"/>
              </w:rPr>
            </w:pPr>
          </w:p>
        </w:tc>
        <w:tc>
          <w:tcPr>
            <w:tcW w:w="49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discretionary account or similar arrangement.</w:t>
            </w:r>
          </w:p>
        </w:tc>
        <w:tc>
          <w:tcPr>
            <w:tcW w:w="220" w:type="dxa"/>
            <w:vAlign w:val="bottom"/>
            <w:tcBorders>
              <w:right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504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résiliation automatique d'une fiducie, compte discrétionnaire ou accord</w:t>
            </w:r>
          </w:p>
        </w:tc>
        <w:tc>
          <w:tcPr>
            <w:tcW w:w="0" w:type="dxa"/>
            <w:vAlign w:val="bottom"/>
          </w:tcPr>
          <w:p>
            <w:pPr>
              <w:spacing w:after="0"/>
              <w:rPr>
                <w:sz w:val="1"/>
                <w:szCs w:val="1"/>
                <w:color w:val="auto"/>
              </w:rPr>
            </w:pPr>
          </w:p>
        </w:tc>
      </w:tr>
      <w:tr>
        <w:trPr>
          <w:trHeight w:val="185"/>
        </w:trPr>
        <w:tc>
          <w:tcPr>
            <w:tcW w:w="680" w:type="dxa"/>
            <w:vAlign w:val="bottom"/>
            <w:tcBorders>
              <w:left w:val="single" w:sz="8" w:color="auto"/>
            </w:tcBorders>
          </w:tcPr>
          <w:p>
            <w:pPr>
              <w:spacing w:after="0"/>
              <w:rPr>
                <w:sz w:val="16"/>
                <w:szCs w:val="16"/>
                <w:color w:val="auto"/>
              </w:rPr>
            </w:pPr>
          </w:p>
        </w:tc>
        <w:tc>
          <w:tcPr>
            <w:tcW w:w="49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5"/>
                <w:szCs w:val="15"/>
                <w:color w:val="auto"/>
              </w:rPr>
              <w:t xml:space="preserve">of 33 </w:t>
            </w:r>
            <w:r>
              <w:rPr>
                <w:rFonts w:ascii="Arial" w:cs="Arial" w:eastAsia="Arial" w:hAnsi="Arial"/>
                <w:sz w:val="25"/>
                <w:szCs w:val="25"/>
                <w:color w:val="auto"/>
                <w:vertAlign w:val="superscript"/>
              </w:rPr>
              <w:t>1</w:t>
            </w:r>
            <w:r>
              <w:rPr>
                <w:rFonts w:ascii="Arial" w:cs="Arial" w:eastAsia="Arial" w:hAnsi="Arial"/>
                <w:sz w:val="15"/>
                <w:szCs w:val="15"/>
                <w:color w:val="auto"/>
              </w:rPr>
              <w:t>/  % of the registered share capital also applies to the</w:t>
            </w:r>
          </w:p>
        </w:tc>
        <w:tc>
          <w:tcPr>
            <w:tcW w:w="220" w:type="dxa"/>
            <w:vAlign w:val="bottom"/>
            <w:tcBorders>
              <w:righ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504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semblable.</w:t>
            </w:r>
          </w:p>
        </w:tc>
        <w:tc>
          <w:tcPr>
            <w:tcW w:w="0" w:type="dxa"/>
            <w:vAlign w:val="bottom"/>
          </w:tcPr>
          <w:p>
            <w:pPr>
              <w:spacing w:after="0"/>
              <w:rPr>
                <w:sz w:val="1"/>
                <w:szCs w:val="1"/>
                <w:color w:val="auto"/>
              </w:rPr>
            </w:pPr>
          </w:p>
        </w:tc>
      </w:tr>
      <w:tr>
        <w:trPr>
          <w:trHeight w:val="162"/>
        </w:trPr>
        <w:tc>
          <w:tcPr>
            <w:tcW w:w="680" w:type="dxa"/>
            <w:vAlign w:val="bottom"/>
            <w:tcBorders>
              <w:left w:val="single" w:sz="8" w:color="auto"/>
            </w:tcBorders>
          </w:tcPr>
          <w:p>
            <w:pPr>
              <w:ind w:left="40"/>
              <w:spacing w:after="0" w:line="161" w:lineRule="exact"/>
              <w:rPr>
                <w:sz w:val="20"/>
                <w:szCs w:val="20"/>
                <w:color w:val="auto"/>
              </w:rPr>
            </w:pPr>
            <w:r>
              <w:rPr>
                <w:rFonts w:ascii="Arial" w:cs="Arial" w:eastAsia="Arial" w:hAnsi="Arial"/>
                <w:sz w:val="15"/>
                <w:szCs w:val="15"/>
                <w:color w:val="auto"/>
              </w:rPr>
              <w:t>The limit</w:t>
            </w:r>
          </w:p>
        </w:tc>
        <w:tc>
          <w:tcPr>
            <w:tcW w:w="4940" w:type="dxa"/>
            <w:vAlign w:val="bottom"/>
            <w:tcBorders>
              <w:right w:val="single" w:sz="8" w:color="auto"/>
            </w:tcBorders>
            <w:vMerge w:val="continue"/>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680" w:type="dxa"/>
            <w:vAlign w:val="bottom"/>
            <w:tcBorders>
              <w:left w:val="single" w:sz="8" w:color="auto"/>
            </w:tcBorders>
          </w:tcPr>
          <w:p>
            <w:pPr>
              <w:spacing w:after="0"/>
              <w:rPr>
                <w:sz w:val="4"/>
                <w:szCs w:val="4"/>
                <w:color w:val="auto"/>
              </w:rPr>
            </w:pPr>
          </w:p>
        </w:tc>
        <w:tc>
          <w:tcPr>
            <w:tcW w:w="4940" w:type="dxa"/>
            <w:vAlign w:val="bottom"/>
            <w:tcBorders>
              <w:right w:val="single" w:sz="8" w:color="auto"/>
            </w:tcBorders>
          </w:tcPr>
          <w:p>
            <w:pPr>
              <w:ind w:left="720"/>
              <w:spacing w:after="0" w:line="57" w:lineRule="exact"/>
              <w:rPr>
                <w:sz w:val="20"/>
                <w:szCs w:val="20"/>
                <w:color w:val="auto"/>
              </w:rPr>
            </w:pPr>
            <w:r>
              <w:rPr>
                <w:rFonts w:ascii="Arial" w:cs="Arial" w:eastAsia="Arial" w:hAnsi="Arial"/>
                <w:sz w:val="6"/>
                <w:szCs w:val="6"/>
                <w:color w:val="auto"/>
              </w:rPr>
              <w:t>3</w:t>
            </w:r>
          </w:p>
        </w:tc>
        <w:tc>
          <w:tcPr>
            <w:tcW w:w="220" w:type="dxa"/>
            <w:vAlign w:val="bottom"/>
            <w:tcBorders>
              <w:right w:val="single" w:sz="8" w:color="auto"/>
            </w:tcBorders>
          </w:tcPr>
          <w:p>
            <w:pPr>
              <w:spacing w:after="0"/>
              <w:rPr>
                <w:sz w:val="4"/>
                <w:szCs w:val="4"/>
                <w:color w:val="auto"/>
              </w:rPr>
            </w:pPr>
          </w:p>
        </w:tc>
        <w:tc>
          <w:tcPr>
            <w:tcW w:w="5600" w:type="dxa"/>
            <w:vAlign w:val="bottom"/>
            <w:tcBorders>
              <w:right w:val="single" w:sz="8" w:color="auto"/>
            </w:tcBorders>
            <w:gridSpan w:val="2"/>
            <w:vMerge w:val="restart"/>
          </w:tcPr>
          <w:p>
            <w:pPr>
              <w:ind w:left="40"/>
              <w:spacing w:after="0" w:line="230" w:lineRule="exact"/>
              <w:rPr>
                <w:sz w:val="20"/>
                <w:szCs w:val="20"/>
                <w:color w:val="auto"/>
              </w:rPr>
            </w:pPr>
            <w:r>
              <w:rPr>
                <w:rFonts w:ascii="Arial" w:cs="Arial" w:eastAsia="Arial" w:hAnsi="Arial"/>
                <w:sz w:val="15"/>
                <w:szCs w:val="15"/>
                <w:color w:val="auto"/>
              </w:rPr>
              <w:t xml:space="preserve">La limite de 33 </w:t>
            </w:r>
            <w:r>
              <w:rPr>
                <w:rFonts w:ascii="Arial" w:cs="Arial" w:eastAsia="Arial" w:hAnsi="Arial"/>
                <w:sz w:val="25"/>
                <w:szCs w:val="25"/>
                <w:color w:val="auto"/>
                <w:vertAlign w:val="superscript"/>
              </w:rPr>
              <w:t>1</w:t>
            </w:r>
            <w:r>
              <w:rPr>
                <w:rFonts w:ascii="Arial" w:cs="Arial" w:eastAsia="Arial" w:hAnsi="Arial"/>
                <w:sz w:val="15"/>
                <w:szCs w:val="15"/>
                <w:color w:val="auto"/>
              </w:rPr>
              <w:t>/</w:t>
            </w:r>
            <w:r>
              <w:rPr>
                <w:rFonts w:ascii="Arial" w:cs="Arial" w:eastAsia="Arial" w:hAnsi="Arial"/>
                <w:sz w:val="25"/>
                <w:szCs w:val="25"/>
                <w:color w:val="auto"/>
                <w:vertAlign w:val="subscript"/>
              </w:rPr>
              <w:t>3</w:t>
            </w:r>
            <w:r>
              <w:rPr>
                <w:rFonts w:ascii="Arial" w:cs="Arial" w:eastAsia="Arial" w:hAnsi="Arial"/>
                <w:sz w:val="15"/>
                <w:szCs w:val="15"/>
                <w:color w:val="auto"/>
              </w:rPr>
              <w:t xml:space="preserve"> % du capital-actions nominatif s'applique également à la</w:t>
            </w: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subscription for, or acquisition of, registered shares by exercising option or</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convertible rights arising from registered or bearer securities or any other</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souscription ou l'acquisition d'actions nominatives par l'exercice d'options ou de</w:t>
            </w: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securities issued by the Company or third parties, as well as by means of</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droits convertibles découlant de titres nominatifs ou au porteur ou d'autres titres</w:t>
            </w: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exercising purchased preemptive rights arising from either registered or bearer</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émis par la société ou par des tiers, ainsi que par le biais de l'exercice de droits</w:t>
            </w:r>
          </w:p>
        </w:tc>
        <w:tc>
          <w:tcPr>
            <w:tcW w:w="0" w:type="dxa"/>
            <w:vAlign w:val="bottom"/>
          </w:tcPr>
          <w:p>
            <w:pPr>
              <w:spacing w:after="0"/>
              <w:rPr>
                <w:sz w:val="1"/>
                <w:szCs w:val="1"/>
                <w:color w:val="auto"/>
              </w:rPr>
            </w:pPr>
          </w:p>
        </w:tc>
      </w:tr>
      <w:tr>
        <w:trPr>
          <w:trHeight w:val="174"/>
        </w:trPr>
        <w:tc>
          <w:tcPr>
            <w:tcW w:w="5620" w:type="dxa"/>
            <w:vAlign w:val="bottom"/>
            <w:tcBorders>
              <w:left w:val="single" w:sz="8" w:color="auto"/>
              <w:right w:val="single" w:sz="8" w:color="auto"/>
            </w:tcBorders>
            <w:gridSpan w:val="2"/>
          </w:tcPr>
          <w:p>
            <w:pPr>
              <w:ind w:left="40"/>
              <w:spacing w:after="0" w:line="174" w:lineRule="exact"/>
              <w:rPr>
                <w:sz w:val="20"/>
                <w:szCs w:val="20"/>
                <w:color w:val="auto"/>
              </w:rPr>
            </w:pPr>
            <w:r>
              <w:rPr>
                <w:rFonts w:ascii="Arial" w:cs="Arial" w:eastAsia="Arial" w:hAnsi="Arial"/>
                <w:sz w:val="13"/>
                <w:szCs w:val="13"/>
                <w:color w:val="auto"/>
              </w:rPr>
              <w:t xml:space="preserve">shares. The registered shares exceeding the limit of 33 </w:t>
            </w:r>
            <w:r>
              <w:rPr>
                <w:rFonts w:ascii="Arial" w:cs="Arial" w:eastAsia="Arial" w:hAnsi="Arial"/>
                <w:sz w:val="20"/>
                <w:szCs w:val="20"/>
                <w:color w:val="auto"/>
                <w:vertAlign w:val="superscript"/>
              </w:rPr>
              <w:t>1</w:t>
            </w:r>
            <w:r>
              <w:rPr>
                <w:rFonts w:ascii="Arial" w:cs="Arial" w:eastAsia="Arial" w:hAnsi="Arial"/>
                <w:sz w:val="13"/>
                <w:szCs w:val="13"/>
                <w:color w:val="auto"/>
              </w:rPr>
              <w:t>/</w:t>
            </w:r>
            <w:r>
              <w:rPr>
                <w:rFonts w:ascii="Arial" w:cs="Arial" w:eastAsia="Arial" w:hAnsi="Arial"/>
                <w:sz w:val="20"/>
                <w:szCs w:val="20"/>
                <w:color w:val="auto"/>
                <w:vertAlign w:val="subscript"/>
              </w:rPr>
              <w:t>3</w:t>
            </w:r>
            <w:r>
              <w:rPr>
                <w:rFonts w:ascii="Arial" w:cs="Arial" w:eastAsia="Arial" w:hAnsi="Arial"/>
                <w:sz w:val="13"/>
                <w:szCs w:val="13"/>
                <w:color w:val="auto"/>
              </w:rPr>
              <w:t xml:space="preserve"> % shall be entered in</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de souscription préférentiels achetés découlant d'actions nominatives ou au</w:t>
            </w: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gridSpan w:val="2"/>
            <w:vMerge w:val="restart"/>
          </w:tcPr>
          <w:p>
            <w:pPr>
              <w:ind w:left="40"/>
              <w:spacing w:after="0"/>
              <w:rPr>
                <w:sz w:val="20"/>
                <w:szCs w:val="20"/>
                <w:color w:val="auto"/>
              </w:rPr>
            </w:pPr>
            <w:r>
              <w:rPr>
                <w:rFonts w:ascii="Arial" w:cs="Arial" w:eastAsia="Arial" w:hAnsi="Arial"/>
                <w:sz w:val="15"/>
                <w:szCs w:val="15"/>
                <w:color w:val="auto"/>
              </w:rPr>
              <w:t>the share register as shares without voting rights.</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line="173" w:lineRule="exact"/>
              <w:rPr>
                <w:sz w:val="20"/>
                <w:szCs w:val="20"/>
                <w:color w:val="auto"/>
              </w:rPr>
            </w:pPr>
            <w:r>
              <w:rPr>
                <w:rFonts w:ascii="Arial" w:cs="Arial" w:eastAsia="Arial" w:hAnsi="Arial"/>
                <w:sz w:val="13"/>
                <w:szCs w:val="13"/>
                <w:color w:val="auto"/>
              </w:rPr>
              <w:t xml:space="preserve">porteur. Les actions nominatives dépassant la limite de 33 </w:t>
            </w:r>
            <w:r>
              <w:rPr>
                <w:rFonts w:ascii="Arial" w:cs="Arial" w:eastAsia="Arial" w:hAnsi="Arial"/>
                <w:sz w:val="20"/>
                <w:szCs w:val="20"/>
                <w:color w:val="auto"/>
                <w:vertAlign w:val="superscript"/>
              </w:rPr>
              <w:t>1</w:t>
            </w:r>
            <w:r>
              <w:rPr>
                <w:rFonts w:ascii="Arial" w:cs="Arial" w:eastAsia="Arial" w:hAnsi="Arial"/>
                <w:sz w:val="13"/>
                <w:szCs w:val="13"/>
                <w:color w:val="auto"/>
              </w:rPr>
              <w:t>/  % sont inscrites</w:t>
            </w:r>
          </w:p>
        </w:tc>
        <w:tc>
          <w:tcPr>
            <w:tcW w:w="0" w:type="dxa"/>
            <w:vAlign w:val="bottom"/>
          </w:tcPr>
          <w:p>
            <w:pPr>
              <w:spacing w:after="0"/>
              <w:rPr>
                <w:sz w:val="1"/>
                <w:szCs w:val="1"/>
                <w:color w:val="auto"/>
              </w:rPr>
            </w:pPr>
          </w:p>
        </w:tc>
      </w:tr>
      <w:tr>
        <w:trPr>
          <w:trHeight w:val="57"/>
        </w:trPr>
        <w:tc>
          <w:tcPr>
            <w:tcW w:w="5620" w:type="dxa"/>
            <w:vAlign w:val="bottom"/>
            <w:tcBorders>
              <w:left w:val="single" w:sz="8" w:color="auto"/>
              <w:right w:val="single" w:sz="8" w:color="auto"/>
            </w:tcBorders>
            <w:gridSpan w:val="2"/>
            <w:vMerge w:val="continue"/>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560" w:type="dxa"/>
            <w:vAlign w:val="bottom"/>
          </w:tcPr>
          <w:p>
            <w:pPr>
              <w:spacing w:after="0"/>
              <w:rPr>
                <w:sz w:val="4"/>
                <w:szCs w:val="4"/>
                <w:color w:val="auto"/>
              </w:rPr>
            </w:pPr>
          </w:p>
        </w:tc>
        <w:tc>
          <w:tcPr>
            <w:tcW w:w="5040" w:type="dxa"/>
            <w:vAlign w:val="bottom"/>
            <w:tcBorders>
              <w:right w:val="single" w:sz="8" w:color="auto"/>
            </w:tcBorders>
          </w:tcPr>
          <w:p>
            <w:pPr>
              <w:ind w:left="3740"/>
              <w:spacing w:after="0" w:line="57" w:lineRule="exact"/>
              <w:rPr>
                <w:sz w:val="20"/>
                <w:szCs w:val="20"/>
                <w:color w:val="auto"/>
              </w:rPr>
            </w:pPr>
            <w:r>
              <w:rPr>
                <w:rFonts w:ascii="Arial" w:cs="Arial" w:eastAsia="Arial" w:hAnsi="Arial"/>
                <w:sz w:val="6"/>
                <w:szCs w:val="6"/>
                <w:color w:val="auto"/>
              </w:rPr>
              <w:t>3</w:t>
            </w:r>
          </w:p>
        </w:tc>
        <w:tc>
          <w:tcPr>
            <w:tcW w:w="0" w:type="dxa"/>
            <w:vAlign w:val="bottom"/>
          </w:tcPr>
          <w:p>
            <w:pPr>
              <w:spacing w:after="0"/>
              <w:rPr>
                <w:sz w:val="1"/>
                <w:szCs w:val="1"/>
                <w:color w:val="auto"/>
              </w:rPr>
            </w:pPr>
          </w:p>
        </w:tc>
      </w:tr>
      <w:tr>
        <w:trPr>
          <w:trHeight w:val="185"/>
        </w:trPr>
        <w:tc>
          <w:tcPr>
            <w:tcW w:w="5620" w:type="dxa"/>
            <w:vAlign w:val="bottom"/>
            <w:tcBorders>
              <w:left w:val="single" w:sz="8" w:color="auto"/>
              <w:right w:val="single" w:sz="8" w:color="auto"/>
            </w:tcBorders>
            <w:gridSpan w:val="2"/>
            <w:vMerge w:val="restart"/>
          </w:tcPr>
          <w:p>
            <w:pPr>
              <w:ind w:left="40"/>
              <w:spacing w:after="0"/>
              <w:rPr>
                <w:sz w:val="20"/>
                <w:szCs w:val="20"/>
                <w:color w:val="auto"/>
              </w:rPr>
            </w:pPr>
            <w:r>
              <w:rPr>
                <w:rFonts w:ascii="Arial" w:cs="Arial" w:eastAsia="Arial" w:hAnsi="Arial"/>
                <w:sz w:val="15"/>
                <w:szCs w:val="15"/>
                <w:color w:val="auto"/>
              </w:rPr>
              <w:t>The Board of Directors may in special cases approve exceptions to the above</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dans le registre des actions comme des actions sans droit de vote.</w:t>
            </w:r>
          </w:p>
        </w:tc>
        <w:tc>
          <w:tcPr>
            <w:tcW w:w="0" w:type="dxa"/>
            <w:vAlign w:val="bottom"/>
          </w:tcPr>
          <w:p>
            <w:pPr>
              <w:spacing w:after="0"/>
              <w:rPr>
                <w:sz w:val="1"/>
                <w:szCs w:val="1"/>
                <w:color w:val="auto"/>
              </w:rPr>
            </w:pPr>
          </w:p>
        </w:tc>
      </w:tr>
      <w:tr>
        <w:trPr>
          <w:trHeight w:val="161"/>
        </w:trPr>
        <w:tc>
          <w:tcPr>
            <w:tcW w:w="5620" w:type="dxa"/>
            <w:vAlign w:val="bottom"/>
            <w:tcBorders>
              <w:left w:val="single" w:sz="8" w:color="auto"/>
              <w:right w:val="single" w:sz="8" w:color="auto"/>
            </w:tcBorders>
            <w:gridSpan w:val="2"/>
            <w:vMerge w:val="continue"/>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50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regulations.  The  Board  of  Directors  is  in  addition  authorized,  after  due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Le  conseil  d'administration  peut  dans  des  cas  particuliers  approuver  des</w:t>
            </w: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consultation with the person concerned, to delete with retroactive effect entries in</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exceptions aux règles précitées. Il est en outre autorisé, après consultation avec</w:t>
            </w: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the share register which were effected on the basis of false information.</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la personne concernée, de supprimer avec effet rétroactif des inscriptions du</w:t>
            </w:r>
          </w:p>
        </w:tc>
        <w:tc>
          <w:tcPr>
            <w:tcW w:w="0" w:type="dxa"/>
            <w:vAlign w:val="bottom"/>
          </w:tcPr>
          <w:p>
            <w:pPr>
              <w:spacing w:after="0"/>
              <w:rPr>
                <w:sz w:val="1"/>
                <w:szCs w:val="1"/>
                <w:color w:val="auto"/>
              </w:rPr>
            </w:pPr>
          </w:p>
        </w:tc>
      </w:tr>
      <w:tr>
        <w:trPr>
          <w:trHeight w:val="185"/>
        </w:trPr>
        <w:tc>
          <w:tcPr>
            <w:tcW w:w="680" w:type="dxa"/>
            <w:vAlign w:val="bottom"/>
            <w:tcBorders>
              <w:left w:val="single" w:sz="8" w:color="auto"/>
            </w:tcBorders>
          </w:tcPr>
          <w:p>
            <w:pPr>
              <w:spacing w:after="0"/>
              <w:rPr>
                <w:sz w:val="16"/>
                <w:szCs w:val="16"/>
                <w:color w:val="auto"/>
              </w:rPr>
            </w:pPr>
          </w:p>
        </w:tc>
        <w:tc>
          <w:tcPr>
            <w:tcW w:w="4940" w:type="dxa"/>
            <w:vAlign w:val="bottom"/>
            <w:tcBorders>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registre des actions qui ont été effectuées sur la base de fausses informations.</w:t>
            </w:r>
          </w:p>
        </w:tc>
        <w:tc>
          <w:tcPr>
            <w:tcW w:w="0" w:type="dxa"/>
            <w:vAlign w:val="bottom"/>
          </w:tcPr>
          <w:p>
            <w:pPr>
              <w:spacing w:after="0"/>
              <w:rPr>
                <w:sz w:val="1"/>
                <w:szCs w:val="1"/>
                <w:color w:val="auto"/>
              </w:rPr>
            </w:pPr>
          </w:p>
        </w:tc>
      </w:tr>
      <w:tr>
        <w:trPr>
          <w:trHeight w:val="196"/>
        </w:trPr>
        <w:tc>
          <w:tcPr>
            <w:tcW w:w="680" w:type="dxa"/>
            <w:vAlign w:val="bottom"/>
            <w:tcBorders>
              <w:left w:val="single" w:sz="8" w:color="auto"/>
              <w:bottom w:val="single" w:sz="8" w:color="auto"/>
            </w:tcBorders>
          </w:tcPr>
          <w:p>
            <w:pPr>
              <w:spacing w:after="0"/>
              <w:rPr>
                <w:sz w:val="17"/>
                <w:szCs w:val="17"/>
                <w:color w:val="auto"/>
              </w:rPr>
            </w:pPr>
          </w:p>
        </w:tc>
        <w:tc>
          <w:tcPr>
            <w:tcW w:w="494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50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80" w:type="dxa"/>
            <w:vAlign w:val="bottom"/>
            <w:tcBorders>
              <w:left w:val="single" w:sz="8" w:color="auto"/>
            </w:tcBorders>
          </w:tcPr>
          <w:p>
            <w:pPr>
              <w:ind w:left="40"/>
              <w:spacing w:after="0"/>
              <w:rPr>
                <w:sz w:val="20"/>
                <w:szCs w:val="20"/>
                <w:color w:val="auto"/>
              </w:rPr>
            </w:pPr>
            <w:r>
              <w:rPr>
                <w:rFonts w:ascii="Arial" w:cs="Arial" w:eastAsia="Arial" w:hAnsi="Arial"/>
                <w:sz w:val="15"/>
                <w:szCs w:val="15"/>
                <w:b w:val="1"/>
                <w:bCs w:val="1"/>
                <w:color w:val="auto"/>
              </w:rPr>
              <w:t>Art. 5</w:t>
            </w:r>
          </w:p>
        </w:tc>
        <w:tc>
          <w:tcPr>
            <w:tcW w:w="4940" w:type="dxa"/>
            <w:vAlign w:val="bottom"/>
            <w:tcBorders>
              <w:right w:val="single" w:sz="8" w:color="auto"/>
            </w:tcBorders>
          </w:tcPr>
          <w:p>
            <w:pPr>
              <w:spacing w:after="0"/>
              <w:rPr>
                <w:sz w:val="20"/>
                <w:szCs w:val="20"/>
                <w:color w:val="auto"/>
              </w:rPr>
            </w:pPr>
            <w:r>
              <w:rPr>
                <w:rFonts w:ascii="Arial" w:cs="Arial" w:eastAsia="Arial" w:hAnsi="Arial"/>
                <w:sz w:val="15"/>
                <w:szCs w:val="15"/>
                <w:b w:val="1"/>
                <w:bCs w:val="1"/>
                <w:color w:val="auto"/>
              </w:rPr>
              <w:t>Share Certificates and Intermediated Securities</w:t>
            </w:r>
          </w:p>
        </w:tc>
        <w:tc>
          <w:tcPr>
            <w:tcW w:w="220" w:type="dxa"/>
            <w:vAlign w:val="bottom"/>
            <w:tcBorders>
              <w:right w:val="single" w:sz="8" w:color="auto"/>
            </w:tcBorders>
          </w:tcPr>
          <w:p>
            <w:pPr>
              <w:spacing w:after="0"/>
              <w:rPr>
                <w:sz w:val="18"/>
                <w:szCs w:val="18"/>
                <w:color w:val="auto"/>
              </w:rPr>
            </w:pPr>
          </w:p>
        </w:tc>
        <w:tc>
          <w:tcPr>
            <w:tcW w:w="560" w:type="dxa"/>
            <w:vAlign w:val="bottom"/>
          </w:tcPr>
          <w:p>
            <w:pPr>
              <w:ind w:left="40"/>
              <w:spacing w:after="0"/>
              <w:rPr>
                <w:sz w:val="20"/>
                <w:szCs w:val="20"/>
                <w:color w:val="auto"/>
              </w:rPr>
            </w:pPr>
            <w:r>
              <w:rPr>
                <w:rFonts w:ascii="Arial" w:cs="Arial" w:eastAsia="Arial" w:hAnsi="Arial"/>
                <w:sz w:val="15"/>
                <w:szCs w:val="15"/>
                <w:b w:val="1"/>
                <w:bCs w:val="1"/>
                <w:color w:val="auto"/>
              </w:rPr>
              <w:t>Art. 5</w:t>
            </w:r>
          </w:p>
        </w:tc>
        <w:tc>
          <w:tcPr>
            <w:tcW w:w="5040" w:type="dxa"/>
            <w:vAlign w:val="bottom"/>
            <w:tcBorders>
              <w:right w:val="single" w:sz="8" w:color="auto"/>
            </w:tcBorders>
          </w:tcPr>
          <w:p>
            <w:pPr>
              <w:ind w:left="160"/>
              <w:spacing w:after="0"/>
              <w:rPr>
                <w:sz w:val="20"/>
                <w:szCs w:val="20"/>
                <w:color w:val="auto"/>
              </w:rPr>
            </w:pPr>
            <w:r>
              <w:rPr>
                <w:rFonts w:ascii="Arial" w:cs="Arial" w:eastAsia="Arial" w:hAnsi="Arial"/>
                <w:sz w:val="15"/>
                <w:szCs w:val="15"/>
                <w:b w:val="1"/>
                <w:bCs w:val="1"/>
                <w:color w:val="auto"/>
              </w:rPr>
              <w:t>Certificats d'actions et titres intermédiés</w:t>
            </w:r>
          </w:p>
        </w:tc>
        <w:tc>
          <w:tcPr>
            <w:tcW w:w="0" w:type="dxa"/>
            <w:vAlign w:val="bottom"/>
          </w:tcPr>
          <w:p>
            <w:pPr>
              <w:spacing w:after="0"/>
              <w:rPr>
                <w:sz w:val="1"/>
                <w:szCs w:val="1"/>
                <w:color w:val="auto"/>
              </w:rPr>
            </w:pPr>
          </w:p>
        </w:tc>
      </w:tr>
      <w:tr>
        <w:trPr>
          <w:trHeight w:val="334"/>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The Company may issue registered shares in the form of single certificates,</w:t>
            </w:r>
          </w:p>
        </w:tc>
        <w:tc>
          <w:tcPr>
            <w:tcW w:w="22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La société peut émettre des actions nominatives sous forme de certificats</w:t>
            </w: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global certificates and uncertificated securities. Under the conditions set forth by</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individuels, de certificats globaux et de titres dématérialisés. Dans les conditions</w:t>
            </w: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statutory law, the Company may convert its registered shares from one form into</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prévues par la loi, la société peut convertir ses actions nominatives d'une forme</w:t>
            </w:r>
          </w:p>
        </w:tc>
        <w:tc>
          <w:tcPr>
            <w:tcW w:w="0" w:type="dxa"/>
            <w:vAlign w:val="bottom"/>
          </w:tcPr>
          <w:p>
            <w:pPr>
              <w:spacing w:after="0"/>
              <w:rPr>
                <w:sz w:val="1"/>
                <w:szCs w:val="1"/>
                <w:color w:val="auto"/>
              </w:rPr>
            </w:pPr>
          </w:p>
        </w:tc>
      </w:tr>
      <w:tr>
        <w:trPr>
          <w:trHeight w:val="185"/>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another form at any time and without the approval of the shareholders.</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en une autre forme, à tout moment et sans l'approbation des actionnaires.</w:t>
            </w:r>
          </w:p>
        </w:tc>
        <w:tc>
          <w:tcPr>
            <w:tcW w:w="0" w:type="dxa"/>
            <w:vAlign w:val="bottom"/>
          </w:tcPr>
          <w:p>
            <w:pPr>
              <w:spacing w:after="0"/>
              <w:rPr>
                <w:sz w:val="1"/>
                <w:szCs w:val="1"/>
                <w:color w:val="auto"/>
              </w:rPr>
            </w:pPr>
          </w:p>
        </w:tc>
      </w:tr>
      <w:tr>
        <w:trPr>
          <w:trHeight w:val="196"/>
        </w:trPr>
        <w:tc>
          <w:tcPr>
            <w:tcW w:w="5620" w:type="dxa"/>
            <w:vAlign w:val="bottom"/>
            <w:tcBorders>
              <w:left w:val="single" w:sz="8" w:color="auto"/>
              <w:bottom w:val="single" w:sz="8" w:color="auto"/>
              <w:right w:val="single" w:sz="8" w:color="auto"/>
            </w:tcBorders>
            <w:gridSpan w:val="2"/>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600" w:type="dxa"/>
            <w:vAlign w:val="bottom"/>
            <w:tcBorders>
              <w:bottom w:val="single" w:sz="8" w:color="auto"/>
              <w:right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The shareholder has no right to demand a conversion of the registered shares.</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L'actionnaire n'a pas le droit d'exiger une conversion d'actions nominatives.</w:t>
            </w:r>
          </w:p>
        </w:tc>
        <w:tc>
          <w:tcPr>
            <w:tcW w:w="0" w:type="dxa"/>
            <w:vAlign w:val="bottom"/>
          </w:tcPr>
          <w:p>
            <w:pPr>
              <w:spacing w:after="0"/>
              <w:rPr>
                <w:sz w:val="1"/>
                <w:szCs w:val="1"/>
                <w:color w:val="auto"/>
              </w:rPr>
            </w:pPr>
          </w:p>
        </w:tc>
      </w:tr>
      <w:tr>
        <w:trPr>
          <w:trHeight w:val="185"/>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Each shareholder may, however, at any time</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Chaque actionnaire peut toutefois, à tout moment,</w:t>
            </w:r>
          </w:p>
        </w:tc>
        <w:tc>
          <w:tcPr>
            <w:tcW w:w="0" w:type="dxa"/>
            <w:vAlign w:val="bottom"/>
          </w:tcPr>
          <w:p>
            <w:pPr>
              <w:spacing w:after="0"/>
              <w:rPr>
                <w:sz w:val="1"/>
                <w:szCs w:val="1"/>
                <w:color w:val="auto"/>
              </w:rPr>
            </w:pPr>
          </w:p>
        </w:tc>
      </w:tr>
      <w:tr>
        <w:trPr>
          <w:trHeight w:val="23"/>
        </w:trPr>
        <w:tc>
          <w:tcPr>
            <w:tcW w:w="680" w:type="dxa"/>
            <w:vAlign w:val="bottom"/>
            <w:tcBorders>
              <w:left w:val="single" w:sz="8" w:color="auto"/>
              <w:bottom w:val="single" w:sz="8" w:color="auto"/>
            </w:tcBorders>
          </w:tcPr>
          <w:p>
            <w:pPr>
              <w:spacing w:after="0"/>
              <w:rPr>
                <w:sz w:val="2"/>
                <w:szCs w:val="2"/>
                <w:color w:val="auto"/>
              </w:rPr>
            </w:pPr>
          </w:p>
        </w:tc>
        <w:tc>
          <w:tcPr>
            <w:tcW w:w="494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9"/>
        </w:trPr>
        <w:tc>
          <w:tcPr>
            <w:tcW w:w="6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31" w:right="219" w:bottom="1440" w:gutter="0" w:footer="0" w:header="0"/>
        </w:sectPr>
      </w:pPr>
    </w:p>
    <w:bookmarkStart w:id="40" w:name="page41"/>
    <w:bookmarkEnd w:id="4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46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160" w:type="dxa"/>
            <w:vAlign w:val="bottom"/>
          </w:tcPr>
          <w:p>
            <w:pPr>
              <w:ind w:left="4940"/>
              <w:spacing w:after="0"/>
              <w:rPr>
                <w:sz w:val="20"/>
                <w:szCs w:val="20"/>
                <w:color w:val="auto"/>
              </w:rPr>
            </w:pPr>
            <w:r>
              <w:rPr>
                <w:rFonts w:ascii="Arial" w:cs="Arial" w:eastAsia="Arial" w:hAnsi="Arial"/>
                <w:sz w:val="15"/>
                <w:szCs w:val="15"/>
                <w:color w:val="auto"/>
              </w:rPr>
              <w:t>10</w:t>
            </w:r>
          </w:p>
        </w:tc>
      </w:tr>
      <w:tr>
        <w:trPr>
          <w:trHeight w:val="289"/>
        </w:trPr>
        <w:tc>
          <w:tcPr>
            <w:tcW w:w="5620" w:type="dxa"/>
            <w:vAlign w:val="bottom"/>
            <w:tcBorders>
              <w:bottom w:val="single" w:sz="8" w:color="auto"/>
            </w:tcBorders>
            <w:gridSpan w:val="2"/>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gridSpan w:val="2"/>
          </w:tcPr>
          <w:p>
            <w:pPr>
              <w:spacing w:after="0"/>
              <w:rPr>
                <w:sz w:val="24"/>
                <w:szCs w:val="24"/>
                <w:color w:val="auto"/>
              </w:rPr>
            </w:pPr>
          </w:p>
        </w:tc>
      </w:tr>
      <w:tr>
        <w:trPr>
          <w:trHeight w:val="198"/>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request a written confirmation from the Company of the registered shares held by</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demander  une  confirmation  écrite  de  la  société  du  nombres  d'actions</w:t>
            </w: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such shareholder, as reflected in the share register.</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nominatives détenues par cet actionnaire telles qu'inscrites au registre du</w:t>
            </w:r>
          </w:p>
        </w:tc>
      </w:tr>
      <w:tr>
        <w:trPr>
          <w:trHeight w:val="185"/>
        </w:trPr>
        <w:tc>
          <w:tcPr>
            <w:tcW w:w="460" w:type="dxa"/>
            <w:vAlign w:val="bottom"/>
            <w:tcBorders>
              <w:left w:val="single" w:sz="8" w:color="auto"/>
            </w:tcBorders>
          </w:tcPr>
          <w:p>
            <w:pPr>
              <w:spacing w:after="0"/>
              <w:rPr>
                <w:sz w:val="16"/>
                <w:szCs w:val="16"/>
                <w:color w:val="auto"/>
              </w:rPr>
            </w:pPr>
          </w:p>
        </w:tc>
        <w:tc>
          <w:tcPr>
            <w:tcW w:w="5160" w:type="dxa"/>
            <w:vAlign w:val="bottom"/>
            <w:tcBorders>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commerce.</w:t>
            </w:r>
          </w:p>
        </w:tc>
      </w:tr>
      <w:tr>
        <w:trPr>
          <w:trHeight w:val="23"/>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gridSpan w:val="2"/>
          </w:tcPr>
          <w:p>
            <w:pPr>
              <w:spacing w:after="0"/>
              <w:rPr>
                <w:sz w:val="2"/>
                <w:szCs w:val="2"/>
                <w:color w:val="auto"/>
              </w:rPr>
            </w:pPr>
          </w:p>
        </w:tc>
      </w:tr>
      <w:tr>
        <w:trPr>
          <w:trHeight w:val="198"/>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The transfer of intermediated securities and the pledging of these intermediated</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Le transfert des titres intermédiés et la mise en gage de ces titres intermédiés</w:t>
            </w: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securities shall be based on the provisions of the Swiss Federal Intermediated</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suivent les dispositions de la Loi fédérale sur les titres intermédiés. Le transfert</w:t>
            </w: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Securities Act. Transfer of propriety as collateral by means of written assignment</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de propriété à titre de sûreté par cession écrite n'est pas autorisé.</w:t>
            </w:r>
          </w:p>
        </w:tc>
      </w:tr>
      <w:tr>
        <w:trPr>
          <w:trHeight w:val="185"/>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are not permitted.</w:t>
            </w:r>
          </w:p>
        </w:tc>
        <w:tc>
          <w:tcPr>
            <w:tcW w:w="22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5160" w:type="dxa"/>
            <w:vAlign w:val="bottom"/>
            <w:tcBorders>
              <w:right w:val="single" w:sz="8" w:color="auto"/>
            </w:tcBorders>
          </w:tcPr>
          <w:p>
            <w:pPr>
              <w:spacing w:after="0"/>
              <w:rPr>
                <w:sz w:val="16"/>
                <w:szCs w:val="16"/>
                <w:color w:val="auto"/>
              </w:rPr>
            </w:pPr>
          </w:p>
        </w:tc>
      </w:tr>
      <w:tr>
        <w:trPr>
          <w:trHeight w:val="23"/>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160" w:type="dxa"/>
            <w:vAlign w:val="bottom"/>
            <w:tcBorders>
              <w:bottom w:val="single" w:sz="8" w:color="auto"/>
              <w:right w:val="single" w:sz="8" w:color="auto"/>
            </w:tcBorders>
          </w:tcPr>
          <w:p>
            <w:pPr>
              <w:spacing w:after="0"/>
              <w:rPr>
                <w:sz w:val="2"/>
                <w:szCs w:val="2"/>
                <w:color w:val="auto"/>
              </w:rPr>
            </w:pPr>
          </w:p>
        </w:tc>
      </w:tr>
      <w:tr>
        <w:trPr>
          <w:trHeight w:val="211"/>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Art. 6   Exercise of Shareholders Rights</w:t>
            </w:r>
          </w:p>
        </w:tc>
        <w:tc>
          <w:tcPr>
            <w:tcW w:w="220" w:type="dxa"/>
            <w:vAlign w:val="bottom"/>
            <w:tcBorders>
              <w:right w:val="single" w:sz="8" w:color="auto"/>
            </w:tcBorders>
          </w:tcPr>
          <w:p>
            <w:pPr>
              <w:spacing w:after="0"/>
              <w:rPr>
                <w:sz w:val="18"/>
                <w:szCs w:val="18"/>
                <w:color w:val="auto"/>
              </w:rPr>
            </w:pPr>
          </w:p>
        </w:tc>
        <w:tc>
          <w:tcPr>
            <w:tcW w:w="440" w:type="dxa"/>
            <w:vAlign w:val="bottom"/>
          </w:tcPr>
          <w:p>
            <w:pPr>
              <w:ind w:left="40"/>
              <w:spacing w:after="0"/>
              <w:rPr>
                <w:sz w:val="20"/>
                <w:szCs w:val="20"/>
                <w:color w:val="auto"/>
              </w:rPr>
            </w:pPr>
            <w:r>
              <w:rPr>
                <w:rFonts w:ascii="Arial" w:cs="Arial" w:eastAsia="Arial" w:hAnsi="Arial"/>
                <w:sz w:val="15"/>
                <w:szCs w:val="15"/>
                <w:b w:val="1"/>
                <w:bCs w:val="1"/>
                <w:color w:val="auto"/>
                <w:w w:val="98"/>
              </w:rPr>
              <w:t>Art. 6</w:t>
            </w:r>
          </w:p>
        </w:tc>
        <w:tc>
          <w:tcPr>
            <w:tcW w:w="5160" w:type="dxa"/>
            <w:vAlign w:val="bottom"/>
            <w:tcBorders>
              <w:right w:val="single" w:sz="8" w:color="auto"/>
            </w:tcBorders>
          </w:tcPr>
          <w:p>
            <w:pPr>
              <w:ind w:left="280"/>
              <w:spacing w:after="0"/>
              <w:rPr>
                <w:sz w:val="20"/>
                <w:szCs w:val="20"/>
                <w:color w:val="auto"/>
              </w:rPr>
            </w:pPr>
            <w:r>
              <w:rPr>
                <w:rFonts w:ascii="Arial" w:cs="Arial" w:eastAsia="Arial" w:hAnsi="Arial"/>
                <w:sz w:val="15"/>
                <w:szCs w:val="15"/>
                <w:b w:val="1"/>
                <w:bCs w:val="1"/>
                <w:color w:val="auto"/>
              </w:rPr>
              <w:t>Exercice des droits des actionnaires</w:t>
            </w:r>
          </w:p>
        </w:tc>
      </w:tr>
      <w:tr>
        <w:trPr>
          <w:trHeight w:val="334"/>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The  shares  are  indivisible  and  the  Company  recognizes  only  one  single</w:t>
            </w:r>
          </w:p>
        </w:tc>
        <w:tc>
          <w:tcPr>
            <w:tcW w:w="22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Les actions sont indivisibles et la société ne reconnaît qu'un seul représentant</w:t>
            </w:r>
          </w:p>
        </w:tc>
      </w:tr>
      <w:tr>
        <w:trPr>
          <w:trHeight w:val="185"/>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representative per share.</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par action.</w:t>
            </w:r>
          </w:p>
        </w:tc>
      </w:tr>
      <w:tr>
        <w:trPr>
          <w:trHeight w:val="196"/>
        </w:trPr>
        <w:tc>
          <w:tcPr>
            <w:tcW w:w="5620" w:type="dxa"/>
            <w:vAlign w:val="bottom"/>
            <w:tcBorders>
              <w:left w:val="single" w:sz="8" w:color="auto"/>
              <w:bottom w:val="single" w:sz="8" w:color="auto"/>
              <w:right w:val="single" w:sz="8" w:color="auto"/>
            </w:tcBorders>
            <w:gridSpan w:val="2"/>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600" w:type="dxa"/>
            <w:vAlign w:val="bottom"/>
            <w:tcBorders>
              <w:bottom w:val="single" w:sz="8" w:color="auto"/>
              <w:right w:val="single" w:sz="8" w:color="auto"/>
            </w:tcBorders>
            <w:gridSpan w:val="2"/>
          </w:tcPr>
          <w:p>
            <w:pPr>
              <w:spacing w:after="0"/>
              <w:rPr>
                <w:sz w:val="17"/>
                <w:szCs w:val="17"/>
                <w:color w:val="auto"/>
              </w:rPr>
            </w:pPr>
          </w:p>
        </w:tc>
      </w:tr>
      <w:tr>
        <w:trPr>
          <w:trHeight w:val="198"/>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The right to vote and the other rights pertaining to a registered share may only be</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Le droit de vote et les autres droits relatifs à une action nominative ne peut être</w:t>
            </w: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exercised by a shareholder, a usufructuary or a nominee who is registered with</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exercé que par un actionnaire, un usufruitier ou un candidat qui est inscrit avec</w:t>
            </w: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the right to vote in the share register and by persons who are entitled by law to</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le droit de vote dans le registre des actions et par des personnes autorisées par</w:t>
            </w:r>
          </w:p>
        </w:tc>
      </w:tr>
      <w:tr>
        <w:trPr>
          <w:trHeight w:val="185"/>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the voting rights of a share.</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la loi à exercer les droits de vote d'une action.</w:t>
            </w:r>
          </w:p>
        </w:tc>
      </w:tr>
      <w:tr>
        <w:trPr>
          <w:trHeight w:val="23"/>
        </w:trPr>
        <w:tc>
          <w:tcPr>
            <w:tcW w:w="460" w:type="dxa"/>
            <w:vAlign w:val="bottom"/>
            <w:tcBorders>
              <w:left w:val="single" w:sz="8" w:color="auto"/>
              <w:bottom w:val="single" w:sz="8" w:color="auto"/>
            </w:tcBorders>
          </w:tcPr>
          <w:p>
            <w:pPr>
              <w:spacing w:after="0"/>
              <w:rPr>
                <w:sz w:val="2"/>
                <w:szCs w:val="2"/>
                <w:color w:val="auto"/>
              </w:rPr>
            </w:pPr>
          </w:p>
        </w:tc>
        <w:tc>
          <w:tcPr>
            <w:tcW w:w="516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160" w:type="dxa"/>
            <w:vAlign w:val="bottom"/>
            <w:tcBorders>
              <w:bottom w:val="single" w:sz="8" w:color="auto"/>
              <w:right w:val="single" w:sz="8" w:color="auto"/>
            </w:tcBorders>
          </w:tcPr>
          <w:p>
            <w:pPr>
              <w:spacing w:after="0"/>
              <w:rPr>
                <w:sz w:val="2"/>
                <w:szCs w:val="2"/>
                <w:color w:val="auto"/>
              </w:rPr>
            </w:pPr>
          </w:p>
        </w:tc>
      </w:tr>
      <w:tr>
        <w:trPr>
          <w:trHeight w:val="211"/>
        </w:trPr>
        <w:tc>
          <w:tcPr>
            <w:tcW w:w="460" w:type="dxa"/>
            <w:vAlign w:val="bottom"/>
            <w:tcBorders>
              <w:left w:val="single" w:sz="8" w:color="auto"/>
            </w:tcBorders>
          </w:tcPr>
          <w:p>
            <w:pPr>
              <w:spacing w:after="0"/>
              <w:rPr>
                <w:sz w:val="20"/>
                <w:szCs w:val="20"/>
                <w:color w:val="auto"/>
              </w:rPr>
            </w:pPr>
            <w:r>
              <w:rPr>
                <w:rFonts w:ascii="Arial" w:cs="Arial" w:eastAsia="Arial" w:hAnsi="Arial"/>
                <w:sz w:val="15"/>
                <w:szCs w:val="15"/>
                <w:b w:val="1"/>
                <w:bCs w:val="1"/>
                <w:color w:val="auto"/>
              </w:rPr>
              <w:t>III.</w:t>
            </w:r>
          </w:p>
        </w:tc>
        <w:tc>
          <w:tcPr>
            <w:tcW w:w="5160" w:type="dxa"/>
            <w:vAlign w:val="bottom"/>
            <w:tcBorders>
              <w:right w:val="single" w:sz="8" w:color="auto"/>
            </w:tcBorders>
          </w:tcPr>
          <w:p>
            <w:pPr>
              <w:ind w:left="180"/>
              <w:spacing w:after="0"/>
              <w:rPr>
                <w:sz w:val="20"/>
                <w:szCs w:val="20"/>
                <w:color w:val="auto"/>
              </w:rPr>
            </w:pPr>
            <w:r>
              <w:rPr>
                <w:rFonts w:ascii="Arial" w:cs="Arial" w:eastAsia="Arial" w:hAnsi="Arial"/>
                <w:sz w:val="15"/>
                <w:szCs w:val="15"/>
                <w:b w:val="1"/>
                <w:bCs w:val="1"/>
                <w:color w:val="auto"/>
              </w:rPr>
              <w:t>CORPORATE STRUCTURE</w:t>
            </w:r>
          </w:p>
        </w:tc>
        <w:tc>
          <w:tcPr>
            <w:tcW w:w="220" w:type="dxa"/>
            <w:vAlign w:val="bottom"/>
            <w:tcBorders>
              <w:right w:val="single" w:sz="8" w:color="auto"/>
            </w:tcBorders>
          </w:tcPr>
          <w:p>
            <w:pPr>
              <w:spacing w:after="0"/>
              <w:rPr>
                <w:sz w:val="18"/>
                <w:szCs w:val="18"/>
                <w:color w:val="auto"/>
              </w:rPr>
            </w:pPr>
          </w:p>
        </w:tc>
        <w:tc>
          <w:tcPr>
            <w:tcW w:w="440" w:type="dxa"/>
            <w:vAlign w:val="bottom"/>
          </w:tcPr>
          <w:p>
            <w:pPr>
              <w:ind w:left="40"/>
              <w:spacing w:after="0"/>
              <w:rPr>
                <w:sz w:val="20"/>
                <w:szCs w:val="20"/>
                <w:color w:val="auto"/>
              </w:rPr>
            </w:pPr>
            <w:r>
              <w:rPr>
                <w:rFonts w:ascii="Arial" w:cs="Arial" w:eastAsia="Arial" w:hAnsi="Arial"/>
                <w:sz w:val="15"/>
                <w:szCs w:val="15"/>
                <w:b w:val="1"/>
                <w:bCs w:val="1"/>
                <w:color w:val="auto"/>
              </w:rPr>
              <w:t>III.</w:t>
            </w:r>
          </w:p>
        </w:tc>
        <w:tc>
          <w:tcPr>
            <w:tcW w:w="5160" w:type="dxa"/>
            <w:vAlign w:val="bottom"/>
            <w:tcBorders>
              <w:right w:val="single" w:sz="8" w:color="auto"/>
            </w:tcBorders>
          </w:tcPr>
          <w:p>
            <w:pPr>
              <w:ind w:left="200"/>
              <w:spacing w:after="0"/>
              <w:rPr>
                <w:sz w:val="20"/>
                <w:szCs w:val="20"/>
                <w:color w:val="auto"/>
              </w:rPr>
            </w:pPr>
            <w:r>
              <w:rPr>
                <w:rFonts w:ascii="Arial" w:cs="Arial" w:eastAsia="Arial" w:hAnsi="Arial"/>
                <w:sz w:val="15"/>
                <w:szCs w:val="15"/>
                <w:b w:val="1"/>
                <w:bCs w:val="1"/>
                <w:color w:val="auto"/>
              </w:rPr>
              <w:t>STRUCTURE DE LA SOCIÉTÉ</w:t>
            </w:r>
          </w:p>
        </w:tc>
      </w:tr>
      <w:tr>
        <w:trPr>
          <w:trHeight w:val="23"/>
        </w:trPr>
        <w:tc>
          <w:tcPr>
            <w:tcW w:w="460" w:type="dxa"/>
            <w:vAlign w:val="bottom"/>
            <w:tcBorders>
              <w:left w:val="single" w:sz="8" w:color="auto"/>
              <w:bottom w:val="single" w:sz="8" w:color="auto"/>
            </w:tcBorders>
          </w:tcPr>
          <w:p>
            <w:pPr>
              <w:spacing w:after="0"/>
              <w:rPr>
                <w:sz w:val="2"/>
                <w:szCs w:val="2"/>
                <w:color w:val="auto"/>
              </w:rPr>
            </w:pPr>
          </w:p>
        </w:tc>
        <w:tc>
          <w:tcPr>
            <w:tcW w:w="516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160" w:type="dxa"/>
            <w:vAlign w:val="bottom"/>
            <w:tcBorders>
              <w:bottom w:val="single" w:sz="8" w:color="auto"/>
              <w:right w:val="single" w:sz="8" w:color="auto"/>
            </w:tcBorders>
          </w:tcPr>
          <w:p>
            <w:pPr>
              <w:spacing w:after="0"/>
              <w:rPr>
                <w:sz w:val="2"/>
                <w:szCs w:val="2"/>
                <w:color w:val="auto"/>
              </w:rPr>
            </w:pPr>
          </w:p>
        </w:tc>
      </w:tr>
      <w:tr>
        <w:trPr>
          <w:trHeight w:val="211"/>
        </w:trPr>
        <w:tc>
          <w:tcPr>
            <w:tcW w:w="460" w:type="dxa"/>
            <w:vAlign w:val="bottom"/>
            <w:tcBorders>
              <w:left w:val="single" w:sz="8" w:color="auto"/>
            </w:tcBorders>
          </w:tcPr>
          <w:p>
            <w:pPr>
              <w:ind w:left="40"/>
              <w:spacing w:after="0"/>
              <w:rPr>
                <w:sz w:val="20"/>
                <w:szCs w:val="20"/>
                <w:color w:val="auto"/>
              </w:rPr>
            </w:pPr>
            <w:r>
              <w:rPr>
                <w:rFonts w:ascii="Arial" w:cs="Arial" w:eastAsia="Arial" w:hAnsi="Arial"/>
                <w:sz w:val="15"/>
                <w:szCs w:val="15"/>
                <w:b w:val="1"/>
                <w:bCs w:val="1"/>
                <w:color w:val="auto"/>
              </w:rPr>
              <w:t>Art. 7</w:t>
            </w:r>
          </w:p>
        </w:tc>
        <w:tc>
          <w:tcPr>
            <w:tcW w:w="5160" w:type="dxa"/>
            <w:vAlign w:val="bottom"/>
            <w:tcBorders>
              <w:right w:val="single" w:sz="8" w:color="auto"/>
            </w:tcBorders>
          </w:tcPr>
          <w:p>
            <w:pPr>
              <w:ind w:left="220"/>
              <w:spacing w:after="0"/>
              <w:rPr>
                <w:sz w:val="20"/>
                <w:szCs w:val="20"/>
                <w:color w:val="auto"/>
              </w:rPr>
            </w:pPr>
            <w:r>
              <w:rPr>
                <w:rFonts w:ascii="Arial" w:cs="Arial" w:eastAsia="Arial" w:hAnsi="Arial"/>
                <w:sz w:val="15"/>
                <w:szCs w:val="15"/>
                <w:b w:val="1"/>
                <w:bCs w:val="1"/>
                <w:color w:val="auto"/>
              </w:rPr>
              <w:t>Organization</w:t>
            </w:r>
          </w:p>
        </w:tc>
        <w:tc>
          <w:tcPr>
            <w:tcW w:w="220" w:type="dxa"/>
            <w:vAlign w:val="bottom"/>
            <w:tcBorders>
              <w:right w:val="single" w:sz="8" w:color="auto"/>
            </w:tcBorders>
          </w:tcPr>
          <w:p>
            <w:pPr>
              <w:spacing w:after="0"/>
              <w:rPr>
                <w:sz w:val="18"/>
                <w:szCs w:val="18"/>
                <w:color w:val="auto"/>
              </w:rPr>
            </w:pPr>
          </w:p>
        </w:tc>
        <w:tc>
          <w:tcPr>
            <w:tcW w:w="440" w:type="dxa"/>
            <w:vAlign w:val="bottom"/>
          </w:tcPr>
          <w:p>
            <w:pPr>
              <w:ind w:left="40"/>
              <w:spacing w:after="0"/>
              <w:rPr>
                <w:sz w:val="20"/>
                <w:szCs w:val="20"/>
                <w:color w:val="auto"/>
              </w:rPr>
            </w:pPr>
            <w:r>
              <w:rPr>
                <w:rFonts w:ascii="Arial" w:cs="Arial" w:eastAsia="Arial" w:hAnsi="Arial"/>
                <w:sz w:val="15"/>
                <w:szCs w:val="15"/>
                <w:b w:val="1"/>
                <w:bCs w:val="1"/>
                <w:color w:val="auto"/>
                <w:w w:val="98"/>
              </w:rPr>
              <w:t>Art. 7</w:t>
            </w:r>
          </w:p>
        </w:tc>
        <w:tc>
          <w:tcPr>
            <w:tcW w:w="5160" w:type="dxa"/>
            <w:vAlign w:val="bottom"/>
            <w:tcBorders>
              <w:right w:val="single" w:sz="8" w:color="auto"/>
            </w:tcBorders>
          </w:tcPr>
          <w:p>
            <w:pPr>
              <w:ind w:left="240"/>
              <w:spacing w:after="0"/>
              <w:rPr>
                <w:sz w:val="20"/>
                <w:szCs w:val="20"/>
                <w:color w:val="auto"/>
              </w:rPr>
            </w:pPr>
            <w:r>
              <w:rPr>
                <w:rFonts w:ascii="Arial" w:cs="Arial" w:eastAsia="Arial" w:hAnsi="Arial"/>
                <w:sz w:val="15"/>
                <w:szCs w:val="15"/>
                <w:b w:val="1"/>
                <w:bCs w:val="1"/>
                <w:color w:val="auto"/>
              </w:rPr>
              <w:t>Organisation</w:t>
            </w:r>
          </w:p>
        </w:tc>
      </w:tr>
      <w:tr>
        <w:trPr>
          <w:trHeight w:val="346"/>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The corporate bodies are:</w:t>
            </w:r>
          </w:p>
        </w:tc>
        <w:tc>
          <w:tcPr>
            <w:tcW w:w="22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Les organes de la société sont:</w:t>
            </w:r>
          </w:p>
        </w:tc>
      </w:tr>
      <w:tr>
        <w:trPr>
          <w:trHeight w:val="346"/>
        </w:trPr>
        <w:tc>
          <w:tcPr>
            <w:tcW w:w="460" w:type="dxa"/>
            <w:vAlign w:val="bottom"/>
            <w:tcBorders>
              <w:left w:val="single" w:sz="8" w:color="auto"/>
            </w:tcBorders>
          </w:tcPr>
          <w:p>
            <w:pPr>
              <w:ind w:left="40"/>
              <w:spacing w:after="0"/>
              <w:rPr>
                <w:sz w:val="20"/>
                <w:szCs w:val="20"/>
                <w:color w:val="auto"/>
              </w:rPr>
            </w:pPr>
            <w:r>
              <w:rPr>
                <w:rFonts w:ascii="Arial" w:cs="Arial" w:eastAsia="Arial" w:hAnsi="Arial"/>
                <w:sz w:val="15"/>
                <w:szCs w:val="15"/>
                <w:color w:val="auto"/>
              </w:rPr>
              <w:t>A.</w:t>
            </w:r>
          </w:p>
        </w:tc>
        <w:tc>
          <w:tcPr>
            <w:tcW w:w="516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the General Meeting;</w:t>
            </w:r>
          </w:p>
        </w:tc>
        <w:tc>
          <w:tcPr>
            <w:tcW w:w="220" w:type="dxa"/>
            <w:vAlign w:val="bottom"/>
            <w:tcBorders>
              <w:right w:val="single" w:sz="8" w:color="auto"/>
            </w:tcBorders>
          </w:tcPr>
          <w:p>
            <w:pPr>
              <w:spacing w:after="0"/>
              <w:rPr>
                <w:sz w:val="24"/>
                <w:szCs w:val="24"/>
                <w:color w:val="auto"/>
              </w:rPr>
            </w:pPr>
          </w:p>
        </w:tc>
        <w:tc>
          <w:tcPr>
            <w:tcW w:w="440" w:type="dxa"/>
            <w:vAlign w:val="bottom"/>
          </w:tcPr>
          <w:p>
            <w:pPr>
              <w:ind w:left="40"/>
              <w:spacing w:after="0"/>
              <w:rPr>
                <w:sz w:val="20"/>
                <w:szCs w:val="20"/>
                <w:color w:val="auto"/>
              </w:rPr>
            </w:pPr>
            <w:r>
              <w:rPr>
                <w:rFonts w:ascii="Arial" w:cs="Arial" w:eastAsia="Arial" w:hAnsi="Arial"/>
                <w:sz w:val="15"/>
                <w:szCs w:val="15"/>
                <w:color w:val="auto"/>
              </w:rPr>
              <w:t>A.</w:t>
            </w:r>
          </w:p>
        </w:tc>
        <w:tc>
          <w:tcPr>
            <w:tcW w:w="516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L'assemblé générale;</w:t>
            </w:r>
          </w:p>
        </w:tc>
      </w:tr>
      <w:tr>
        <w:trPr>
          <w:trHeight w:val="346"/>
        </w:trPr>
        <w:tc>
          <w:tcPr>
            <w:tcW w:w="460" w:type="dxa"/>
            <w:vAlign w:val="bottom"/>
            <w:tcBorders>
              <w:left w:val="single" w:sz="8" w:color="auto"/>
            </w:tcBorders>
          </w:tcPr>
          <w:p>
            <w:pPr>
              <w:ind w:left="40"/>
              <w:spacing w:after="0"/>
              <w:rPr>
                <w:sz w:val="20"/>
                <w:szCs w:val="20"/>
                <w:color w:val="auto"/>
              </w:rPr>
            </w:pPr>
            <w:r>
              <w:rPr>
                <w:rFonts w:ascii="Arial" w:cs="Arial" w:eastAsia="Arial" w:hAnsi="Arial"/>
                <w:sz w:val="15"/>
                <w:szCs w:val="15"/>
                <w:color w:val="auto"/>
              </w:rPr>
              <w:t>B.</w:t>
            </w:r>
          </w:p>
        </w:tc>
        <w:tc>
          <w:tcPr>
            <w:tcW w:w="516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the Board of Directors;</w:t>
            </w:r>
          </w:p>
        </w:tc>
        <w:tc>
          <w:tcPr>
            <w:tcW w:w="220" w:type="dxa"/>
            <w:vAlign w:val="bottom"/>
            <w:tcBorders>
              <w:right w:val="single" w:sz="8" w:color="auto"/>
            </w:tcBorders>
          </w:tcPr>
          <w:p>
            <w:pPr>
              <w:spacing w:after="0"/>
              <w:rPr>
                <w:sz w:val="24"/>
                <w:szCs w:val="24"/>
                <w:color w:val="auto"/>
              </w:rPr>
            </w:pPr>
          </w:p>
        </w:tc>
        <w:tc>
          <w:tcPr>
            <w:tcW w:w="440" w:type="dxa"/>
            <w:vAlign w:val="bottom"/>
          </w:tcPr>
          <w:p>
            <w:pPr>
              <w:ind w:left="40"/>
              <w:spacing w:after="0"/>
              <w:rPr>
                <w:sz w:val="20"/>
                <w:szCs w:val="20"/>
                <w:color w:val="auto"/>
              </w:rPr>
            </w:pPr>
            <w:r>
              <w:rPr>
                <w:rFonts w:ascii="Arial" w:cs="Arial" w:eastAsia="Arial" w:hAnsi="Arial"/>
                <w:sz w:val="15"/>
                <w:szCs w:val="15"/>
                <w:color w:val="auto"/>
              </w:rPr>
              <w:t>B.</w:t>
            </w:r>
          </w:p>
        </w:tc>
        <w:tc>
          <w:tcPr>
            <w:tcW w:w="516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Le conseil d'administration;</w:t>
            </w:r>
          </w:p>
        </w:tc>
      </w:tr>
      <w:tr>
        <w:trPr>
          <w:trHeight w:val="346"/>
        </w:trPr>
        <w:tc>
          <w:tcPr>
            <w:tcW w:w="460" w:type="dxa"/>
            <w:vAlign w:val="bottom"/>
            <w:tcBorders>
              <w:left w:val="single" w:sz="8" w:color="auto"/>
            </w:tcBorders>
          </w:tcPr>
          <w:p>
            <w:pPr>
              <w:ind w:left="40"/>
              <w:spacing w:after="0"/>
              <w:rPr>
                <w:sz w:val="20"/>
                <w:szCs w:val="20"/>
                <w:color w:val="auto"/>
              </w:rPr>
            </w:pPr>
            <w:r>
              <w:rPr>
                <w:rFonts w:ascii="Arial" w:cs="Arial" w:eastAsia="Arial" w:hAnsi="Arial"/>
                <w:sz w:val="15"/>
                <w:szCs w:val="15"/>
                <w:color w:val="auto"/>
              </w:rPr>
              <w:t>C.</w:t>
            </w:r>
          </w:p>
        </w:tc>
        <w:tc>
          <w:tcPr>
            <w:tcW w:w="516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the Auditors.</w:t>
            </w:r>
          </w:p>
        </w:tc>
        <w:tc>
          <w:tcPr>
            <w:tcW w:w="220" w:type="dxa"/>
            <w:vAlign w:val="bottom"/>
            <w:tcBorders>
              <w:right w:val="single" w:sz="8" w:color="auto"/>
            </w:tcBorders>
          </w:tcPr>
          <w:p>
            <w:pPr>
              <w:spacing w:after="0"/>
              <w:rPr>
                <w:sz w:val="24"/>
                <w:szCs w:val="24"/>
                <w:color w:val="auto"/>
              </w:rPr>
            </w:pPr>
          </w:p>
        </w:tc>
        <w:tc>
          <w:tcPr>
            <w:tcW w:w="440" w:type="dxa"/>
            <w:vAlign w:val="bottom"/>
          </w:tcPr>
          <w:p>
            <w:pPr>
              <w:ind w:left="40"/>
              <w:spacing w:after="0"/>
              <w:rPr>
                <w:sz w:val="20"/>
                <w:szCs w:val="20"/>
                <w:color w:val="auto"/>
              </w:rPr>
            </w:pPr>
            <w:r>
              <w:rPr>
                <w:rFonts w:ascii="Arial" w:cs="Arial" w:eastAsia="Arial" w:hAnsi="Arial"/>
                <w:sz w:val="15"/>
                <w:szCs w:val="15"/>
                <w:color w:val="auto"/>
              </w:rPr>
              <w:t>C.</w:t>
            </w:r>
          </w:p>
        </w:tc>
        <w:tc>
          <w:tcPr>
            <w:tcW w:w="516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l'organe de révision.</w:t>
            </w:r>
          </w:p>
        </w:tc>
      </w:tr>
      <w:tr>
        <w:trPr>
          <w:trHeight w:val="196"/>
        </w:trPr>
        <w:tc>
          <w:tcPr>
            <w:tcW w:w="5620" w:type="dxa"/>
            <w:vAlign w:val="bottom"/>
            <w:tcBorders>
              <w:left w:val="single" w:sz="8" w:color="auto"/>
              <w:bottom w:val="single" w:sz="8" w:color="auto"/>
              <w:right w:val="single" w:sz="8" w:color="auto"/>
            </w:tcBorders>
            <w:gridSpan w:val="2"/>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5160" w:type="dxa"/>
            <w:vAlign w:val="bottom"/>
            <w:tcBorders>
              <w:bottom w:val="single" w:sz="8" w:color="auto"/>
              <w:right w:val="single" w:sz="8" w:color="auto"/>
            </w:tcBorders>
          </w:tcPr>
          <w:p>
            <w:pPr>
              <w:spacing w:after="0"/>
              <w:rPr>
                <w:sz w:val="17"/>
                <w:szCs w:val="17"/>
                <w:color w:val="auto"/>
              </w:rPr>
            </w:pPr>
          </w:p>
        </w:tc>
      </w:tr>
      <w:tr>
        <w:trPr>
          <w:trHeight w:val="211"/>
        </w:trPr>
        <w:tc>
          <w:tcPr>
            <w:tcW w:w="5620" w:type="dxa"/>
            <w:vAlign w:val="bottom"/>
            <w:tcBorders>
              <w:left w:val="single" w:sz="8" w:color="auto"/>
              <w:right w:val="single" w:sz="8" w:color="auto"/>
            </w:tcBorders>
            <w:gridSpan w:val="2"/>
          </w:tcPr>
          <w:p>
            <w:pPr>
              <w:spacing w:after="0"/>
              <w:rPr>
                <w:sz w:val="20"/>
                <w:szCs w:val="20"/>
                <w:color w:val="auto"/>
              </w:rPr>
            </w:pPr>
            <w:r>
              <w:rPr>
                <w:rFonts w:ascii="Arial" w:cs="Arial" w:eastAsia="Arial" w:hAnsi="Arial"/>
                <w:sz w:val="15"/>
                <w:szCs w:val="15"/>
                <w:b w:val="1"/>
                <w:bCs w:val="1"/>
                <w:color w:val="auto"/>
              </w:rPr>
              <w:t>IV. THE GENERAL MEETING</w:t>
            </w:r>
          </w:p>
        </w:tc>
        <w:tc>
          <w:tcPr>
            <w:tcW w:w="220" w:type="dxa"/>
            <w:vAlign w:val="bottom"/>
            <w:tcBorders>
              <w:right w:val="single" w:sz="8" w:color="auto"/>
            </w:tcBorders>
          </w:tcPr>
          <w:p>
            <w:pPr>
              <w:spacing w:after="0"/>
              <w:rPr>
                <w:sz w:val="18"/>
                <w:szCs w:val="18"/>
                <w:color w:val="auto"/>
              </w:rPr>
            </w:pPr>
          </w:p>
        </w:tc>
        <w:tc>
          <w:tcPr>
            <w:tcW w:w="440" w:type="dxa"/>
            <w:vAlign w:val="bottom"/>
          </w:tcPr>
          <w:p>
            <w:pPr>
              <w:ind w:left="40"/>
              <w:spacing w:after="0"/>
              <w:rPr>
                <w:sz w:val="20"/>
                <w:szCs w:val="20"/>
                <w:color w:val="auto"/>
              </w:rPr>
            </w:pPr>
            <w:r>
              <w:rPr>
                <w:rFonts w:ascii="Arial" w:cs="Arial" w:eastAsia="Arial" w:hAnsi="Arial"/>
                <w:sz w:val="15"/>
                <w:szCs w:val="15"/>
                <w:b w:val="1"/>
                <w:bCs w:val="1"/>
                <w:color w:val="auto"/>
              </w:rPr>
              <w:t>IV.</w:t>
            </w:r>
          </w:p>
        </w:tc>
        <w:tc>
          <w:tcPr>
            <w:tcW w:w="5160" w:type="dxa"/>
            <w:vAlign w:val="bottom"/>
            <w:tcBorders>
              <w:right w:val="single" w:sz="8" w:color="auto"/>
            </w:tcBorders>
          </w:tcPr>
          <w:p>
            <w:pPr>
              <w:ind w:left="200"/>
              <w:spacing w:after="0"/>
              <w:rPr>
                <w:sz w:val="20"/>
                <w:szCs w:val="20"/>
                <w:color w:val="auto"/>
              </w:rPr>
            </w:pPr>
            <w:r>
              <w:rPr>
                <w:rFonts w:ascii="Arial" w:cs="Arial" w:eastAsia="Arial" w:hAnsi="Arial"/>
                <w:sz w:val="15"/>
                <w:szCs w:val="15"/>
                <w:b w:val="1"/>
                <w:bCs w:val="1"/>
                <w:color w:val="auto"/>
              </w:rPr>
              <w:t>L'ASSEMBLÉE GÉNÉRALE</w:t>
            </w:r>
          </w:p>
        </w:tc>
      </w:tr>
      <w:tr>
        <w:trPr>
          <w:trHeight w:val="23"/>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160" w:type="dxa"/>
            <w:vAlign w:val="bottom"/>
            <w:tcBorders>
              <w:bottom w:val="single" w:sz="8" w:color="auto"/>
              <w:right w:val="single" w:sz="8" w:color="auto"/>
            </w:tcBorders>
          </w:tcPr>
          <w:p>
            <w:pPr>
              <w:spacing w:after="0"/>
              <w:rPr>
                <w:sz w:val="2"/>
                <w:szCs w:val="2"/>
                <w:color w:val="auto"/>
              </w:rPr>
            </w:pPr>
          </w:p>
        </w:tc>
      </w:tr>
      <w:tr>
        <w:trPr>
          <w:trHeight w:val="211"/>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Art. 8 Powers</w:t>
            </w:r>
          </w:p>
        </w:tc>
        <w:tc>
          <w:tcPr>
            <w:tcW w:w="220" w:type="dxa"/>
            <w:vAlign w:val="bottom"/>
            <w:tcBorders>
              <w:right w:val="single" w:sz="8" w:color="auto"/>
            </w:tcBorders>
          </w:tcPr>
          <w:p>
            <w:pPr>
              <w:spacing w:after="0"/>
              <w:rPr>
                <w:sz w:val="18"/>
                <w:szCs w:val="18"/>
                <w:color w:val="auto"/>
              </w:rPr>
            </w:pPr>
          </w:p>
        </w:tc>
        <w:tc>
          <w:tcPr>
            <w:tcW w:w="440" w:type="dxa"/>
            <w:vAlign w:val="bottom"/>
          </w:tcPr>
          <w:p>
            <w:pPr>
              <w:ind w:left="40"/>
              <w:spacing w:after="0"/>
              <w:rPr>
                <w:sz w:val="20"/>
                <w:szCs w:val="20"/>
                <w:color w:val="auto"/>
              </w:rPr>
            </w:pPr>
            <w:r>
              <w:rPr>
                <w:rFonts w:ascii="Arial" w:cs="Arial" w:eastAsia="Arial" w:hAnsi="Arial"/>
                <w:sz w:val="15"/>
                <w:szCs w:val="15"/>
                <w:b w:val="1"/>
                <w:bCs w:val="1"/>
                <w:color w:val="auto"/>
                <w:w w:val="98"/>
              </w:rPr>
              <w:t>Art. 8</w:t>
            </w:r>
          </w:p>
        </w:tc>
        <w:tc>
          <w:tcPr>
            <w:tcW w:w="5160" w:type="dxa"/>
            <w:vAlign w:val="bottom"/>
            <w:tcBorders>
              <w:right w:val="single" w:sz="8" w:color="auto"/>
            </w:tcBorders>
          </w:tcPr>
          <w:p>
            <w:pPr>
              <w:ind w:left="240"/>
              <w:spacing w:after="0"/>
              <w:rPr>
                <w:sz w:val="20"/>
                <w:szCs w:val="20"/>
                <w:color w:val="auto"/>
              </w:rPr>
            </w:pPr>
            <w:r>
              <w:rPr>
                <w:rFonts w:ascii="Arial" w:cs="Arial" w:eastAsia="Arial" w:hAnsi="Arial"/>
                <w:sz w:val="15"/>
                <w:szCs w:val="15"/>
                <w:b w:val="1"/>
                <w:bCs w:val="1"/>
                <w:color w:val="auto"/>
              </w:rPr>
              <w:t>Pouvoirs</w:t>
            </w:r>
          </w:p>
        </w:tc>
      </w:tr>
      <w:tr>
        <w:trPr>
          <w:trHeight w:val="334"/>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The General Meeting is the supreme body of the Company. It has the following</w:t>
            </w:r>
          </w:p>
        </w:tc>
        <w:tc>
          <w:tcPr>
            <w:tcW w:w="22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L'assemblée générale des actionnaires est le pouvoir suprême de la société. Elle</w:t>
            </w:r>
          </w:p>
        </w:tc>
      </w:tr>
      <w:tr>
        <w:trPr>
          <w:trHeight w:val="185"/>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non delegable powers:</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a les droits intransmissibles suivants:</w:t>
            </w:r>
          </w:p>
        </w:tc>
      </w:tr>
      <w:tr>
        <w:trPr>
          <w:trHeight w:val="196"/>
        </w:trPr>
        <w:tc>
          <w:tcPr>
            <w:tcW w:w="5620" w:type="dxa"/>
            <w:vAlign w:val="bottom"/>
            <w:tcBorders>
              <w:left w:val="single" w:sz="8" w:color="auto"/>
              <w:bottom w:val="single" w:sz="8" w:color="auto"/>
              <w:right w:val="single" w:sz="8" w:color="auto"/>
            </w:tcBorders>
            <w:gridSpan w:val="2"/>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5160" w:type="dxa"/>
            <w:vAlign w:val="bottom"/>
            <w:tcBorders>
              <w:bottom w:val="single" w:sz="8" w:color="auto"/>
              <w:right w:val="single" w:sz="8" w:color="auto"/>
            </w:tcBorders>
          </w:tcPr>
          <w:p>
            <w:pPr>
              <w:spacing w:after="0"/>
              <w:rPr>
                <w:sz w:val="17"/>
                <w:szCs w:val="17"/>
                <w:color w:val="auto"/>
              </w:rPr>
            </w:pPr>
          </w:p>
        </w:tc>
      </w:tr>
      <w:tr>
        <w:trPr>
          <w:trHeight w:val="198"/>
        </w:trPr>
        <w:tc>
          <w:tcPr>
            <w:tcW w:w="5620" w:type="dxa"/>
            <w:vAlign w:val="bottom"/>
            <w:tcBorders>
              <w:left w:val="single" w:sz="8" w:color="auto"/>
              <w:right w:val="single" w:sz="8" w:color="auto"/>
            </w:tcBorders>
            <w:gridSpan w:val="2"/>
          </w:tcPr>
          <w:p>
            <w:pPr>
              <w:spacing w:after="0"/>
              <w:rPr>
                <w:sz w:val="20"/>
                <w:szCs w:val="20"/>
                <w:color w:val="auto"/>
              </w:rPr>
            </w:pPr>
            <w:r>
              <w:rPr>
                <w:rFonts w:ascii="Arial" w:cs="Arial" w:eastAsia="Arial" w:hAnsi="Arial"/>
                <w:sz w:val="15"/>
                <w:szCs w:val="15"/>
                <w:color w:val="auto"/>
              </w:rPr>
              <w:t>a)   to adopt and amend the Articles of Association (Articles 651a, 652g, 653g</w:t>
            </w:r>
          </w:p>
        </w:tc>
        <w:tc>
          <w:tcPr>
            <w:tcW w:w="220" w:type="dxa"/>
            <w:vAlign w:val="bottom"/>
            <w:tcBorders>
              <w:right w:val="single" w:sz="8" w:color="auto"/>
            </w:tcBorders>
          </w:tcPr>
          <w:p>
            <w:pPr>
              <w:spacing w:after="0"/>
              <w:rPr>
                <w:sz w:val="17"/>
                <w:szCs w:val="17"/>
                <w:color w:val="auto"/>
              </w:rPr>
            </w:pPr>
          </w:p>
        </w:tc>
        <w:tc>
          <w:tcPr>
            <w:tcW w:w="440" w:type="dxa"/>
            <w:vAlign w:val="bottom"/>
          </w:tcPr>
          <w:p>
            <w:pPr>
              <w:spacing w:after="0"/>
              <w:rPr>
                <w:sz w:val="20"/>
                <w:szCs w:val="20"/>
                <w:color w:val="auto"/>
              </w:rPr>
            </w:pPr>
            <w:r>
              <w:rPr>
                <w:rFonts w:ascii="Arial" w:cs="Arial" w:eastAsia="Arial" w:hAnsi="Arial"/>
                <w:sz w:val="15"/>
                <w:szCs w:val="15"/>
                <w:color w:val="auto"/>
              </w:rPr>
              <w:t>a)</w:t>
            </w:r>
          </w:p>
        </w:tc>
        <w:tc>
          <w:tcPr>
            <w:tcW w:w="516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adapter et modifier les statuts (articles 651a, 652g, 653g et 653i CO sont</w:t>
            </w:r>
          </w:p>
        </w:tc>
      </w:tr>
      <w:tr>
        <w:trPr>
          <w:trHeight w:val="185"/>
        </w:trPr>
        <w:tc>
          <w:tcPr>
            <w:tcW w:w="5620" w:type="dxa"/>
            <w:vAlign w:val="bottom"/>
            <w:tcBorders>
              <w:left w:val="single" w:sz="8" w:color="auto"/>
              <w:right w:val="single" w:sz="8" w:color="auto"/>
            </w:tcBorders>
            <w:gridSpan w:val="2"/>
          </w:tcPr>
          <w:p>
            <w:pPr>
              <w:ind w:left="340"/>
              <w:spacing w:after="0"/>
              <w:rPr>
                <w:sz w:val="20"/>
                <w:szCs w:val="20"/>
                <w:color w:val="auto"/>
              </w:rPr>
            </w:pPr>
            <w:r>
              <w:rPr>
                <w:rFonts w:ascii="Arial" w:cs="Arial" w:eastAsia="Arial" w:hAnsi="Arial"/>
                <w:sz w:val="15"/>
                <w:szCs w:val="15"/>
                <w:color w:val="auto"/>
              </w:rPr>
              <w:t>und 653i CO remain reserved);</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gridSpan w:val="2"/>
          </w:tcPr>
          <w:p>
            <w:pPr>
              <w:ind w:left="400"/>
              <w:spacing w:after="0"/>
              <w:rPr>
                <w:sz w:val="20"/>
                <w:szCs w:val="20"/>
                <w:color w:val="auto"/>
              </w:rPr>
            </w:pPr>
            <w:r>
              <w:rPr>
                <w:rFonts w:ascii="Arial" w:cs="Arial" w:eastAsia="Arial" w:hAnsi="Arial"/>
                <w:sz w:val="15"/>
                <w:szCs w:val="15"/>
                <w:color w:val="auto"/>
              </w:rPr>
              <w:t>réservés);</w:t>
            </w:r>
          </w:p>
        </w:tc>
      </w:tr>
      <w:tr>
        <w:trPr>
          <w:trHeight w:val="23"/>
        </w:trPr>
        <w:tc>
          <w:tcPr>
            <w:tcW w:w="460" w:type="dxa"/>
            <w:vAlign w:val="bottom"/>
            <w:tcBorders>
              <w:left w:val="single" w:sz="8" w:color="auto"/>
              <w:bottom w:val="single" w:sz="8" w:color="auto"/>
            </w:tcBorders>
          </w:tcPr>
          <w:p>
            <w:pPr>
              <w:spacing w:after="0"/>
              <w:rPr>
                <w:sz w:val="2"/>
                <w:szCs w:val="2"/>
                <w:color w:val="auto"/>
              </w:rPr>
            </w:pPr>
          </w:p>
        </w:tc>
        <w:tc>
          <w:tcPr>
            <w:tcW w:w="516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160" w:type="dxa"/>
            <w:vAlign w:val="bottom"/>
            <w:tcBorders>
              <w:bottom w:val="single" w:sz="8" w:color="auto"/>
              <w:right w:val="single" w:sz="8" w:color="auto"/>
            </w:tcBorders>
          </w:tcPr>
          <w:p>
            <w:pPr>
              <w:spacing w:after="0"/>
              <w:rPr>
                <w:sz w:val="2"/>
                <w:szCs w:val="2"/>
                <w:color w:val="auto"/>
              </w:rPr>
            </w:pPr>
          </w:p>
        </w:tc>
      </w:tr>
      <w:tr>
        <w:trPr>
          <w:trHeight w:val="499"/>
        </w:trPr>
        <w:tc>
          <w:tcPr>
            <w:tcW w:w="46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231" w:right="219" w:bottom="1440" w:gutter="0" w:footer="0" w:header="0"/>
        </w:sectPr>
      </w:pPr>
    </w:p>
    <w:bookmarkStart w:id="41" w:name="page42"/>
    <w:bookmarkEnd w:id="4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160" w:type="dxa"/>
            <w:vAlign w:val="bottom"/>
          </w:tcPr>
          <w:p>
            <w:pPr>
              <w:jc w:val="right"/>
              <w:spacing w:after="0"/>
              <w:rPr>
                <w:sz w:val="20"/>
                <w:szCs w:val="20"/>
                <w:color w:val="auto"/>
              </w:rPr>
            </w:pPr>
            <w:r>
              <w:rPr>
                <w:rFonts w:ascii="Arial" w:cs="Arial" w:eastAsia="Arial" w:hAnsi="Arial"/>
                <w:sz w:val="15"/>
                <w:szCs w:val="15"/>
                <w:color w:val="auto"/>
              </w:rPr>
              <w:t>11</w:t>
            </w:r>
          </w:p>
        </w:tc>
      </w:tr>
      <w:tr>
        <w:trPr>
          <w:trHeight w:val="289"/>
        </w:trPr>
        <w:tc>
          <w:tcPr>
            <w:tcW w:w="5620" w:type="dxa"/>
            <w:vAlign w:val="bottom"/>
            <w:tcBorders>
              <w:bottom w:val="single" w:sz="8" w:color="auto"/>
            </w:tcBorders>
            <w:gridSpan w:val="3"/>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gridSpan w:val="2"/>
          </w:tcPr>
          <w:p>
            <w:pPr>
              <w:spacing w:after="0"/>
              <w:rPr>
                <w:sz w:val="24"/>
                <w:szCs w:val="24"/>
                <w:color w:val="auto"/>
              </w:rPr>
            </w:pPr>
          </w:p>
        </w:tc>
      </w:tr>
      <w:tr>
        <w:trPr>
          <w:trHeight w:val="198"/>
        </w:trPr>
        <w:tc>
          <w:tcPr>
            <w:tcW w:w="5620" w:type="dxa"/>
            <w:vAlign w:val="bottom"/>
            <w:tcBorders>
              <w:left w:val="single" w:sz="8" w:color="auto"/>
              <w:right w:val="single" w:sz="8" w:color="auto"/>
            </w:tcBorders>
            <w:gridSpan w:val="3"/>
          </w:tcPr>
          <w:p>
            <w:pPr>
              <w:jc w:val="right"/>
              <w:spacing w:after="0"/>
              <w:rPr>
                <w:sz w:val="20"/>
                <w:szCs w:val="20"/>
                <w:color w:val="auto"/>
              </w:rPr>
            </w:pPr>
            <w:r>
              <w:rPr>
                <w:rFonts w:ascii="Arial" w:cs="Arial" w:eastAsia="Arial" w:hAnsi="Arial"/>
                <w:sz w:val="15"/>
                <w:szCs w:val="15"/>
                <w:color w:val="auto"/>
              </w:rPr>
              <w:t>b)   to elect and remove the members of the Board of Directors, the Chairman of</w:t>
            </w:r>
          </w:p>
        </w:tc>
        <w:tc>
          <w:tcPr>
            <w:tcW w:w="220" w:type="dxa"/>
            <w:vAlign w:val="bottom"/>
            <w:tcBorders>
              <w:right w:val="single" w:sz="8" w:color="auto"/>
            </w:tcBorders>
          </w:tcPr>
          <w:p>
            <w:pPr>
              <w:spacing w:after="0"/>
              <w:rPr>
                <w:sz w:val="17"/>
                <w:szCs w:val="17"/>
                <w:color w:val="auto"/>
              </w:rPr>
            </w:pPr>
          </w:p>
        </w:tc>
        <w:tc>
          <w:tcPr>
            <w:tcW w:w="260" w:type="dxa"/>
            <w:vAlign w:val="bottom"/>
          </w:tcPr>
          <w:p>
            <w:pPr>
              <w:spacing w:after="0"/>
              <w:rPr>
                <w:sz w:val="20"/>
                <w:szCs w:val="20"/>
                <w:color w:val="auto"/>
              </w:rPr>
            </w:pPr>
            <w:r>
              <w:rPr>
                <w:rFonts w:ascii="Arial" w:cs="Arial" w:eastAsia="Arial" w:hAnsi="Arial"/>
                <w:sz w:val="15"/>
                <w:szCs w:val="15"/>
                <w:color w:val="auto"/>
              </w:rPr>
              <w:t>b)</w:t>
            </w:r>
          </w:p>
        </w:tc>
        <w:tc>
          <w:tcPr>
            <w:tcW w:w="5340" w:type="dxa"/>
            <w:vAlign w:val="bottom"/>
            <w:tcBorders>
              <w:right w:val="single" w:sz="8" w:color="auto"/>
            </w:tcBorders>
            <w:gridSpan w:val="2"/>
          </w:tcPr>
          <w:p>
            <w:pPr>
              <w:ind w:left="140"/>
              <w:spacing w:after="0"/>
              <w:rPr>
                <w:sz w:val="20"/>
                <w:szCs w:val="20"/>
                <w:color w:val="auto"/>
              </w:rPr>
            </w:pPr>
            <w:r>
              <w:rPr>
                <w:rFonts w:ascii="Arial" w:cs="Arial" w:eastAsia="Arial" w:hAnsi="Arial"/>
                <w:sz w:val="15"/>
                <w:szCs w:val="15"/>
                <w:color w:val="auto"/>
              </w:rPr>
              <w:t>nommer et révoquer les membres du conseil d'administration, le président</w:t>
            </w:r>
          </w:p>
        </w:tc>
      </w:tr>
      <w:tr>
        <w:trPr>
          <w:trHeight w:val="173"/>
        </w:trPr>
        <w:tc>
          <w:tcPr>
            <w:tcW w:w="240" w:type="dxa"/>
            <w:vAlign w:val="bottom"/>
            <w:tcBorders>
              <w:left w:val="single" w:sz="8" w:color="auto"/>
            </w:tcBorders>
          </w:tcPr>
          <w:p>
            <w:pPr>
              <w:spacing w:after="0"/>
              <w:rPr>
                <w:sz w:val="15"/>
                <w:szCs w:val="15"/>
                <w:color w:val="auto"/>
              </w:rPr>
            </w:pPr>
          </w:p>
        </w:tc>
        <w:tc>
          <w:tcPr>
            <w:tcW w:w="5380" w:type="dxa"/>
            <w:vAlign w:val="bottom"/>
            <w:tcBorders>
              <w:right w:val="single" w:sz="8" w:color="auto"/>
            </w:tcBorders>
            <w:gridSpan w:val="2"/>
          </w:tcPr>
          <w:p>
            <w:pPr>
              <w:jc w:val="right"/>
              <w:spacing w:after="0"/>
              <w:rPr>
                <w:sz w:val="20"/>
                <w:szCs w:val="20"/>
                <w:color w:val="auto"/>
              </w:rPr>
            </w:pPr>
            <w:r>
              <w:rPr>
                <w:rFonts w:ascii="Arial" w:cs="Arial" w:eastAsia="Arial" w:hAnsi="Arial"/>
                <w:sz w:val="15"/>
                <w:szCs w:val="15"/>
                <w:color w:val="auto"/>
              </w:rPr>
              <w:t>the Board of Directors, the members of the Compensation Committee, the</w:t>
            </w:r>
          </w:p>
        </w:tc>
        <w:tc>
          <w:tcPr>
            <w:tcW w:w="22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5340" w:type="dxa"/>
            <w:vAlign w:val="bottom"/>
            <w:tcBorders>
              <w:right w:val="single" w:sz="8" w:color="auto"/>
            </w:tcBorders>
            <w:gridSpan w:val="2"/>
          </w:tcPr>
          <w:p>
            <w:pPr>
              <w:ind w:left="140"/>
              <w:spacing w:after="0"/>
              <w:rPr>
                <w:sz w:val="20"/>
                <w:szCs w:val="20"/>
                <w:color w:val="auto"/>
              </w:rPr>
            </w:pPr>
            <w:r>
              <w:rPr>
                <w:rFonts w:ascii="Arial" w:cs="Arial" w:eastAsia="Arial" w:hAnsi="Arial"/>
                <w:sz w:val="15"/>
                <w:szCs w:val="15"/>
                <w:color w:val="auto"/>
              </w:rPr>
              <w:t>du conseil d'administration, les membres du comité de rémunération,</w:t>
            </w:r>
          </w:p>
        </w:tc>
      </w:tr>
      <w:tr>
        <w:trPr>
          <w:trHeight w:val="185"/>
        </w:trPr>
        <w:tc>
          <w:tcPr>
            <w:tcW w:w="240" w:type="dxa"/>
            <w:vAlign w:val="bottom"/>
            <w:tcBorders>
              <w:left w:val="single" w:sz="8" w:color="auto"/>
            </w:tcBorders>
          </w:tcPr>
          <w:p>
            <w:pPr>
              <w:spacing w:after="0"/>
              <w:rPr>
                <w:sz w:val="16"/>
                <w:szCs w:val="16"/>
                <w:color w:val="auto"/>
              </w:rPr>
            </w:pPr>
          </w:p>
        </w:tc>
        <w:tc>
          <w:tcPr>
            <w:tcW w:w="5380" w:type="dxa"/>
            <w:vAlign w:val="bottom"/>
            <w:tcBorders>
              <w:right w:val="single" w:sz="8" w:color="auto"/>
            </w:tcBorders>
            <w:gridSpan w:val="2"/>
          </w:tcPr>
          <w:p>
            <w:pPr>
              <w:ind w:left="100"/>
              <w:spacing w:after="0"/>
              <w:rPr>
                <w:sz w:val="20"/>
                <w:szCs w:val="20"/>
                <w:color w:val="auto"/>
              </w:rPr>
            </w:pPr>
            <w:r>
              <w:rPr>
                <w:rFonts w:ascii="Arial" w:cs="Arial" w:eastAsia="Arial" w:hAnsi="Arial"/>
                <w:sz w:val="15"/>
                <w:szCs w:val="15"/>
                <w:color w:val="auto"/>
              </w:rPr>
              <w:t>Auditors and the Independent Proxy;</w:t>
            </w:r>
          </w:p>
        </w:tc>
        <w:tc>
          <w:tcPr>
            <w:tcW w:w="2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5340" w:type="dxa"/>
            <w:vAlign w:val="bottom"/>
            <w:tcBorders>
              <w:right w:val="single" w:sz="8" w:color="auto"/>
            </w:tcBorders>
            <w:gridSpan w:val="2"/>
          </w:tcPr>
          <w:p>
            <w:pPr>
              <w:ind w:left="140"/>
              <w:spacing w:after="0"/>
              <w:rPr>
                <w:sz w:val="20"/>
                <w:szCs w:val="20"/>
                <w:color w:val="auto"/>
              </w:rPr>
            </w:pPr>
            <w:r>
              <w:rPr>
                <w:rFonts w:ascii="Arial" w:cs="Arial" w:eastAsia="Arial" w:hAnsi="Arial"/>
                <w:sz w:val="15"/>
                <w:szCs w:val="15"/>
                <w:color w:val="auto"/>
              </w:rPr>
              <w:t>l'organe de révision et le mandataire indépendant;</w:t>
            </w:r>
          </w:p>
        </w:tc>
      </w:tr>
      <w:tr>
        <w:trPr>
          <w:trHeight w:val="23"/>
        </w:trPr>
        <w:tc>
          <w:tcPr>
            <w:tcW w:w="5620" w:type="dxa"/>
            <w:vAlign w:val="bottom"/>
            <w:tcBorders>
              <w:left w:val="single" w:sz="8" w:color="auto"/>
              <w:bottom w:val="single" w:sz="8" w:color="auto"/>
              <w:right w:val="single" w:sz="8" w:color="auto"/>
            </w:tcBorders>
            <w:gridSpan w:val="3"/>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160" w:type="dxa"/>
            <w:vAlign w:val="bottom"/>
            <w:tcBorders>
              <w:bottom w:val="single" w:sz="8" w:color="auto"/>
              <w:right w:val="single" w:sz="8" w:color="auto"/>
            </w:tcBorders>
          </w:tcPr>
          <w:p>
            <w:pPr>
              <w:spacing w:after="0"/>
              <w:rPr>
                <w:sz w:val="2"/>
                <w:szCs w:val="2"/>
                <w:color w:val="auto"/>
              </w:rPr>
            </w:pPr>
          </w:p>
        </w:tc>
      </w:tr>
      <w:tr>
        <w:trPr>
          <w:trHeight w:val="198"/>
        </w:trPr>
        <w:tc>
          <w:tcPr>
            <w:tcW w:w="5620" w:type="dxa"/>
            <w:vAlign w:val="bottom"/>
            <w:tcBorders>
              <w:left w:val="single" w:sz="8" w:color="auto"/>
              <w:right w:val="single" w:sz="8" w:color="auto"/>
            </w:tcBorders>
            <w:gridSpan w:val="3"/>
          </w:tcPr>
          <w:p>
            <w:pPr>
              <w:jc w:val="right"/>
              <w:spacing w:after="0"/>
              <w:rPr>
                <w:sz w:val="20"/>
                <w:szCs w:val="20"/>
                <w:color w:val="auto"/>
              </w:rPr>
            </w:pPr>
            <w:r>
              <w:rPr>
                <w:rFonts w:ascii="Arial" w:cs="Arial" w:eastAsia="Arial" w:hAnsi="Arial"/>
                <w:sz w:val="15"/>
                <w:szCs w:val="15"/>
                <w:color w:val="auto"/>
              </w:rPr>
              <w:t>c)  to approve the management report and the annual accounts and to determine</w:t>
            </w:r>
          </w:p>
        </w:tc>
        <w:tc>
          <w:tcPr>
            <w:tcW w:w="220" w:type="dxa"/>
            <w:vAlign w:val="bottom"/>
            <w:tcBorders>
              <w:right w:val="single" w:sz="8" w:color="auto"/>
            </w:tcBorders>
          </w:tcPr>
          <w:p>
            <w:pPr>
              <w:spacing w:after="0"/>
              <w:rPr>
                <w:sz w:val="17"/>
                <w:szCs w:val="17"/>
                <w:color w:val="auto"/>
              </w:rPr>
            </w:pPr>
          </w:p>
        </w:tc>
        <w:tc>
          <w:tcPr>
            <w:tcW w:w="260" w:type="dxa"/>
            <w:vAlign w:val="bottom"/>
          </w:tcPr>
          <w:p>
            <w:pPr>
              <w:spacing w:after="0"/>
              <w:rPr>
                <w:sz w:val="20"/>
                <w:szCs w:val="20"/>
                <w:color w:val="auto"/>
              </w:rPr>
            </w:pPr>
            <w:r>
              <w:rPr>
                <w:rFonts w:ascii="Arial" w:cs="Arial" w:eastAsia="Arial" w:hAnsi="Arial"/>
                <w:sz w:val="15"/>
                <w:szCs w:val="15"/>
                <w:color w:val="auto"/>
              </w:rPr>
              <w:t>c)</w:t>
            </w:r>
          </w:p>
        </w:tc>
        <w:tc>
          <w:tcPr>
            <w:tcW w:w="180" w:type="dxa"/>
            <w:vAlign w:val="bottom"/>
          </w:tcPr>
          <w:p>
            <w:pPr>
              <w:spacing w:after="0"/>
              <w:rPr>
                <w:sz w:val="17"/>
                <w:szCs w:val="17"/>
                <w:color w:val="auto"/>
              </w:rPr>
            </w:pPr>
          </w:p>
        </w:tc>
        <w:tc>
          <w:tcPr>
            <w:tcW w:w="516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approuver le rapport de gestion et les comptes annuels et déterminer la</w:t>
            </w:r>
          </w:p>
        </w:tc>
      </w:tr>
      <w:tr>
        <w:trPr>
          <w:trHeight w:val="173"/>
        </w:trPr>
        <w:tc>
          <w:tcPr>
            <w:tcW w:w="240" w:type="dxa"/>
            <w:vAlign w:val="bottom"/>
            <w:tcBorders>
              <w:left w:val="single" w:sz="8" w:color="auto"/>
            </w:tcBorders>
          </w:tcPr>
          <w:p>
            <w:pPr>
              <w:spacing w:after="0"/>
              <w:rPr>
                <w:sz w:val="15"/>
                <w:szCs w:val="15"/>
                <w:color w:val="auto"/>
              </w:rPr>
            </w:pPr>
          </w:p>
        </w:tc>
        <w:tc>
          <w:tcPr>
            <w:tcW w:w="5380" w:type="dxa"/>
            <w:vAlign w:val="bottom"/>
            <w:tcBorders>
              <w:right w:val="single" w:sz="8" w:color="auto"/>
            </w:tcBorders>
            <w:gridSpan w:val="2"/>
          </w:tcPr>
          <w:p>
            <w:pPr>
              <w:jc w:val="right"/>
              <w:spacing w:after="0"/>
              <w:rPr>
                <w:sz w:val="20"/>
                <w:szCs w:val="20"/>
                <w:color w:val="auto"/>
              </w:rPr>
            </w:pPr>
            <w:r>
              <w:rPr>
                <w:rFonts w:ascii="Arial" w:cs="Arial" w:eastAsia="Arial" w:hAnsi="Arial"/>
                <w:sz w:val="15"/>
                <w:szCs w:val="15"/>
                <w:color w:val="auto"/>
              </w:rPr>
              <w:t>the allocation of profits, in particular with regard to dividends and bonus</w:t>
            </w:r>
          </w:p>
        </w:tc>
        <w:tc>
          <w:tcPr>
            <w:tcW w:w="22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5340" w:type="dxa"/>
            <w:vAlign w:val="bottom"/>
            <w:tcBorders>
              <w:right w:val="single" w:sz="8" w:color="auto"/>
            </w:tcBorders>
            <w:gridSpan w:val="2"/>
          </w:tcPr>
          <w:p>
            <w:pPr>
              <w:ind w:left="140"/>
              <w:spacing w:after="0"/>
              <w:rPr>
                <w:sz w:val="20"/>
                <w:szCs w:val="20"/>
                <w:color w:val="auto"/>
              </w:rPr>
            </w:pPr>
            <w:r>
              <w:rPr>
                <w:rFonts w:ascii="Arial" w:cs="Arial" w:eastAsia="Arial" w:hAnsi="Arial"/>
                <w:sz w:val="15"/>
                <w:szCs w:val="15"/>
                <w:color w:val="auto"/>
              </w:rPr>
              <w:t>répartition des bénéfices, en particulier en ce qui concerne les dividendes</w:t>
            </w:r>
          </w:p>
        </w:tc>
      </w:tr>
      <w:tr>
        <w:trPr>
          <w:trHeight w:val="185"/>
        </w:trPr>
        <w:tc>
          <w:tcPr>
            <w:tcW w:w="240" w:type="dxa"/>
            <w:vAlign w:val="bottom"/>
            <w:tcBorders>
              <w:left w:val="single" w:sz="8" w:color="auto"/>
            </w:tcBorders>
          </w:tcPr>
          <w:p>
            <w:pPr>
              <w:spacing w:after="0"/>
              <w:rPr>
                <w:sz w:val="16"/>
                <w:szCs w:val="16"/>
                <w:color w:val="auto"/>
              </w:rPr>
            </w:pPr>
          </w:p>
        </w:tc>
        <w:tc>
          <w:tcPr>
            <w:tcW w:w="5380" w:type="dxa"/>
            <w:vAlign w:val="bottom"/>
            <w:tcBorders>
              <w:right w:val="single" w:sz="8" w:color="auto"/>
            </w:tcBorders>
            <w:gridSpan w:val="2"/>
          </w:tcPr>
          <w:p>
            <w:pPr>
              <w:ind w:left="100"/>
              <w:spacing w:after="0"/>
              <w:rPr>
                <w:sz w:val="20"/>
                <w:szCs w:val="20"/>
                <w:color w:val="auto"/>
              </w:rPr>
            </w:pPr>
            <w:r>
              <w:rPr>
                <w:rFonts w:ascii="Arial" w:cs="Arial" w:eastAsia="Arial" w:hAnsi="Arial"/>
                <w:sz w:val="15"/>
                <w:szCs w:val="15"/>
                <w:color w:val="auto"/>
              </w:rPr>
              <w:t>payments;</w:t>
            </w:r>
          </w:p>
        </w:tc>
        <w:tc>
          <w:tcPr>
            <w:tcW w:w="2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5340" w:type="dxa"/>
            <w:vAlign w:val="bottom"/>
            <w:tcBorders>
              <w:right w:val="single" w:sz="8" w:color="auto"/>
            </w:tcBorders>
            <w:gridSpan w:val="2"/>
          </w:tcPr>
          <w:p>
            <w:pPr>
              <w:ind w:left="140"/>
              <w:spacing w:after="0"/>
              <w:rPr>
                <w:sz w:val="20"/>
                <w:szCs w:val="20"/>
                <w:color w:val="auto"/>
              </w:rPr>
            </w:pPr>
            <w:r>
              <w:rPr>
                <w:rFonts w:ascii="Arial" w:cs="Arial" w:eastAsia="Arial" w:hAnsi="Arial"/>
                <w:sz w:val="15"/>
                <w:szCs w:val="15"/>
                <w:color w:val="auto"/>
              </w:rPr>
              <w:t>et les bonus;</w:t>
            </w:r>
          </w:p>
        </w:tc>
      </w:tr>
      <w:tr>
        <w:trPr>
          <w:trHeight w:val="23"/>
        </w:trPr>
        <w:tc>
          <w:tcPr>
            <w:tcW w:w="240" w:type="dxa"/>
            <w:vAlign w:val="bottom"/>
            <w:tcBorders>
              <w:left w:val="single" w:sz="8" w:color="auto"/>
              <w:bottom w:val="single" w:sz="8" w:color="auto"/>
            </w:tcBorders>
          </w:tcPr>
          <w:p>
            <w:pPr>
              <w:spacing w:after="0"/>
              <w:rPr>
                <w:sz w:val="2"/>
                <w:szCs w:val="2"/>
                <w:color w:val="auto"/>
              </w:rPr>
            </w:pPr>
          </w:p>
        </w:tc>
        <w:tc>
          <w:tcPr>
            <w:tcW w:w="5380" w:type="dxa"/>
            <w:vAlign w:val="bottom"/>
            <w:tcBorders>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160" w:type="dxa"/>
            <w:vAlign w:val="bottom"/>
            <w:tcBorders>
              <w:bottom w:val="single" w:sz="8" w:color="auto"/>
              <w:right w:val="single" w:sz="8" w:color="auto"/>
            </w:tcBorders>
          </w:tcPr>
          <w:p>
            <w:pPr>
              <w:spacing w:after="0"/>
              <w:rPr>
                <w:sz w:val="2"/>
                <w:szCs w:val="2"/>
                <w:color w:val="auto"/>
              </w:rPr>
            </w:pPr>
          </w:p>
        </w:tc>
      </w:tr>
      <w:tr>
        <w:trPr>
          <w:trHeight w:val="198"/>
        </w:trPr>
        <w:tc>
          <w:tcPr>
            <w:tcW w:w="240" w:type="dxa"/>
            <w:vAlign w:val="bottom"/>
            <w:tcBorders>
              <w:left w:val="single" w:sz="8" w:color="auto"/>
            </w:tcBorders>
          </w:tcPr>
          <w:p>
            <w:pPr>
              <w:spacing w:after="0"/>
              <w:rPr>
                <w:sz w:val="20"/>
                <w:szCs w:val="20"/>
                <w:color w:val="auto"/>
              </w:rPr>
            </w:pPr>
            <w:r>
              <w:rPr>
                <w:rFonts w:ascii="Arial" w:cs="Arial" w:eastAsia="Arial" w:hAnsi="Arial"/>
                <w:sz w:val="15"/>
                <w:szCs w:val="15"/>
                <w:color w:val="auto"/>
              </w:rPr>
              <w:t>d)</w:t>
            </w:r>
          </w:p>
        </w:tc>
        <w:tc>
          <w:tcPr>
            <w:tcW w:w="5380" w:type="dxa"/>
            <w:vAlign w:val="bottom"/>
            <w:tcBorders>
              <w:right w:val="single" w:sz="8" w:color="auto"/>
            </w:tcBorders>
            <w:gridSpan w:val="2"/>
          </w:tcPr>
          <w:p>
            <w:pPr>
              <w:jc w:val="right"/>
              <w:spacing w:after="0"/>
              <w:rPr>
                <w:sz w:val="20"/>
                <w:szCs w:val="20"/>
                <w:color w:val="auto"/>
              </w:rPr>
            </w:pPr>
            <w:r>
              <w:rPr>
                <w:rFonts w:ascii="Arial" w:cs="Arial" w:eastAsia="Arial" w:hAnsi="Arial"/>
                <w:sz w:val="15"/>
                <w:szCs w:val="15"/>
                <w:color w:val="auto"/>
              </w:rPr>
              <w:t>to discharge the members of the Board of Directors and of the Executive</w:t>
            </w:r>
          </w:p>
        </w:tc>
        <w:tc>
          <w:tcPr>
            <w:tcW w:w="220" w:type="dxa"/>
            <w:vAlign w:val="bottom"/>
            <w:tcBorders>
              <w:right w:val="single" w:sz="8" w:color="auto"/>
            </w:tcBorders>
          </w:tcPr>
          <w:p>
            <w:pPr>
              <w:spacing w:after="0"/>
              <w:rPr>
                <w:sz w:val="17"/>
                <w:szCs w:val="17"/>
                <w:color w:val="auto"/>
              </w:rPr>
            </w:pPr>
          </w:p>
        </w:tc>
        <w:tc>
          <w:tcPr>
            <w:tcW w:w="260" w:type="dxa"/>
            <w:vAlign w:val="bottom"/>
          </w:tcPr>
          <w:p>
            <w:pPr>
              <w:spacing w:after="0"/>
              <w:rPr>
                <w:sz w:val="20"/>
                <w:szCs w:val="20"/>
                <w:color w:val="auto"/>
              </w:rPr>
            </w:pPr>
            <w:r>
              <w:rPr>
                <w:rFonts w:ascii="Arial" w:cs="Arial" w:eastAsia="Arial" w:hAnsi="Arial"/>
                <w:sz w:val="15"/>
                <w:szCs w:val="15"/>
                <w:color w:val="auto"/>
              </w:rPr>
              <w:t>d)</w:t>
            </w:r>
          </w:p>
        </w:tc>
        <w:tc>
          <w:tcPr>
            <w:tcW w:w="180" w:type="dxa"/>
            <w:vAlign w:val="bottom"/>
          </w:tcPr>
          <w:p>
            <w:pPr>
              <w:spacing w:after="0"/>
              <w:rPr>
                <w:sz w:val="17"/>
                <w:szCs w:val="17"/>
                <w:color w:val="auto"/>
              </w:rPr>
            </w:pPr>
          </w:p>
        </w:tc>
        <w:tc>
          <w:tcPr>
            <w:tcW w:w="516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donner décharge aux membres du conseil d'administration et au comité</w:t>
            </w:r>
          </w:p>
        </w:tc>
      </w:tr>
      <w:tr>
        <w:trPr>
          <w:trHeight w:val="185"/>
        </w:trPr>
        <w:tc>
          <w:tcPr>
            <w:tcW w:w="240" w:type="dxa"/>
            <w:vAlign w:val="bottom"/>
            <w:tcBorders>
              <w:left w:val="single" w:sz="8" w:color="auto"/>
            </w:tcBorders>
          </w:tcPr>
          <w:p>
            <w:pPr>
              <w:spacing w:after="0"/>
              <w:rPr>
                <w:sz w:val="16"/>
                <w:szCs w:val="16"/>
                <w:color w:val="auto"/>
              </w:rPr>
            </w:pPr>
          </w:p>
        </w:tc>
        <w:tc>
          <w:tcPr>
            <w:tcW w:w="5380" w:type="dxa"/>
            <w:vAlign w:val="bottom"/>
            <w:tcBorders>
              <w:right w:val="single" w:sz="8" w:color="auto"/>
            </w:tcBorders>
            <w:gridSpan w:val="2"/>
          </w:tcPr>
          <w:p>
            <w:pPr>
              <w:ind w:left="100"/>
              <w:spacing w:after="0"/>
              <w:rPr>
                <w:sz w:val="20"/>
                <w:szCs w:val="20"/>
                <w:color w:val="auto"/>
              </w:rPr>
            </w:pPr>
            <w:r>
              <w:rPr>
                <w:rFonts w:ascii="Arial" w:cs="Arial" w:eastAsia="Arial" w:hAnsi="Arial"/>
                <w:sz w:val="15"/>
                <w:szCs w:val="15"/>
                <w:color w:val="auto"/>
              </w:rPr>
              <w:t>Committee;</w:t>
            </w:r>
          </w:p>
        </w:tc>
        <w:tc>
          <w:tcPr>
            <w:tcW w:w="2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5340" w:type="dxa"/>
            <w:vAlign w:val="bottom"/>
            <w:tcBorders>
              <w:right w:val="single" w:sz="8" w:color="auto"/>
            </w:tcBorders>
            <w:gridSpan w:val="2"/>
          </w:tcPr>
          <w:p>
            <w:pPr>
              <w:ind w:left="140"/>
              <w:spacing w:after="0"/>
              <w:rPr>
                <w:sz w:val="20"/>
                <w:szCs w:val="20"/>
                <w:color w:val="auto"/>
              </w:rPr>
            </w:pPr>
            <w:r>
              <w:rPr>
                <w:rFonts w:ascii="Arial" w:cs="Arial" w:eastAsia="Arial" w:hAnsi="Arial"/>
                <w:sz w:val="15"/>
                <w:szCs w:val="15"/>
                <w:color w:val="auto"/>
              </w:rPr>
              <w:t>exécutif;</w:t>
            </w:r>
          </w:p>
        </w:tc>
      </w:tr>
      <w:tr>
        <w:trPr>
          <w:trHeight w:val="23"/>
        </w:trPr>
        <w:tc>
          <w:tcPr>
            <w:tcW w:w="240" w:type="dxa"/>
            <w:vAlign w:val="bottom"/>
            <w:tcBorders>
              <w:left w:val="single" w:sz="8" w:color="auto"/>
              <w:bottom w:val="single" w:sz="8" w:color="auto"/>
            </w:tcBorders>
          </w:tcPr>
          <w:p>
            <w:pPr>
              <w:spacing w:after="0"/>
              <w:rPr>
                <w:sz w:val="2"/>
                <w:szCs w:val="2"/>
                <w:color w:val="auto"/>
              </w:rPr>
            </w:pPr>
          </w:p>
        </w:tc>
        <w:tc>
          <w:tcPr>
            <w:tcW w:w="5380" w:type="dxa"/>
            <w:vAlign w:val="bottom"/>
            <w:tcBorders>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160" w:type="dxa"/>
            <w:vAlign w:val="bottom"/>
            <w:tcBorders>
              <w:bottom w:val="single" w:sz="8" w:color="auto"/>
              <w:right w:val="single" w:sz="8" w:color="auto"/>
            </w:tcBorders>
          </w:tcPr>
          <w:p>
            <w:pPr>
              <w:spacing w:after="0"/>
              <w:rPr>
                <w:sz w:val="2"/>
                <w:szCs w:val="2"/>
                <w:color w:val="auto"/>
              </w:rPr>
            </w:pPr>
          </w:p>
        </w:tc>
      </w:tr>
      <w:tr>
        <w:trPr>
          <w:trHeight w:val="198"/>
        </w:trPr>
        <w:tc>
          <w:tcPr>
            <w:tcW w:w="240" w:type="dxa"/>
            <w:vAlign w:val="bottom"/>
            <w:tcBorders>
              <w:left w:val="single" w:sz="8" w:color="auto"/>
            </w:tcBorders>
          </w:tcPr>
          <w:p>
            <w:pPr>
              <w:spacing w:after="0"/>
              <w:rPr>
                <w:sz w:val="20"/>
                <w:szCs w:val="20"/>
                <w:color w:val="auto"/>
              </w:rPr>
            </w:pPr>
            <w:r>
              <w:rPr>
                <w:rFonts w:ascii="Arial" w:cs="Arial" w:eastAsia="Arial" w:hAnsi="Arial"/>
                <w:sz w:val="15"/>
                <w:szCs w:val="15"/>
                <w:color w:val="auto"/>
              </w:rPr>
              <w:t>e)</w:t>
            </w:r>
          </w:p>
        </w:tc>
        <w:tc>
          <w:tcPr>
            <w:tcW w:w="5380" w:type="dxa"/>
            <w:vAlign w:val="bottom"/>
            <w:tcBorders>
              <w:right w:val="single" w:sz="8" w:color="auto"/>
            </w:tcBorders>
            <w:gridSpan w:val="2"/>
          </w:tcPr>
          <w:p>
            <w:pPr>
              <w:jc w:val="right"/>
              <w:spacing w:after="0"/>
              <w:rPr>
                <w:sz w:val="20"/>
                <w:szCs w:val="20"/>
                <w:color w:val="auto"/>
              </w:rPr>
            </w:pPr>
            <w:r>
              <w:rPr>
                <w:rFonts w:ascii="Arial" w:cs="Arial" w:eastAsia="Arial" w:hAnsi="Arial"/>
                <w:sz w:val="15"/>
                <w:szCs w:val="15"/>
                <w:color w:val="auto"/>
              </w:rPr>
              <w:t>to approve the total compensation paid to the Board of Directors and the</w:t>
            </w:r>
          </w:p>
        </w:tc>
        <w:tc>
          <w:tcPr>
            <w:tcW w:w="220" w:type="dxa"/>
            <w:vAlign w:val="bottom"/>
            <w:tcBorders>
              <w:right w:val="single" w:sz="8" w:color="auto"/>
            </w:tcBorders>
          </w:tcPr>
          <w:p>
            <w:pPr>
              <w:spacing w:after="0"/>
              <w:rPr>
                <w:sz w:val="17"/>
                <w:szCs w:val="17"/>
                <w:color w:val="auto"/>
              </w:rPr>
            </w:pPr>
          </w:p>
        </w:tc>
        <w:tc>
          <w:tcPr>
            <w:tcW w:w="260" w:type="dxa"/>
            <w:vAlign w:val="bottom"/>
          </w:tcPr>
          <w:p>
            <w:pPr>
              <w:spacing w:after="0"/>
              <w:rPr>
                <w:sz w:val="20"/>
                <w:szCs w:val="20"/>
                <w:color w:val="auto"/>
              </w:rPr>
            </w:pPr>
            <w:r>
              <w:rPr>
                <w:rFonts w:ascii="Arial" w:cs="Arial" w:eastAsia="Arial" w:hAnsi="Arial"/>
                <w:sz w:val="15"/>
                <w:szCs w:val="15"/>
                <w:color w:val="auto"/>
              </w:rPr>
              <w:t>e)</w:t>
            </w:r>
          </w:p>
        </w:tc>
        <w:tc>
          <w:tcPr>
            <w:tcW w:w="180" w:type="dxa"/>
            <w:vAlign w:val="bottom"/>
          </w:tcPr>
          <w:p>
            <w:pPr>
              <w:spacing w:after="0"/>
              <w:rPr>
                <w:sz w:val="17"/>
                <w:szCs w:val="17"/>
                <w:color w:val="auto"/>
              </w:rPr>
            </w:pPr>
          </w:p>
        </w:tc>
        <w:tc>
          <w:tcPr>
            <w:tcW w:w="516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approuver la rémunération totale versée au conseil d'administration et au</w:t>
            </w:r>
          </w:p>
        </w:tc>
      </w:tr>
      <w:tr>
        <w:trPr>
          <w:trHeight w:val="185"/>
        </w:trPr>
        <w:tc>
          <w:tcPr>
            <w:tcW w:w="240" w:type="dxa"/>
            <w:vAlign w:val="bottom"/>
            <w:tcBorders>
              <w:left w:val="single" w:sz="8" w:color="auto"/>
            </w:tcBorders>
          </w:tcPr>
          <w:p>
            <w:pPr>
              <w:spacing w:after="0"/>
              <w:rPr>
                <w:sz w:val="16"/>
                <w:szCs w:val="16"/>
                <w:color w:val="auto"/>
              </w:rPr>
            </w:pPr>
          </w:p>
        </w:tc>
        <w:tc>
          <w:tcPr>
            <w:tcW w:w="5380" w:type="dxa"/>
            <w:vAlign w:val="bottom"/>
            <w:tcBorders>
              <w:right w:val="single" w:sz="8" w:color="auto"/>
            </w:tcBorders>
            <w:gridSpan w:val="2"/>
          </w:tcPr>
          <w:p>
            <w:pPr>
              <w:ind w:left="100"/>
              <w:spacing w:after="0"/>
              <w:rPr>
                <w:sz w:val="20"/>
                <w:szCs w:val="20"/>
                <w:color w:val="auto"/>
              </w:rPr>
            </w:pPr>
            <w:r>
              <w:rPr>
                <w:rFonts w:ascii="Arial" w:cs="Arial" w:eastAsia="Arial" w:hAnsi="Arial"/>
                <w:sz w:val="15"/>
                <w:szCs w:val="15"/>
                <w:color w:val="auto"/>
              </w:rPr>
              <w:t>Executive Committee as per Articles 32 and 33 below;</w:t>
            </w:r>
          </w:p>
        </w:tc>
        <w:tc>
          <w:tcPr>
            <w:tcW w:w="2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5340" w:type="dxa"/>
            <w:vAlign w:val="bottom"/>
            <w:tcBorders>
              <w:right w:val="single" w:sz="8" w:color="auto"/>
            </w:tcBorders>
            <w:gridSpan w:val="2"/>
          </w:tcPr>
          <w:p>
            <w:pPr>
              <w:ind w:left="140"/>
              <w:spacing w:after="0"/>
              <w:rPr>
                <w:sz w:val="20"/>
                <w:szCs w:val="20"/>
                <w:color w:val="auto"/>
              </w:rPr>
            </w:pPr>
            <w:r>
              <w:rPr>
                <w:rFonts w:ascii="Arial" w:cs="Arial" w:eastAsia="Arial" w:hAnsi="Arial"/>
                <w:sz w:val="15"/>
                <w:szCs w:val="15"/>
                <w:color w:val="auto"/>
              </w:rPr>
              <w:t>comité exécutif conformément aux l'articles 32 et 33 ci-dessous;</w:t>
            </w:r>
          </w:p>
        </w:tc>
      </w:tr>
      <w:tr>
        <w:trPr>
          <w:trHeight w:val="23"/>
        </w:trPr>
        <w:tc>
          <w:tcPr>
            <w:tcW w:w="5620" w:type="dxa"/>
            <w:vAlign w:val="bottom"/>
            <w:tcBorders>
              <w:left w:val="single" w:sz="8" w:color="auto"/>
              <w:bottom w:val="single" w:sz="8" w:color="auto"/>
              <w:right w:val="single" w:sz="8" w:color="auto"/>
            </w:tcBorders>
            <w:gridSpan w:val="3"/>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160" w:type="dxa"/>
            <w:vAlign w:val="bottom"/>
            <w:tcBorders>
              <w:bottom w:val="single" w:sz="8" w:color="auto"/>
              <w:right w:val="single" w:sz="8" w:color="auto"/>
            </w:tcBorders>
          </w:tcPr>
          <w:p>
            <w:pPr>
              <w:spacing w:after="0"/>
              <w:rPr>
                <w:sz w:val="2"/>
                <w:szCs w:val="2"/>
                <w:color w:val="auto"/>
              </w:rPr>
            </w:pPr>
          </w:p>
        </w:tc>
      </w:tr>
      <w:tr>
        <w:trPr>
          <w:trHeight w:val="198"/>
        </w:trPr>
        <w:tc>
          <w:tcPr>
            <w:tcW w:w="5620" w:type="dxa"/>
            <w:vAlign w:val="bottom"/>
            <w:tcBorders>
              <w:left w:val="single" w:sz="8" w:color="auto"/>
              <w:right w:val="single" w:sz="8" w:color="auto"/>
            </w:tcBorders>
            <w:gridSpan w:val="3"/>
          </w:tcPr>
          <w:p>
            <w:pPr>
              <w:jc w:val="right"/>
              <w:spacing w:after="0"/>
              <w:rPr>
                <w:sz w:val="20"/>
                <w:szCs w:val="20"/>
                <w:color w:val="auto"/>
              </w:rPr>
            </w:pPr>
            <w:r>
              <w:rPr>
                <w:rFonts w:ascii="Arial" w:cs="Arial" w:eastAsia="Arial" w:hAnsi="Arial"/>
                <w:sz w:val="15"/>
                <w:szCs w:val="15"/>
                <w:color w:val="auto"/>
              </w:rPr>
              <w:t>f)   to pass resolutions concerning all matters which are reserved to the authority</w:t>
            </w:r>
          </w:p>
        </w:tc>
        <w:tc>
          <w:tcPr>
            <w:tcW w:w="220" w:type="dxa"/>
            <w:vAlign w:val="bottom"/>
            <w:tcBorders>
              <w:right w:val="single" w:sz="8" w:color="auto"/>
            </w:tcBorders>
          </w:tcPr>
          <w:p>
            <w:pPr>
              <w:spacing w:after="0"/>
              <w:rPr>
                <w:sz w:val="17"/>
                <w:szCs w:val="17"/>
                <w:color w:val="auto"/>
              </w:rPr>
            </w:pPr>
          </w:p>
        </w:tc>
        <w:tc>
          <w:tcPr>
            <w:tcW w:w="260" w:type="dxa"/>
            <w:vAlign w:val="bottom"/>
          </w:tcPr>
          <w:p>
            <w:pPr>
              <w:spacing w:after="0"/>
              <w:rPr>
                <w:sz w:val="20"/>
                <w:szCs w:val="20"/>
                <w:color w:val="auto"/>
              </w:rPr>
            </w:pPr>
            <w:r>
              <w:rPr>
                <w:rFonts w:ascii="Arial" w:cs="Arial" w:eastAsia="Arial" w:hAnsi="Arial"/>
                <w:sz w:val="15"/>
                <w:szCs w:val="15"/>
                <w:color w:val="auto"/>
              </w:rPr>
              <w:t>f)</w:t>
            </w:r>
          </w:p>
        </w:tc>
        <w:tc>
          <w:tcPr>
            <w:tcW w:w="180" w:type="dxa"/>
            <w:vAlign w:val="bottom"/>
          </w:tcPr>
          <w:p>
            <w:pPr>
              <w:spacing w:after="0"/>
              <w:rPr>
                <w:sz w:val="17"/>
                <w:szCs w:val="17"/>
                <w:color w:val="auto"/>
              </w:rPr>
            </w:pPr>
          </w:p>
        </w:tc>
        <w:tc>
          <w:tcPr>
            <w:tcW w:w="516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prendre les décisions sur toutes les affaires qui sont attribuées à</w:t>
            </w:r>
          </w:p>
        </w:tc>
      </w:tr>
      <w:tr>
        <w:trPr>
          <w:trHeight w:val="185"/>
        </w:trPr>
        <w:tc>
          <w:tcPr>
            <w:tcW w:w="240" w:type="dxa"/>
            <w:vAlign w:val="bottom"/>
            <w:tcBorders>
              <w:left w:val="single" w:sz="8" w:color="auto"/>
            </w:tcBorders>
          </w:tcPr>
          <w:p>
            <w:pPr>
              <w:spacing w:after="0"/>
              <w:rPr>
                <w:sz w:val="16"/>
                <w:szCs w:val="16"/>
                <w:color w:val="auto"/>
              </w:rPr>
            </w:pPr>
          </w:p>
        </w:tc>
        <w:tc>
          <w:tcPr>
            <w:tcW w:w="5380" w:type="dxa"/>
            <w:vAlign w:val="bottom"/>
            <w:tcBorders>
              <w:right w:val="single" w:sz="8" w:color="auto"/>
            </w:tcBorders>
            <w:gridSpan w:val="2"/>
          </w:tcPr>
          <w:p>
            <w:pPr>
              <w:ind w:left="100"/>
              <w:spacing w:after="0"/>
              <w:rPr>
                <w:sz w:val="20"/>
                <w:szCs w:val="20"/>
                <w:color w:val="auto"/>
              </w:rPr>
            </w:pPr>
            <w:r>
              <w:rPr>
                <w:rFonts w:ascii="Arial" w:cs="Arial" w:eastAsia="Arial" w:hAnsi="Arial"/>
                <w:sz w:val="15"/>
                <w:szCs w:val="15"/>
                <w:color w:val="auto"/>
              </w:rPr>
              <w:t>of the General Meeting by law or by the Articles of Association.</w:t>
            </w:r>
          </w:p>
        </w:tc>
        <w:tc>
          <w:tcPr>
            <w:tcW w:w="2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5340" w:type="dxa"/>
            <w:vAlign w:val="bottom"/>
            <w:tcBorders>
              <w:right w:val="single" w:sz="8" w:color="auto"/>
            </w:tcBorders>
            <w:gridSpan w:val="2"/>
          </w:tcPr>
          <w:p>
            <w:pPr>
              <w:ind w:left="140"/>
              <w:spacing w:after="0"/>
              <w:rPr>
                <w:sz w:val="20"/>
                <w:szCs w:val="20"/>
                <w:color w:val="auto"/>
              </w:rPr>
            </w:pPr>
            <w:r>
              <w:rPr>
                <w:rFonts w:ascii="Arial" w:cs="Arial" w:eastAsia="Arial" w:hAnsi="Arial"/>
                <w:sz w:val="15"/>
                <w:szCs w:val="15"/>
                <w:color w:val="auto"/>
              </w:rPr>
              <w:t>l'assemblée générale par la loi ou les statuts.</w:t>
            </w:r>
          </w:p>
        </w:tc>
      </w:tr>
      <w:tr>
        <w:trPr>
          <w:trHeight w:val="23"/>
        </w:trPr>
        <w:tc>
          <w:tcPr>
            <w:tcW w:w="560" w:type="dxa"/>
            <w:vAlign w:val="bottom"/>
            <w:tcBorders>
              <w:left w:val="single" w:sz="8" w:color="auto"/>
              <w:bottom w:val="single" w:sz="8" w:color="auto"/>
            </w:tcBorders>
            <w:gridSpan w:val="2"/>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5160" w:type="dxa"/>
            <w:vAlign w:val="bottom"/>
            <w:tcBorders>
              <w:bottom w:val="single" w:sz="8" w:color="auto"/>
              <w:right w:val="single" w:sz="8" w:color="auto"/>
            </w:tcBorders>
          </w:tcPr>
          <w:p>
            <w:pPr>
              <w:spacing w:after="0"/>
              <w:rPr>
                <w:sz w:val="2"/>
                <w:szCs w:val="2"/>
                <w:color w:val="auto"/>
              </w:rPr>
            </w:pPr>
          </w:p>
        </w:tc>
      </w:tr>
      <w:tr>
        <w:trPr>
          <w:trHeight w:val="211"/>
        </w:trPr>
        <w:tc>
          <w:tcPr>
            <w:tcW w:w="560" w:type="dxa"/>
            <w:vAlign w:val="bottom"/>
            <w:tcBorders>
              <w:left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Art. 9</w:t>
            </w:r>
          </w:p>
        </w:tc>
        <w:tc>
          <w:tcPr>
            <w:tcW w:w="5060" w:type="dxa"/>
            <w:vAlign w:val="bottom"/>
            <w:tcBorders>
              <w:right w:val="single" w:sz="8" w:color="auto"/>
            </w:tcBorders>
          </w:tcPr>
          <w:p>
            <w:pPr>
              <w:jc w:val="right"/>
              <w:ind w:right="2983"/>
              <w:spacing w:after="0"/>
              <w:rPr>
                <w:sz w:val="20"/>
                <w:szCs w:val="20"/>
                <w:color w:val="auto"/>
              </w:rPr>
            </w:pPr>
            <w:r>
              <w:rPr>
                <w:rFonts w:ascii="Arial" w:cs="Arial" w:eastAsia="Arial" w:hAnsi="Arial"/>
                <w:sz w:val="15"/>
                <w:szCs w:val="15"/>
                <w:b w:val="1"/>
                <w:bCs w:val="1"/>
                <w:color w:val="auto"/>
              </w:rPr>
              <w:t>Ordinary General Meeting</w:t>
            </w:r>
          </w:p>
        </w:tc>
        <w:tc>
          <w:tcPr>
            <w:tcW w:w="220" w:type="dxa"/>
            <w:vAlign w:val="bottom"/>
            <w:tcBorders>
              <w:right w:val="single" w:sz="8" w:color="auto"/>
            </w:tcBorders>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Arial" w:cs="Arial" w:eastAsia="Arial" w:hAnsi="Arial"/>
                <w:sz w:val="15"/>
                <w:szCs w:val="15"/>
                <w:b w:val="1"/>
                <w:bCs w:val="1"/>
                <w:color w:val="auto"/>
                <w:w w:val="98"/>
              </w:rPr>
              <w:t>Art. 9</w:t>
            </w:r>
          </w:p>
        </w:tc>
        <w:tc>
          <w:tcPr>
            <w:tcW w:w="5160" w:type="dxa"/>
            <w:vAlign w:val="bottom"/>
            <w:tcBorders>
              <w:right w:val="single" w:sz="8" w:color="auto"/>
            </w:tcBorders>
          </w:tcPr>
          <w:p>
            <w:pPr>
              <w:jc w:val="right"/>
              <w:ind w:right="2663"/>
              <w:spacing w:after="0"/>
              <w:rPr>
                <w:sz w:val="20"/>
                <w:szCs w:val="20"/>
                <w:color w:val="auto"/>
              </w:rPr>
            </w:pPr>
            <w:r>
              <w:rPr>
                <w:rFonts w:ascii="Arial" w:cs="Arial" w:eastAsia="Arial" w:hAnsi="Arial"/>
                <w:sz w:val="15"/>
                <w:szCs w:val="15"/>
                <w:b w:val="1"/>
                <w:bCs w:val="1"/>
                <w:color w:val="auto"/>
              </w:rPr>
              <w:t>Assemblée générale ordinaire</w:t>
            </w:r>
          </w:p>
        </w:tc>
      </w:tr>
      <w:tr>
        <w:trPr>
          <w:trHeight w:val="334"/>
        </w:trPr>
        <w:tc>
          <w:tcPr>
            <w:tcW w:w="5620" w:type="dxa"/>
            <w:vAlign w:val="bottom"/>
            <w:tcBorders>
              <w:left w:val="single" w:sz="8" w:color="auto"/>
              <w:right w:val="single" w:sz="8" w:color="auto"/>
            </w:tcBorders>
            <w:gridSpan w:val="3"/>
          </w:tcPr>
          <w:p>
            <w:pPr>
              <w:jc w:val="right"/>
              <w:spacing w:after="0"/>
              <w:rPr>
                <w:sz w:val="20"/>
                <w:szCs w:val="20"/>
                <w:color w:val="auto"/>
              </w:rPr>
            </w:pPr>
            <w:r>
              <w:rPr>
                <w:rFonts w:ascii="Arial" w:cs="Arial" w:eastAsia="Arial" w:hAnsi="Arial"/>
                <w:sz w:val="15"/>
                <w:szCs w:val="15"/>
                <w:color w:val="auto"/>
              </w:rPr>
              <w:t>The Ordinary General Meeting shall be held annually within six months after the</w:t>
            </w:r>
          </w:p>
        </w:tc>
        <w:tc>
          <w:tcPr>
            <w:tcW w:w="22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gridSpan w:val="3"/>
          </w:tcPr>
          <w:p>
            <w:pPr>
              <w:ind w:left="40"/>
              <w:spacing w:after="0"/>
              <w:rPr>
                <w:sz w:val="20"/>
                <w:szCs w:val="20"/>
                <w:color w:val="auto"/>
              </w:rPr>
            </w:pPr>
            <w:r>
              <w:rPr>
                <w:rFonts w:ascii="Arial" w:cs="Arial" w:eastAsia="Arial" w:hAnsi="Arial"/>
                <w:sz w:val="15"/>
                <w:szCs w:val="15"/>
                <w:color w:val="auto"/>
              </w:rPr>
              <w:t>L'assemblée générale ordinaire aura lieu chaque année dans les six mois qui</w:t>
            </w:r>
          </w:p>
        </w:tc>
      </w:tr>
      <w:tr>
        <w:trPr>
          <w:trHeight w:val="173"/>
        </w:trPr>
        <w:tc>
          <w:tcPr>
            <w:tcW w:w="5620" w:type="dxa"/>
            <w:vAlign w:val="bottom"/>
            <w:tcBorders>
              <w:left w:val="single" w:sz="8" w:color="auto"/>
              <w:right w:val="single" w:sz="8" w:color="auto"/>
            </w:tcBorders>
            <w:gridSpan w:val="3"/>
          </w:tcPr>
          <w:p>
            <w:pPr>
              <w:jc w:val="right"/>
              <w:spacing w:after="0"/>
              <w:rPr>
                <w:sz w:val="20"/>
                <w:szCs w:val="20"/>
                <w:color w:val="auto"/>
              </w:rPr>
            </w:pPr>
            <w:r>
              <w:rPr>
                <w:rFonts w:ascii="Arial" w:cs="Arial" w:eastAsia="Arial" w:hAnsi="Arial"/>
                <w:sz w:val="15"/>
                <w:szCs w:val="15"/>
                <w:color w:val="auto"/>
              </w:rPr>
              <w:t>close of the business year at such time and at such location, which may be within</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3"/>
          </w:tcPr>
          <w:p>
            <w:pPr>
              <w:ind w:left="40"/>
              <w:spacing w:after="0"/>
              <w:rPr>
                <w:sz w:val="20"/>
                <w:szCs w:val="20"/>
                <w:color w:val="auto"/>
              </w:rPr>
            </w:pPr>
            <w:r>
              <w:rPr>
                <w:rFonts w:ascii="Arial" w:cs="Arial" w:eastAsia="Arial" w:hAnsi="Arial"/>
                <w:sz w:val="15"/>
                <w:szCs w:val="15"/>
                <w:color w:val="auto"/>
              </w:rPr>
              <w:t>suivent la clôture de l'exercice à la date et à l'endroit, qui peut être en ou hors de</w:t>
            </w:r>
          </w:p>
        </w:tc>
      </w:tr>
      <w:tr>
        <w:trPr>
          <w:trHeight w:val="185"/>
        </w:trPr>
        <w:tc>
          <w:tcPr>
            <w:tcW w:w="56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5"/>
                <w:szCs w:val="15"/>
                <w:color w:val="auto"/>
              </w:rPr>
              <w:t>or outside Switzerland, as determined by the Board of Directors.</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gridSpan w:val="3"/>
          </w:tcPr>
          <w:p>
            <w:pPr>
              <w:ind w:left="40"/>
              <w:spacing w:after="0"/>
              <w:rPr>
                <w:sz w:val="20"/>
                <w:szCs w:val="20"/>
                <w:color w:val="auto"/>
              </w:rPr>
            </w:pPr>
            <w:r>
              <w:rPr>
                <w:rFonts w:ascii="Arial" w:cs="Arial" w:eastAsia="Arial" w:hAnsi="Arial"/>
                <w:sz w:val="15"/>
                <w:szCs w:val="15"/>
                <w:color w:val="auto"/>
              </w:rPr>
              <w:t>la Suisse, tel que déterminé par le conseil d'administration.</w:t>
            </w:r>
          </w:p>
        </w:tc>
      </w:tr>
      <w:tr>
        <w:trPr>
          <w:trHeight w:val="196"/>
        </w:trPr>
        <w:tc>
          <w:tcPr>
            <w:tcW w:w="5620" w:type="dxa"/>
            <w:vAlign w:val="bottom"/>
            <w:tcBorders>
              <w:left w:val="single" w:sz="8" w:color="auto"/>
              <w:bottom w:val="single" w:sz="8" w:color="auto"/>
              <w:right w:val="single" w:sz="8" w:color="auto"/>
            </w:tcBorders>
            <w:gridSpan w:val="3"/>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600" w:type="dxa"/>
            <w:vAlign w:val="bottom"/>
            <w:tcBorders>
              <w:bottom w:val="single" w:sz="8" w:color="auto"/>
              <w:right w:val="single" w:sz="8" w:color="auto"/>
            </w:tcBorders>
            <w:gridSpan w:val="3"/>
          </w:tcPr>
          <w:p>
            <w:pPr>
              <w:spacing w:after="0"/>
              <w:rPr>
                <w:sz w:val="17"/>
                <w:szCs w:val="17"/>
                <w:color w:val="auto"/>
              </w:rPr>
            </w:pPr>
          </w:p>
        </w:tc>
      </w:tr>
      <w:tr>
        <w:trPr>
          <w:trHeight w:val="211"/>
        </w:trPr>
        <w:tc>
          <w:tcPr>
            <w:tcW w:w="56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5"/>
                <w:szCs w:val="15"/>
                <w:b w:val="1"/>
                <w:bCs w:val="1"/>
                <w:color w:val="auto"/>
              </w:rPr>
              <w:t>Art. 10   Extraordinary General Meeting</w:t>
            </w:r>
          </w:p>
        </w:tc>
        <w:tc>
          <w:tcPr>
            <w:tcW w:w="2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gridSpan w:val="3"/>
          </w:tcPr>
          <w:p>
            <w:pPr>
              <w:ind w:left="40"/>
              <w:spacing w:after="0"/>
              <w:rPr>
                <w:sz w:val="20"/>
                <w:szCs w:val="20"/>
                <w:color w:val="auto"/>
              </w:rPr>
            </w:pPr>
            <w:r>
              <w:rPr>
                <w:rFonts w:ascii="Arial" w:cs="Arial" w:eastAsia="Arial" w:hAnsi="Arial"/>
                <w:sz w:val="15"/>
                <w:szCs w:val="15"/>
                <w:b w:val="1"/>
                <w:bCs w:val="1"/>
                <w:color w:val="auto"/>
              </w:rPr>
              <w:t>Art. 10  Assemblée générale extraordinaire</w:t>
            </w:r>
          </w:p>
        </w:tc>
      </w:tr>
      <w:tr>
        <w:trPr>
          <w:trHeight w:val="334"/>
        </w:trPr>
        <w:tc>
          <w:tcPr>
            <w:tcW w:w="5620" w:type="dxa"/>
            <w:vAlign w:val="bottom"/>
            <w:tcBorders>
              <w:left w:val="single" w:sz="8" w:color="auto"/>
              <w:right w:val="single" w:sz="8" w:color="auto"/>
            </w:tcBorders>
            <w:gridSpan w:val="3"/>
          </w:tcPr>
          <w:p>
            <w:pPr>
              <w:jc w:val="right"/>
              <w:spacing w:after="0"/>
              <w:rPr>
                <w:sz w:val="20"/>
                <w:szCs w:val="20"/>
                <w:color w:val="auto"/>
              </w:rPr>
            </w:pPr>
            <w:r>
              <w:rPr>
                <w:rFonts w:ascii="Arial" w:cs="Arial" w:eastAsia="Arial" w:hAnsi="Arial"/>
                <w:sz w:val="15"/>
                <w:szCs w:val="15"/>
                <w:color w:val="auto"/>
              </w:rPr>
              <w:t>Extraordinary General Meetings may be called by resolution of the General</w:t>
            </w:r>
          </w:p>
        </w:tc>
        <w:tc>
          <w:tcPr>
            <w:tcW w:w="22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gridSpan w:val="3"/>
          </w:tcPr>
          <w:p>
            <w:pPr>
              <w:ind w:left="40"/>
              <w:spacing w:after="0"/>
              <w:rPr>
                <w:sz w:val="20"/>
                <w:szCs w:val="20"/>
                <w:color w:val="auto"/>
              </w:rPr>
            </w:pPr>
            <w:r>
              <w:rPr>
                <w:rFonts w:ascii="Arial" w:cs="Arial" w:eastAsia="Arial" w:hAnsi="Arial"/>
                <w:sz w:val="15"/>
                <w:szCs w:val="15"/>
                <w:color w:val="auto"/>
              </w:rPr>
              <w:t>Les  assemblées  générales  extraordinaires  peuvent  être  convoquées  par</w:t>
            </w:r>
          </w:p>
        </w:tc>
      </w:tr>
      <w:tr>
        <w:trPr>
          <w:trHeight w:val="173"/>
        </w:trPr>
        <w:tc>
          <w:tcPr>
            <w:tcW w:w="5620" w:type="dxa"/>
            <w:vAlign w:val="bottom"/>
            <w:tcBorders>
              <w:left w:val="single" w:sz="8" w:color="auto"/>
              <w:right w:val="single" w:sz="8" w:color="auto"/>
            </w:tcBorders>
            <w:gridSpan w:val="3"/>
          </w:tcPr>
          <w:p>
            <w:pPr>
              <w:jc w:val="right"/>
              <w:spacing w:after="0"/>
              <w:rPr>
                <w:sz w:val="20"/>
                <w:szCs w:val="20"/>
                <w:color w:val="auto"/>
              </w:rPr>
            </w:pPr>
            <w:r>
              <w:rPr>
                <w:rFonts w:ascii="Arial" w:cs="Arial" w:eastAsia="Arial" w:hAnsi="Arial"/>
                <w:sz w:val="15"/>
                <w:szCs w:val="15"/>
                <w:color w:val="auto"/>
              </w:rPr>
              <w:t>Meeting, the Auditors or the Board of Directors, or by shareholders with voting</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3"/>
          </w:tcPr>
          <w:p>
            <w:pPr>
              <w:ind w:left="40"/>
              <w:spacing w:after="0"/>
              <w:rPr>
                <w:sz w:val="20"/>
                <w:szCs w:val="20"/>
                <w:color w:val="auto"/>
              </w:rPr>
            </w:pPr>
            <w:r>
              <w:rPr>
                <w:rFonts w:ascii="Arial" w:cs="Arial" w:eastAsia="Arial" w:hAnsi="Arial"/>
                <w:sz w:val="15"/>
                <w:szCs w:val="15"/>
                <w:color w:val="auto"/>
              </w:rPr>
              <w:t>décision  de  l'assemblée  générale,  l'organe  de  révision  ou  le  conseil</w:t>
            </w:r>
          </w:p>
        </w:tc>
      </w:tr>
      <w:tr>
        <w:trPr>
          <w:trHeight w:val="173"/>
        </w:trPr>
        <w:tc>
          <w:tcPr>
            <w:tcW w:w="5620" w:type="dxa"/>
            <w:vAlign w:val="bottom"/>
            <w:tcBorders>
              <w:left w:val="single" w:sz="8" w:color="auto"/>
              <w:right w:val="single" w:sz="8" w:color="auto"/>
            </w:tcBorders>
            <w:gridSpan w:val="3"/>
          </w:tcPr>
          <w:p>
            <w:pPr>
              <w:jc w:val="right"/>
              <w:spacing w:after="0"/>
              <w:rPr>
                <w:sz w:val="20"/>
                <w:szCs w:val="20"/>
                <w:color w:val="auto"/>
              </w:rPr>
            </w:pPr>
            <w:r>
              <w:rPr>
                <w:rFonts w:ascii="Arial" w:cs="Arial" w:eastAsia="Arial" w:hAnsi="Arial"/>
                <w:sz w:val="15"/>
                <w:szCs w:val="15"/>
                <w:color w:val="auto"/>
              </w:rPr>
              <w:t>powers, provided they represent at least 10% of the share capital and who</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3"/>
          </w:tcPr>
          <w:p>
            <w:pPr>
              <w:ind w:left="40"/>
              <w:spacing w:after="0"/>
              <w:rPr>
                <w:sz w:val="20"/>
                <w:szCs w:val="20"/>
                <w:color w:val="auto"/>
              </w:rPr>
            </w:pPr>
            <w:r>
              <w:rPr>
                <w:rFonts w:ascii="Arial" w:cs="Arial" w:eastAsia="Arial" w:hAnsi="Arial"/>
                <w:sz w:val="15"/>
                <w:szCs w:val="15"/>
                <w:color w:val="auto"/>
              </w:rPr>
              <w:t>d'administration, ou par des actionnaires avec droit de vote, à condition qu'ils</w:t>
            </w:r>
          </w:p>
        </w:tc>
      </w:tr>
      <w:tr>
        <w:trPr>
          <w:trHeight w:val="173"/>
        </w:trPr>
        <w:tc>
          <w:tcPr>
            <w:tcW w:w="5620" w:type="dxa"/>
            <w:vAlign w:val="bottom"/>
            <w:tcBorders>
              <w:left w:val="single" w:sz="8" w:color="auto"/>
              <w:right w:val="single" w:sz="8" w:color="auto"/>
            </w:tcBorders>
            <w:gridSpan w:val="3"/>
          </w:tcPr>
          <w:p>
            <w:pPr>
              <w:jc w:val="right"/>
              <w:spacing w:after="0"/>
              <w:rPr>
                <w:sz w:val="20"/>
                <w:szCs w:val="20"/>
                <w:color w:val="auto"/>
              </w:rPr>
            </w:pPr>
            <w:r>
              <w:rPr>
                <w:rFonts w:ascii="Arial" w:cs="Arial" w:eastAsia="Arial" w:hAnsi="Arial"/>
                <w:sz w:val="15"/>
                <w:szCs w:val="15"/>
                <w:color w:val="auto"/>
              </w:rPr>
              <w:t>submit (a)(1) a request signed by such shareholder(s) that specifies the item(s)</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3"/>
          </w:tcPr>
          <w:p>
            <w:pPr>
              <w:ind w:left="40"/>
              <w:spacing w:after="0"/>
              <w:rPr>
                <w:sz w:val="20"/>
                <w:szCs w:val="20"/>
                <w:color w:val="auto"/>
              </w:rPr>
            </w:pPr>
            <w:r>
              <w:rPr>
                <w:rFonts w:ascii="Arial" w:cs="Arial" w:eastAsia="Arial" w:hAnsi="Arial"/>
                <w:sz w:val="15"/>
                <w:szCs w:val="15"/>
                <w:color w:val="auto"/>
              </w:rPr>
              <w:t>représentent au moins 10% du capital-actions et qu'ils soumettent (a) (1) une</w:t>
            </w:r>
          </w:p>
        </w:tc>
      </w:tr>
      <w:tr>
        <w:trPr>
          <w:trHeight w:val="173"/>
        </w:trPr>
        <w:tc>
          <w:tcPr>
            <w:tcW w:w="5620" w:type="dxa"/>
            <w:vAlign w:val="bottom"/>
            <w:tcBorders>
              <w:left w:val="single" w:sz="8" w:color="auto"/>
              <w:right w:val="single" w:sz="8" w:color="auto"/>
            </w:tcBorders>
            <w:gridSpan w:val="3"/>
          </w:tcPr>
          <w:p>
            <w:pPr>
              <w:jc w:val="right"/>
              <w:spacing w:after="0"/>
              <w:rPr>
                <w:sz w:val="20"/>
                <w:szCs w:val="20"/>
                <w:color w:val="auto"/>
              </w:rPr>
            </w:pPr>
            <w:r>
              <w:rPr>
                <w:rFonts w:ascii="Arial" w:cs="Arial" w:eastAsia="Arial" w:hAnsi="Arial"/>
                <w:sz w:val="15"/>
                <w:szCs w:val="15"/>
                <w:color w:val="auto"/>
              </w:rPr>
              <w:t>to be included on the agenda, (2) the respective proposals of the shareholders</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3"/>
          </w:tcPr>
          <w:p>
            <w:pPr>
              <w:ind w:left="40"/>
              <w:spacing w:after="0"/>
              <w:rPr>
                <w:sz w:val="20"/>
                <w:szCs w:val="20"/>
                <w:color w:val="auto"/>
              </w:rPr>
            </w:pPr>
            <w:r>
              <w:rPr>
                <w:rFonts w:ascii="Arial" w:cs="Arial" w:eastAsia="Arial" w:hAnsi="Arial"/>
                <w:sz w:val="15"/>
                <w:szCs w:val="15"/>
                <w:color w:val="auto"/>
              </w:rPr>
              <w:t>demande signée par le(s)dit(s) actionnaire(s) qui spécifie les objets à faire figurer</w:t>
            </w:r>
          </w:p>
        </w:tc>
      </w:tr>
      <w:tr>
        <w:trPr>
          <w:trHeight w:val="173"/>
        </w:trPr>
        <w:tc>
          <w:tcPr>
            <w:tcW w:w="5620" w:type="dxa"/>
            <w:vAlign w:val="bottom"/>
            <w:tcBorders>
              <w:left w:val="single" w:sz="8" w:color="auto"/>
              <w:right w:val="single" w:sz="8" w:color="auto"/>
            </w:tcBorders>
            <w:gridSpan w:val="3"/>
          </w:tcPr>
          <w:p>
            <w:pPr>
              <w:jc w:val="right"/>
              <w:spacing w:after="0"/>
              <w:rPr>
                <w:sz w:val="20"/>
                <w:szCs w:val="20"/>
                <w:color w:val="auto"/>
              </w:rPr>
            </w:pPr>
            <w:r>
              <w:rPr>
                <w:rFonts w:ascii="Arial" w:cs="Arial" w:eastAsia="Arial" w:hAnsi="Arial"/>
                <w:sz w:val="15"/>
                <w:szCs w:val="15"/>
                <w:color w:val="auto"/>
              </w:rPr>
              <w:t>and (3) evidence of the required shareholdings recorded in the share register</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3"/>
          </w:tcPr>
          <w:p>
            <w:pPr>
              <w:ind w:left="40"/>
              <w:spacing w:after="0"/>
              <w:rPr>
                <w:sz w:val="20"/>
                <w:szCs w:val="20"/>
                <w:color w:val="auto"/>
              </w:rPr>
            </w:pPr>
            <w:r>
              <w:rPr>
                <w:rFonts w:ascii="Arial" w:cs="Arial" w:eastAsia="Arial" w:hAnsi="Arial"/>
                <w:sz w:val="15"/>
                <w:szCs w:val="15"/>
                <w:color w:val="auto"/>
              </w:rPr>
              <w:t>sur l'ordre du jour, (2) les propositions respectives de ces actionnaires et (3) la</w:t>
            </w:r>
          </w:p>
        </w:tc>
      </w:tr>
      <w:tr>
        <w:trPr>
          <w:trHeight w:val="185"/>
        </w:trPr>
        <w:tc>
          <w:tcPr>
            <w:tcW w:w="56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5"/>
                <w:szCs w:val="15"/>
                <w:color w:val="auto"/>
              </w:rPr>
              <w:t>and (b) such other information as would be required to be included in a proxy</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gridSpan w:val="3"/>
          </w:tcPr>
          <w:p>
            <w:pPr>
              <w:ind w:left="40"/>
              <w:spacing w:after="0"/>
              <w:rPr>
                <w:sz w:val="20"/>
                <w:szCs w:val="20"/>
                <w:color w:val="auto"/>
              </w:rPr>
            </w:pPr>
            <w:r>
              <w:rPr>
                <w:rFonts w:ascii="Arial" w:cs="Arial" w:eastAsia="Arial" w:hAnsi="Arial"/>
                <w:sz w:val="15"/>
                <w:szCs w:val="15"/>
                <w:color w:val="auto"/>
              </w:rPr>
              <w:t>preuve des participations requises inscrites dans le registre des actions et (b)</w:t>
            </w:r>
          </w:p>
        </w:tc>
      </w:tr>
      <w:tr>
        <w:trPr>
          <w:trHeight w:val="196"/>
        </w:trPr>
        <w:tc>
          <w:tcPr>
            <w:tcW w:w="240" w:type="dxa"/>
            <w:vAlign w:val="bottom"/>
            <w:tcBorders>
              <w:left w:val="single" w:sz="8" w:color="auto"/>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06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160" w:type="dxa"/>
            <w:vAlign w:val="bottom"/>
            <w:tcBorders>
              <w:bottom w:val="single" w:sz="8" w:color="auto"/>
              <w:right w:val="single" w:sz="8" w:color="auto"/>
            </w:tcBorders>
          </w:tcPr>
          <w:p>
            <w:pPr>
              <w:spacing w:after="0"/>
              <w:rPr>
                <w:sz w:val="17"/>
                <w:szCs w:val="17"/>
                <w:color w:val="auto"/>
              </w:rPr>
            </w:pPr>
          </w:p>
        </w:tc>
      </w:tr>
      <w:tr>
        <w:trPr>
          <w:trHeight w:val="499"/>
        </w:trPr>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231" w:right="219" w:bottom="1440" w:gutter="0" w:footer="0" w:header="0"/>
        </w:sectPr>
      </w:pPr>
    </w:p>
    <w:bookmarkStart w:id="42" w:name="page43"/>
    <w:bookmarkEnd w:id="4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0" w:type="dxa"/>
            <w:vAlign w:val="bottom"/>
          </w:tcPr>
          <w:p>
            <w:pPr>
              <w:ind w:left="5380"/>
              <w:spacing w:after="0"/>
              <w:rPr>
                <w:sz w:val="20"/>
                <w:szCs w:val="20"/>
                <w:color w:val="auto"/>
              </w:rPr>
            </w:pPr>
            <w:r>
              <w:rPr>
                <w:rFonts w:ascii="Arial" w:cs="Arial" w:eastAsia="Arial" w:hAnsi="Arial"/>
                <w:sz w:val="15"/>
                <w:szCs w:val="15"/>
                <w:color w:val="auto"/>
              </w:rPr>
              <w:t>12</w:t>
            </w:r>
          </w:p>
        </w:tc>
      </w:tr>
      <w:tr>
        <w:trPr>
          <w:trHeight w:val="289"/>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r>
        <w:trPr>
          <w:trHeight w:val="198"/>
        </w:trPr>
        <w:tc>
          <w:tcPr>
            <w:tcW w:w="5620" w:type="dxa"/>
            <w:vAlign w:val="bottom"/>
            <w:tcBorders>
              <w:left w:val="single" w:sz="8" w:color="auto"/>
              <w:right w:val="single" w:sz="8" w:color="auto"/>
            </w:tcBorders>
          </w:tcPr>
          <w:p>
            <w:pPr>
              <w:spacing w:after="0"/>
              <w:rPr>
                <w:sz w:val="20"/>
                <w:szCs w:val="20"/>
                <w:color w:val="auto"/>
              </w:rPr>
            </w:pPr>
            <w:r>
              <w:rPr>
                <w:rFonts w:ascii="Arial" w:cs="Arial" w:eastAsia="Arial" w:hAnsi="Arial"/>
                <w:sz w:val="15"/>
                <w:szCs w:val="15"/>
                <w:color w:val="auto"/>
              </w:rPr>
              <w:t>statement pursuant to the rules of the country where the Company's shares are</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les autres informations qui doivent être mentionnées dans une déclaration (proxy</w:t>
            </w:r>
          </w:p>
        </w:tc>
      </w:tr>
      <w:tr>
        <w:trPr>
          <w:trHeight w:val="173"/>
        </w:trPr>
        <w:tc>
          <w:tcPr>
            <w:tcW w:w="5620" w:type="dxa"/>
            <w:vAlign w:val="bottom"/>
            <w:tcBorders>
              <w:left w:val="single" w:sz="8" w:color="auto"/>
              <w:right w:val="single" w:sz="8" w:color="auto"/>
            </w:tcBorders>
          </w:tcPr>
          <w:p>
            <w:pPr>
              <w:spacing w:after="0"/>
              <w:rPr>
                <w:sz w:val="20"/>
                <w:szCs w:val="20"/>
                <w:color w:val="auto"/>
              </w:rPr>
            </w:pPr>
            <w:r>
              <w:rPr>
                <w:rFonts w:ascii="Arial" w:cs="Arial" w:eastAsia="Arial" w:hAnsi="Arial"/>
                <w:sz w:val="15"/>
                <w:szCs w:val="15"/>
                <w:color w:val="auto"/>
              </w:rPr>
              <w:t>primarily listed.</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statement) conformément aux règles du pays où les actions de la société sont</w:t>
            </w:r>
          </w:p>
        </w:tc>
      </w:tr>
      <w:tr>
        <w:trPr>
          <w:trHeight w:val="185"/>
        </w:trPr>
        <w:tc>
          <w:tcPr>
            <w:tcW w:w="5620" w:type="dxa"/>
            <w:vAlign w:val="bottom"/>
            <w:tcBorders>
              <w:left w:val="single" w:sz="8" w:color="auto"/>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principalement cotées.</w:t>
            </w:r>
          </w:p>
        </w:tc>
      </w:tr>
      <w:tr>
        <w:trPr>
          <w:trHeight w:val="23"/>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11"/>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b w:val="1"/>
                <w:bCs w:val="1"/>
                <w:color w:val="auto"/>
              </w:rPr>
              <w:t>Art. 11  Notice and Agenda of Shareholders' Meetings</w:t>
            </w:r>
          </w:p>
        </w:tc>
        <w:tc>
          <w:tcPr>
            <w:tcW w:w="2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b w:val="1"/>
                <w:bCs w:val="1"/>
                <w:color w:val="auto"/>
              </w:rPr>
              <w:t>Art. 11  Convocations et ordres du jour des assemblées générales</w:t>
            </w:r>
          </w:p>
        </w:tc>
      </w:tr>
      <w:tr>
        <w:trPr>
          <w:trHeight w:val="334"/>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Notice of a General Meeting of Shareholders shall be given by the Board of</w:t>
            </w:r>
          </w:p>
        </w:tc>
        <w:tc>
          <w:tcPr>
            <w:tcW w:w="22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L'assemblée générale est convoquée par le conseil d'administration ou, si</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Directors or, if necessary, by the Auditor, not later than twenty calendar days</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nécessaire, par l'organe de révision, au moins 20 jours avant la tenue de</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prior to the date of the General Meeting of Shareholders. Notice of the General</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l'assemblée générale des actionnaires. La convocation à l'assemblée générale</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Meeting of Shareholders shall be given by way of a one-time announcement in</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des actionnaires doit être faite au moyen d'une seule publication conformément</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the official means of publication of the Company pursuant to Article 46 of these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à l'article 46 de ces statuts. La période de préavis sera réputée avoir été</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Articles of Association. The notice period shall be deemed to have been</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respectée si la convocation à l'assemblée générale des actionnaires est publiée</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observed if notice of the General Meeting of Shareholders is published in such</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conformément à l'article 46 de ces statuts, étant entendu que la date de</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official means of publication, it being understood that the date of publication shall</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publication ne doit pas être calculée dans la période de préavis. Les actionnaires</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not be computed in the notice period. Shareholders of record may in addition be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inscrits peuvent en outre être informés de l'assemblée générale des actionnaires</w:t>
            </w:r>
          </w:p>
        </w:tc>
      </w:tr>
      <w:tr>
        <w:trPr>
          <w:trHeight w:val="185"/>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informed of the General Meeting of Shareholders by ordinary mail or e-mail.</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par courrier ordinaire ou par e-mail.</w:t>
            </w:r>
          </w:p>
        </w:tc>
      </w:tr>
      <w:tr>
        <w:trPr>
          <w:trHeight w:val="196"/>
        </w:trPr>
        <w:tc>
          <w:tcPr>
            <w:tcW w:w="5620" w:type="dxa"/>
            <w:vAlign w:val="bottom"/>
            <w:tcBorders>
              <w:left w:val="single" w:sz="8" w:color="auto"/>
              <w:bottom w:val="single" w:sz="8" w:color="auto"/>
              <w:right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600" w:type="dxa"/>
            <w:vAlign w:val="bottom"/>
            <w:tcBorders>
              <w:bottom w:val="single" w:sz="8" w:color="auto"/>
              <w:right w:val="single" w:sz="8" w:color="auto"/>
            </w:tcBorders>
          </w:tcPr>
          <w:p>
            <w:pPr>
              <w:spacing w:after="0"/>
              <w:rPr>
                <w:sz w:val="17"/>
                <w:szCs w:val="17"/>
                <w:color w:val="auto"/>
              </w:rPr>
            </w:pPr>
          </w:p>
        </w:tc>
      </w:tr>
      <w:tr>
        <w:trPr>
          <w:trHeight w:val="198"/>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The notice of a General Meeting of Shareholders shall specify the items on the</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La convocation à l'assemblée générale des actionnaires doit préciser les objets</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agenda and the proposals of the Board of Directors and the shareholder(s) who</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de l'ordre du jour et les propositions du conseil d'administration et l'/les</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requested that a General Meeting of Shareholders be held or an item be included</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actionnaire(s) qui a/ont demandé que l'assemblée générale des actionnaires ait</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on the agenda, and, in the event of elections, the name(s) of the candidate(s)</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lieu ou qu'un objet soit inscrit à l'ordre du jour, et, dans le cas d'élections, le/les</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that has or have been put on the ballot for election.</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nom(s) du/des candidat(s) qui a ou ont été mis sur le bulletin de vote pour</w:t>
            </w:r>
          </w:p>
        </w:tc>
      </w:tr>
      <w:tr>
        <w:trPr>
          <w:trHeight w:val="185"/>
        </w:trPr>
        <w:tc>
          <w:tcPr>
            <w:tcW w:w="5620" w:type="dxa"/>
            <w:vAlign w:val="bottom"/>
            <w:tcBorders>
              <w:left w:val="single" w:sz="8" w:color="auto"/>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l'élection.</w:t>
            </w:r>
          </w:p>
        </w:tc>
      </w:tr>
      <w:tr>
        <w:trPr>
          <w:trHeight w:val="23"/>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11"/>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The Board of Directors shall state the matters on the agenda.</w:t>
            </w:r>
          </w:p>
        </w:tc>
        <w:tc>
          <w:tcPr>
            <w:tcW w:w="2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Le conseil d'administration doit indiquer les objets de l'ordre du jour.</w:t>
            </w:r>
          </w:p>
        </w:tc>
      </w:tr>
      <w:tr>
        <w:trPr>
          <w:trHeight w:val="23"/>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198"/>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Shareholders who represent an aggregate of at least 10 percent of the share</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Les actionnaires qui représentent un total d'au moins 10 pour cent du capital-</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capital or together representing shares with a nominal value of 1 million Swiss</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actions ou qui représentent ensemble une valeur nominale de CHF 1 million</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francs may demand that an item be placed on the agenda of a General Meeting</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d'actions peuvent exiger qu'un objet soit inscrit à l'ordre du jour d'une assemblée</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of Shareholders. A request for inclusion of an item on the agenda must be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générale des actionnaires. Une demande d'inscription d'un objet à l'ordre du jour</w:t>
            </w:r>
          </w:p>
        </w:tc>
      </w:tr>
      <w:tr>
        <w:trPr>
          <w:trHeight w:val="185"/>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requested in writing delivered to or</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doit être faite par écrit</w:t>
            </w:r>
          </w:p>
        </w:tc>
      </w:tr>
      <w:tr>
        <w:trPr>
          <w:trHeight w:val="23"/>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499"/>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231" w:right="219" w:bottom="1440" w:gutter="0" w:footer="0" w:header="0"/>
        </w:sectPr>
      </w:pPr>
    </w:p>
    <w:bookmarkStart w:id="43" w:name="page44"/>
    <w:bookmarkEnd w:id="4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0" w:type="dxa"/>
            <w:vAlign w:val="bottom"/>
          </w:tcPr>
          <w:p>
            <w:pPr>
              <w:ind w:left="5380"/>
              <w:spacing w:after="0"/>
              <w:rPr>
                <w:sz w:val="20"/>
                <w:szCs w:val="20"/>
                <w:color w:val="auto"/>
              </w:rPr>
            </w:pPr>
            <w:r>
              <w:rPr>
                <w:rFonts w:ascii="Arial" w:cs="Arial" w:eastAsia="Arial" w:hAnsi="Arial"/>
                <w:sz w:val="15"/>
                <w:szCs w:val="15"/>
                <w:color w:val="auto"/>
              </w:rPr>
              <w:t>13</w:t>
            </w:r>
          </w:p>
        </w:tc>
      </w:tr>
      <w:tr>
        <w:trPr>
          <w:trHeight w:val="289"/>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r>
        <w:trPr>
          <w:trHeight w:val="198"/>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mailed and received at the registered office of the Company at least 120</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et remise ou envoyée et reçue au siège de la société au moins 120 jours avant</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calendar days before the first anniversary of the date that the Company's proxy</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le premier anniversaire de la date à laquelle la déclaration (proxy statement) de</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statement was released to shareholders in connection with the previous year's</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la Société a été communiquée aux actionnaires lors de l'assemblée générale</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ordinary General Meeting of Shareholders. However, if no ordinary General</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ordinaire  des  actionnaires  de  l'année  précédente.  Toutefois,  si  aucune</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Meeting of Shareholders was held in the previous year or if the date of the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assemblée générale ordinaire des actionnaires n'a eu lieu l'année précédente ou</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ordinary General Meeting of Shareholders has been changed by more than 30</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si la date de l'assemblée générale ordinaire des actionnaires a été modifiée de</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calendar days from the date contemplated at the time of the previous year's</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plus de 30 jours calendaires à compter de la date prévue au moment de la</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proxy statement, request for inclusion of an item on the agenda must be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déclaration (proxy statement) de l'année précédente, une demande d'inscription</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requested not fewer than the later of (i) 150 calendar days prior to the date of the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d'un objet à l'ordre du jour doit être demandée au moins à la date la plus tardive</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contemplated annual General Meeting or (ii) the date which is ten calendar days</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entre (i) 150 jours calendaires avant la date de l'assemblée générale ordinaire</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after the date of the first public announcement or other notification to the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envisagée ou (ii) la date qui est dix jours calendaires plus tard que la date de la</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shareholders of the date of the contemplated annual General Meeting. To be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première annonce publique ou autre notification aux actionnaires de la date</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timely for an extraordinary General Meeting, a shareholder's notice to the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envisagée de l'assemblée générale ordinaire. Pour être dans les délais pour une</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Secretary must be delivered to or mailed and received at the registered office of</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assemblée générale extraordinaire, l'avis d'un actionnaire au secrétaire doit être</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the Company not fewer than the later of (i) 120 calendar days before the date of</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livré ou envoyé et reçu au siège de la société au moins à la date la plus tardive</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the extraordinary General Meeting of Shareholders or (ii) the date which is ten</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entre  (i)  120  jours  calendaires  avant  la  date  de  l'assemblée  générale</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calendar days after the date of the first public announcement or other notification</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extraordinaire des actionnaires ou (ii) la date qui est dix jours calendaires plus</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to the shareholders of the date of the contemplated extraordinary General</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tard que la date de la première annonce publique ou autre notification aux</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Meeting of Shareholders.</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actionnaires de la date envisagée de l'assemblée générale extraordinaire des</w:t>
            </w:r>
          </w:p>
        </w:tc>
      </w:tr>
      <w:tr>
        <w:trPr>
          <w:trHeight w:val="185"/>
        </w:trPr>
        <w:tc>
          <w:tcPr>
            <w:tcW w:w="5620" w:type="dxa"/>
            <w:vAlign w:val="bottom"/>
            <w:tcBorders>
              <w:left w:val="single" w:sz="8" w:color="auto"/>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actionnaires.</w:t>
            </w:r>
          </w:p>
        </w:tc>
      </w:tr>
      <w:tr>
        <w:trPr>
          <w:trHeight w:val="23"/>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198"/>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Each request for inclusion of an item on the agenda must include (i) a brief</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222222"/>
              </w:rPr>
              <w:t>Chaque demande d'inscription d'un objet à l'ordre du jour doit inclure (i) une</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description of the business desired to be brought before the meeting and the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222222"/>
              </w:rPr>
              <w:t>brève description de l'affaire qui sera soumise à l'assemblée et les raisons pour</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reasons for conducting such business at the meeting; (ii) the name and address,</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222222"/>
              </w:rPr>
              <w:t>lesquelles cette affaire est soumise à l'assemblée; (ii) le nom et l'adresse, tels</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as they appear on the Company's register of shareholders, of the shareholder</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222222"/>
              </w:rPr>
              <w:t>qu'ils apparaissent dans le registre des actionnaires de la société, de l'/des</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proposing such business; (iii) the number of shares of the Company which are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222222"/>
              </w:rPr>
              <w:t>actionnaire(s) proposant un tel objet; (iii) le nombre d'actions de la société</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beneficially  owned  by  such  shareholder;  (iv)  the  dates  upon  which  the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222222"/>
              </w:rPr>
              <w:t>effectivement détenues par (un) tel(s) actionnaire(s); (iv) les dates auxquelles</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shareholder acquired such shares; (v) documentary support for any claim of</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222222"/>
              </w:rPr>
              <w:t>l'/les actionnaire(s) a/ont acquis ces actions; (v) l'appui documentaire pour</w:t>
            </w:r>
          </w:p>
        </w:tc>
      </w:tr>
      <w:tr>
        <w:trPr>
          <w:trHeight w:val="185"/>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beneficial</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spacing w:after="0"/>
              <w:rPr>
                <w:sz w:val="16"/>
                <w:szCs w:val="16"/>
                <w:color w:val="auto"/>
              </w:rPr>
            </w:pPr>
          </w:p>
        </w:tc>
      </w:tr>
      <w:tr>
        <w:trPr>
          <w:trHeight w:val="23"/>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499"/>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231" w:right="219" w:bottom="1440" w:gutter="0" w:footer="0" w:header="0"/>
        </w:sectPr>
      </w:pPr>
    </w:p>
    <w:bookmarkStart w:id="44" w:name="page45"/>
    <w:bookmarkEnd w:id="4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0" w:type="dxa"/>
            <w:vAlign w:val="bottom"/>
          </w:tcPr>
          <w:p>
            <w:pPr>
              <w:ind w:left="5380"/>
              <w:spacing w:after="0"/>
              <w:rPr>
                <w:sz w:val="20"/>
                <w:szCs w:val="20"/>
                <w:color w:val="auto"/>
              </w:rPr>
            </w:pPr>
            <w:r>
              <w:rPr>
                <w:rFonts w:ascii="Arial" w:cs="Arial" w:eastAsia="Arial" w:hAnsi="Arial"/>
                <w:sz w:val="15"/>
                <w:szCs w:val="15"/>
                <w:color w:val="auto"/>
              </w:rPr>
              <w:t>14</w:t>
            </w:r>
          </w:p>
        </w:tc>
      </w:tr>
      <w:tr>
        <w:trPr>
          <w:trHeight w:val="289"/>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r>
        <w:trPr>
          <w:trHeight w:val="198"/>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ownership; (vi) any material interest of such shareholder in such business; and</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222222"/>
              </w:rPr>
              <w:t>toute revendication de propriété effective; (vi) un intérêt important de cet/ces</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(vii) a statement in support of the matter and, for proposals sought to be included</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222222"/>
              </w:rPr>
              <w:t>actionnaire(s) par rapport à cet objet; et (vii) une déclaration à l'appui de cet</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in the Company's proxy statement, any other information required by Securities</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222222"/>
              </w:rPr>
              <w:t>objet et, pour les propositions devant être incluses dans la déclaration (proxy</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and Exchange Commission Rule "14a-8".</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222222"/>
              </w:rPr>
              <w:t>statement) de la société, toute autre information requise par la Securities and</w:t>
            </w:r>
          </w:p>
        </w:tc>
      </w:tr>
      <w:tr>
        <w:trPr>
          <w:trHeight w:val="185"/>
        </w:trPr>
        <w:tc>
          <w:tcPr>
            <w:tcW w:w="5620" w:type="dxa"/>
            <w:vAlign w:val="bottom"/>
            <w:tcBorders>
              <w:left w:val="single" w:sz="8" w:color="auto"/>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222222"/>
              </w:rPr>
              <w:t>Exchange Commission règle "14a-8".</w:t>
            </w:r>
          </w:p>
        </w:tc>
      </w:tr>
      <w:tr>
        <w:trPr>
          <w:trHeight w:val="23"/>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198"/>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In addition, if the shareholder intends to solicit proxies from the shareholders of</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222222"/>
              </w:rPr>
              <w:t>En outre, si un actionnaire a l'intention de solliciter des procurations des</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the Company, such shareholder shall notify the Company of this intent in</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222222"/>
              </w:rPr>
              <w:t>actionnaires  de  la  société,  cet  actionnaire  doit  en  informer  la  société</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accordance with Securities and Exchange Commission Rule "14a-4" and/or Rule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222222"/>
              </w:rPr>
              <w:t>conformément aux dispositions de la Securities and Exchange Commission règle</w:t>
            </w:r>
          </w:p>
        </w:tc>
      </w:tr>
      <w:tr>
        <w:trPr>
          <w:trHeight w:val="185"/>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"14a-8".</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222222"/>
              </w:rPr>
              <w:t>"14a-4" et "14a-8".</w:t>
            </w:r>
          </w:p>
        </w:tc>
      </w:tr>
      <w:tr>
        <w:trPr>
          <w:trHeight w:val="23"/>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198"/>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No resolution may be passed at a General Meeting of Shareholders concerning</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Aucune décision ne peut être adoptée lors d'une assemblée générale des</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an item in relation to which due notice was not given. Proposals made during a</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actionnaires si un objet n'a pas été inscrit à l'ordre du jour dans le délai de</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General Meeting of Shareholders to (i) convene a extraordinary General Meeting</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préavis.  Les  propositions  faites  au  cours  d'une  assemblée  générale  des</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or (ii) initiate a special investigation in accordance with article 697a of the Swiss</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actionnaires pour (i) convoquer une assemblée générale extraordinaire ou (ii)</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Code of Obligations are not subject to the due notice requirement set forth</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instituer un contrôle spécial au sens de l'article 697a CO ne sont pas soumises à</w:t>
            </w:r>
          </w:p>
        </w:tc>
      </w:tr>
      <w:tr>
        <w:trPr>
          <w:trHeight w:val="185"/>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herein.</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l'obligation d'inscription prévue dans ces statuts.</w:t>
            </w:r>
          </w:p>
        </w:tc>
      </w:tr>
      <w:tr>
        <w:trPr>
          <w:trHeight w:val="23"/>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198"/>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No advance notice is required to propose motions on duly notified agenda items</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Aucun préavis n'est nécessaire pour proposer des motions sur les objets inscrits</w:t>
            </w:r>
          </w:p>
        </w:tc>
      </w:tr>
      <w:tr>
        <w:trPr>
          <w:trHeight w:val="185"/>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and to debate items without passing resolutions.</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à l'ordre du jour ou débattre desdits objets sans prendre de décisions.</w:t>
            </w:r>
          </w:p>
        </w:tc>
      </w:tr>
      <w:tr>
        <w:trPr>
          <w:trHeight w:val="23"/>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11"/>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b w:val="1"/>
                <w:bCs w:val="1"/>
                <w:color w:val="auto"/>
              </w:rPr>
              <w:t>Art. 12 Documentation</w:t>
            </w:r>
          </w:p>
        </w:tc>
        <w:tc>
          <w:tcPr>
            <w:tcW w:w="2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b w:val="1"/>
                <w:bCs w:val="1"/>
                <w:color w:val="auto"/>
              </w:rPr>
              <w:t>Art. 12 Documents</w:t>
            </w:r>
          </w:p>
        </w:tc>
      </w:tr>
      <w:tr>
        <w:trPr>
          <w:trHeight w:val="334"/>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The annual business report, the compensation report and the Auditor's report</w:t>
            </w:r>
          </w:p>
        </w:tc>
        <w:tc>
          <w:tcPr>
            <w:tcW w:w="22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Le rapport de gestion annuel, le rapport de rémunération et le rapport du</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must be submitted for examination by the shareholders at the registered office of</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réviseur doivent être présentés aux actionnaires pour examen au siège de la</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the Company at least 20 days prior to the date of the Ordinary General Meeting.</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société au moins 20 jours avant la date de l'assemblée générale ordinaire.</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Each shareholder may request that a copy of this documentation be sent to him</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Chaque actionnaire peut demander une copie de ces documents qui doivent lui</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promptly by e-mail. Such right shall be included in the invitation to the General</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être envoyés promptement par e-mail.  Ce  droit  doit  être  mentionné  dans</w:t>
            </w:r>
          </w:p>
        </w:tc>
      </w:tr>
      <w:tr>
        <w:trPr>
          <w:trHeight w:val="185"/>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Meeting.</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l'invitation à l'assemblée générale.</w:t>
            </w:r>
          </w:p>
        </w:tc>
      </w:tr>
      <w:tr>
        <w:trPr>
          <w:trHeight w:val="196"/>
        </w:trPr>
        <w:tc>
          <w:tcPr>
            <w:tcW w:w="5620" w:type="dxa"/>
            <w:vAlign w:val="bottom"/>
            <w:tcBorders>
              <w:left w:val="single" w:sz="8" w:color="auto"/>
              <w:bottom w:val="single" w:sz="8" w:color="auto"/>
              <w:right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600" w:type="dxa"/>
            <w:vAlign w:val="bottom"/>
            <w:tcBorders>
              <w:bottom w:val="single" w:sz="8" w:color="auto"/>
              <w:right w:val="single" w:sz="8" w:color="auto"/>
            </w:tcBorders>
          </w:tcPr>
          <w:p>
            <w:pPr>
              <w:spacing w:after="0"/>
              <w:rPr>
                <w:sz w:val="17"/>
                <w:szCs w:val="17"/>
                <w:color w:val="auto"/>
              </w:rPr>
            </w:pPr>
          </w:p>
        </w:tc>
      </w:tr>
      <w:tr>
        <w:trPr>
          <w:trHeight w:val="499"/>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231" w:right="219" w:bottom="1440" w:gutter="0" w:footer="0" w:header="0"/>
        </w:sectPr>
      </w:pPr>
    </w:p>
    <w:bookmarkStart w:id="45" w:name="page46"/>
    <w:bookmarkEnd w:id="4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0" w:type="dxa"/>
            <w:vAlign w:val="bottom"/>
          </w:tcPr>
          <w:p>
            <w:pPr>
              <w:jc w:val="right"/>
              <w:spacing w:after="0"/>
              <w:rPr>
                <w:sz w:val="20"/>
                <w:szCs w:val="20"/>
                <w:color w:val="auto"/>
              </w:rPr>
            </w:pPr>
            <w:r>
              <w:rPr>
                <w:rFonts w:ascii="Arial" w:cs="Arial" w:eastAsia="Arial" w:hAnsi="Arial"/>
                <w:sz w:val="15"/>
                <w:szCs w:val="15"/>
                <w:color w:val="auto"/>
              </w:rPr>
              <w:t>15</w:t>
            </w:r>
          </w:p>
        </w:tc>
      </w:tr>
      <w:tr>
        <w:trPr>
          <w:trHeight w:val="289"/>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r>
      <w:tr>
        <w:trPr>
          <w:trHeight w:val="211"/>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b w:val="1"/>
                <w:bCs w:val="1"/>
                <w:color w:val="auto"/>
              </w:rPr>
              <w:t>Art. 13  Meeting of All Shareholders</w:t>
            </w:r>
          </w:p>
        </w:tc>
        <w:tc>
          <w:tcPr>
            <w:tcW w:w="220" w:type="dxa"/>
            <w:vAlign w:val="bottom"/>
            <w:tcBorders>
              <w:right w:val="single" w:sz="8" w:color="auto"/>
            </w:tcBorders>
          </w:tcPr>
          <w:p>
            <w:pPr>
              <w:spacing w:after="0"/>
              <w:rPr>
                <w:sz w:val="18"/>
                <w:szCs w:val="18"/>
                <w:color w:val="auto"/>
              </w:rPr>
            </w:pPr>
          </w:p>
        </w:tc>
        <w:tc>
          <w:tcPr>
            <w:tcW w:w="600" w:type="dxa"/>
            <w:vAlign w:val="bottom"/>
          </w:tcPr>
          <w:p>
            <w:pPr>
              <w:ind w:left="40"/>
              <w:spacing w:after="0"/>
              <w:rPr>
                <w:sz w:val="20"/>
                <w:szCs w:val="20"/>
                <w:color w:val="auto"/>
              </w:rPr>
            </w:pPr>
            <w:r>
              <w:rPr>
                <w:rFonts w:ascii="Arial" w:cs="Arial" w:eastAsia="Arial" w:hAnsi="Arial"/>
                <w:sz w:val="15"/>
                <w:szCs w:val="15"/>
                <w:b w:val="1"/>
                <w:bCs w:val="1"/>
                <w:color w:val="auto"/>
              </w:rPr>
              <w:t>Art. 13</w:t>
            </w:r>
          </w:p>
        </w:tc>
        <w:tc>
          <w:tcPr>
            <w:tcW w:w="5000" w:type="dxa"/>
            <w:vAlign w:val="bottom"/>
            <w:tcBorders>
              <w:right w:val="single" w:sz="8" w:color="auto"/>
            </w:tcBorders>
          </w:tcPr>
          <w:p>
            <w:pPr>
              <w:ind w:left="80"/>
              <w:spacing w:after="0"/>
              <w:rPr>
                <w:sz w:val="20"/>
                <w:szCs w:val="20"/>
                <w:color w:val="auto"/>
              </w:rPr>
            </w:pPr>
            <w:r>
              <w:rPr>
                <w:rFonts w:ascii="Arial" w:cs="Arial" w:eastAsia="Arial" w:hAnsi="Arial"/>
                <w:sz w:val="15"/>
                <w:szCs w:val="15"/>
                <w:b w:val="1"/>
                <w:bCs w:val="1"/>
                <w:color w:val="auto"/>
              </w:rPr>
              <w:t>Assemblée universelle</w:t>
            </w:r>
          </w:p>
        </w:tc>
      </w:tr>
      <w:tr>
        <w:trPr>
          <w:trHeight w:val="334"/>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Shareholders or their proxies representing all shares issued may hold a General</w:t>
            </w:r>
          </w:p>
        </w:tc>
        <w:tc>
          <w:tcPr>
            <w:tcW w:w="22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Les propriétaires ou les représentants de la totalité des actions peuvent, s'il n'y a</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Meeting without observing the formalities required for calling a meeting, unless</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pas  d'opposition,  tenir  une  assemblée  générale  sans  observer les formes</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objection is raised. At such a meeting, discussions may be held and resolutions</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prévues pour sa convocation. Aussi longtemps que les propriétaires ou les</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passed on all matters within the scope of the powers of a General Meeting for so</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représentants de la totalité des actions sont présents, cette assemblée a le droit</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long as the shareholders or proxies representing all shares issued are present.</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de délibérer et de statuer valablement sur tous les objets qui sont du ressort de</w:t>
            </w:r>
          </w:p>
        </w:tc>
      </w:tr>
      <w:tr>
        <w:trPr>
          <w:trHeight w:val="185"/>
        </w:trPr>
        <w:tc>
          <w:tcPr>
            <w:tcW w:w="5620" w:type="dxa"/>
            <w:vAlign w:val="bottom"/>
            <w:tcBorders>
              <w:left w:val="single" w:sz="8" w:color="auto"/>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l'assemblée générale.</w:t>
            </w:r>
          </w:p>
        </w:tc>
      </w:tr>
      <w:tr>
        <w:trPr>
          <w:trHeight w:val="196"/>
        </w:trPr>
        <w:tc>
          <w:tcPr>
            <w:tcW w:w="5620" w:type="dxa"/>
            <w:vAlign w:val="bottom"/>
            <w:tcBorders>
              <w:left w:val="single" w:sz="8" w:color="auto"/>
              <w:bottom w:val="single" w:sz="8" w:color="auto"/>
              <w:right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600" w:type="dxa"/>
            <w:vAlign w:val="bottom"/>
            <w:tcBorders>
              <w:bottom w:val="single" w:sz="8" w:color="auto"/>
              <w:right w:val="single" w:sz="8" w:color="auto"/>
            </w:tcBorders>
            <w:gridSpan w:val="2"/>
          </w:tcPr>
          <w:p>
            <w:pPr>
              <w:spacing w:after="0"/>
              <w:rPr>
                <w:sz w:val="17"/>
                <w:szCs w:val="17"/>
                <w:color w:val="auto"/>
              </w:rPr>
            </w:pPr>
          </w:p>
        </w:tc>
      </w:tr>
      <w:tr>
        <w:trPr>
          <w:trHeight w:val="211"/>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b w:val="1"/>
                <w:bCs w:val="1"/>
                <w:color w:val="auto"/>
              </w:rPr>
              <w:t>Art. 14  Chairman and Scrutineers</w:t>
            </w:r>
          </w:p>
        </w:tc>
        <w:tc>
          <w:tcPr>
            <w:tcW w:w="2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Art. 14  Président et scrutateurs</w:t>
            </w:r>
          </w:p>
        </w:tc>
      </w:tr>
      <w:tr>
        <w:trPr>
          <w:trHeight w:val="334"/>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The Chairman of the Board of Directors shall preside over the General Meeting.</w:t>
            </w:r>
          </w:p>
        </w:tc>
        <w:tc>
          <w:tcPr>
            <w:tcW w:w="22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L'assemblée générale est présidée par le président du conseil d'administration.</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In his absence, a member of the Board of Directors or another Chairman of the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En cas d'empêchement, un autre membre du conseil d'administration ou un</w:t>
            </w:r>
          </w:p>
        </w:tc>
      </w:tr>
      <w:tr>
        <w:trPr>
          <w:trHeight w:val="185"/>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Meeting designated by the General Meeting shall preside.</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président ad hoc nommé par l'assemblée générale préside celle-ci.</w:t>
            </w:r>
          </w:p>
        </w:tc>
      </w:tr>
      <w:tr>
        <w:trPr>
          <w:trHeight w:val="196"/>
        </w:trPr>
        <w:tc>
          <w:tcPr>
            <w:tcW w:w="5620" w:type="dxa"/>
            <w:vAlign w:val="bottom"/>
            <w:tcBorders>
              <w:left w:val="single" w:sz="8" w:color="auto"/>
              <w:bottom w:val="single" w:sz="8" w:color="auto"/>
              <w:right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600" w:type="dxa"/>
            <w:vAlign w:val="bottom"/>
            <w:tcBorders>
              <w:bottom w:val="single" w:sz="8" w:color="auto"/>
              <w:right w:val="single" w:sz="8" w:color="auto"/>
            </w:tcBorders>
            <w:gridSpan w:val="2"/>
          </w:tcPr>
          <w:p>
            <w:pPr>
              <w:spacing w:after="0"/>
              <w:rPr>
                <w:sz w:val="17"/>
                <w:szCs w:val="17"/>
                <w:color w:val="auto"/>
              </w:rPr>
            </w:pPr>
          </w:p>
        </w:tc>
      </w:tr>
      <w:tr>
        <w:trPr>
          <w:trHeight w:val="198"/>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The Chairman of the Meeting shall designate a Secretary and the scrutineers</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Le président de l'assemblée générale désigne un secrétaire et les scrutateurs</w:t>
            </w:r>
          </w:p>
        </w:tc>
      </w:tr>
      <w:tr>
        <w:trPr>
          <w:trHeight w:val="185"/>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who need not be shareholders.</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qui ne doivent pas nécessairement être actionnaires.</w:t>
            </w:r>
          </w:p>
        </w:tc>
      </w:tr>
      <w:tr>
        <w:trPr>
          <w:trHeight w:val="23"/>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r>
      <w:tr>
        <w:trPr>
          <w:trHeight w:val="211"/>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b w:val="1"/>
                <w:bCs w:val="1"/>
                <w:color w:val="auto"/>
              </w:rPr>
              <w:t>Art. 15  Minutes</w:t>
            </w:r>
          </w:p>
        </w:tc>
        <w:tc>
          <w:tcPr>
            <w:tcW w:w="220" w:type="dxa"/>
            <w:vAlign w:val="bottom"/>
            <w:tcBorders>
              <w:right w:val="single" w:sz="8" w:color="auto"/>
            </w:tcBorders>
          </w:tcPr>
          <w:p>
            <w:pPr>
              <w:spacing w:after="0"/>
              <w:rPr>
                <w:sz w:val="18"/>
                <w:szCs w:val="18"/>
                <w:color w:val="auto"/>
              </w:rPr>
            </w:pPr>
          </w:p>
        </w:tc>
        <w:tc>
          <w:tcPr>
            <w:tcW w:w="600" w:type="dxa"/>
            <w:vAlign w:val="bottom"/>
          </w:tcPr>
          <w:p>
            <w:pPr>
              <w:ind w:left="40"/>
              <w:spacing w:after="0"/>
              <w:rPr>
                <w:sz w:val="20"/>
                <w:szCs w:val="20"/>
                <w:color w:val="auto"/>
              </w:rPr>
            </w:pPr>
            <w:r>
              <w:rPr>
                <w:rFonts w:ascii="Arial" w:cs="Arial" w:eastAsia="Arial" w:hAnsi="Arial"/>
                <w:sz w:val="15"/>
                <w:szCs w:val="15"/>
                <w:b w:val="1"/>
                <w:bCs w:val="1"/>
                <w:color w:val="auto"/>
              </w:rPr>
              <w:t>Art. 15</w:t>
            </w:r>
          </w:p>
        </w:tc>
        <w:tc>
          <w:tcPr>
            <w:tcW w:w="5000" w:type="dxa"/>
            <w:vAlign w:val="bottom"/>
            <w:tcBorders>
              <w:right w:val="single" w:sz="8" w:color="auto"/>
            </w:tcBorders>
          </w:tcPr>
          <w:p>
            <w:pPr>
              <w:ind w:left="80"/>
              <w:spacing w:after="0"/>
              <w:rPr>
                <w:sz w:val="20"/>
                <w:szCs w:val="20"/>
                <w:color w:val="auto"/>
              </w:rPr>
            </w:pPr>
            <w:r>
              <w:rPr>
                <w:rFonts w:ascii="Arial" w:cs="Arial" w:eastAsia="Arial" w:hAnsi="Arial"/>
                <w:sz w:val="15"/>
                <w:szCs w:val="15"/>
                <w:b w:val="1"/>
                <w:bCs w:val="1"/>
                <w:color w:val="auto"/>
              </w:rPr>
              <w:t>Procès-verbal</w:t>
            </w:r>
          </w:p>
        </w:tc>
      </w:tr>
      <w:tr>
        <w:trPr>
          <w:trHeight w:val="334"/>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The Board of Directors is responsible for the keeping of the minutes of the</w:t>
            </w:r>
          </w:p>
        </w:tc>
        <w:tc>
          <w:tcPr>
            <w:tcW w:w="22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Le conseil d'administration est responsable de la tenue du procès-verbal de</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Meeting, which shall state the number, kind, nominal value of shares represented</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l'assemblée, qui doit indiquer le nombre, le type, la valeur nominale des actions</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by the shareholders, by the corporate bodies and by the independent proxy and</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représentées par les actionnaires, par les organes sociaux et par le représentant</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gives information on resolutions passed, elections, requests for information and</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indépendant et donne des informations sur les décisions adoptées, les élections,</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information as well as declarations given by the shareholders. The minutes shall</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les demandes de renseignements et les informations ainsi que les déclarations</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be signed by the Chairman and the Secretary.</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faites par les actionnaires. Le procès-verbal est signé par le président et le</w:t>
            </w:r>
          </w:p>
        </w:tc>
      </w:tr>
      <w:tr>
        <w:trPr>
          <w:trHeight w:val="185"/>
        </w:trPr>
        <w:tc>
          <w:tcPr>
            <w:tcW w:w="5620" w:type="dxa"/>
            <w:vAlign w:val="bottom"/>
            <w:tcBorders>
              <w:left w:val="single" w:sz="8" w:color="auto"/>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secrétaire.</w:t>
            </w:r>
          </w:p>
        </w:tc>
      </w:tr>
      <w:tr>
        <w:trPr>
          <w:trHeight w:val="196"/>
        </w:trPr>
        <w:tc>
          <w:tcPr>
            <w:tcW w:w="5620" w:type="dxa"/>
            <w:vAlign w:val="bottom"/>
            <w:tcBorders>
              <w:left w:val="single" w:sz="8" w:color="auto"/>
              <w:bottom w:val="single" w:sz="8" w:color="auto"/>
              <w:right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600" w:type="dxa"/>
            <w:vAlign w:val="bottom"/>
            <w:tcBorders>
              <w:bottom w:val="single" w:sz="8" w:color="auto"/>
              <w:right w:val="single" w:sz="8" w:color="auto"/>
            </w:tcBorders>
            <w:gridSpan w:val="2"/>
          </w:tcPr>
          <w:p>
            <w:pPr>
              <w:spacing w:after="0"/>
              <w:rPr>
                <w:sz w:val="17"/>
                <w:szCs w:val="17"/>
                <w:color w:val="auto"/>
              </w:rPr>
            </w:pPr>
          </w:p>
        </w:tc>
      </w:tr>
      <w:tr>
        <w:trPr>
          <w:trHeight w:val="211"/>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The shareholders are entitled to inspect the minutes.</w:t>
            </w:r>
          </w:p>
        </w:tc>
        <w:tc>
          <w:tcPr>
            <w:tcW w:w="2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Les actionnaires ont le droit d'examiner le procès-verbal.</w:t>
            </w:r>
          </w:p>
        </w:tc>
      </w:tr>
      <w:tr>
        <w:trPr>
          <w:trHeight w:val="23"/>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gridSpan w:val="2"/>
          </w:tcPr>
          <w:p>
            <w:pPr>
              <w:spacing w:after="0"/>
              <w:rPr>
                <w:sz w:val="2"/>
                <w:szCs w:val="2"/>
                <w:color w:val="auto"/>
              </w:rPr>
            </w:pPr>
          </w:p>
        </w:tc>
      </w:tr>
      <w:tr>
        <w:trPr>
          <w:trHeight w:val="211"/>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b w:val="1"/>
                <w:bCs w:val="1"/>
                <w:color w:val="auto"/>
              </w:rPr>
              <w:t>Art. 16  Right to Vote</w:t>
            </w:r>
          </w:p>
        </w:tc>
        <w:tc>
          <w:tcPr>
            <w:tcW w:w="2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Art. 16  Droit de vote</w:t>
            </w:r>
          </w:p>
        </w:tc>
      </w:tr>
      <w:tr>
        <w:trPr>
          <w:trHeight w:val="346"/>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Each share entitles to one vote.</w:t>
            </w:r>
          </w:p>
        </w:tc>
        <w:tc>
          <w:tcPr>
            <w:tcW w:w="22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Chaque action donne droit à une voix.</w:t>
            </w:r>
          </w:p>
        </w:tc>
      </w:tr>
      <w:tr>
        <w:trPr>
          <w:trHeight w:val="196"/>
        </w:trPr>
        <w:tc>
          <w:tcPr>
            <w:tcW w:w="5620" w:type="dxa"/>
            <w:vAlign w:val="bottom"/>
            <w:tcBorders>
              <w:left w:val="single" w:sz="8" w:color="auto"/>
              <w:bottom w:val="single" w:sz="8" w:color="auto"/>
              <w:right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5000" w:type="dxa"/>
            <w:vAlign w:val="bottom"/>
            <w:tcBorders>
              <w:bottom w:val="single" w:sz="8" w:color="auto"/>
              <w:right w:val="single" w:sz="8" w:color="auto"/>
            </w:tcBorders>
          </w:tcPr>
          <w:p>
            <w:pPr>
              <w:spacing w:after="0"/>
              <w:rPr>
                <w:sz w:val="17"/>
                <w:szCs w:val="17"/>
                <w:color w:val="auto"/>
              </w:rPr>
            </w:pPr>
          </w:p>
        </w:tc>
      </w:tr>
      <w:tr>
        <w:trPr>
          <w:trHeight w:val="499"/>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231" w:right="219" w:bottom="1440" w:gutter="0" w:footer="0" w:header="0"/>
        </w:sectPr>
      </w:pPr>
    </w:p>
    <w:bookmarkStart w:id="46" w:name="page47"/>
    <w:bookmarkEnd w:id="4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80" w:type="dxa"/>
            <w:vAlign w:val="bottom"/>
          </w:tcPr>
          <w:p>
            <w:pPr>
              <w:jc w:val="right"/>
              <w:spacing w:after="0"/>
              <w:rPr>
                <w:sz w:val="20"/>
                <w:szCs w:val="20"/>
                <w:color w:val="auto"/>
              </w:rPr>
            </w:pPr>
            <w:r>
              <w:rPr>
                <w:rFonts w:ascii="Arial" w:cs="Arial" w:eastAsia="Arial" w:hAnsi="Arial"/>
                <w:sz w:val="15"/>
                <w:szCs w:val="15"/>
                <w:color w:val="auto"/>
              </w:rPr>
              <w:t>16</w:t>
            </w:r>
          </w:p>
        </w:tc>
      </w:tr>
      <w:tr>
        <w:trPr>
          <w:trHeight w:val="289"/>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gridSpan w:val="2"/>
          </w:tcPr>
          <w:p>
            <w:pPr>
              <w:spacing w:after="0"/>
              <w:rPr>
                <w:sz w:val="24"/>
                <w:szCs w:val="24"/>
                <w:color w:val="auto"/>
              </w:rPr>
            </w:pPr>
          </w:p>
        </w:tc>
      </w:tr>
      <w:tr>
        <w:trPr>
          <w:trHeight w:val="198"/>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Each shareholder may be represented at a General Meeting by any person who</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Chaque actionnaire peut se faire représenter à l'assemblée générale par toute</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is so authorized by a written proxy. A proxy need not be a shareholder.</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personne qui est autorisée par une procuration écrite. Le représentant ne doit</w:t>
            </w:r>
          </w:p>
        </w:tc>
      </w:tr>
      <w:tr>
        <w:trPr>
          <w:trHeight w:val="185"/>
        </w:trPr>
        <w:tc>
          <w:tcPr>
            <w:tcW w:w="5620" w:type="dxa"/>
            <w:vAlign w:val="bottom"/>
            <w:tcBorders>
              <w:left w:val="single" w:sz="8" w:color="auto"/>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pas nécessairement être un actionnaire.</w:t>
            </w:r>
          </w:p>
        </w:tc>
      </w:tr>
      <w:tr>
        <w:trPr>
          <w:trHeight w:val="23"/>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gridSpan w:val="2"/>
          </w:tcPr>
          <w:p>
            <w:pPr>
              <w:spacing w:after="0"/>
              <w:rPr>
                <w:sz w:val="2"/>
                <w:szCs w:val="2"/>
                <w:color w:val="auto"/>
              </w:rPr>
            </w:pPr>
          </w:p>
        </w:tc>
      </w:tr>
      <w:tr>
        <w:trPr>
          <w:trHeight w:val="198"/>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Each  shareholder  may  be  represented  by  the  Independent  Proxy.  The</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Chaque actionnaire peut se faire représenter par le représentant indépendant.</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requirements regarding proxies and instructions are determined by the Board of</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Les exigences en matière de procurations et les instructions sont déterminées</w:t>
            </w:r>
          </w:p>
        </w:tc>
      </w:tr>
      <w:tr>
        <w:trPr>
          <w:trHeight w:val="185"/>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Directors.</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par le conseil d'administration.</w:t>
            </w:r>
          </w:p>
        </w:tc>
      </w:tr>
      <w:tr>
        <w:trPr>
          <w:trHeight w:val="23"/>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gridSpan w:val="2"/>
          </w:tcPr>
          <w:p>
            <w:pPr>
              <w:spacing w:after="0"/>
              <w:rPr>
                <w:sz w:val="2"/>
                <w:szCs w:val="2"/>
                <w:color w:val="auto"/>
              </w:rPr>
            </w:pPr>
          </w:p>
        </w:tc>
      </w:tr>
      <w:tr>
        <w:trPr>
          <w:trHeight w:val="211"/>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b w:val="1"/>
                <w:bCs w:val="1"/>
                <w:color w:val="auto"/>
              </w:rPr>
              <w:t>Art. 17  Resolutions and Elections</w:t>
            </w:r>
          </w:p>
        </w:tc>
        <w:tc>
          <w:tcPr>
            <w:tcW w:w="2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Art. 17  Décisions and élections</w:t>
            </w:r>
          </w:p>
        </w:tc>
      </w:tr>
      <w:tr>
        <w:trPr>
          <w:trHeight w:val="334"/>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All voting and elections are held openly or electronically. A written voting or</w:t>
            </w:r>
          </w:p>
        </w:tc>
        <w:tc>
          <w:tcPr>
            <w:tcW w:w="22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Tous votes et élections sont tenus ouvertement ou par voie électronique. Sur</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election shall be held if instructed so by the Chairman or if decided by the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instruction du président ou de l'assemblée générale, un vote ou une élection doit</w:t>
            </w:r>
          </w:p>
        </w:tc>
      </w:tr>
      <w:tr>
        <w:trPr>
          <w:trHeight w:val="185"/>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General Meeting.</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être tenu par écrit.</w:t>
            </w:r>
          </w:p>
        </w:tc>
      </w:tr>
      <w:tr>
        <w:trPr>
          <w:trHeight w:val="196"/>
        </w:trPr>
        <w:tc>
          <w:tcPr>
            <w:tcW w:w="5620" w:type="dxa"/>
            <w:vAlign w:val="bottom"/>
            <w:tcBorders>
              <w:left w:val="single" w:sz="8" w:color="auto"/>
              <w:bottom w:val="single" w:sz="8" w:color="auto"/>
              <w:right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600" w:type="dxa"/>
            <w:vAlign w:val="bottom"/>
            <w:tcBorders>
              <w:bottom w:val="single" w:sz="8" w:color="auto"/>
              <w:right w:val="single" w:sz="8" w:color="auto"/>
            </w:tcBorders>
            <w:gridSpan w:val="2"/>
          </w:tcPr>
          <w:p>
            <w:pPr>
              <w:spacing w:after="0"/>
              <w:rPr>
                <w:sz w:val="17"/>
                <w:szCs w:val="17"/>
                <w:color w:val="auto"/>
              </w:rPr>
            </w:pPr>
          </w:p>
        </w:tc>
      </w:tr>
      <w:tr>
        <w:trPr>
          <w:trHeight w:val="198"/>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The General Meeting shall pass its resolutions and carry out its elections with the</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Sous réserve des dispositions impératives de la loi ou des statuts, l'assemblée</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simple majority of the votes cast regardless of abstentions and empty or invalid</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générale prend ses décisions et procède aux élections à la majorité simple des</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votes, unless statutory law or articles of association state otherwise. In the event</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voix émises. En cas de partage égal des voix, la requête sera refusée. Le</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of tie votes, the request shall be refused. The Chairman shall not have a casting</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président n'a pas voix prépondérante.</w:t>
            </w:r>
          </w:p>
        </w:tc>
      </w:tr>
      <w:tr>
        <w:trPr>
          <w:trHeight w:val="185"/>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vote.</w:t>
            </w:r>
          </w:p>
        </w:tc>
        <w:tc>
          <w:tcPr>
            <w:tcW w:w="220" w:type="dxa"/>
            <w:vAlign w:val="bottom"/>
            <w:tcBorders>
              <w:right w:val="single" w:sz="8" w:color="auto"/>
            </w:tcBorders>
          </w:tcPr>
          <w:p>
            <w:pPr>
              <w:spacing w:after="0"/>
              <w:rPr>
                <w:sz w:val="16"/>
                <w:szCs w:val="16"/>
                <w:color w:val="auto"/>
              </w:rPr>
            </w:pPr>
          </w:p>
        </w:tc>
        <w:tc>
          <w:tcPr>
            <w:tcW w:w="720" w:type="dxa"/>
            <w:vAlign w:val="bottom"/>
          </w:tcPr>
          <w:p>
            <w:pPr>
              <w:spacing w:after="0"/>
              <w:rPr>
                <w:sz w:val="16"/>
                <w:szCs w:val="16"/>
                <w:color w:val="auto"/>
              </w:rPr>
            </w:pPr>
          </w:p>
        </w:tc>
        <w:tc>
          <w:tcPr>
            <w:tcW w:w="4880" w:type="dxa"/>
            <w:vAlign w:val="bottom"/>
            <w:tcBorders>
              <w:right w:val="single" w:sz="8" w:color="auto"/>
            </w:tcBorders>
          </w:tcPr>
          <w:p>
            <w:pPr>
              <w:spacing w:after="0"/>
              <w:rPr>
                <w:sz w:val="16"/>
                <w:szCs w:val="16"/>
                <w:color w:val="auto"/>
              </w:rPr>
            </w:pPr>
          </w:p>
        </w:tc>
      </w:tr>
      <w:tr>
        <w:trPr>
          <w:trHeight w:val="23"/>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gridSpan w:val="2"/>
          </w:tcPr>
          <w:p>
            <w:pPr>
              <w:spacing w:after="0"/>
              <w:rPr>
                <w:sz w:val="2"/>
                <w:szCs w:val="2"/>
                <w:color w:val="auto"/>
              </w:rPr>
            </w:pPr>
          </w:p>
        </w:tc>
      </w:tr>
      <w:tr>
        <w:trPr>
          <w:trHeight w:val="198"/>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A resolution of the General Meeting passed by at least two thirds of the</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Une décision de l'assemblée générale recueillant au moins les deux tiers des</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represented share votes and the absolute majority of the represented shares par</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voix attribuées aux actions représentées et la majorité absolue des valeurs</w:t>
            </w:r>
          </w:p>
        </w:tc>
      </w:tr>
      <w:tr>
        <w:trPr>
          <w:trHeight w:val="185"/>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value is required for:</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nominales représentées est nécessaire pour:</w:t>
            </w:r>
          </w:p>
        </w:tc>
      </w:tr>
      <w:tr>
        <w:trPr>
          <w:trHeight w:val="346"/>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a)  The cases listed in art. 704 para. 1 CO, i.e.:</w:t>
            </w:r>
          </w:p>
        </w:tc>
        <w:tc>
          <w:tcPr>
            <w:tcW w:w="22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a)   les cas énumérés dans l'art. 704 al. 1 CO, i.e.:</w:t>
            </w:r>
          </w:p>
        </w:tc>
      </w:tr>
      <w:tr>
        <w:trPr>
          <w:trHeight w:val="346"/>
        </w:trPr>
        <w:tc>
          <w:tcPr>
            <w:tcW w:w="562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5"/>
                <w:szCs w:val="15"/>
                <w:color w:val="auto"/>
              </w:rPr>
              <w:t>(i)   the change of the company purpose;</w:t>
            </w:r>
          </w:p>
        </w:tc>
        <w:tc>
          <w:tcPr>
            <w:tcW w:w="220" w:type="dxa"/>
            <w:vAlign w:val="bottom"/>
            <w:tcBorders>
              <w:right w:val="single" w:sz="8" w:color="auto"/>
            </w:tcBorders>
          </w:tcPr>
          <w:p>
            <w:pPr>
              <w:spacing w:after="0"/>
              <w:rPr>
                <w:sz w:val="24"/>
                <w:szCs w:val="24"/>
                <w:color w:val="auto"/>
              </w:rPr>
            </w:pPr>
          </w:p>
        </w:tc>
        <w:tc>
          <w:tcPr>
            <w:tcW w:w="720" w:type="dxa"/>
            <w:vAlign w:val="bottom"/>
          </w:tcPr>
          <w:p>
            <w:pPr>
              <w:ind w:left="420"/>
              <w:spacing w:after="0"/>
              <w:rPr>
                <w:sz w:val="20"/>
                <w:szCs w:val="20"/>
                <w:color w:val="auto"/>
              </w:rPr>
            </w:pPr>
            <w:r>
              <w:rPr>
                <w:rFonts w:ascii="Arial" w:cs="Arial" w:eastAsia="Arial" w:hAnsi="Arial"/>
                <w:sz w:val="15"/>
                <w:szCs w:val="15"/>
                <w:color w:val="auto"/>
              </w:rPr>
              <w:t>(i)</w:t>
            </w:r>
          </w:p>
        </w:tc>
        <w:tc>
          <w:tcPr>
            <w:tcW w:w="48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la modification du but social;</w:t>
            </w:r>
          </w:p>
        </w:tc>
      </w:tr>
      <w:tr>
        <w:trPr>
          <w:trHeight w:val="346"/>
        </w:trPr>
        <w:tc>
          <w:tcPr>
            <w:tcW w:w="562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5"/>
                <w:szCs w:val="15"/>
                <w:color w:val="auto"/>
              </w:rPr>
              <w:t>(ii)  the creation of shares with privileged voting rights;</w:t>
            </w:r>
          </w:p>
        </w:tc>
        <w:tc>
          <w:tcPr>
            <w:tcW w:w="220" w:type="dxa"/>
            <w:vAlign w:val="bottom"/>
            <w:tcBorders>
              <w:right w:val="single" w:sz="8" w:color="auto"/>
            </w:tcBorders>
          </w:tcPr>
          <w:p>
            <w:pPr>
              <w:spacing w:after="0"/>
              <w:rPr>
                <w:sz w:val="24"/>
                <w:szCs w:val="24"/>
                <w:color w:val="auto"/>
              </w:rPr>
            </w:pPr>
          </w:p>
        </w:tc>
        <w:tc>
          <w:tcPr>
            <w:tcW w:w="720" w:type="dxa"/>
            <w:vAlign w:val="bottom"/>
          </w:tcPr>
          <w:p>
            <w:pPr>
              <w:ind w:left="420"/>
              <w:spacing w:after="0"/>
              <w:rPr>
                <w:sz w:val="20"/>
                <w:szCs w:val="20"/>
                <w:color w:val="auto"/>
              </w:rPr>
            </w:pPr>
            <w:r>
              <w:rPr>
                <w:rFonts w:ascii="Arial" w:cs="Arial" w:eastAsia="Arial" w:hAnsi="Arial"/>
                <w:sz w:val="15"/>
                <w:szCs w:val="15"/>
                <w:color w:val="auto"/>
              </w:rPr>
              <w:t>(ii)</w:t>
            </w:r>
          </w:p>
        </w:tc>
        <w:tc>
          <w:tcPr>
            <w:tcW w:w="48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l'introduction d'actions à droit de vote privilégié;</w:t>
            </w:r>
          </w:p>
        </w:tc>
      </w:tr>
      <w:tr>
        <w:trPr>
          <w:trHeight w:val="346"/>
        </w:trPr>
        <w:tc>
          <w:tcPr>
            <w:tcW w:w="562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5"/>
                <w:szCs w:val="15"/>
                <w:color w:val="auto"/>
              </w:rPr>
              <w:t>(iii)  the restriction of the transferability of registered shares;</w:t>
            </w:r>
          </w:p>
        </w:tc>
        <w:tc>
          <w:tcPr>
            <w:tcW w:w="22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gridSpan w:val="2"/>
          </w:tcPr>
          <w:p>
            <w:pPr>
              <w:ind w:left="420"/>
              <w:spacing w:after="0"/>
              <w:rPr>
                <w:sz w:val="20"/>
                <w:szCs w:val="20"/>
                <w:color w:val="auto"/>
              </w:rPr>
            </w:pPr>
            <w:r>
              <w:rPr>
                <w:rFonts w:ascii="Arial" w:cs="Arial" w:eastAsia="Arial" w:hAnsi="Arial"/>
                <w:sz w:val="15"/>
                <w:szCs w:val="15"/>
                <w:color w:val="auto"/>
              </w:rPr>
              <w:t>(iii)   la restriction de la transmissibilité des actions nominatives;</w:t>
            </w:r>
          </w:p>
        </w:tc>
      </w:tr>
      <w:tr>
        <w:trPr>
          <w:trHeight w:val="346"/>
        </w:trPr>
        <w:tc>
          <w:tcPr>
            <w:tcW w:w="562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5"/>
                <w:szCs w:val="15"/>
                <w:color w:val="auto"/>
              </w:rPr>
              <w:t>(iv)  an increase of capital, authorized or subject to a condition;</w:t>
            </w:r>
          </w:p>
        </w:tc>
        <w:tc>
          <w:tcPr>
            <w:tcW w:w="22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gridSpan w:val="2"/>
          </w:tcPr>
          <w:p>
            <w:pPr>
              <w:ind w:left="420"/>
              <w:spacing w:after="0"/>
              <w:rPr>
                <w:sz w:val="20"/>
                <w:szCs w:val="20"/>
                <w:color w:val="auto"/>
              </w:rPr>
            </w:pPr>
            <w:r>
              <w:rPr>
                <w:rFonts w:ascii="Arial" w:cs="Arial" w:eastAsia="Arial" w:hAnsi="Arial"/>
                <w:sz w:val="15"/>
                <w:szCs w:val="15"/>
                <w:color w:val="auto"/>
              </w:rPr>
              <w:t>(iv)   l'augmentation autorisée ou conditionnelle du capital-actions;</w:t>
            </w:r>
          </w:p>
        </w:tc>
      </w:tr>
      <w:tr>
        <w:trPr>
          <w:trHeight w:val="888"/>
        </w:trPr>
        <w:tc>
          <w:tcPr>
            <w:tcW w:w="5620" w:type="dxa"/>
            <w:vAlign w:val="bottom"/>
            <w:tcBorders>
              <w:left w:val="single" w:sz="8" w:color="auto"/>
              <w:bottom w:val="single" w:sz="8" w:color="auto"/>
              <w:right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880" w:type="dxa"/>
            <w:vAlign w:val="bottom"/>
            <w:tcBorders>
              <w:bottom w:val="single" w:sz="8" w:color="auto"/>
              <w:right w:val="single" w:sz="8" w:color="auto"/>
            </w:tcBorders>
          </w:tcPr>
          <w:p>
            <w:pPr>
              <w:spacing w:after="0"/>
              <w:rPr>
                <w:sz w:val="24"/>
                <w:szCs w:val="24"/>
                <w:color w:val="auto"/>
              </w:rPr>
            </w:pPr>
          </w:p>
        </w:tc>
      </w:tr>
      <w:tr>
        <w:trPr>
          <w:trHeight w:val="499"/>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231" w:right="219" w:bottom="1440" w:gutter="0" w:footer="0" w:header="0"/>
        </w:sectPr>
      </w:pPr>
    </w:p>
    <w:bookmarkStart w:id="47" w:name="page48"/>
    <w:bookmarkEnd w:id="4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24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300" w:type="dxa"/>
            <w:vAlign w:val="bottom"/>
          </w:tcPr>
          <w:p>
            <w:pPr>
              <w:jc w:val="right"/>
              <w:spacing w:after="0"/>
              <w:rPr>
                <w:sz w:val="20"/>
                <w:szCs w:val="20"/>
                <w:color w:val="auto"/>
              </w:rPr>
            </w:pPr>
            <w:r>
              <w:rPr>
                <w:rFonts w:ascii="Arial" w:cs="Arial" w:eastAsia="Arial" w:hAnsi="Arial"/>
                <w:sz w:val="15"/>
                <w:szCs w:val="15"/>
                <w:color w:val="auto"/>
              </w:rPr>
              <w:t>17</w:t>
            </w:r>
          </w:p>
        </w:tc>
      </w:tr>
      <w:tr>
        <w:trPr>
          <w:trHeight w:val="289"/>
        </w:trPr>
        <w:tc>
          <w:tcPr>
            <w:tcW w:w="24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r>
      <w:tr>
        <w:trPr>
          <w:trHeight w:val="198"/>
        </w:trPr>
        <w:tc>
          <w:tcPr>
            <w:tcW w:w="240" w:type="dxa"/>
            <w:vAlign w:val="bottom"/>
            <w:tcBorders>
              <w:left w:val="single" w:sz="8" w:color="auto"/>
            </w:tcBorders>
          </w:tcPr>
          <w:p>
            <w:pPr>
              <w:spacing w:after="0"/>
              <w:rPr>
                <w:sz w:val="17"/>
                <w:szCs w:val="17"/>
                <w:color w:val="auto"/>
              </w:rPr>
            </w:pPr>
          </w:p>
        </w:tc>
        <w:tc>
          <w:tcPr>
            <w:tcW w:w="538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(v)   an increase of capital out of equity, against contribution in kind, or for</w:t>
            </w:r>
          </w:p>
        </w:tc>
        <w:tc>
          <w:tcPr>
            <w:tcW w:w="22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530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(v)  l'augmentation du capital-actions au moyen des fonds propres, contre</w:t>
            </w:r>
          </w:p>
        </w:tc>
      </w:tr>
      <w:tr>
        <w:trPr>
          <w:trHeight w:val="173"/>
        </w:trPr>
        <w:tc>
          <w:tcPr>
            <w:tcW w:w="240" w:type="dxa"/>
            <w:vAlign w:val="bottom"/>
            <w:tcBorders>
              <w:left w:val="single" w:sz="8" w:color="auto"/>
            </w:tcBorders>
          </w:tcPr>
          <w:p>
            <w:pPr>
              <w:spacing w:after="0"/>
              <w:rPr>
                <w:sz w:val="15"/>
                <w:szCs w:val="15"/>
                <w:color w:val="auto"/>
              </w:rPr>
            </w:pPr>
          </w:p>
        </w:tc>
        <w:tc>
          <w:tcPr>
            <w:tcW w:w="5380" w:type="dxa"/>
            <w:vAlign w:val="bottom"/>
            <w:tcBorders>
              <w:right w:val="single" w:sz="8" w:color="auto"/>
            </w:tcBorders>
          </w:tcPr>
          <w:p>
            <w:pPr>
              <w:ind w:left="460"/>
              <w:spacing w:after="0"/>
              <w:rPr>
                <w:sz w:val="20"/>
                <w:szCs w:val="20"/>
                <w:color w:val="auto"/>
              </w:rPr>
            </w:pPr>
            <w:r>
              <w:rPr>
                <w:rFonts w:ascii="Arial" w:cs="Arial" w:eastAsia="Arial" w:hAnsi="Arial"/>
                <w:sz w:val="15"/>
                <w:szCs w:val="15"/>
                <w:color w:val="auto"/>
              </w:rPr>
              <w:t>the  purpose  of  acquisition  of  assets  and  the  granting  of  special</w:t>
            </w:r>
          </w:p>
        </w:tc>
        <w:tc>
          <w:tcPr>
            <w:tcW w:w="22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530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apport  en  nature  ou  en  vue  d'une  reprise  de  biens  et  l'octroi</w:t>
            </w:r>
          </w:p>
        </w:tc>
      </w:tr>
      <w:tr>
        <w:trPr>
          <w:trHeight w:val="185"/>
        </w:trPr>
        <w:tc>
          <w:tcPr>
            <w:tcW w:w="240" w:type="dxa"/>
            <w:vAlign w:val="bottom"/>
            <w:tcBorders>
              <w:left w:val="single" w:sz="8" w:color="auto"/>
            </w:tcBorders>
          </w:tcPr>
          <w:p>
            <w:pPr>
              <w:spacing w:after="0"/>
              <w:rPr>
                <w:sz w:val="16"/>
                <w:szCs w:val="16"/>
                <w:color w:val="auto"/>
              </w:rPr>
            </w:pPr>
          </w:p>
        </w:tc>
        <w:tc>
          <w:tcPr>
            <w:tcW w:w="5380" w:type="dxa"/>
            <w:vAlign w:val="bottom"/>
            <w:tcBorders>
              <w:right w:val="single" w:sz="8" w:color="auto"/>
            </w:tcBorders>
          </w:tcPr>
          <w:p>
            <w:pPr>
              <w:ind w:left="460"/>
              <w:spacing w:after="0"/>
              <w:rPr>
                <w:sz w:val="20"/>
                <w:szCs w:val="20"/>
                <w:color w:val="auto"/>
              </w:rPr>
            </w:pPr>
            <w:r>
              <w:rPr>
                <w:rFonts w:ascii="Arial" w:cs="Arial" w:eastAsia="Arial" w:hAnsi="Arial"/>
                <w:sz w:val="15"/>
                <w:szCs w:val="15"/>
                <w:color w:val="auto"/>
              </w:rPr>
              <w:t>benefits;</w:t>
            </w:r>
          </w:p>
        </w:tc>
        <w:tc>
          <w:tcPr>
            <w:tcW w:w="22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5300" w:type="dxa"/>
            <w:vAlign w:val="bottom"/>
            <w:tcBorders>
              <w:right w:val="single" w:sz="8" w:color="auto"/>
            </w:tcBorders>
          </w:tcPr>
          <w:p>
            <w:pPr>
              <w:ind w:left="460"/>
              <w:spacing w:after="0"/>
              <w:rPr>
                <w:sz w:val="20"/>
                <w:szCs w:val="20"/>
                <w:color w:val="auto"/>
              </w:rPr>
            </w:pPr>
            <w:r>
              <w:rPr>
                <w:rFonts w:ascii="Arial" w:cs="Arial" w:eastAsia="Arial" w:hAnsi="Arial"/>
                <w:sz w:val="15"/>
                <w:szCs w:val="15"/>
                <w:color w:val="auto"/>
              </w:rPr>
              <w:t>d'avantages particuliers;</w:t>
            </w:r>
          </w:p>
        </w:tc>
      </w:tr>
      <w:tr>
        <w:trPr>
          <w:trHeight w:val="346"/>
        </w:trPr>
        <w:tc>
          <w:tcPr>
            <w:tcW w:w="240" w:type="dxa"/>
            <w:vAlign w:val="bottom"/>
            <w:tcBorders>
              <w:left w:val="single" w:sz="8" w:color="auto"/>
            </w:tcBorders>
          </w:tcPr>
          <w:p>
            <w:pPr>
              <w:spacing w:after="0"/>
              <w:rPr>
                <w:sz w:val="24"/>
                <w:szCs w:val="24"/>
                <w:color w:val="auto"/>
              </w:rPr>
            </w:pPr>
          </w:p>
        </w:tc>
        <w:tc>
          <w:tcPr>
            <w:tcW w:w="538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(vi)  the limitation or withdrawal of subscription rights;</w:t>
            </w:r>
          </w:p>
        </w:tc>
        <w:tc>
          <w:tcPr>
            <w:tcW w:w="22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530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(vi)  la limitation ou la suppression du droit de souscription préférentiel;</w:t>
            </w:r>
          </w:p>
        </w:tc>
      </w:tr>
      <w:tr>
        <w:trPr>
          <w:trHeight w:val="346"/>
        </w:trPr>
        <w:tc>
          <w:tcPr>
            <w:tcW w:w="240" w:type="dxa"/>
            <w:vAlign w:val="bottom"/>
            <w:tcBorders>
              <w:left w:val="single" w:sz="8" w:color="auto"/>
            </w:tcBorders>
          </w:tcPr>
          <w:p>
            <w:pPr>
              <w:spacing w:after="0"/>
              <w:rPr>
                <w:sz w:val="24"/>
                <w:szCs w:val="24"/>
                <w:color w:val="auto"/>
              </w:rPr>
            </w:pPr>
          </w:p>
        </w:tc>
        <w:tc>
          <w:tcPr>
            <w:tcW w:w="538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(vii)  the change of the domicile of the Company; and</w:t>
            </w:r>
          </w:p>
        </w:tc>
        <w:tc>
          <w:tcPr>
            <w:tcW w:w="22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530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(vii) le transfert du siège de la société; et</w:t>
            </w:r>
          </w:p>
        </w:tc>
      </w:tr>
      <w:tr>
        <w:trPr>
          <w:trHeight w:val="346"/>
        </w:trPr>
        <w:tc>
          <w:tcPr>
            <w:tcW w:w="240" w:type="dxa"/>
            <w:vAlign w:val="bottom"/>
            <w:tcBorders>
              <w:left w:val="single" w:sz="8" w:color="auto"/>
            </w:tcBorders>
          </w:tcPr>
          <w:p>
            <w:pPr>
              <w:spacing w:after="0"/>
              <w:rPr>
                <w:sz w:val="24"/>
                <w:szCs w:val="24"/>
                <w:color w:val="auto"/>
              </w:rPr>
            </w:pPr>
          </w:p>
        </w:tc>
        <w:tc>
          <w:tcPr>
            <w:tcW w:w="538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(viii) the liquidation of the Company;</w:t>
            </w:r>
          </w:p>
        </w:tc>
        <w:tc>
          <w:tcPr>
            <w:tcW w:w="22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530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(viii) la dissolution de la société;</w:t>
            </w:r>
          </w:p>
        </w:tc>
      </w:tr>
      <w:tr>
        <w:trPr>
          <w:trHeight w:val="334"/>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b)   the merger, de-merger or conversion of the Company (subject to mandatory</w:t>
            </w:r>
          </w:p>
        </w:tc>
        <w:tc>
          <w:tcPr>
            <w:tcW w:w="220" w:type="dxa"/>
            <w:vAlign w:val="bottom"/>
            <w:tcBorders>
              <w:right w:val="single" w:sz="8" w:color="auto"/>
            </w:tcBorders>
          </w:tcPr>
          <w:p>
            <w:pPr>
              <w:spacing w:after="0"/>
              <w:rPr>
                <w:sz w:val="24"/>
                <w:szCs w:val="24"/>
                <w:color w:val="auto"/>
              </w:rPr>
            </w:pPr>
          </w:p>
        </w:tc>
        <w:tc>
          <w:tcPr>
            <w:tcW w:w="300" w:type="dxa"/>
            <w:vAlign w:val="bottom"/>
          </w:tcPr>
          <w:p>
            <w:pPr>
              <w:ind w:left="40"/>
              <w:spacing w:after="0"/>
              <w:rPr>
                <w:sz w:val="20"/>
                <w:szCs w:val="20"/>
                <w:color w:val="auto"/>
              </w:rPr>
            </w:pPr>
            <w:r>
              <w:rPr>
                <w:rFonts w:ascii="Arial" w:cs="Arial" w:eastAsia="Arial" w:hAnsi="Arial"/>
                <w:sz w:val="15"/>
                <w:szCs w:val="15"/>
                <w:color w:val="auto"/>
              </w:rPr>
              <w:t>b)</w:t>
            </w:r>
          </w:p>
        </w:tc>
        <w:tc>
          <w:tcPr>
            <w:tcW w:w="530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la fusion, la scission ou la conversion de la société (sous réserve des</w:t>
            </w:r>
          </w:p>
        </w:tc>
      </w:tr>
      <w:tr>
        <w:trPr>
          <w:trHeight w:val="185"/>
        </w:trPr>
        <w:tc>
          <w:tcPr>
            <w:tcW w:w="240" w:type="dxa"/>
            <w:vAlign w:val="bottom"/>
            <w:tcBorders>
              <w:left w:val="single" w:sz="8" w:color="auto"/>
            </w:tcBorders>
          </w:tcPr>
          <w:p>
            <w:pPr>
              <w:spacing w:after="0"/>
              <w:rPr>
                <w:sz w:val="16"/>
                <w:szCs w:val="16"/>
                <w:color w:val="auto"/>
              </w:rPr>
            </w:pPr>
          </w:p>
        </w:tc>
        <w:tc>
          <w:tcPr>
            <w:tcW w:w="538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law);</w:t>
            </w:r>
          </w:p>
        </w:tc>
        <w:tc>
          <w:tcPr>
            <w:tcW w:w="22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530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dispositions impératives);</w:t>
            </w:r>
          </w:p>
        </w:tc>
      </w:tr>
      <w:tr>
        <w:trPr>
          <w:trHeight w:val="334"/>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c)   the alleviating or withdrawal of restrictions upon the transfer of registered</w:t>
            </w:r>
          </w:p>
        </w:tc>
        <w:tc>
          <w:tcPr>
            <w:tcW w:w="220" w:type="dxa"/>
            <w:vAlign w:val="bottom"/>
            <w:tcBorders>
              <w:right w:val="single" w:sz="8" w:color="auto"/>
            </w:tcBorders>
          </w:tcPr>
          <w:p>
            <w:pPr>
              <w:spacing w:after="0"/>
              <w:rPr>
                <w:sz w:val="24"/>
                <w:szCs w:val="24"/>
                <w:color w:val="auto"/>
              </w:rPr>
            </w:pPr>
          </w:p>
        </w:tc>
        <w:tc>
          <w:tcPr>
            <w:tcW w:w="300" w:type="dxa"/>
            <w:vAlign w:val="bottom"/>
          </w:tcPr>
          <w:p>
            <w:pPr>
              <w:ind w:left="40"/>
              <w:spacing w:after="0"/>
              <w:rPr>
                <w:sz w:val="20"/>
                <w:szCs w:val="20"/>
                <w:color w:val="auto"/>
              </w:rPr>
            </w:pPr>
            <w:r>
              <w:rPr>
                <w:rFonts w:ascii="Arial" w:cs="Arial" w:eastAsia="Arial" w:hAnsi="Arial"/>
                <w:sz w:val="15"/>
                <w:szCs w:val="15"/>
                <w:color w:val="auto"/>
              </w:rPr>
              <w:t>c)</w:t>
            </w:r>
          </w:p>
        </w:tc>
        <w:tc>
          <w:tcPr>
            <w:tcW w:w="530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l'atténuation ou la suppression des restrictions sur le transfert des actions</w:t>
            </w:r>
          </w:p>
        </w:tc>
      </w:tr>
      <w:tr>
        <w:trPr>
          <w:trHeight w:val="185"/>
        </w:trPr>
        <w:tc>
          <w:tcPr>
            <w:tcW w:w="240" w:type="dxa"/>
            <w:vAlign w:val="bottom"/>
            <w:tcBorders>
              <w:left w:val="single" w:sz="8" w:color="auto"/>
            </w:tcBorders>
          </w:tcPr>
          <w:p>
            <w:pPr>
              <w:spacing w:after="0"/>
              <w:rPr>
                <w:sz w:val="16"/>
                <w:szCs w:val="16"/>
                <w:color w:val="auto"/>
              </w:rPr>
            </w:pPr>
          </w:p>
        </w:tc>
        <w:tc>
          <w:tcPr>
            <w:tcW w:w="538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shares;</w:t>
            </w:r>
          </w:p>
        </w:tc>
        <w:tc>
          <w:tcPr>
            <w:tcW w:w="22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530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nominatives;</w:t>
            </w:r>
          </w:p>
        </w:tc>
      </w:tr>
      <w:tr>
        <w:trPr>
          <w:trHeight w:val="346"/>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d)  the conversion of registered shares into bearer shares and vice versa; and</w:t>
            </w:r>
          </w:p>
        </w:tc>
        <w:tc>
          <w:tcPr>
            <w:tcW w:w="220" w:type="dxa"/>
            <w:vAlign w:val="bottom"/>
            <w:tcBorders>
              <w:right w:val="single" w:sz="8" w:color="auto"/>
            </w:tcBorders>
          </w:tcPr>
          <w:p>
            <w:pPr>
              <w:spacing w:after="0"/>
              <w:rPr>
                <w:sz w:val="24"/>
                <w:szCs w:val="24"/>
                <w:color w:val="auto"/>
              </w:rPr>
            </w:pPr>
          </w:p>
        </w:tc>
        <w:tc>
          <w:tcPr>
            <w:tcW w:w="300" w:type="dxa"/>
            <w:vAlign w:val="bottom"/>
          </w:tcPr>
          <w:p>
            <w:pPr>
              <w:ind w:left="40"/>
              <w:spacing w:after="0"/>
              <w:rPr>
                <w:sz w:val="20"/>
                <w:szCs w:val="20"/>
                <w:color w:val="auto"/>
              </w:rPr>
            </w:pPr>
            <w:r>
              <w:rPr>
                <w:rFonts w:ascii="Arial" w:cs="Arial" w:eastAsia="Arial" w:hAnsi="Arial"/>
                <w:sz w:val="15"/>
                <w:szCs w:val="15"/>
                <w:color w:val="auto"/>
              </w:rPr>
              <w:t>d)</w:t>
            </w:r>
          </w:p>
        </w:tc>
        <w:tc>
          <w:tcPr>
            <w:tcW w:w="530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la conversion d'actions nominatives en actions au porteur et vice versa; et</w:t>
            </w:r>
          </w:p>
        </w:tc>
      </w:tr>
      <w:tr>
        <w:trPr>
          <w:trHeight w:val="334"/>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e)   the amendment or elimination of the provisions of Article 4 and 29 of the</w:t>
            </w:r>
          </w:p>
        </w:tc>
        <w:tc>
          <w:tcPr>
            <w:tcW w:w="220" w:type="dxa"/>
            <w:vAlign w:val="bottom"/>
            <w:tcBorders>
              <w:right w:val="single" w:sz="8" w:color="auto"/>
            </w:tcBorders>
          </w:tcPr>
          <w:p>
            <w:pPr>
              <w:spacing w:after="0"/>
              <w:rPr>
                <w:sz w:val="24"/>
                <w:szCs w:val="24"/>
                <w:color w:val="auto"/>
              </w:rPr>
            </w:pPr>
          </w:p>
        </w:tc>
        <w:tc>
          <w:tcPr>
            <w:tcW w:w="300" w:type="dxa"/>
            <w:vAlign w:val="bottom"/>
          </w:tcPr>
          <w:p>
            <w:pPr>
              <w:ind w:left="40"/>
              <w:spacing w:after="0"/>
              <w:rPr>
                <w:sz w:val="20"/>
                <w:szCs w:val="20"/>
                <w:color w:val="auto"/>
              </w:rPr>
            </w:pPr>
            <w:r>
              <w:rPr>
                <w:rFonts w:ascii="Arial" w:cs="Arial" w:eastAsia="Arial" w:hAnsi="Arial"/>
                <w:sz w:val="15"/>
                <w:szCs w:val="15"/>
                <w:color w:val="auto"/>
              </w:rPr>
              <w:t>e)</w:t>
            </w:r>
          </w:p>
        </w:tc>
        <w:tc>
          <w:tcPr>
            <w:tcW w:w="530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la modification ou la suppression des dispositions des articles 4 et 29 des</w:t>
            </w:r>
          </w:p>
        </w:tc>
      </w:tr>
      <w:tr>
        <w:trPr>
          <w:trHeight w:val="185"/>
        </w:trPr>
        <w:tc>
          <w:tcPr>
            <w:tcW w:w="240" w:type="dxa"/>
            <w:vAlign w:val="bottom"/>
            <w:tcBorders>
              <w:left w:val="single" w:sz="8" w:color="auto"/>
            </w:tcBorders>
          </w:tcPr>
          <w:p>
            <w:pPr>
              <w:spacing w:after="0"/>
              <w:rPr>
                <w:sz w:val="16"/>
                <w:szCs w:val="16"/>
                <w:color w:val="auto"/>
              </w:rPr>
            </w:pPr>
          </w:p>
        </w:tc>
        <w:tc>
          <w:tcPr>
            <w:tcW w:w="538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Articles of Association as well as those contained in this Article 17.</w:t>
            </w:r>
          </w:p>
        </w:tc>
        <w:tc>
          <w:tcPr>
            <w:tcW w:w="22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5300" w:type="dxa"/>
            <w:vAlign w:val="bottom"/>
            <w:tcBorders>
              <w:right w:val="single" w:sz="8" w:color="auto"/>
            </w:tcBorders>
          </w:tcPr>
          <w:p>
            <w:pPr>
              <w:ind w:left="180"/>
              <w:spacing w:after="0"/>
              <w:rPr>
                <w:sz w:val="20"/>
                <w:szCs w:val="20"/>
                <w:color w:val="auto"/>
              </w:rPr>
            </w:pPr>
            <w:r>
              <w:rPr>
                <w:rFonts w:ascii="Arial" w:cs="Arial" w:eastAsia="Arial" w:hAnsi="Arial"/>
                <w:sz w:val="15"/>
                <w:szCs w:val="15"/>
                <w:color w:val="auto"/>
              </w:rPr>
              <w:t>statuts ainsi que ceux contenues dans le présent article 17.</w:t>
            </w:r>
          </w:p>
        </w:tc>
      </w:tr>
      <w:tr>
        <w:trPr>
          <w:trHeight w:val="196"/>
        </w:trPr>
        <w:tc>
          <w:tcPr>
            <w:tcW w:w="5620" w:type="dxa"/>
            <w:vAlign w:val="bottom"/>
            <w:tcBorders>
              <w:left w:val="single" w:sz="8" w:color="auto"/>
              <w:bottom w:val="single" w:sz="8" w:color="auto"/>
              <w:right w:val="single" w:sz="8" w:color="auto"/>
            </w:tcBorders>
            <w:gridSpan w:val="2"/>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600" w:type="dxa"/>
            <w:vAlign w:val="bottom"/>
            <w:tcBorders>
              <w:bottom w:val="single" w:sz="8" w:color="auto"/>
              <w:right w:val="single" w:sz="8" w:color="auto"/>
            </w:tcBorders>
            <w:gridSpan w:val="2"/>
          </w:tcPr>
          <w:p>
            <w:pPr>
              <w:spacing w:after="0"/>
              <w:rPr>
                <w:sz w:val="17"/>
                <w:szCs w:val="17"/>
                <w:color w:val="auto"/>
              </w:rPr>
            </w:pPr>
          </w:p>
        </w:tc>
      </w:tr>
      <w:tr>
        <w:trPr>
          <w:trHeight w:val="211"/>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Art. 18 Votes on Compensation</w:t>
            </w:r>
          </w:p>
        </w:tc>
        <w:tc>
          <w:tcPr>
            <w:tcW w:w="2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Art. 18 Votes sur la rémunération</w:t>
            </w:r>
          </w:p>
        </w:tc>
      </w:tr>
      <w:tr>
        <w:trPr>
          <w:trHeight w:val="334"/>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Each year, the General Meeting separately approves the total maximum amounts</w:t>
            </w:r>
          </w:p>
        </w:tc>
        <w:tc>
          <w:tcPr>
            <w:tcW w:w="22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Chaque année, l'assemblée générale approuve séparément les montants totaux</w:t>
            </w: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proposed by the Board of Directors pursuant to Articles 32 and 33 of the Articles</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maximaux proposés par le conseil d'administration conformément aux articles 32</w:t>
            </w:r>
          </w:p>
        </w:tc>
      </w:tr>
      <w:tr>
        <w:trPr>
          <w:trHeight w:val="185"/>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of Association for:</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et 33 des statuts pour:</w:t>
            </w:r>
          </w:p>
        </w:tc>
      </w:tr>
      <w:tr>
        <w:trPr>
          <w:trHeight w:val="334"/>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a)   the non-performance-related compensation of the Board of Directors for the</w:t>
            </w:r>
          </w:p>
        </w:tc>
        <w:tc>
          <w:tcPr>
            <w:tcW w:w="220" w:type="dxa"/>
            <w:vAlign w:val="bottom"/>
            <w:tcBorders>
              <w:right w:val="single" w:sz="8" w:color="auto"/>
            </w:tcBorders>
          </w:tcPr>
          <w:p>
            <w:pPr>
              <w:spacing w:after="0"/>
              <w:rPr>
                <w:sz w:val="24"/>
                <w:szCs w:val="24"/>
                <w:color w:val="auto"/>
              </w:rPr>
            </w:pPr>
          </w:p>
        </w:tc>
        <w:tc>
          <w:tcPr>
            <w:tcW w:w="300" w:type="dxa"/>
            <w:vAlign w:val="bottom"/>
          </w:tcPr>
          <w:p>
            <w:pPr>
              <w:ind w:left="40"/>
              <w:spacing w:after="0"/>
              <w:rPr>
                <w:sz w:val="20"/>
                <w:szCs w:val="20"/>
                <w:color w:val="auto"/>
              </w:rPr>
            </w:pPr>
            <w:r>
              <w:rPr>
                <w:rFonts w:ascii="Arial" w:cs="Arial" w:eastAsia="Arial" w:hAnsi="Arial"/>
                <w:sz w:val="15"/>
                <w:szCs w:val="15"/>
                <w:color w:val="auto"/>
              </w:rPr>
              <w:t>a)</w:t>
            </w:r>
          </w:p>
        </w:tc>
        <w:tc>
          <w:tcPr>
            <w:tcW w:w="530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la rémunération non liée à la performance du conseil d'administration pour</w:t>
            </w:r>
          </w:p>
        </w:tc>
      </w:tr>
      <w:tr>
        <w:trPr>
          <w:trHeight w:val="185"/>
        </w:trPr>
        <w:tc>
          <w:tcPr>
            <w:tcW w:w="240" w:type="dxa"/>
            <w:vAlign w:val="bottom"/>
            <w:tcBorders>
              <w:left w:val="single" w:sz="8" w:color="auto"/>
            </w:tcBorders>
          </w:tcPr>
          <w:p>
            <w:pPr>
              <w:spacing w:after="0"/>
              <w:rPr>
                <w:sz w:val="16"/>
                <w:szCs w:val="16"/>
                <w:color w:val="auto"/>
              </w:rPr>
            </w:pPr>
          </w:p>
        </w:tc>
        <w:tc>
          <w:tcPr>
            <w:tcW w:w="538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next term of office;</w:t>
            </w:r>
          </w:p>
        </w:tc>
        <w:tc>
          <w:tcPr>
            <w:tcW w:w="22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530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le prochain mandat;</w:t>
            </w:r>
          </w:p>
        </w:tc>
      </w:tr>
      <w:tr>
        <w:trPr>
          <w:trHeight w:val="334"/>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5"/>
                <w:szCs w:val="15"/>
                <w:color w:val="auto"/>
              </w:rPr>
              <w:t>b)</w:t>
            </w:r>
          </w:p>
        </w:tc>
        <w:tc>
          <w:tcPr>
            <w:tcW w:w="5380" w:type="dxa"/>
            <w:vAlign w:val="bottom"/>
            <w:tcBorders>
              <w:right w:val="single" w:sz="8" w:color="auto"/>
            </w:tcBorders>
          </w:tcPr>
          <w:p>
            <w:pPr>
              <w:ind w:left="340"/>
              <w:spacing w:after="0"/>
              <w:rPr>
                <w:sz w:val="20"/>
                <w:szCs w:val="20"/>
                <w:color w:val="auto"/>
              </w:rPr>
            </w:pPr>
            <w:r>
              <w:rPr>
                <w:rFonts w:ascii="Arial" w:cs="Arial" w:eastAsia="Arial" w:hAnsi="Arial"/>
                <w:sz w:val="15"/>
                <w:szCs w:val="15"/>
                <w:color w:val="auto"/>
              </w:rPr>
              <w:t>a possible additional compensation of the Board of Directors for the</w:t>
            </w:r>
          </w:p>
        </w:tc>
        <w:tc>
          <w:tcPr>
            <w:tcW w:w="220" w:type="dxa"/>
            <w:vAlign w:val="bottom"/>
            <w:tcBorders>
              <w:right w:val="single" w:sz="8" w:color="auto"/>
            </w:tcBorders>
          </w:tcPr>
          <w:p>
            <w:pPr>
              <w:spacing w:after="0"/>
              <w:rPr>
                <w:sz w:val="24"/>
                <w:szCs w:val="24"/>
                <w:color w:val="auto"/>
              </w:rPr>
            </w:pPr>
          </w:p>
        </w:tc>
        <w:tc>
          <w:tcPr>
            <w:tcW w:w="300" w:type="dxa"/>
            <w:vAlign w:val="bottom"/>
          </w:tcPr>
          <w:p>
            <w:pPr>
              <w:ind w:left="40"/>
              <w:spacing w:after="0"/>
              <w:rPr>
                <w:sz w:val="20"/>
                <w:szCs w:val="20"/>
                <w:color w:val="auto"/>
              </w:rPr>
            </w:pPr>
            <w:r>
              <w:rPr>
                <w:rFonts w:ascii="Arial" w:cs="Arial" w:eastAsia="Arial" w:hAnsi="Arial"/>
                <w:sz w:val="15"/>
                <w:szCs w:val="15"/>
                <w:color w:val="auto"/>
              </w:rPr>
              <w:t>b)</w:t>
            </w:r>
          </w:p>
        </w:tc>
        <w:tc>
          <w:tcPr>
            <w:tcW w:w="530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une éventuelle rémunération supplémentaire du conseil d'administration</w:t>
            </w:r>
          </w:p>
        </w:tc>
      </w:tr>
      <w:tr>
        <w:trPr>
          <w:trHeight w:val="185"/>
        </w:trPr>
        <w:tc>
          <w:tcPr>
            <w:tcW w:w="240" w:type="dxa"/>
            <w:vAlign w:val="bottom"/>
            <w:tcBorders>
              <w:left w:val="single" w:sz="8" w:color="auto"/>
            </w:tcBorders>
          </w:tcPr>
          <w:p>
            <w:pPr>
              <w:spacing w:after="0"/>
              <w:rPr>
                <w:sz w:val="16"/>
                <w:szCs w:val="16"/>
                <w:color w:val="auto"/>
              </w:rPr>
            </w:pPr>
          </w:p>
        </w:tc>
        <w:tc>
          <w:tcPr>
            <w:tcW w:w="538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preceding business year;</w:t>
            </w:r>
          </w:p>
        </w:tc>
        <w:tc>
          <w:tcPr>
            <w:tcW w:w="22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530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pour l'exercice précédent;</w:t>
            </w:r>
          </w:p>
        </w:tc>
      </w:tr>
      <w:tr>
        <w:trPr>
          <w:trHeight w:val="334"/>
        </w:trPr>
        <w:tc>
          <w:tcPr>
            <w:tcW w:w="240" w:type="dxa"/>
            <w:vAlign w:val="bottom"/>
            <w:tcBorders>
              <w:left w:val="single" w:sz="8" w:color="auto"/>
            </w:tcBorders>
          </w:tcPr>
          <w:p>
            <w:pPr>
              <w:spacing w:after="0"/>
              <w:rPr>
                <w:sz w:val="24"/>
                <w:szCs w:val="24"/>
                <w:color w:val="auto"/>
              </w:rPr>
            </w:pPr>
          </w:p>
        </w:tc>
        <w:tc>
          <w:tcPr>
            <w:tcW w:w="538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300" w:type="dxa"/>
            <w:vAlign w:val="bottom"/>
          </w:tcPr>
          <w:p>
            <w:pPr>
              <w:ind w:left="40"/>
              <w:spacing w:after="0"/>
              <w:rPr>
                <w:sz w:val="20"/>
                <w:szCs w:val="20"/>
                <w:color w:val="auto"/>
              </w:rPr>
            </w:pPr>
            <w:r>
              <w:rPr>
                <w:rFonts w:ascii="Arial" w:cs="Arial" w:eastAsia="Arial" w:hAnsi="Arial"/>
                <w:sz w:val="15"/>
                <w:szCs w:val="15"/>
                <w:color w:val="auto"/>
              </w:rPr>
              <w:t>c)</w:t>
            </w:r>
          </w:p>
        </w:tc>
        <w:tc>
          <w:tcPr>
            <w:tcW w:w="530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la rémunération non liée à la performance du comité exécutif pour la</w:t>
            </w: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c)   the non-performance-related compensation of the Executive Committee for</w:t>
            </w:r>
          </w:p>
        </w:tc>
        <w:tc>
          <w:tcPr>
            <w:tcW w:w="22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530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période de 12 mois commençant le 1er juillet après chaque assemblée</w:t>
            </w:r>
          </w:p>
        </w:tc>
      </w:tr>
      <w:tr>
        <w:trPr>
          <w:trHeight w:val="173"/>
        </w:trPr>
        <w:tc>
          <w:tcPr>
            <w:tcW w:w="240" w:type="dxa"/>
            <w:vAlign w:val="bottom"/>
            <w:tcBorders>
              <w:left w:val="single" w:sz="8" w:color="auto"/>
            </w:tcBorders>
          </w:tcPr>
          <w:p>
            <w:pPr>
              <w:spacing w:after="0"/>
              <w:rPr>
                <w:sz w:val="15"/>
                <w:szCs w:val="15"/>
                <w:color w:val="auto"/>
              </w:rPr>
            </w:pPr>
          </w:p>
        </w:tc>
        <w:tc>
          <w:tcPr>
            <w:tcW w:w="538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the 12-month period starting on 1 July following the Ordinary General</w:t>
            </w:r>
          </w:p>
        </w:tc>
        <w:tc>
          <w:tcPr>
            <w:tcW w:w="22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530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générale ordinaire;</w:t>
            </w:r>
          </w:p>
        </w:tc>
      </w:tr>
      <w:tr>
        <w:trPr>
          <w:trHeight w:val="185"/>
        </w:trPr>
        <w:tc>
          <w:tcPr>
            <w:tcW w:w="240" w:type="dxa"/>
            <w:vAlign w:val="bottom"/>
            <w:tcBorders>
              <w:left w:val="single" w:sz="8" w:color="auto"/>
            </w:tcBorders>
          </w:tcPr>
          <w:p>
            <w:pPr>
              <w:spacing w:after="0"/>
              <w:rPr>
                <w:sz w:val="16"/>
                <w:szCs w:val="16"/>
                <w:color w:val="auto"/>
              </w:rPr>
            </w:pPr>
          </w:p>
        </w:tc>
        <w:tc>
          <w:tcPr>
            <w:tcW w:w="538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Meeting;</w:t>
            </w:r>
          </w:p>
        </w:tc>
        <w:tc>
          <w:tcPr>
            <w:tcW w:w="22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5300" w:type="dxa"/>
            <w:vAlign w:val="bottom"/>
            <w:tcBorders>
              <w:right w:val="single" w:sz="8" w:color="auto"/>
            </w:tcBorders>
          </w:tcPr>
          <w:p>
            <w:pPr>
              <w:spacing w:after="0"/>
              <w:rPr>
                <w:sz w:val="16"/>
                <w:szCs w:val="16"/>
                <w:color w:val="auto"/>
              </w:rPr>
            </w:pPr>
          </w:p>
        </w:tc>
      </w:tr>
      <w:tr>
        <w:trPr>
          <w:trHeight w:val="715"/>
        </w:trPr>
        <w:tc>
          <w:tcPr>
            <w:tcW w:w="240" w:type="dxa"/>
            <w:vAlign w:val="bottom"/>
            <w:tcBorders>
              <w:left w:val="single" w:sz="8" w:color="auto"/>
              <w:bottom w:val="single" w:sz="8" w:color="auto"/>
            </w:tcBorders>
          </w:tcPr>
          <w:p>
            <w:pPr>
              <w:spacing w:after="0"/>
              <w:rPr>
                <w:sz w:val="24"/>
                <w:szCs w:val="24"/>
                <w:color w:val="auto"/>
              </w:rPr>
            </w:pPr>
          </w:p>
        </w:tc>
        <w:tc>
          <w:tcPr>
            <w:tcW w:w="538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300" w:type="dxa"/>
            <w:vAlign w:val="bottom"/>
            <w:tcBorders>
              <w:bottom w:val="single" w:sz="8" w:color="auto"/>
              <w:right w:val="single" w:sz="8" w:color="auto"/>
            </w:tcBorders>
          </w:tcPr>
          <w:p>
            <w:pPr>
              <w:spacing w:after="0"/>
              <w:rPr>
                <w:sz w:val="24"/>
                <w:szCs w:val="24"/>
                <w:color w:val="auto"/>
              </w:rPr>
            </w:pPr>
          </w:p>
        </w:tc>
      </w:tr>
      <w:tr>
        <w:trPr>
          <w:trHeight w:val="499"/>
        </w:trPr>
        <w:tc>
          <w:tcPr>
            <w:tcW w:w="24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231" w:right="219" w:bottom="1440" w:gutter="0" w:footer="0" w:header="0"/>
        </w:sectPr>
      </w:pPr>
    </w:p>
    <w:bookmarkStart w:id="48" w:name="page49"/>
    <w:bookmarkEnd w:id="4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0" w:type="dxa"/>
            <w:vAlign w:val="bottom"/>
          </w:tcPr>
          <w:p>
            <w:pPr>
              <w:ind w:left="5380"/>
              <w:spacing w:after="0"/>
              <w:rPr>
                <w:sz w:val="20"/>
                <w:szCs w:val="20"/>
                <w:color w:val="auto"/>
              </w:rPr>
            </w:pPr>
            <w:r>
              <w:rPr>
                <w:rFonts w:ascii="Arial" w:cs="Arial" w:eastAsia="Arial" w:hAnsi="Arial"/>
                <w:sz w:val="15"/>
                <w:szCs w:val="15"/>
                <w:color w:val="auto"/>
              </w:rPr>
              <w:t>18</w:t>
            </w:r>
          </w:p>
        </w:tc>
      </w:tr>
      <w:tr>
        <w:trPr>
          <w:trHeight w:val="289"/>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r>
        <w:trPr>
          <w:trHeight w:val="211"/>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d)  the variable compensation for the Executive Committee for the current year;</w:t>
            </w:r>
          </w:p>
        </w:tc>
        <w:tc>
          <w:tcPr>
            <w:tcW w:w="2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d)  la rémunération variable pour le comité exécutif pour l'année en cours;</w:t>
            </w:r>
          </w:p>
        </w:tc>
      </w:tr>
      <w:tr>
        <w:trPr>
          <w:trHeight w:val="334"/>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e)   the grant of options or shares in the Company to the Board of Directors and</w:t>
            </w:r>
          </w:p>
        </w:tc>
        <w:tc>
          <w:tcPr>
            <w:tcW w:w="22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e)   l'octroi d'options ou d'actions de la société au conseil d'administration et au</w:t>
            </w:r>
          </w:p>
        </w:tc>
      </w:tr>
      <w:tr>
        <w:trPr>
          <w:trHeight w:val="185"/>
        </w:trPr>
        <w:tc>
          <w:tcPr>
            <w:tcW w:w="562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5"/>
                <w:szCs w:val="15"/>
                <w:color w:val="auto"/>
              </w:rPr>
              <w:t>the Executive Committee.</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ind w:left="360"/>
              <w:spacing w:after="0"/>
              <w:rPr>
                <w:sz w:val="20"/>
                <w:szCs w:val="20"/>
                <w:color w:val="auto"/>
              </w:rPr>
            </w:pPr>
            <w:r>
              <w:rPr>
                <w:rFonts w:ascii="Arial" w:cs="Arial" w:eastAsia="Arial" w:hAnsi="Arial"/>
                <w:sz w:val="15"/>
                <w:szCs w:val="15"/>
                <w:color w:val="auto"/>
              </w:rPr>
              <w:t>comité exécutif.</w:t>
            </w:r>
          </w:p>
        </w:tc>
      </w:tr>
      <w:tr>
        <w:trPr>
          <w:trHeight w:val="196"/>
        </w:trPr>
        <w:tc>
          <w:tcPr>
            <w:tcW w:w="5620" w:type="dxa"/>
            <w:vAlign w:val="bottom"/>
            <w:tcBorders>
              <w:left w:val="single" w:sz="8" w:color="auto"/>
              <w:bottom w:val="single" w:sz="8" w:color="auto"/>
              <w:right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600" w:type="dxa"/>
            <w:vAlign w:val="bottom"/>
            <w:tcBorders>
              <w:bottom w:val="single" w:sz="8" w:color="auto"/>
              <w:right w:val="single" w:sz="8" w:color="auto"/>
            </w:tcBorders>
          </w:tcPr>
          <w:p>
            <w:pPr>
              <w:spacing w:after="0"/>
              <w:rPr>
                <w:sz w:val="17"/>
                <w:szCs w:val="17"/>
                <w:color w:val="auto"/>
              </w:rPr>
            </w:pPr>
          </w:p>
        </w:tc>
      </w:tr>
      <w:tr>
        <w:trPr>
          <w:trHeight w:val="198"/>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The  respective  total  compensation  amounts  include  social  security  and</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Les montants totaux de rémunération respectifs comprennent la sécurité sociale</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occupational pension contributions for the benefit of the members of the Board of</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et les cotisations de retraite professionnelle au profit des membres du conseil</w:t>
            </w:r>
          </w:p>
        </w:tc>
      </w:tr>
      <w:tr>
        <w:trPr>
          <w:trHeight w:val="185"/>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Directors, the Executive Committee and the Company.</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d'administration, du comité exécutif et de la société.</w:t>
            </w:r>
          </w:p>
        </w:tc>
      </w:tr>
      <w:tr>
        <w:trPr>
          <w:trHeight w:val="23"/>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198"/>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If the General Meeting refuses to approve a respective motion by the Board of</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Si l'assemblée générale refuse d'approuver une motion soumise par le conseil</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Directors, the Board of Directors may either submit a new motion at the same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d'administration, le conseil d'administration peut, soit présenter une nouvelle</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meeting or determine a maximum total remuneration or several maximum partial</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motion à la même séance ou déterminer une rémunération maximale totale ou</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remunerations, subject to the relevant principles of the compensation, or submit</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plusieurs  rémunérations  maximales  partielles,  sous  réserve  des  principes</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a new motion to the next General Meeting for approval. The Company may pay</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concernant la rémunération, soit soumettre une nouvelle motion à la prochaine</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remunerations within the framework of the maximum total or partial remuneration</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assemblée générale pour approbation. La société peut verser des rémunérations</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and subject to the approval by the General Meeting.</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dans le cadre de la rémunération maximale totale ou partielle et sous réserve de</w:t>
            </w:r>
          </w:p>
        </w:tc>
      </w:tr>
      <w:tr>
        <w:trPr>
          <w:trHeight w:val="185"/>
        </w:trPr>
        <w:tc>
          <w:tcPr>
            <w:tcW w:w="5620" w:type="dxa"/>
            <w:vAlign w:val="bottom"/>
            <w:tcBorders>
              <w:left w:val="single" w:sz="8" w:color="auto"/>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l'approbation par l'assemblée générale.</w:t>
            </w:r>
          </w:p>
        </w:tc>
      </w:tr>
      <w:tr>
        <w:trPr>
          <w:trHeight w:val="23"/>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11"/>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b w:val="1"/>
                <w:bCs w:val="1"/>
                <w:color w:val="auto"/>
              </w:rPr>
              <w:t>Art. 19  Independent Proxy</w:t>
            </w:r>
          </w:p>
        </w:tc>
        <w:tc>
          <w:tcPr>
            <w:tcW w:w="2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b w:val="1"/>
                <w:bCs w:val="1"/>
                <w:color w:val="auto"/>
              </w:rPr>
              <w:t>Art. 19  Représentant indépendant</w:t>
            </w:r>
          </w:p>
        </w:tc>
      </w:tr>
      <w:tr>
        <w:trPr>
          <w:trHeight w:val="334"/>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The Independent Proxy shall be elected by the Ordinary General Meeting for a</w:t>
            </w:r>
          </w:p>
        </w:tc>
        <w:tc>
          <w:tcPr>
            <w:tcW w:w="22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Le représentant indépendant est élu par l'assemblée générale ordinaire pour une</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term of one year until the end of the next Ordinary General Meeting. Re-election</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durée d'un an jusqu'à la fin de la prochaine assemblée générale ordinaire. Une</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is permitted. The Independent Proxy informs the Company about number, type,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réélection est possible. Le représentant indépendant informe la société sur le</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par value and category of the represented shares. The Chairman of the Board</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nombre, le type, la valeur nominale et la catégorie des actions représentées. Le</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discloses the information to the General Meeting. The other duties of the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président  du  conseil  d'administration  communique  ces  informations  à</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Independent Proxy are determined by the applicable statutory provisions.</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l'assemblée générale. Les autres fonctions du représentant indépendant sont</w:t>
            </w:r>
          </w:p>
        </w:tc>
      </w:tr>
      <w:tr>
        <w:trPr>
          <w:trHeight w:val="185"/>
        </w:trPr>
        <w:tc>
          <w:tcPr>
            <w:tcW w:w="5620" w:type="dxa"/>
            <w:vAlign w:val="bottom"/>
            <w:tcBorders>
              <w:left w:val="single" w:sz="8" w:color="auto"/>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déterminées par les dispositions statutaires applicables.</w:t>
            </w:r>
          </w:p>
        </w:tc>
      </w:tr>
      <w:tr>
        <w:trPr>
          <w:trHeight w:val="196"/>
        </w:trPr>
        <w:tc>
          <w:tcPr>
            <w:tcW w:w="5620" w:type="dxa"/>
            <w:vAlign w:val="bottom"/>
            <w:tcBorders>
              <w:left w:val="single" w:sz="8" w:color="auto"/>
              <w:bottom w:val="single" w:sz="8" w:color="auto"/>
              <w:right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600" w:type="dxa"/>
            <w:vAlign w:val="bottom"/>
            <w:tcBorders>
              <w:bottom w:val="single" w:sz="8" w:color="auto"/>
              <w:right w:val="single" w:sz="8" w:color="auto"/>
            </w:tcBorders>
          </w:tcPr>
          <w:p>
            <w:pPr>
              <w:spacing w:after="0"/>
              <w:rPr>
                <w:sz w:val="17"/>
                <w:szCs w:val="17"/>
                <w:color w:val="auto"/>
              </w:rPr>
            </w:pPr>
          </w:p>
        </w:tc>
      </w:tr>
      <w:tr>
        <w:trPr>
          <w:trHeight w:val="499"/>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231" w:right="219" w:bottom="1440" w:gutter="0" w:footer="0" w:header="0"/>
        </w:sectPr>
      </w:pPr>
    </w:p>
    <w:bookmarkStart w:id="49" w:name="page50"/>
    <w:bookmarkEnd w:id="4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64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19</w:t>
            </w:r>
          </w:p>
        </w:tc>
      </w:tr>
      <w:tr>
        <w:trPr>
          <w:trHeight w:val="289"/>
        </w:trPr>
        <w:tc>
          <w:tcPr>
            <w:tcW w:w="64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r>
        <w:trPr>
          <w:trHeight w:val="211"/>
        </w:trPr>
        <w:tc>
          <w:tcPr>
            <w:tcW w:w="640" w:type="dxa"/>
            <w:vAlign w:val="bottom"/>
            <w:tcBorders>
              <w:left w:val="single" w:sz="8" w:color="auto"/>
            </w:tcBorders>
          </w:tcPr>
          <w:p>
            <w:pPr>
              <w:spacing w:after="0"/>
              <w:rPr>
                <w:sz w:val="20"/>
                <w:szCs w:val="20"/>
                <w:color w:val="auto"/>
              </w:rPr>
            </w:pPr>
            <w:r>
              <w:rPr>
                <w:rFonts w:ascii="Arial" w:cs="Arial" w:eastAsia="Arial" w:hAnsi="Arial"/>
                <w:sz w:val="15"/>
                <w:szCs w:val="15"/>
                <w:b w:val="1"/>
                <w:bCs w:val="1"/>
                <w:color w:val="auto"/>
              </w:rPr>
              <w:t>V.</w:t>
            </w:r>
          </w:p>
        </w:tc>
        <w:tc>
          <w:tcPr>
            <w:tcW w:w="4980" w:type="dxa"/>
            <w:vAlign w:val="bottom"/>
            <w:tcBorders>
              <w:right w:val="single" w:sz="8" w:color="auto"/>
            </w:tcBorders>
          </w:tcPr>
          <w:p>
            <w:pPr>
              <w:spacing w:after="0"/>
              <w:rPr>
                <w:sz w:val="20"/>
                <w:szCs w:val="20"/>
                <w:color w:val="auto"/>
              </w:rPr>
            </w:pPr>
            <w:r>
              <w:rPr>
                <w:rFonts w:ascii="Arial" w:cs="Arial" w:eastAsia="Arial" w:hAnsi="Arial"/>
                <w:sz w:val="15"/>
                <w:szCs w:val="15"/>
                <w:b w:val="1"/>
                <w:bCs w:val="1"/>
                <w:color w:val="auto"/>
              </w:rPr>
              <w:t>BOARD OF DIRECTORS</w:t>
            </w:r>
          </w:p>
        </w:tc>
        <w:tc>
          <w:tcPr>
            <w:tcW w:w="220" w:type="dxa"/>
            <w:vAlign w:val="bottom"/>
            <w:tcBorders>
              <w:right w:val="single" w:sz="8" w:color="auto"/>
            </w:tcBorders>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5"/>
                <w:szCs w:val="15"/>
                <w:b w:val="1"/>
                <w:bCs w:val="1"/>
                <w:color w:val="auto"/>
              </w:rPr>
              <w:t>V.</w:t>
            </w:r>
          </w:p>
        </w:tc>
        <w:tc>
          <w:tcPr>
            <w:tcW w:w="5040" w:type="dxa"/>
            <w:vAlign w:val="bottom"/>
            <w:tcBorders>
              <w:right w:val="single" w:sz="8" w:color="auto"/>
            </w:tcBorders>
          </w:tcPr>
          <w:p>
            <w:pPr>
              <w:ind w:left="40"/>
              <w:spacing w:after="0"/>
              <w:rPr>
                <w:sz w:val="20"/>
                <w:szCs w:val="20"/>
                <w:color w:val="auto"/>
              </w:rPr>
            </w:pPr>
            <w:r>
              <w:rPr>
                <w:rFonts w:ascii="Arial" w:cs="Arial" w:eastAsia="Arial" w:hAnsi="Arial"/>
                <w:sz w:val="15"/>
                <w:szCs w:val="15"/>
                <w:b w:val="1"/>
                <w:bCs w:val="1"/>
                <w:color w:val="auto"/>
              </w:rPr>
              <w:t>CONSEIL D'ADMINISTRATION</w:t>
            </w:r>
          </w:p>
        </w:tc>
      </w:tr>
      <w:tr>
        <w:trPr>
          <w:trHeight w:val="23"/>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gridSpan w:val="2"/>
          </w:tcPr>
          <w:p>
            <w:pPr>
              <w:spacing w:after="0"/>
              <w:rPr>
                <w:sz w:val="2"/>
                <w:szCs w:val="2"/>
                <w:color w:val="auto"/>
              </w:rPr>
            </w:pPr>
          </w:p>
        </w:tc>
      </w:tr>
      <w:tr>
        <w:trPr>
          <w:trHeight w:val="211"/>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Art. 20   Number of Members, Term of Office</w:t>
            </w:r>
          </w:p>
        </w:tc>
        <w:tc>
          <w:tcPr>
            <w:tcW w:w="2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Art. 20  Nombre de membres, durée de la fonction</w:t>
            </w:r>
          </w:p>
        </w:tc>
      </w:tr>
      <w:tr>
        <w:trPr>
          <w:trHeight w:val="334"/>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The Board of Directors shall consist of at least 3 and not more than 9 members.</w:t>
            </w:r>
          </w:p>
        </w:tc>
        <w:tc>
          <w:tcPr>
            <w:tcW w:w="22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Le conseil d'administration se compose d'au minimum 3 et au maximum 9</w:t>
            </w: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The chairman and the members of the Board of Directors are individually elected</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membres. Le président et les membres du conseil d'administration sont élus</w:t>
            </w: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by the General Meeting for a term of one year until the end of the next Ordinary</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individuellement par l'assemblée générale pour un mandat d'un an jusqu'à la fin</w:t>
            </w: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General Meeting, provided that he/she does not resign or is not replaced during</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de  la  prochaine  assemblée  générale  ordinaire,  à  condition  qu'il/elle  ne</w:t>
            </w:r>
          </w:p>
        </w:tc>
      </w:tr>
      <w:tr>
        <w:trPr>
          <w:trHeight w:val="185"/>
        </w:trPr>
        <w:tc>
          <w:tcPr>
            <w:tcW w:w="640" w:type="dxa"/>
            <w:vAlign w:val="bottom"/>
            <w:tcBorders>
              <w:left w:val="single" w:sz="8" w:color="auto"/>
            </w:tcBorders>
          </w:tcPr>
          <w:p>
            <w:pPr>
              <w:ind w:left="40"/>
              <w:spacing w:after="0"/>
              <w:rPr>
                <w:sz w:val="20"/>
                <w:szCs w:val="20"/>
                <w:color w:val="auto"/>
              </w:rPr>
            </w:pPr>
            <w:r>
              <w:rPr>
                <w:rFonts w:ascii="Arial" w:cs="Arial" w:eastAsia="Arial" w:hAnsi="Arial"/>
                <w:sz w:val="15"/>
                <w:szCs w:val="15"/>
                <w:color w:val="auto"/>
              </w:rPr>
              <w:t>his term.</w:t>
            </w:r>
          </w:p>
        </w:tc>
        <w:tc>
          <w:tcPr>
            <w:tcW w:w="4980" w:type="dxa"/>
            <w:vAlign w:val="bottom"/>
            <w:tcBorders>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démissionne pas ou ne soit pas remplacé(e) durant son mandat.</w:t>
            </w:r>
          </w:p>
        </w:tc>
      </w:tr>
      <w:tr>
        <w:trPr>
          <w:trHeight w:val="196"/>
        </w:trPr>
        <w:tc>
          <w:tcPr>
            <w:tcW w:w="5620" w:type="dxa"/>
            <w:vAlign w:val="bottom"/>
            <w:tcBorders>
              <w:left w:val="single" w:sz="8" w:color="auto"/>
              <w:bottom w:val="single" w:sz="8" w:color="auto"/>
              <w:right w:val="single" w:sz="8" w:color="auto"/>
            </w:tcBorders>
            <w:gridSpan w:val="2"/>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600" w:type="dxa"/>
            <w:vAlign w:val="bottom"/>
            <w:tcBorders>
              <w:bottom w:val="single" w:sz="8" w:color="auto"/>
              <w:right w:val="single" w:sz="8" w:color="auto"/>
            </w:tcBorders>
            <w:gridSpan w:val="2"/>
          </w:tcPr>
          <w:p>
            <w:pPr>
              <w:spacing w:after="0"/>
              <w:rPr>
                <w:sz w:val="17"/>
                <w:szCs w:val="17"/>
                <w:color w:val="auto"/>
              </w:rPr>
            </w:pPr>
          </w:p>
        </w:tc>
      </w:tr>
      <w:tr>
        <w:trPr>
          <w:trHeight w:val="198"/>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The members of the Board of Directors may be re-elected without limitation. The</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Les membres du conseil d'administration peuvent être réélus sans limitation. La</w:t>
            </w: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maximum age limit of members of the Board shall be 75 years. When a member</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limite d’âge des membres du conseil d'administration est fixée à 75 ans.</w:t>
            </w: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of the Board of Directors reaches this age limit during his term of office, such</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Lorsqu'un membre du conseil d'administration atteint cette limite d'âge durant</w:t>
            </w: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term shall automatically extend to the next ordinary shareholders' meeting. The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son mandat, ledit mandat sera automatiquement prolongé jusqu'à la prochaine</w:t>
            </w: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shareholders' meeting may resolve to grant an exception to the age limit.</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assemblée générale ordinaire. L'assemblée générale des actionnaires peut</w:t>
            </w:r>
          </w:p>
        </w:tc>
      </w:tr>
      <w:tr>
        <w:trPr>
          <w:trHeight w:val="185"/>
        </w:trPr>
        <w:tc>
          <w:tcPr>
            <w:tcW w:w="640" w:type="dxa"/>
            <w:vAlign w:val="bottom"/>
            <w:tcBorders>
              <w:left w:val="single" w:sz="8" w:color="auto"/>
            </w:tcBorders>
          </w:tcPr>
          <w:p>
            <w:pPr>
              <w:spacing w:after="0"/>
              <w:rPr>
                <w:sz w:val="16"/>
                <w:szCs w:val="16"/>
                <w:color w:val="auto"/>
              </w:rPr>
            </w:pPr>
          </w:p>
        </w:tc>
        <w:tc>
          <w:tcPr>
            <w:tcW w:w="4980" w:type="dxa"/>
            <w:vAlign w:val="bottom"/>
            <w:tcBorders>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décider d'accorder une dérogation à la limite d'âge.</w:t>
            </w:r>
          </w:p>
        </w:tc>
      </w:tr>
      <w:tr>
        <w:trPr>
          <w:trHeight w:val="23"/>
        </w:trPr>
        <w:tc>
          <w:tcPr>
            <w:tcW w:w="640" w:type="dxa"/>
            <w:vAlign w:val="bottom"/>
            <w:tcBorders>
              <w:left w:val="single" w:sz="8" w:color="auto"/>
              <w:bottom w:val="single" w:sz="8" w:color="auto"/>
            </w:tcBorders>
          </w:tcPr>
          <w:p>
            <w:pPr>
              <w:spacing w:after="0"/>
              <w:rPr>
                <w:sz w:val="2"/>
                <w:szCs w:val="2"/>
                <w:color w:val="auto"/>
              </w:rPr>
            </w:pPr>
          </w:p>
        </w:tc>
        <w:tc>
          <w:tcPr>
            <w:tcW w:w="498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040" w:type="dxa"/>
            <w:vAlign w:val="bottom"/>
            <w:tcBorders>
              <w:bottom w:val="single" w:sz="8" w:color="auto"/>
              <w:right w:val="single" w:sz="8" w:color="auto"/>
            </w:tcBorders>
          </w:tcPr>
          <w:p>
            <w:pPr>
              <w:spacing w:after="0"/>
              <w:rPr>
                <w:sz w:val="2"/>
                <w:szCs w:val="2"/>
                <w:color w:val="auto"/>
              </w:rPr>
            </w:pPr>
          </w:p>
        </w:tc>
      </w:tr>
      <w:tr>
        <w:trPr>
          <w:trHeight w:val="211"/>
        </w:trPr>
        <w:tc>
          <w:tcPr>
            <w:tcW w:w="640" w:type="dxa"/>
            <w:vAlign w:val="bottom"/>
            <w:tcBorders>
              <w:left w:val="single" w:sz="8" w:color="auto"/>
            </w:tcBorders>
          </w:tcPr>
          <w:p>
            <w:pPr>
              <w:ind w:left="40"/>
              <w:spacing w:after="0"/>
              <w:rPr>
                <w:sz w:val="20"/>
                <w:szCs w:val="20"/>
                <w:color w:val="auto"/>
              </w:rPr>
            </w:pPr>
            <w:r>
              <w:rPr>
                <w:rFonts w:ascii="Arial" w:cs="Arial" w:eastAsia="Arial" w:hAnsi="Arial"/>
                <w:sz w:val="15"/>
                <w:szCs w:val="15"/>
                <w:b w:val="1"/>
                <w:bCs w:val="1"/>
                <w:color w:val="auto"/>
              </w:rPr>
              <w:t>Art. 21</w:t>
            </w:r>
          </w:p>
        </w:tc>
        <w:tc>
          <w:tcPr>
            <w:tcW w:w="4980" w:type="dxa"/>
            <w:vAlign w:val="bottom"/>
            <w:tcBorders>
              <w:right w:val="single" w:sz="8" w:color="auto"/>
            </w:tcBorders>
          </w:tcPr>
          <w:p>
            <w:pPr>
              <w:ind w:left="40"/>
              <w:spacing w:after="0"/>
              <w:rPr>
                <w:sz w:val="20"/>
                <w:szCs w:val="20"/>
                <w:color w:val="auto"/>
              </w:rPr>
            </w:pPr>
            <w:r>
              <w:rPr>
                <w:rFonts w:ascii="Arial" w:cs="Arial" w:eastAsia="Arial" w:hAnsi="Arial"/>
                <w:sz w:val="15"/>
                <w:szCs w:val="15"/>
                <w:b w:val="1"/>
                <w:bCs w:val="1"/>
                <w:color w:val="auto"/>
              </w:rPr>
              <w:t>Constitution</w:t>
            </w:r>
          </w:p>
        </w:tc>
        <w:tc>
          <w:tcPr>
            <w:tcW w:w="220" w:type="dxa"/>
            <w:vAlign w:val="bottom"/>
            <w:tcBorders>
              <w:right w:val="single" w:sz="8" w:color="auto"/>
            </w:tcBorders>
          </w:tcPr>
          <w:p>
            <w:pPr>
              <w:spacing w:after="0"/>
              <w:rPr>
                <w:sz w:val="18"/>
                <w:szCs w:val="18"/>
                <w:color w:val="auto"/>
              </w:rPr>
            </w:pPr>
          </w:p>
        </w:tc>
        <w:tc>
          <w:tcPr>
            <w:tcW w:w="560" w:type="dxa"/>
            <w:vAlign w:val="bottom"/>
          </w:tcPr>
          <w:p>
            <w:pPr>
              <w:ind w:left="40"/>
              <w:spacing w:after="0"/>
              <w:rPr>
                <w:sz w:val="20"/>
                <w:szCs w:val="20"/>
                <w:color w:val="auto"/>
              </w:rPr>
            </w:pPr>
            <w:r>
              <w:rPr>
                <w:rFonts w:ascii="Arial" w:cs="Arial" w:eastAsia="Arial" w:hAnsi="Arial"/>
                <w:sz w:val="15"/>
                <w:szCs w:val="15"/>
                <w:b w:val="1"/>
                <w:bCs w:val="1"/>
                <w:color w:val="auto"/>
              </w:rPr>
              <w:t>Art. 21</w:t>
            </w:r>
          </w:p>
        </w:tc>
        <w:tc>
          <w:tcPr>
            <w:tcW w:w="5040" w:type="dxa"/>
            <w:vAlign w:val="bottom"/>
            <w:tcBorders>
              <w:right w:val="single" w:sz="8" w:color="auto"/>
            </w:tcBorders>
          </w:tcPr>
          <w:p>
            <w:pPr>
              <w:ind w:left="120"/>
              <w:spacing w:after="0"/>
              <w:rPr>
                <w:sz w:val="20"/>
                <w:szCs w:val="20"/>
                <w:color w:val="auto"/>
              </w:rPr>
            </w:pPr>
            <w:r>
              <w:rPr>
                <w:rFonts w:ascii="Arial" w:cs="Arial" w:eastAsia="Arial" w:hAnsi="Arial"/>
                <w:sz w:val="15"/>
                <w:szCs w:val="15"/>
                <w:b w:val="1"/>
                <w:bCs w:val="1"/>
                <w:color w:val="auto"/>
              </w:rPr>
              <w:t>Constitution</w:t>
            </w:r>
          </w:p>
        </w:tc>
      </w:tr>
      <w:tr>
        <w:trPr>
          <w:trHeight w:val="334"/>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Subject to the powers of the General Meeting, the Board of Directors determines</w:t>
            </w:r>
          </w:p>
        </w:tc>
        <w:tc>
          <w:tcPr>
            <w:tcW w:w="22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Sous réserve des pouvoirs de l'assemblée générale, le conseil d'administration</w:t>
            </w: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its own organization. It appoints a Secretary who needs not be a member of the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détermine sa propre organisation. Il nomme un secrétaire qui ne doit pas</w:t>
            </w:r>
          </w:p>
        </w:tc>
      </w:tr>
      <w:tr>
        <w:trPr>
          <w:trHeight w:val="185"/>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Board of Directors.</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nécessairement être un membre du conseil d'administration.</w:t>
            </w:r>
          </w:p>
        </w:tc>
      </w:tr>
      <w:tr>
        <w:trPr>
          <w:trHeight w:val="196"/>
        </w:trPr>
        <w:tc>
          <w:tcPr>
            <w:tcW w:w="640" w:type="dxa"/>
            <w:vAlign w:val="bottom"/>
            <w:tcBorders>
              <w:left w:val="single" w:sz="8" w:color="auto"/>
              <w:bottom w:val="single" w:sz="8" w:color="auto"/>
            </w:tcBorders>
          </w:tcPr>
          <w:p>
            <w:pPr>
              <w:spacing w:after="0"/>
              <w:rPr>
                <w:sz w:val="17"/>
                <w:szCs w:val="17"/>
                <w:color w:val="auto"/>
              </w:rPr>
            </w:pPr>
          </w:p>
        </w:tc>
        <w:tc>
          <w:tcPr>
            <w:tcW w:w="498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5040" w:type="dxa"/>
            <w:vAlign w:val="bottom"/>
            <w:tcBorders>
              <w:bottom w:val="single" w:sz="8" w:color="auto"/>
              <w:right w:val="single" w:sz="8" w:color="auto"/>
            </w:tcBorders>
          </w:tcPr>
          <w:p>
            <w:pPr>
              <w:spacing w:after="0"/>
              <w:rPr>
                <w:sz w:val="17"/>
                <w:szCs w:val="17"/>
                <w:color w:val="auto"/>
              </w:rPr>
            </w:pPr>
          </w:p>
        </w:tc>
      </w:tr>
      <w:tr>
        <w:trPr>
          <w:trHeight w:val="211"/>
        </w:trPr>
        <w:tc>
          <w:tcPr>
            <w:tcW w:w="640" w:type="dxa"/>
            <w:vAlign w:val="bottom"/>
            <w:tcBorders>
              <w:left w:val="single" w:sz="8" w:color="auto"/>
            </w:tcBorders>
          </w:tcPr>
          <w:p>
            <w:pPr>
              <w:ind w:left="40"/>
              <w:spacing w:after="0"/>
              <w:rPr>
                <w:sz w:val="20"/>
                <w:szCs w:val="20"/>
                <w:color w:val="auto"/>
              </w:rPr>
            </w:pPr>
            <w:r>
              <w:rPr>
                <w:rFonts w:ascii="Arial" w:cs="Arial" w:eastAsia="Arial" w:hAnsi="Arial"/>
                <w:sz w:val="15"/>
                <w:szCs w:val="15"/>
                <w:b w:val="1"/>
                <w:bCs w:val="1"/>
                <w:color w:val="auto"/>
              </w:rPr>
              <w:t>Art. 22</w:t>
            </w:r>
          </w:p>
        </w:tc>
        <w:tc>
          <w:tcPr>
            <w:tcW w:w="4980" w:type="dxa"/>
            <w:vAlign w:val="bottom"/>
            <w:tcBorders>
              <w:right w:val="single" w:sz="8" w:color="auto"/>
            </w:tcBorders>
          </w:tcPr>
          <w:p>
            <w:pPr>
              <w:ind w:left="40"/>
              <w:spacing w:after="0"/>
              <w:rPr>
                <w:sz w:val="20"/>
                <w:szCs w:val="20"/>
                <w:color w:val="auto"/>
              </w:rPr>
            </w:pPr>
            <w:r>
              <w:rPr>
                <w:rFonts w:ascii="Arial" w:cs="Arial" w:eastAsia="Arial" w:hAnsi="Arial"/>
                <w:sz w:val="15"/>
                <w:szCs w:val="15"/>
                <w:b w:val="1"/>
                <w:bCs w:val="1"/>
                <w:color w:val="auto"/>
              </w:rPr>
              <w:t>Function, Organization</w:t>
            </w:r>
          </w:p>
        </w:tc>
        <w:tc>
          <w:tcPr>
            <w:tcW w:w="220" w:type="dxa"/>
            <w:vAlign w:val="bottom"/>
            <w:tcBorders>
              <w:right w:val="single" w:sz="8" w:color="auto"/>
            </w:tcBorders>
          </w:tcPr>
          <w:p>
            <w:pPr>
              <w:spacing w:after="0"/>
              <w:rPr>
                <w:sz w:val="18"/>
                <w:szCs w:val="18"/>
                <w:color w:val="auto"/>
              </w:rPr>
            </w:pPr>
          </w:p>
        </w:tc>
        <w:tc>
          <w:tcPr>
            <w:tcW w:w="560" w:type="dxa"/>
            <w:vAlign w:val="bottom"/>
          </w:tcPr>
          <w:p>
            <w:pPr>
              <w:ind w:left="40"/>
              <w:spacing w:after="0"/>
              <w:rPr>
                <w:sz w:val="20"/>
                <w:szCs w:val="20"/>
                <w:color w:val="auto"/>
              </w:rPr>
            </w:pPr>
            <w:r>
              <w:rPr>
                <w:rFonts w:ascii="Arial" w:cs="Arial" w:eastAsia="Arial" w:hAnsi="Arial"/>
                <w:sz w:val="15"/>
                <w:szCs w:val="15"/>
                <w:b w:val="1"/>
                <w:bCs w:val="1"/>
                <w:color w:val="auto"/>
              </w:rPr>
              <w:t>Art. 22</w:t>
            </w:r>
          </w:p>
        </w:tc>
        <w:tc>
          <w:tcPr>
            <w:tcW w:w="5040" w:type="dxa"/>
            <w:vAlign w:val="bottom"/>
            <w:tcBorders>
              <w:right w:val="single" w:sz="8" w:color="auto"/>
            </w:tcBorders>
          </w:tcPr>
          <w:p>
            <w:pPr>
              <w:ind w:left="120"/>
              <w:spacing w:after="0"/>
              <w:rPr>
                <w:sz w:val="20"/>
                <w:szCs w:val="20"/>
                <w:color w:val="auto"/>
              </w:rPr>
            </w:pPr>
            <w:r>
              <w:rPr>
                <w:rFonts w:ascii="Arial" w:cs="Arial" w:eastAsia="Arial" w:hAnsi="Arial"/>
                <w:sz w:val="15"/>
                <w:szCs w:val="15"/>
                <w:b w:val="1"/>
                <w:bCs w:val="1"/>
                <w:color w:val="auto"/>
              </w:rPr>
              <w:t>Fonction, organisation</w:t>
            </w:r>
          </w:p>
        </w:tc>
      </w:tr>
      <w:tr>
        <w:trPr>
          <w:trHeight w:val="334"/>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It is the Board of Director's duty to lead the Company and to supervise the</w:t>
            </w:r>
          </w:p>
        </w:tc>
        <w:tc>
          <w:tcPr>
            <w:tcW w:w="22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Le conseil d'administration exerce la direction de la société et en supervise la</w:t>
            </w: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management. The Board of Director represents the Company and may take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gestion. Le conseil d'administration représente la société et peut prendre les</w:t>
            </w: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decisions on all affairs which are not assigned to any other body of the Company</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décisions sur toutes les affaires qui ne sont pas attribuées à un autre organe de</w:t>
            </w:r>
          </w:p>
        </w:tc>
      </w:tr>
      <w:tr>
        <w:trPr>
          <w:trHeight w:val="185"/>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by law, the Articles of Association or the organizational regulations.</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la société par la loi, les statuts ou le règlement d'organisation.</w:t>
            </w:r>
          </w:p>
        </w:tc>
      </w:tr>
      <w:tr>
        <w:trPr>
          <w:trHeight w:val="196"/>
        </w:trPr>
        <w:tc>
          <w:tcPr>
            <w:tcW w:w="5620" w:type="dxa"/>
            <w:vAlign w:val="bottom"/>
            <w:tcBorders>
              <w:left w:val="single" w:sz="8" w:color="auto"/>
              <w:bottom w:val="single" w:sz="8" w:color="auto"/>
              <w:right w:val="single" w:sz="8" w:color="auto"/>
            </w:tcBorders>
            <w:gridSpan w:val="2"/>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600" w:type="dxa"/>
            <w:vAlign w:val="bottom"/>
            <w:tcBorders>
              <w:bottom w:val="single" w:sz="8" w:color="auto"/>
              <w:right w:val="single" w:sz="8" w:color="auto"/>
            </w:tcBorders>
            <w:gridSpan w:val="2"/>
          </w:tcPr>
          <w:p>
            <w:pPr>
              <w:spacing w:after="0"/>
              <w:rPr>
                <w:sz w:val="17"/>
                <w:szCs w:val="17"/>
                <w:color w:val="auto"/>
              </w:rPr>
            </w:pPr>
          </w:p>
        </w:tc>
      </w:tr>
      <w:tr>
        <w:trPr>
          <w:trHeight w:val="198"/>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The Board of Directors shall enact the organizational regulations and arrange for</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Le conseil d'administration édicte le règlement d'organisation et s'occupe des</w:t>
            </w:r>
          </w:p>
        </w:tc>
      </w:tr>
      <w:tr>
        <w:trPr>
          <w:trHeight w:val="185"/>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the appropriate contractual relationships.</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relations contractuelles appropriées.</w:t>
            </w:r>
          </w:p>
        </w:tc>
      </w:tr>
      <w:tr>
        <w:trPr>
          <w:trHeight w:val="23"/>
        </w:trPr>
        <w:tc>
          <w:tcPr>
            <w:tcW w:w="640" w:type="dxa"/>
            <w:vAlign w:val="bottom"/>
            <w:tcBorders>
              <w:left w:val="single" w:sz="8" w:color="auto"/>
              <w:bottom w:val="single" w:sz="8" w:color="auto"/>
            </w:tcBorders>
          </w:tcPr>
          <w:p>
            <w:pPr>
              <w:spacing w:after="0"/>
              <w:rPr>
                <w:sz w:val="2"/>
                <w:szCs w:val="2"/>
                <w:color w:val="auto"/>
              </w:rPr>
            </w:pPr>
          </w:p>
        </w:tc>
        <w:tc>
          <w:tcPr>
            <w:tcW w:w="498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040" w:type="dxa"/>
            <w:vAlign w:val="bottom"/>
            <w:tcBorders>
              <w:bottom w:val="single" w:sz="8" w:color="auto"/>
              <w:right w:val="single" w:sz="8" w:color="auto"/>
            </w:tcBorders>
          </w:tcPr>
          <w:p>
            <w:pPr>
              <w:spacing w:after="0"/>
              <w:rPr>
                <w:sz w:val="2"/>
                <w:szCs w:val="2"/>
                <w:color w:val="auto"/>
              </w:rPr>
            </w:pPr>
          </w:p>
        </w:tc>
      </w:tr>
      <w:tr>
        <w:trPr>
          <w:trHeight w:val="499"/>
        </w:trPr>
        <w:tc>
          <w:tcPr>
            <w:tcW w:w="64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231" w:right="219" w:bottom="144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20" w:type="dxa"/>
            <w:vAlign w:val="bottom"/>
          </w:tcPr>
          <w:p>
            <w:pPr>
              <w:spacing w:after="0"/>
              <w:rPr>
                <w:sz w:val="16"/>
                <w:szCs w:val="16"/>
                <w:color w:val="auto"/>
              </w:rPr>
            </w:pPr>
          </w:p>
        </w:tc>
        <w:tc>
          <w:tcPr>
            <w:tcW w:w="5820" w:type="dxa"/>
            <w:vAlign w:val="bottom"/>
          </w:tcPr>
          <w:p>
            <w:pPr>
              <w:jc w:val="right"/>
              <w:spacing w:after="0"/>
              <w:rPr>
                <w:sz w:val="20"/>
                <w:szCs w:val="20"/>
                <w:color w:val="auto"/>
              </w:rPr>
            </w:pPr>
            <w:r>
              <w:rPr>
                <w:rFonts w:ascii="Arial" w:cs="Arial" w:eastAsia="Arial" w:hAnsi="Arial"/>
                <w:sz w:val="15"/>
                <w:szCs w:val="15"/>
                <w:color w:val="auto"/>
              </w:rPr>
              <w:t>20</w:t>
            </w:r>
          </w:p>
        </w:tc>
      </w:tr>
      <w:tr>
        <w:trPr>
          <w:trHeight w:val="289"/>
        </w:trPr>
        <w:tc>
          <w:tcPr>
            <w:tcW w:w="562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spacing w:after="0"/>
              <w:rPr>
                <w:sz w:val="24"/>
                <w:szCs w:val="24"/>
                <w:color w:val="auto"/>
              </w:rPr>
            </w:pPr>
          </w:p>
        </w:tc>
      </w:tr>
      <w:tr>
        <w:trPr>
          <w:trHeight w:val="211"/>
        </w:trPr>
        <w:tc>
          <w:tcPr>
            <w:tcW w:w="5620" w:type="dxa"/>
            <w:vAlign w:val="bottom"/>
          </w:tcPr>
          <w:p>
            <w:pPr>
              <w:ind w:left="40"/>
              <w:spacing w:after="0"/>
              <w:rPr>
                <w:sz w:val="20"/>
                <w:szCs w:val="20"/>
                <w:color w:val="auto"/>
              </w:rPr>
            </w:pPr>
            <w:r>
              <w:rPr>
                <w:rFonts w:ascii="Arial" w:cs="Arial" w:eastAsia="Arial" w:hAnsi="Arial"/>
                <w:sz w:val="15"/>
                <w:szCs w:val="15"/>
                <w:b w:val="1"/>
                <w:bCs w:val="1"/>
                <w:color w:val="auto"/>
              </w:rPr>
              <w:t>Art. 23 Powers</w:t>
            </w:r>
          </w:p>
        </w:tc>
        <w:tc>
          <w:tcPr>
            <w:tcW w:w="5820" w:type="dxa"/>
            <w:vAlign w:val="bottom"/>
          </w:tcPr>
          <w:p>
            <w:pPr>
              <w:ind w:left="260"/>
              <w:spacing w:after="0"/>
              <w:rPr>
                <w:sz w:val="20"/>
                <w:szCs w:val="20"/>
                <w:color w:val="auto"/>
              </w:rPr>
            </w:pPr>
            <w:r>
              <w:rPr>
                <w:rFonts w:ascii="Arial" w:cs="Arial" w:eastAsia="Arial" w:hAnsi="Arial"/>
                <w:sz w:val="15"/>
                <w:szCs w:val="15"/>
                <w:b w:val="1"/>
                <w:bCs w:val="1"/>
                <w:color w:val="auto"/>
              </w:rPr>
              <w:t>Art. 23 Pouvoirs</w:t>
            </w:r>
          </w:p>
        </w:tc>
      </w:tr>
      <w:tr>
        <w:trPr>
          <w:trHeight w:val="334"/>
        </w:trPr>
        <w:tc>
          <w:tcPr>
            <w:tcW w:w="5620" w:type="dxa"/>
            <w:vAlign w:val="bottom"/>
          </w:tcPr>
          <w:p>
            <w:pPr>
              <w:ind w:left="40"/>
              <w:spacing w:after="0"/>
              <w:rPr>
                <w:sz w:val="20"/>
                <w:szCs w:val="20"/>
                <w:color w:val="auto"/>
              </w:rPr>
            </w:pPr>
            <w:r>
              <w:rPr>
                <w:rFonts w:ascii="Arial" w:cs="Arial" w:eastAsia="Arial" w:hAnsi="Arial"/>
                <w:sz w:val="15"/>
                <w:szCs w:val="15"/>
                <w:color w:val="auto"/>
              </w:rPr>
              <w:t>The Board of Directors has the following non-delegable and inalienable duties:</w:t>
            </w:r>
          </w:p>
        </w:tc>
        <w:tc>
          <w:tcPr>
            <w:tcW w:w="5820" w:type="dxa"/>
            <w:vAlign w:val="bottom"/>
          </w:tcPr>
          <w:p>
            <w:pPr>
              <w:ind w:left="260"/>
              <w:spacing w:after="0"/>
              <w:rPr>
                <w:sz w:val="20"/>
                <w:szCs w:val="20"/>
                <w:color w:val="auto"/>
              </w:rPr>
            </w:pPr>
            <w:r>
              <w:rPr>
                <w:rFonts w:ascii="Arial" w:cs="Arial" w:eastAsia="Arial" w:hAnsi="Arial"/>
                <w:sz w:val="15"/>
                <w:szCs w:val="15"/>
                <w:color w:val="auto"/>
              </w:rPr>
              <w:t>Le conseil d'administration a les attributions intransmissibles et inaliénables</w:t>
            </w:r>
          </w:p>
        </w:tc>
      </w:tr>
      <w:tr>
        <w:trPr>
          <w:trHeight w:val="173"/>
        </w:trPr>
        <w:tc>
          <w:tcPr>
            <w:tcW w:w="5620" w:type="dxa"/>
            <w:vAlign w:val="bottom"/>
          </w:tcPr>
          <w:p>
            <w:pPr>
              <w:spacing w:after="0"/>
              <w:rPr>
                <w:sz w:val="15"/>
                <w:szCs w:val="15"/>
                <w:color w:val="auto"/>
              </w:rPr>
            </w:pPr>
          </w:p>
        </w:tc>
        <w:tc>
          <w:tcPr>
            <w:tcW w:w="5820" w:type="dxa"/>
            <w:vAlign w:val="bottom"/>
          </w:tcPr>
          <w:p>
            <w:pPr>
              <w:ind w:left="260"/>
              <w:spacing w:after="0"/>
              <w:rPr>
                <w:sz w:val="20"/>
                <w:szCs w:val="20"/>
                <w:color w:val="auto"/>
              </w:rPr>
            </w:pPr>
            <w:r>
              <w:rPr>
                <w:rFonts w:ascii="Arial" w:cs="Arial" w:eastAsia="Arial" w:hAnsi="Arial"/>
                <w:sz w:val="15"/>
                <w:szCs w:val="15"/>
                <w:color w:val="auto"/>
              </w:rPr>
              <w:t>suivantes: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-467995</wp:posOffset>
            </wp:positionV>
            <wp:extent cx="7266305" cy="44462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6305" cy="4446270"/>
                    </a:xfrm>
                    <a:prstGeom prst="rect">
                      <a:avLst/>
                    </a:prstGeom>
                    <a:noFill/>
                  </pic:spPr>
                </pic:pic>
              </a:graphicData>
            </a:graphic>
          </wp:anchor>
        </w:drawing>
      </w:r>
    </w:p>
    <w:p>
      <w:pPr>
        <w:ind w:left="420" w:hanging="382"/>
        <w:spacing w:after="0"/>
        <w:tabs>
          <w:tab w:leader="none" w:pos="4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overall management of the company and the issuing of all necessary</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40" w:type="dxa"/>
            <w:vAlign w:val="bottom"/>
          </w:tcPr>
          <w:p>
            <w:pPr>
              <w:spacing w:after="0"/>
              <w:rPr>
                <w:sz w:val="16"/>
                <w:szCs w:val="16"/>
                <w:color w:val="auto"/>
              </w:rPr>
            </w:pPr>
          </w:p>
        </w:tc>
        <w:tc>
          <w:tcPr>
            <w:tcW w:w="5440" w:type="dxa"/>
            <w:vAlign w:val="bottom"/>
          </w:tcPr>
          <w:p>
            <w:pPr>
              <w:ind w:left="80"/>
              <w:spacing w:after="0"/>
              <w:rPr>
                <w:sz w:val="20"/>
                <w:szCs w:val="20"/>
                <w:color w:val="auto"/>
              </w:rPr>
            </w:pPr>
            <w:r>
              <w:rPr>
                <w:rFonts w:ascii="Arial" w:cs="Arial" w:eastAsia="Arial" w:hAnsi="Arial"/>
                <w:sz w:val="15"/>
                <w:szCs w:val="15"/>
                <w:color w:val="auto"/>
              </w:rPr>
              <w:t>directives;</w:t>
            </w:r>
          </w:p>
        </w:tc>
        <w:tc>
          <w:tcPr>
            <w:tcW w:w="360" w:type="dxa"/>
            <w:vAlign w:val="bottom"/>
          </w:tcPr>
          <w:p>
            <w:pPr>
              <w:ind w:left="160"/>
              <w:spacing w:after="0"/>
              <w:rPr>
                <w:sz w:val="20"/>
                <w:szCs w:val="20"/>
                <w:color w:val="auto"/>
              </w:rPr>
            </w:pPr>
            <w:r>
              <w:rPr>
                <w:rFonts w:ascii="Arial" w:cs="Arial" w:eastAsia="Arial" w:hAnsi="Arial"/>
                <w:sz w:val="15"/>
                <w:szCs w:val="15"/>
                <w:color w:val="auto"/>
              </w:rPr>
              <w:t>a)</w:t>
            </w:r>
          </w:p>
        </w:tc>
        <w:tc>
          <w:tcPr>
            <w:tcW w:w="5300" w:type="dxa"/>
            <w:vAlign w:val="bottom"/>
          </w:tcPr>
          <w:p>
            <w:pPr>
              <w:ind w:left="60"/>
              <w:spacing w:after="0"/>
              <w:rPr>
                <w:sz w:val="20"/>
                <w:szCs w:val="20"/>
                <w:color w:val="auto"/>
              </w:rPr>
            </w:pPr>
            <w:r>
              <w:rPr>
                <w:rFonts w:ascii="Arial" w:cs="Arial" w:eastAsia="Arial" w:hAnsi="Arial"/>
                <w:sz w:val="15"/>
                <w:szCs w:val="15"/>
                <w:color w:val="auto"/>
              </w:rPr>
              <w:t>exercer la haute direction de la société et établir les instructions nécessaires;</w:t>
            </w:r>
          </w:p>
        </w:tc>
      </w:tr>
      <w:tr>
        <w:trPr>
          <w:trHeight w:val="346"/>
        </w:trPr>
        <w:tc>
          <w:tcPr>
            <w:tcW w:w="5680" w:type="dxa"/>
            <w:vAlign w:val="bottom"/>
            <w:gridSpan w:val="2"/>
          </w:tcPr>
          <w:p>
            <w:pPr>
              <w:spacing w:after="0"/>
              <w:rPr>
                <w:sz w:val="20"/>
                <w:szCs w:val="20"/>
                <w:color w:val="auto"/>
              </w:rPr>
            </w:pPr>
            <w:r>
              <w:rPr>
                <w:rFonts w:ascii="Arial" w:cs="Arial" w:eastAsia="Arial" w:hAnsi="Arial"/>
                <w:sz w:val="15"/>
                <w:szCs w:val="15"/>
                <w:color w:val="auto"/>
              </w:rPr>
              <w:t>b)  determination of the company's organisation;</w:t>
            </w:r>
          </w:p>
        </w:tc>
        <w:tc>
          <w:tcPr>
            <w:tcW w:w="360" w:type="dxa"/>
            <w:vAlign w:val="bottom"/>
          </w:tcPr>
          <w:p>
            <w:pPr>
              <w:ind w:left="160"/>
              <w:spacing w:after="0"/>
              <w:rPr>
                <w:sz w:val="20"/>
                <w:szCs w:val="20"/>
                <w:color w:val="auto"/>
              </w:rPr>
            </w:pPr>
            <w:r>
              <w:rPr>
                <w:rFonts w:ascii="Arial" w:cs="Arial" w:eastAsia="Arial" w:hAnsi="Arial"/>
                <w:sz w:val="15"/>
                <w:szCs w:val="15"/>
                <w:color w:val="auto"/>
              </w:rPr>
              <w:t>b)</w:t>
            </w:r>
          </w:p>
        </w:tc>
        <w:tc>
          <w:tcPr>
            <w:tcW w:w="5300" w:type="dxa"/>
            <w:vAlign w:val="bottom"/>
          </w:tcPr>
          <w:p>
            <w:pPr>
              <w:ind w:left="60"/>
              <w:spacing w:after="0"/>
              <w:rPr>
                <w:sz w:val="20"/>
                <w:szCs w:val="20"/>
                <w:color w:val="auto"/>
              </w:rPr>
            </w:pPr>
            <w:r>
              <w:rPr>
                <w:rFonts w:ascii="Arial" w:cs="Arial" w:eastAsia="Arial" w:hAnsi="Arial"/>
                <w:sz w:val="15"/>
                <w:szCs w:val="15"/>
                <w:color w:val="auto"/>
              </w:rPr>
              <w:t>fixer l'organisation;</w:t>
            </w:r>
          </w:p>
        </w:tc>
      </w:tr>
      <w:tr>
        <w:trPr>
          <w:trHeight w:val="334"/>
        </w:trPr>
        <w:tc>
          <w:tcPr>
            <w:tcW w:w="5680" w:type="dxa"/>
            <w:vAlign w:val="bottom"/>
            <w:gridSpan w:val="2"/>
          </w:tcPr>
          <w:p>
            <w:pPr>
              <w:spacing w:after="0"/>
              <w:rPr>
                <w:sz w:val="20"/>
                <w:szCs w:val="20"/>
                <w:color w:val="auto"/>
              </w:rPr>
            </w:pPr>
            <w:r>
              <w:rPr>
                <w:rFonts w:ascii="Arial" w:cs="Arial" w:eastAsia="Arial" w:hAnsi="Arial"/>
                <w:sz w:val="15"/>
                <w:szCs w:val="15"/>
                <w:color w:val="auto"/>
              </w:rPr>
              <w:t>c)   the organisation of the accounting, financial control and financial planning</w:t>
            </w:r>
          </w:p>
        </w:tc>
        <w:tc>
          <w:tcPr>
            <w:tcW w:w="360" w:type="dxa"/>
            <w:vAlign w:val="bottom"/>
          </w:tcPr>
          <w:p>
            <w:pPr>
              <w:ind w:left="160"/>
              <w:spacing w:after="0"/>
              <w:rPr>
                <w:sz w:val="20"/>
                <w:szCs w:val="20"/>
                <w:color w:val="auto"/>
              </w:rPr>
            </w:pPr>
            <w:r>
              <w:rPr>
                <w:rFonts w:ascii="Arial" w:cs="Arial" w:eastAsia="Arial" w:hAnsi="Arial"/>
                <w:sz w:val="15"/>
                <w:szCs w:val="15"/>
                <w:color w:val="auto"/>
              </w:rPr>
              <w:t>c)</w:t>
            </w:r>
          </w:p>
        </w:tc>
        <w:tc>
          <w:tcPr>
            <w:tcW w:w="5300" w:type="dxa"/>
            <w:vAlign w:val="bottom"/>
          </w:tcPr>
          <w:p>
            <w:pPr>
              <w:ind w:left="60"/>
              <w:spacing w:after="0"/>
              <w:rPr>
                <w:sz w:val="20"/>
                <w:szCs w:val="20"/>
                <w:color w:val="auto"/>
              </w:rPr>
            </w:pPr>
            <w:r>
              <w:rPr>
                <w:rFonts w:ascii="Arial" w:cs="Arial" w:eastAsia="Arial" w:hAnsi="Arial"/>
                <w:sz w:val="15"/>
                <w:szCs w:val="15"/>
                <w:color w:val="auto"/>
              </w:rPr>
              <w:t>fixer les principes de la comptabilité et du contrôle financier ainsi que le plan</w:t>
            </w:r>
          </w:p>
        </w:tc>
      </w:tr>
      <w:tr>
        <w:trPr>
          <w:trHeight w:val="185"/>
        </w:trPr>
        <w:tc>
          <w:tcPr>
            <w:tcW w:w="240" w:type="dxa"/>
            <w:vAlign w:val="bottom"/>
          </w:tcPr>
          <w:p>
            <w:pPr>
              <w:spacing w:after="0"/>
              <w:rPr>
                <w:sz w:val="16"/>
                <w:szCs w:val="16"/>
                <w:color w:val="auto"/>
              </w:rPr>
            </w:pPr>
          </w:p>
        </w:tc>
        <w:tc>
          <w:tcPr>
            <w:tcW w:w="5440" w:type="dxa"/>
            <w:vAlign w:val="bottom"/>
          </w:tcPr>
          <w:p>
            <w:pPr>
              <w:ind w:left="80"/>
              <w:spacing w:after="0"/>
              <w:rPr>
                <w:sz w:val="20"/>
                <w:szCs w:val="20"/>
                <w:color w:val="auto"/>
              </w:rPr>
            </w:pPr>
            <w:r>
              <w:rPr>
                <w:rFonts w:ascii="Arial" w:cs="Arial" w:eastAsia="Arial" w:hAnsi="Arial"/>
                <w:sz w:val="15"/>
                <w:szCs w:val="15"/>
                <w:color w:val="auto"/>
              </w:rPr>
              <w:t>systems as required for management of the company;</w:t>
            </w:r>
          </w:p>
        </w:tc>
        <w:tc>
          <w:tcPr>
            <w:tcW w:w="360" w:type="dxa"/>
            <w:vAlign w:val="bottom"/>
          </w:tcPr>
          <w:p>
            <w:pPr>
              <w:spacing w:after="0"/>
              <w:rPr>
                <w:sz w:val="16"/>
                <w:szCs w:val="16"/>
                <w:color w:val="auto"/>
              </w:rPr>
            </w:pPr>
          </w:p>
        </w:tc>
        <w:tc>
          <w:tcPr>
            <w:tcW w:w="5300" w:type="dxa"/>
            <w:vAlign w:val="bottom"/>
          </w:tcPr>
          <w:p>
            <w:pPr>
              <w:ind w:left="80"/>
              <w:spacing w:after="0"/>
              <w:rPr>
                <w:sz w:val="20"/>
                <w:szCs w:val="20"/>
                <w:color w:val="auto"/>
              </w:rPr>
            </w:pPr>
            <w:r>
              <w:rPr>
                <w:rFonts w:ascii="Arial" w:cs="Arial" w:eastAsia="Arial" w:hAnsi="Arial"/>
                <w:sz w:val="15"/>
                <w:szCs w:val="15"/>
                <w:color w:val="auto"/>
              </w:rPr>
              <w:t>financier pour autant que celui-ci soit nécessaire à la gestion de la société;</w:t>
            </w:r>
          </w:p>
        </w:tc>
      </w:tr>
      <w:tr>
        <w:trPr>
          <w:trHeight w:val="334"/>
        </w:trPr>
        <w:tc>
          <w:tcPr>
            <w:tcW w:w="240" w:type="dxa"/>
            <w:vAlign w:val="bottom"/>
          </w:tcPr>
          <w:p>
            <w:pPr>
              <w:spacing w:after="0"/>
              <w:rPr>
                <w:sz w:val="20"/>
                <w:szCs w:val="20"/>
                <w:color w:val="auto"/>
              </w:rPr>
            </w:pPr>
            <w:r>
              <w:rPr>
                <w:rFonts w:ascii="Arial" w:cs="Arial" w:eastAsia="Arial" w:hAnsi="Arial"/>
                <w:sz w:val="15"/>
                <w:szCs w:val="15"/>
                <w:color w:val="auto"/>
              </w:rPr>
              <w:t>d)</w:t>
            </w:r>
          </w:p>
        </w:tc>
        <w:tc>
          <w:tcPr>
            <w:tcW w:w="5440" w:type="dxa"/>
            <w:vAlign w:val="bottom"/>
          </w:tcPr>
          <w:p>
            <w:pPr>
              <w:ind w:left="180"/>
              <w:spacing w:after="0"/>
              <w:rPr>
                <w:sz w:val="20"/>
                <w:szCs w:val="20"/>
                <w:color w:val="auto"/>
              </w:rPr>
            </w:pPr>
            <w:r>
              <w:rPr>
                <w:rFonts w:ascii="Arial" w:cs="Arial" w:eastAsia="Arial" w:hAnsi="Arial"/>
                <w:sz w:val="15"/>
                <w:szCs w:val="15"/>
                <w:color w:val="auto"/>
              </w:rPr>
              <w:t>the appointment and dismissal of persons entrusted with managing and</w:t>
            </w:r>
          </w:p>
        </w:tc>
        <w:tc>
          <w:tcPr>
            <w:tcW w:w="360" w:type="dxa"/>
            <w:vAlign w:val="bottom"/>
          </w:tcPr>
          <w:p>
            <w:pPr>
              <w:ind w:left="160"/>
              <w:spacing w:after="0"/>
              <w:rPr>
                <w:sz w:val="20"/>
                <w:szCs w:val="20"/>
                <w:color w:val="auto"/>
              </w:rPr>
            </w:pPr>
            <w:r>
              <w:rPr>
                <w:rFonts w:ascii="Arial" w:cs="Arial" w:eastAsia="Arial" w:hAnsi="Arial"/>
                <w:sz w:val="15"/>
                <w:szCs w:val="15"/>
                <w:color w:val="auto"/>
              </w:rPr>
              <w:t>d)</w:t>
            </w:r>
          </w:p>
        </w:tc>
        <w:tc>
          <w:tcPr>
            <w:tcW w:w="5300" w:type="dxa"/>
            <w:vAlign w:val="bottom"/>
          </w:tcPr>
          <w:p>
            <w:pPr>
              <w:ind w:left="220"/>
              <w:spacing w:after="0"/>
              <w:rPr>
                <w:sz w:val="20"/>
                <w:szCs w:val="20"/>
                <w:color w:val="auto"/>
              </w:rPr>
            </w:pPr>
            <w:r>
              <w:rPr>
                <w:rFonts w:ascii="Arial" w:cs="Arial" w:eastAsia="Arial" w:hAnsi="Arial"/>
                <w:sz w:val="15"/>
                <w:szCs w:val="15"/>
                <w:color w:val="auto"/>
              </w:rPr>
              <w:t>nommer et révoquer les personnes chargées de la gestion et de la</w:t>
            </w:r>
          </w:p>
        </w:tc>
      </w:tr>
      <w:tr>
        <w:trPr>
          <w:trHeight w:val="185"/>
        </w:trPr>
        <w:tc>
          <w:tcPr>
            <w:tcW w:w="240" w:type="dxa"/>
            <w:vAlign w:val="bottom"/>
          </w:tcPr>
          <w:p>
            <w:pPr>
              <w:spacing w:after="0"/>
              <w:rPr>
                <w:sz w:val="16"/>
                <w:szCs w:val="16"/>
                <w:color w:val="auto"/>
              </w:rPr>
            </w:pPr>
          </w:p>
        </w:tc>
        <w:tc>
          <w:tcPr>
            <w:tcW w:w="5440" w:type="dxa"/>
            <w:vAlign w:val="bottom"/>
          </w:tcPr>
          <w:p>
            <w:pPr>
              <w:ind w:left="80"/>
              <w:spacing w:after="0"/>
              <w:rPr>
                <w:sz w:val="20"/>
                <w:szCs w:val="20"/>
                <w:color w:val="auto"/>
              </w:rPr>
            </w:pPr>
            <w:r>
              <w:rPr>
                <w:rFonts w:ascii="Arial" w:cs="Arial" w:eastAsia="Arial" w:hAnsi="Arial"/>
                <w:sz w:val="15"/>
                <w:szCs w:val="15"/>
                <w:color w:val="auto"/>
              </w:rPr>
              <w:t>representing the company;</w:t>
            </w:r>
          </w:p>
        </w:tc>
        <w:tc>
          <w:tcPr>
            <w:tcW w:w="360" w:type="dxa"/>
            <w:vAlign w:val="bottom"/>
          </w:tcPr>
          <w:p>
            <w:pPr>
              <w:spacing w:after="0"/>
              <w:rPr>
                <w:sz w:val="16"/>
                <w:szCs w:val="16"/>
                <w:color w:val="auto"/>
              </w:rPr>
            </w:pPr>
          </w:p>
        </w:tc>
        <w:tc>
          <w:tcPr>
            <w:tcW w:w="5300" w:type="dxa"/>
            <w:vAlign w:val="bottom"/>
          </w:tcPr>
          <w:p>
            <w:pPr>
              <w:ind w:left="80"/>
              <w:spacing w:after="0"/>
              <w:rPr>
                <w:sz w:val="20"/>
                <w:szCs w:val="20"/>
                <w:color w:val="auto"/>
              </w:rPr>
            </w:pPr>
            <w:r>
              <w:rPr>
                <w:rFonts w:ascii="Arial" w:cs="Arial" w:eastAsia="Arial" w:hAnsi="Arial"/>
                <w:sz w:val="15"/>
                <w:szCs w:val="15"/>
                <w:color w:val="auto"/>
              </w:rPr>
              <w:t>représentation;</w:t>
            </w:r>
          </w:p>
        </w:tc>
      </w:tr>
    </w:tbl>
    <w:p>
      <w:pPr>
        <w:spacing w:after="0" w:line="161" w:lineRule="exact"/>
        <w:rPr>
          <w:sz w:val="20"/>
          <w:szCs w:val="20"/>
          <w:color w:val="auto"/>
        </w:rPr>
      </w:pPr>
    </w:p>
    <w:p>
      <w:pPr>
        <w:ind w:left="360" w:hanging="322"/>
        <w:spacing w:after="0"/>
        <w:tabs>
          <w:tab w:leader="none" w:pos="3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overall supervision of the persons entrusted with managing the company, in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0" w:type="dxa"/>
            <w:vAlign w:val="bottom"/>
          </w:tcPr>
          <w:p>
            <w:pPr>
              <w:spacing w:after="0"/>
              <w:rPr>
                <w:sz w:val="15"/>
                <w:szCs w:val="15"/>
                <w:color w:val="auto"/>
              </w:rPr>
            </w:pPr>
          </w:p>
        </w:tc>
        <w:tc>
          <w:tcPr>
            <w:tcW w:w="5480" w:type="dxa"/>
            <w:vAlign w:val="bottom"/>
          </w:tcPr>
          <w:p>
            <w:pPr>
              <w:ind w:left="120"/>
              <w:spacing w:after="0"/>
              <w:rPr>
                <w:sz w:val="20"/>
                <w:szCs w:val="20"/>
                <w:color w:val="auto"/>
              </w:rPr>
            </w:pPr>
            <w:r>
              <w:rPr>
                <w:rFonts w:ascii="Arial" w:cs="Arial" w:eastAsia="Arial" w:hAnsi="Arial"/>
                <w:sz w:val="15"/>
                <w:szCs w:val="15"/>
                <w:color w:val="auto"/>
              </w:rPr>
              <w:t>particular with regard to compliance with the law, articles of association,</w:t>
            </w:r>
          </w:p>
        </w:tc>
        <w:tc>
          <w:tcPr>
            <w:tcW w:w="5720" w:type="dxa"/>
            <w:vAlign w:val="bottom"/>
          </w:tcPr>
          <w:p>
            <w:pPr>
              <w:ind w:left="160"/>
              <w:spacing w:after="0"/>
              <w:rPr>
                <w:sz w:val="20"/>
                <w:szCs w:val="20"/>
                <w:color w:val="auto"/>
              </w:rPr>
            </w:pPr>
            <w:r>
              <w:rPr>
                <w:rFonts w:ascii="Arial" w:cs="Arial" w:eastAsia="Arial" w:hAnsi="Arial"/>
                <w:sz w:val="15"/>
                <w:szCs w:val="15"/>
                <w:color w:val="auto"/>
              </w:rPr>
              <w:t>e)  exercer la haute surveillance sur les personnes chargées de la gestion pour</w:t>
            </w:r>
          </w:p>
        </w:tc>
        <w:tc>
          <w:tcPr>
            <w:tcW w:w="0" w:type="dxa"/>
            <w:vAlign w:val="bottom"/>
          </w:tcPr>
          <w:p>
            <w:pPr>
              <w:spacing w:after="0"/>
              <w:rPr>
                <w:sz w:val="1"/>
                <w:szCs w:val="1"/>
                <w:color w:val="auto"/>
              </w:rPr>
            </w:pPr>
          </w:p>
        </w:tc>
      </w:tr>
      <w:tr>
        <w:trPr>
          <w:trHeight w:val="173"/>
        </w:trPr>
        <w:tc>
          <w:tcPr>
            <w:tcW w:w="240" w:type="dxa"/>
            <w:vAlign w:val="bottom"/>
          </w:tcPr>
          <w:p>
            <w:pPr>
              <w:spacing w:after="0"/>
              <w:rPr>
                <w:sz w:val="15"/>
                <w:szCs w:val="15"/>
                <w:color w:val="auto"/>
              </w:rPr>
            </w:pPr>
          </w:p>
        </w:tc>
        <w:tc>
          <w:tcPr>
            <w:tcW w:w="5480" w:type="dxa"/>
            <w:vAlign w:val="bottom"/>
          </w:tcPr>
          <w:p>
            <w:pPr>
              <w:ind w:left="120"/>
              <w:spacing w:after="0"/>
              <w:rPr>
                <w:sz w:val="20"/>
                <w:szCs w:val="20"/>
                <w:color w:val="auto"/>
              </w:rPr>
            </w:pPr>
            <w:r>
              <w:rPr>
                <w:rFonts w:ascii="Arial" w:cs="Arial" w:eastAsia="Arial" w:hAnsi="Arial"/>
                <w:sz w:val="15"/>
                <w:szCs w:val="15"/>
                <w:color w:val="auto"/>
              </w:rPr>
              <w:t>operational regulations and directives;</w:t>
            </w:r>
          </w:p>
        </w:tc>
        <w:tc>
          <w:tcPr>
            <w:tcW w:w="5720" w:type="dxa"/>
            <w:vAlign w:val="bottom"/>
          </w:tcPr>
          <w:p>
            <w:pPr>
              <w:ind w:left="440"/>
              <w:spacing w:after="0"/>
              <w:rPr>
                <w:sz w:val="20"/>
                <w:szCs w:val="20"/>
                <w:color w:val="auto"/>
              </w:rPr>
            </w:pPr>
            <w:r>
              <w:rPr>
                <w:rFonts w:ascii="Arial" w:cs="Arial" w:eastAsia="Arial" w:hAnsi="Arial"/>
                <w:sz w:val="15"/>
                <w:szCs w:val="15"/>
                <w:color w:val="auto"/>
              </w:rPr>
              <w:t>s'assurer notamment qu'elles observent la loi, les statuts, les règlements et</w:t>
            </w:r>
          </w:p>
        </w:tc>
        <w:tc>
          <w:tcPr>
            <w:tcW w:w="0" w:type="dxa"/>
            <w:vAlign w:val="bottom"/>
          </w:tcPr>
          <w:p>
            <w:pPr>
              <w:spacing w:after="0"/>
              <w:rPr>
                <w:sz w:val="1"/>
                <w:szCs w:val="1"/>
                <w:color w:val="auto"/>
              </w:rPr>
            </w:pPr>
          </w:p>
        </w:tc>
      </w:tr>
      <w:tr>
        <w:trPr>
          <w:trHeight w:val="185"/>
        </w:trPr>
        <w:tc>
          <w:tcPr>
            <w:tcW w:w="240" w:type="dxa"/>
            <w:vAlign w:val="bottom"/>
            <w:vMerge w:val="restart"/>
          </w:tcPr>
          <w:p>
            <w:pPr>
              <w:ind w:left="40"/>
              <w:spacing w:after="0"/>
              <w:rPr>
                <w:sz w:val="20"/>
                <w:szCs w:val="20"/>
                <w:color w:val="auto"/>
              </w:rPr>
            </w:pPr>
            <w:r>
              <w:rPr>
                <w:rFonts w:ascii="Arial" w:cs="Arial" w:eastAsia="Arial" w:hAnsi="Arial"/>
                <w:sz w:val="15"/>
                <w:szCs w:val="15"/>
                <w:color w:val="auto"/>
              </w:rPr>
              <w:t>f)</w:t>
            </w:r>
          </w:p>
        </w:tc>
        <w:tc>
          <w:tcPr>
            <w:tcW w:w="5480" w:type="dxa"/>
            <w:vAlign w:val="bottom"/>
            <w:vMerge w:val="restart"/>
          </w:tcPr>
          <w:p>
            <w:pPr>
              <w:ind w:left="200"/>
              <w:spacing w:after="0"/>
              <w:rPr>
                <w:sz w:val="20"/>
                <w:szCs w:val="20"/>
                <w:color w:val="auto"/>
              </w:rPr>
            </w:pPr>
            <w:r>
              <w:rPr>
                <w:rFonts w:ascii="Arial" w:cs="Arial" w:eastAsia="Arial" w:hAnsi="Arial"/>
                <w:sz w:val="15"/>
                <w:szCs w:val="15"/>
                <w:color w:val="auto"/>
              </w:rPr>
              <w:t>compilation of the annual report, preparation for the general meeting and</w:t>
            </w:r>
          </w:p>
        </w:tc>
        <w:tc>
          <w:tcPr>
            <w:tcW w:w="5720" w:type="dxa"/>
            <w:vAlign w:val="bottom"/>
          </w:tcPr>
          <w:p>
            <w:pPr>
              <w:ind w:left="440"/>
              <w:spacing w:after="0"/>
              <w:rPr>
                <w:sz w:val="20"/>
                <w:szCs w:val="20"/>
                <w:color w:val="auto"/>
              </w:rPr>
            </w:pPr>
            <w:r>
              <w:rPr>
                <w:rFonts w:ascii="Arial" w:cs="Arial" w:eastAsia="Arial" w:hAnsi="Arial"/>
                <w:sz w:val="15"/>
                <w:szCs w:val="15"/>
                <w:color w:val="auto"/>
              </w:rPr>
              <w:t>les instructions données;</w:t>
            </w:r>
          </w:p>
        </w:tc>
        <w:tc>
          <w:tcPr>
            <w:tcW w:w="0" w:type="dxa"/>
            <w:vAlign w:val="bottom"/>
          </w:tcPr>
          <w:p>
            <w:pPr>
              <w:spacing w:after="0"/>
              <w:rPr>
                <w:sz w:val="1"/>
                <w:szCs w:val="1"/>
                <w:color w:val="auto"/>
              </w:rPr>
            </w:pPr>
          </w:p>
        </w:tc>
      </w:tr>
      <w:tr>
        <w:trPr>
          <w:trHeight w:val="161"/>
        </w:trPr>
        <w:tc>
          <w:tcPr>
            <w:tcW w:w="240" w:type="dxa"/>
            <w:vAlign w:val="bottom"/>
            <w:vMerge w:val="continue"/>
          </w:tcPr>
          <w:p>
            <w:pPr>
              <w:spacing w:after="0"/>
              <w:rPr>
                <w:sz w:val="13"/>
                <w:szCs w:val="13"/>
                <w:color w:val="auto"/>
              </w:rPr>
            </w:pPr>
          </w:p>
        </w:tc>
        <w:tc>
          <w:tcPr>
            <w:tcW w:w="5480" w:type="dxa"/>
            <w:vAlign w:val="bottom"/>
            <w:vMerge w:val="continue"/>
          </w:tcPr>
          <w:p>
            <w:pPr>
              <w:spacing w:after="0"/>
              <w:rPr>
                <w:sz w:val="13"/>
                <w:szCs w:val="13"/>
                <w:color w:val="auto"/>
              </w:rPr>
            </w:pPr>
          </w:p>
        </w:tc>
        <w:tc>
          <w:tcPr>
            <w:tcW w:w="5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40" w:type="dxa"/>
            <w:vAlign w:val="bottom"/>
          </w:tcPr>
          <w:p>
            <w:pPr>
              <w:spacing w:after="0"/>
              <w:rPr>
                <w:sz w:val="15"/>
                <w:szCs w:val="15"/>
                <w:color w:val="auto"/>
              </w:rPr>
            </w:pPr>
          </w:p>
        </w:tc>
        <w:tc>
          <w:tcPr>
            <w:tcW w:w="5480" w:type="dxa"/>
            <w:vAlign w:val="bottom"/>
          </w:tcPr>
          <w:p>
            <w:pPr>
              <w:ind w:left="120"/>
              <w:spacing w:after="0"/>
              <w:rPr>
                <w:sz w:val="20"/>
                <w:szCs w:val="20"/>
                <w:color w:val="auto"/>
              </w:rPr>
            </w:pPr>
            <w:r>
              <w:rPr>
                <w:rFonts w:ascii="Arial" w:cs="Arial" w:eastAsia="Arial" w:hAnsi="Arial"/>
                <w:sz w:val="15"/>
                <w:szCs w:val="15"/>
                <w:color w:val="auto"/>
              </w:rPr>
              <w:t>implementation of its resolutions;</w:t>
            </w:r>
          </w:p>
        </w:tc>
        <w:tc>
          <w:tcPr>
            <w:tcW w:w="5720" w:type="dxa"/>
            <w:vAlign w:val="bottom"/>
          </w:tcPr>
          <w:p>
            <w:pPr>
              <w:ind w:left="160"/>
              <w:spacing w:after="0"/>
              <w:rPr>
                <w:sz w:val="20"/>
                <w:szCs w:val="20"/>
                <w:color w:val="auto"/>
              </w:rPr>
            </w:pPr>
            <w:r>
              <w:rPr>
                <w:rFonts w:ascii="Arial" w:cs="Arial" w:eastAsia="Arial" w:hAnsi="Arial"/>
                <w:sz w:val="15"/>
                <w:szCs w:val="15"/>
                <w:color w:val="auto"/>
              </w:rPr>
              <w:t>f)   établir le rapport de gestion, préparer l'assemblée générale et exécuter ses</w:t>
            </w:r>
          </w:p>
        </w:tc>
        <w:tc>
          <w:tcPr>
            <w:tcW w:w="0" w:type="dxa"/>
            <w:vAlign w:val="bottom"/>
          </w:tcPr>
          <w:p>
            <w:pPr>
              <w:spacing w:after="0"/>
              <w:rPr>
                <w:sz w:val="1"/>
                <w:szCs w:val="1"/>
                <w:color w:val="auto"/>
              </w:rPr>
            </w:pPr>
          </w:p>
        </w:tc>
      </w:tr>
      <w:tr>
        <w:trPr>
          <w:trHeight w:val="185"/>
        </w:trPr>
        <w:tc>
          <w:tcPr>
            <w:tcW w:w="5720" w:type="dxa"/>
            <w:vAlign w:val="bottom"/>
            <w:gridSpan w:val="2"/>
            <w:vMerge w:val="restart"/>
          </w:tcPr>
          <w:p>
            <w:pPr>
              <w:ind w:left="40"/>
              <w:spacing w:after="0"/>
              <w:rPr>
                <w:sz w:val="20"/>
                <w:szCs w:val="20"/>
                <w:color w:val="auto"/>
              </w:rPr>
            </w:pPr>
            <w:r>
              <w:rPr>
                <w:rFonts w:ascii="Arial" w:cs="Arial" w:eastAsia="Arial" w:hAnsi="Arial"/>
                <w:sz w:val="15"/>
                <w:szCs w:val="15"/>
                <w:color w:val="auto"/>
              </w:rPr>
              <w:t>g)   the preparation of the compensation report and to request approval by the</w:t>
            </w:r>
          </w:p>
        </w:tc>
        <w:tc>
          <w:tcPr>
            <w:tcW w:w="5720" w:type="dxa"/>
            <w:vAlign w:val="bottom"/>
          </w:tcPr>
          <w:p>
            <w:pPr>
              <w:ind w:left="440"/>
              <w:spacing w:after="0"/>
              <w:rPr>
                <w:sz w:val="20"/>
                <w:szCs w:val="20"/>
                <w:color w:val="auto"/>
              </w:rPr>
            </w:pPr>
            <w:r>
              <w:rPr>
                <w:rFonts w:ascii="Arial" w:cs="Arial" w:eastAsia="Arial" w:hAnsi="Arial"/>
                <w:sz w:val="15"/>
                <w:szCs w:val="15"/>
                <w:color w:val="auto"/>
              </w:rPr>
              <w:t>décisions;</w:t>
            </w:r>
          </w:p>
        </w:tc>
        <w:tc>
          <w:tcPr>
            <w:tcW w:w="0" w:type="dxa"/>
            <w:vAlign w:val="bottom"/>
          </w:tcPr>
          <w:p>
            <w:pPr>
              <w:spacing w:after="0"/>
              <w:rPr>
                <w:sz w:val="1"/>
                <w:szCs w:val="1"/>
                <w:color w:val="auto"/>
              </w:rPr>
            </w:pPr>
          </w:p>
        </w:tc>
      </w:tr>
      <w:tr>
        <w:trPr>
          <w:trHeight w:val="161"/>
        </w:trPr>
        <w:tc>
          <w:tcPr>
            <w:tcW w:w="5720" w:type="dxa"/>
            <w:vAlign w:val="bottom"/>
            <w:gridSpan w:val="2"/>
            <w:vMerge w:val="continue"/>
          </w:tcPr>
          <w:p>
            <w:pPr>
              <w:spacing w:after="0"/>
              <w:rPr>
                <w:sz w:val="13"/>
                <w:szCs w:val="13"/>
                <w:color w:val="auto"/>
              </w:rPr>
            </w:pPr>
          </w:p>
        </w:tc>
        <w:tc>
          <w:tcPr>
            <w:tcW w:w="5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40" w:type="dxa"/>
            <w:vAlign w:val="bottom"/>
          </w:tcPr>
          <w:p>
            <w:pPr>
              <w:spacing w:after="0"/>
              <w:rPr>
                <w:sz w:val="15"/>
                <w:szCs w:val="15"/>
                <w:color w:val="auto"/>
              </w:rPr>
            </w:pPr>
          </w:p>
        </w:tc>
        <w:tc>
          <w:tcPr>
            <w:tcW w:w="5480" w:type="dxa"/>
            <w:vAlign w:val="bottom"/>
          </w:tcPr>
          <w:p>
            <w:pPr>
              <w:ind w:left="120"/>
              <w:spacing w:after="0"/>
              <w:rPr>
                <w:sz w:val="20"/>
                <w:szCs w:val="20"/>
                <w:color w:val="auto"/>
              </w:rPr>
            </w:pPr>
            <w:r>
              <w:rPr>
                <w:rFonts w:ascii="Arial" w:cs="Arial" w:eastAsia="Arial" w:hAnsi="Arial"/>
                <w:sz w:val="15"/>
                <w:szCs w:val="15"/>
                <w:color w:val="auto"/>
              </w:rPr>
              <w:t>General Meeting regarding compensation of the Board of Directors and the</w:t>
            </w:r>
          </w:p>
        </w:tc>
        <w:tc>
          <w:tcPr>
            <w:tcW w:w="5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40" w:type="dxa"/>
            <w:vAlign w:val="bottom"/>
          </w:tcPr>
          <w:p>
            <w:pPr>
              <w:spacing w:after="0"/>
              <w:rPr>
                <w:sz w:val="15"/>
                <w:szCs w:val="15"/>
                <w:color w:val="auto"/>
              </w:rPr>
            </w:pPr>
          </w:p>
        </w:tc>
        <w:tc>
          <w:tcPr>
            <w:tcW w:w="5480" w:type="dxa"/>
            <w:vAlign w:val="bottom"/>
          </w:tcPr>
          <w:p>
            <w:pPr>
              <w:ind w:left="120"/>
              <w:spacing w:after="0"/>
              <w:rPr>
                <w:sz w:val="20"/>
                <w:szCs w:val="20"/>
                <w:color w:val="auto"/>
              </w:rPr>
            </w:pPr>
            <w:r>
              <w:rPr>
                <w:rFonts w:ascii="Arial" w:cs="Arial" w:eastAsia="Arial" w:hAnsi="Arial"/>
                <w:sz w:val="15"/>
                <w:szCs w:val="15"/>
                <w:color w:val="auto"/>
              </w:rPr>
              <w:t>Executive Committee; and</w:t>
            </w:r>
          </w:p>
        </w:tc>
        <w:tc>
          <w:tcPr>
            <w:tcW w:w="5720" w:type="dxa"/>
            <w:vAlign w:val="bottom"/>
          </w:tcPr>
          <w:p>
            <w:pPr>
              <w:ind w:left="160"/>
              <w:spacing w:after="0"/>
              <w:rPr>
                <w:sz w:val="20"/>
                <w:szCs w:val="20"/>
                <w:color w:val="auto"/>
              </w:rPr>
            </w:pPr>
            <w:r>
              <w:rPr>
                <w:rFonts w:ascii="Arial" w:cs="Arial" w:eastAsia="Arial" w:hAnsi="Arial"/>
                <w:sz w:val="15"/>
                <w:szCs w:val="15"/>
                <w:color w:val="auto"/>
              </w:rPr>
              <w:t>g)  la préparation du rapport de rémunération et de demander l'approbation par</w:t>
            </w:r>
          </w:p>
        </w:tc>
        <w:tc>
          <w:tcPr>
            <w:tcW w:w="0" w:type="dxa"/>
            <w:vAlign w:val="bottom"/>
          </w:tcPr>
          <w:p>
            <w:pPr>
              <w:spacing w:after="0"/>
              <w:rPr>
                <w:sz w:val="1"/>
                <w:szCs w:val="1"/>
                <w:color w:val="auto"/>
              </w:rPr>
            </w:pPr>
          </w:p>
        </w:tc>
      </w:tr>
      <w:tr>
        <w:trPr>
          <w:trHeight w:val="173"/>
        </w:trPr>
        <w:tc>
          <w:tcPr>
            <w:tcW w:w="24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5720" w:type="dxa"/>
            <w:vAlign w:val="bottom"/>
          </w:tcPr>
          <w:p>
            <w:pPr>
              <w:ind w:left="440"/>
              <w:spacing w:after="0"/>
              <w:rPr>
                <w:sz w:val="20"/>
                <w:szCs w:val="20"/>
                <w:color w:val="auto"/>
              </w:rPr>
            </w:pPr>
            <w:r>
              <w:rPr>
                <w:rFonts w:ascii="Arial" w:cs="Arial" w:eastAsia="Arial" w:hAnsi="Arial"/>
                <w:sz w:val="15"/>
                <w:szCs w:val="15"/>
                <w:color w:val="auto"/>
              </w:rPr>
              <w:t>l'assemblée  générale  en  ce  qui  concerne  la  rémunération  du  conseil</w:t>
            </w:r>
          </w:p>
        </w:tc>
        <w:tc>
          <w:tcPr>
            <w:tcW w:w="0" w:type="dxa"/>
            <w:vAlign w:val="bottom"/>
          </w:tcPr>
          <w:p>
            <w:pPr>
              <w:spacing w:after="0"/>
              <w:rPr>
                <w:sz w:val="1"/>
                <w:szCs w:val="1"/>
                <w:color w:val="auto"/>
              </w:rPr>
            </w:pPr>
          </w:p>
        </w:tc>
      </w:tr>
      <w:tr>
        <w:trPr>
          <w:trHeight w:val="185"/>
        </w:trPr>
        <w:tc>
          <w:tcPr>
            <w:tcW w:w="5720" w:type="dxa"/>
            <w:vAlign w:val="bottom"/>
            <w:gridSpan w:val="2"/>
          </w:tcPr>
          <w:p>
            <w:pPr>
              <w:ind w:left="40"/>
              <w:spacing w:after="0"/>
              <w:rPr>
                <w:sz w:val="20"/>
                <w:szCs w:val="20"/>
                <w:color w:val="auto"/>
              </w:rPr>
            </w:pPr>
            <w:r>
              <w:rPr>
                <w:rFonts w:ascii="Arial" w:cs="Arial" w:eastAsia="Arial" w:hAnsi="Arial"/>
                <w:sz w:val="15"/>
                <w:szCs w:val="15"/>
                <w:color w:val="auto"/>
              </w:rPr>
              <w:t>h)  notification of the court in the event that the company is overindebted.</w:t>
            </w:r>
          </w:p>
        </w:tc>
        <w:tc>
          <w:tcPr>
            <w:tcW w:w="5720" w:type="dxa"/>
            <w:vAlign w:val="bottom"/>
          </w:tcPr>
          <w:p>
            <w:pPr>
              <w:ind w:left="440"/>
              <w:spacing w:after="0"/>
              <w:rPr>
                <w:sz w:val="20"/>
                <w:szCs w:val="20"/>
                <w:color w:val="auto"/>
              </w:rPr>
            </w:pPr>
            <w:r>
              <w:rPr>
                <w:rFonts w:ascii="Arial" w:cs="Arial" w:eastAsia="Arial" w:hAnsi="Arial"/>
                <w:sz w:val="15"/>
                <w:szCs w:val="15"/>
                <w:color w:val="auto"/>
              </w:rPr>
              <w:t>d'administration et du comité exécutif; et</w:t>
            </w:r>
          </w:p>
        </w:tc>
        <w:tc>
          <w:tcPr>
            <w:tcW w:w="0" w:type="dxa"/>
            <w:vAlign w:val="bottom"/>
          </w:tcPr>
          <w:p>
            <w:pPr>
              <w:spacing w:after="0"/>
              <w:rPr>
                <w:sz w:val="1"/>
                <w:szCs w:val="1"/>
                <w:color w:val="auto"/>
              </w:rPr>
            </w:pPr>
          </w:p>
        </w:tc>
      </w:tr>
      <w:tr>
        <w:trPr>
          <w:trHeight w:val="346"/>
        </w:trPr>
        <w:tc>
          <w:tcPr>
            <w:tcW w:w="24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5720" w:type="dxa"/>
            <w:vAlign w:val="bottom"/>
          </w:tcPr>
          <w:p>
            <w:pPr>
              <w:ind w:left="160"/>
              <w:spacing w:after="0"/>
              <w:rPr>
                <w:sz w:val="20"/>
                <w:szCs w:val="20"/>
                <w:color w:val="auto"/>
              </w:rPr>
            </w:pPr>
            <w:r>
              <w:rPr>
                <w:rFonts w:ascii="Arial" w:cs="Arial" w:eastAsia="Arial" w:hAnsi="Arial"/>
                <w:sz w:val="15"/>
                <w:szCs w:val="15"/>
                <w:color w:val="auto"/>
              </w:rPr>
              <w:t>h)  informer le juge en cas de surendettement.</w:t>
            </w:r>
          </w:p>
        </w:tc>
        <w:tc>
          <w:tcPr>
            <w:tcW w:w="0" w:type="dxa"/>
            <w:vAlign w:val="bottom"/>
          </w:tcPr>
          <w:p>
            <w:pPr>
              <w:spacing w:after="0"/>
              <w:rPr>
                <w:sz w:val="1"/>
                <w:szCs w:val="1"/>
                <w:color w:val="auto"/>
              </w:rPr>
            </w:pPr>
          </w:p>
        </w:tc>
      </w:tr>
      <w:tr>
        <w:trPr>
          <w:trHeight w:val="196"/>
        </w:trPr>
        <w:tc>
          <w:tcPr>
            <w:tcW w:w="5720" w:type="dxa"/>
            <w:vAlign w:val="bottom"/>
            <w:tcBorders>
              <w:bottom w:val="single" w:sz="8" w:color="auto"/>
            </w:tcBorders>
            <w:gridSpan w:val="2"/>
          </w:tcPr>
          <w:p>
            <w:pPr>
              <w:spacing w:after="0"/>
              <w:rPr>
                <w:sz w:val="17"/>
                <w:szCs w:val="17"/>
                <w:color w:val="auto"/>
              </w:rPr>
            </w:pPr>
          </w:p>
        </w:tc>
        <w:tc>
          <w:tcPr>
            <w:tcW w:w="5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720" w:type="dxa"/>
            <w:vAlign w:val="bottom"/>
            <w:gridSpan w:val="2"/>
          </w:tcPr>
          <w:p>
            <w:pPr>
              <w:ind w:left="40"/>
              <w:spacing w:after="0"/>
              <w:rPr>
                <w:sz w:val="20"/>
                <w:szCs w:val="20"/>
                <w:color w:val="auto"/>
              </w:rPr>
            </w:pPr>
            <w:r>
              <w:rPr>
                <w:rFonts w:ascii="Arial" w:cs="Arial" w:eastAsia="Arial" w:hAnsi="Arial"/>
                <w:sz w:val="15"/>
                <w:szCs w:val="15"/>
                <w:color w:val="auto"/>
              </w:rPr>
              <w:t>The board of directors may assign responsibility for preparing and implementing</w:t>
            </w:r>
          </w:p>
        </w:tc>
        <w:tc>
          <w:tcPr>
            <w:tcW w:w="5720" w:type="dxa"/>
            <w:vAlign w:val="bottom"/>
          </w:tcPr>
          <w:p>
            <w:pPr>
              <w:ind w:left="160"/>
              <w:spacing w:after="0"/>
              <w:rPr>
                <w:sz w:val="20"/>
                <w:szCs w:val="20"/>
                <w:color w:val="auto"/>
              </w:rPr>
            </w:pPr>
            <w:r>
              <w:rPr>
                <w:rFonts w:ascii="Arial" w:cs="Arial" w:eastAsia="Arial" w:hAnsi="Arial"/>
                <w:sz w:val="15"/>
                <w:szCs w:val="15"/>
                <w:color w:val="auto"/>
              </w:rPr>
              <w:t>Le conseil d'administration peut déléguer à un ou plusieurs membres, regroupés</w:t>
            </w:r>
          </w:p>
        </w:tc>
        <w:tc>
          <w:tcPr>
            <w:tcW w:w="0" w:type="dxa"/>
            <w:vAlign w:val="bottom"/>
          </w:tcPr>
          <w:p>
            <w:pPr>
              <w:spacing w:after="0"/>
              <w:rPr>
                <w:sz w:val="1"/>
                <w:szCs w:val="1"/>
                <w:color w:val="auto"/>
              </w:rPr>
            </w:pPr>
          </w:p>
        </w:tc>
      </w:tr>
      <w:tr>
        <w:trPr>
          <w:trHeight w:val="173"/>
        </w:trPr>
        <w:tc>
          <w:tcPr>
            <w:tcW w:w="5720" w:type="dxa"/>
            <w:vAlign w:val="bottom"/>
            <w:gridSpan w:val="2"/>
          </w:tcPr>
          <w:p>
            <w:pPr>
              <w:ind w:left="40"/>
              <w:spacing w:after="0"/>
              <w:rPr>
                <w:sz w:val="20"/>
                <w:szCs w:val="20"/>
                <w:color w:val="auto"/>
              </w:rPr>
            </w:pPr>
            <w:r>
              <w:rPr>
                <w:rFonts w:ascii="Arial" w:cs="Arial" w:eastAsia="Arial" w:hAnsi="Arial"/>
                <w:sz w:val="15"/>
                <w:szCs w:val="15"/>
                <w:color w:val="auto"/>
              </w:rPr>
              <w:t>its resolutions or monitoring transactions to committees or individual members. It</w:t>
            </w:r>
          </w:p>
        </w:tc>
        <w:tc>
          <w:tcPr>
            <w:tcW w:w="5720" w:type="dxa"/>
            <w:vAlign w:val="bottom"/>
          </w:tcPr>
          <w:p>
            <w:pPr>
              <w:ind w:left="160"/>
              <w:spacing w:after="0"/>
              <w:rPr>
                <w:sz w:val="20"/>
                <w:szCs w:val="20"/>
                <w:color w:val="auto"/>
              </w:rPr>
            </w:pPr>
            <w:r>
              <w:rPr>
                <w:rFonts w:ascii="Arial" w:cs="Arial" w:eastAsia="Arial" w:hAnsi="Arial"/>
                <w:sz w:val="15"/>
                <w:szCs w:val="15"/>
                <w:color w:val="auto"/>
              </w:rPr>
              <w:t>en comités, la charge de préparer et d'exécuter ses décisions ou de surveiller</w:t>
            </w:r>
          </w:p>
        </w:tc>
        <w:tc>
          <w:tcPr>
            <w:tcW w:w="0" w:type="dxa"/>
            <w:vAlign w:val="bottom"/>
          </w:tcPr>
          <w:p>
            <w:pPr>
              <w:spacing w:after="0"/>
              <w:rPr>
                <w:sz w:val="1"/>
                <w:szCs w:val="1"/>
                <w:color w:val="auto"/>
              </w:rPr>
            </w:pPr>
          </w:p>
        </w:tc>
      </w:tr>
      <w:tr>
        <w:trPr>
          <w:trHeight w:val="173"/>
        </w:trPr>
        <w:tc>
          <w:tcPr>
            <w:tcW w:w="5720" w:type="dxa"/>
            <w:vAlign w:val="bottom"/>
            <w:gridSpan w:val="2"/>
          </w:tcPr>
          <w:p>
            <w:pPr>
              <w:ind w:left="40"/>
              <w:spacing w:after="0"/>
              <w:rPr>
                <w:sz w:val="20"/>
                <w:szCs w:val="20"/>
                <w:color w:val="auto"/>
              </w:rPr>
            </w:pPr>
            <w:r>
              <w:rPr>
                <w:rFonts w:ascii="Arial" w:cs="Arial" w:eastAsia="Arial" w:hAnsi="Arial"/>
                <w:sz w:val="15"/>
                <w:szCs w:val="15"/>
                <w:color w:val="auto"/>
              </w:rPr>
              <w:t>must ensure appropriate reporting to its members.</w:t>
            </w:r>
          </w:p>
        </w:tc>
        <w:tc>
          <w:tcPr>
            <w:tcW w:w="5720" w:type="dxa"/>
            <w:vAlign w:val="bottom"/>
          </w:tcPr>
          <w:p>
            <w:pPr>
              <w:ind w:left="160"/>
              <w:spacing w:after="0"/>
              <w:rPr>
                <w:sz w:val="20"/>
                <w:szCs w:val="20"/>
                <w:color w:val="auto"/>
              </w:rPr>
            </w:pPr>
            <w:r>
              <w:rPr>
                <w:rFonts w:ascii="Arial" w:cs="Arial" w:eastAsia="Arial" w:hAnsi="Arial"/>
                <w:sz w:val="15"/>
                <w:szCs w:val="15"/>
                <w:color w:val="auto"/>
              </w:rPr>
              <w:t>certaines affaires. Il veille à ce que ses membres soient convenablement</w:t>
            </w:r>
          </w:p>
        </w:tc>
        <w:tc>
          <w:tcPr>
            <w:tcW w:w="0" w:type="dxa"/>
            <w:vAlign w:val="bottom"/>
          </w:tcPr>
          <w:p>
            <w:pPr>
              <w:spacing w:after="0"/>
              <w:rPr>
                <w:sz w:val="1"/>
                <w:szCs w:val="1"/>
                <w:color w:val="auto"/>
              </w:rPr>
            </w:pPr>
          </w:p>
        </w:tc>
      </w:tr>
      <w:tr>
        <w:trPr>
          <w:trHeight w:val="185"/>
        </w:trPr>
        <w:tc>
          <w:tcPr>
            <w:tcW w:w="24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5720" w:type="dxa"/>
            <w:vAlign w:val="bottom"/>
          </w:tcPr>
          <w:p>
            <w:pPr>
              <w:ind w:left="160"/>
              <w:spacing w:after="0"/>
              <w:rPr>
                <w:sz w:val="20"/>
                <w:szCs w:val="20"/>
                <w:color w:val="auto"/>
              </w:rPr>
            </w:pPr>
            <w:r>
              <w:rPr>
                <w:rFonts w:ascii="Arial" w:cs="Arial" w:eastAsia="Arial" w:hAnsi="Arial"/>
                <w:sz w:val="15"/>
                <w:szCs w:val="15"/>
                <w:color w:val="auto"/>
              </w:rPr>
              <w:t>informés.</w:t>
            </w:r>
          </w:p>
        </w:tc>
        <w:tc>
          <w:tcPr>
            <w:tcW w:w="0" w:type="dxa"/>
            <w:vAlign w:val="bottom"/>
          </w:tcPr>
          <w:p>
            <w:pPr>
              <w:spacing w:after="0"/>
              <w:rPr>
                <w:sz w:val="1"/>
                <w:szCs w:val="1"/>
                <w:color w:val="auto"/>
              </w:rPr>
            </w:pPr>
          </w:p>
        </w:tc>
      </w:tr>
      <w:tr>
        <w:trPr>
          <w:trHeight w:val="23"/>
        </w:trPr>
        <w:tc>
          <w:tcPr>
            <w:tcW w:w="5720" w:type="dxa"/>
            <w:vAlign w:val="bottom"/>
            <w:tcBorders>
              <w:bottom w:val="single" w:sz="8" w:color="auto"/>
            </w:tcBorders>
            <w:gridSpan w:val="2"/>
          </w:tcPr>
          <w:p>
            <w:pPr>
              <w:spacing w:after="0"/>
              <w:rPr>
                <w:sz w:val="2"/>
                <w:szCs w:val="2"/>
                <w:color w:val="auto"/>
              </w:rPr>
            </w:pPr>
          </w:p>
        </w:tc>
        <w:tc>
          <w:tcPr>
            <w:tcW w:w="5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5720" w:type="dxa"/>
            <w:vAlign w:val="bottom"/>
            <w:gridSpan w:val="2"/>
          </w:tcPr>
          <w:p>
            <w:pPr>
              <w:ind w:left="40"/>
              <w:spacing w:after="0"/>
              <w:rPr>
                <w:sz w:val="20"/>
                <w:szCs w:val="20"/>
                <w:color w:val="auto"/>
              </w:rPr>
            </w:pPr>
            <w:r>
              <w:rPr>
                <w:rFonts w:ascii="Arial" w:cs="Arial" w:eastAsia="Arial" w:hAnsi="Arial"/>
                <w:sz w:val="15"/>
                <w:szCs w:val="15"/>
                <w:b w:val="1"/>
                <w:bCs w:val="1"/>
                <w:color w:val="auto"/>
              </w:rPr>
              <w:t>Art. 24 Representation of the Company</w:t>
            </w:r>
          </w:p>
        </w:tc>
        <w:tc>
          <w:tcPr>
            <w:tcW w:w="5720" w:type="dxa"/>
            <w:vAlign w:val="bottom"/>
          </w:tcPr>
          <w:p>
            <w:pPr>
              <w:ind w:left="160"/>
              <w:spacing w:after="0"/>
              <w:rPr>
                <w:sz w:val="20"/>
                <w:szCs w:val="20"/>
                <w:color w:val="auto"/>
              </w:rPr>
            </w:pPr>
            <w:r>
              <w:rPr>
                <w:rFonts w:ascii="Arial" w:cs="Arial" w:eastAsia="Arial" w:hAnsi="Arial"/>
                <w:sz w:val="15"/>
                <w:szCs w:val="15"/>
                <w:b w:val="1"/>
                <w:bCs w:val="1"/>
                <w:color w:val="auto"/>
              </w:rPr>
              <w:t>Art. 24 Représentation de la société</w:t>
            </w:r>
          </w:p>
        </w:tc>
        <w:tc>
          <w:tcPr>
            <w:tcW w:w="0" w:type="dxa"/>
            <w:vAlign w:val="bottom"/>
          </w:tcPr>
          <w:p>
            <w:pPr>
              <w:spacing w:after="0"/>
              <w:rPr>
                <w:sz w:val="1"/>
                <w:szCs w:val="1"/>
                <w:color w:val="auto"/>
              </w:rPr>
            </w:pPr>
          </w:p>
        </w:tc>
      </w:tr>
      <w:tr>
        <w:trPr>
          <w:trHeight w:val="334"/>
        </w:trPr>
        <w:tc>
          <w:tcPr>
            <w:tcW w:w="5720" w:type="dxa"/>
            <w:vAlign w:val="bottom"/>
            <w:gridSpan w:val="2"/>
          </w:tcPr>
          <w:p>
            <w:pPr>
              <w:ind w:left="40"/>
              <w:spacing w:after="0"/>
              <w:rPr>
                <w:sz w:val="20"/>
                <w:szCs w:val="20"/>
                <w:color w:val="auto"/>
              </w:rPr>
            </w:pPr>
            <w:r>
              <w:rPr>
                <w:rFonts w:ascii="Arial" w:cs="Arial" w:eastAsia="Arial" w:hAnsi="Arial"/>
                <w:sz w:val="15"/>
                <w:szCs w:val="15"/>
                <w:color w:val="auto"/>
              </w:rPr>
              <w:t>The Board of Directors shall assign the persons with signatory power for the</w:t>
            </w:r>
          </w:p>
        </w:tc>
        <w:tc>
          <w:tcPr>
            <w:tcW w:w="5720" w:type="dxa"/>
            <w:vAlign w:val="bottom"/>
          </w:tcPr>
          <w:p>
            <w:pPr>
              <w:ind w:left="160"/>
              <w:spacing w:after="0"/>
              <w:rPr>
                <w:sz w:val="20"/>
                <w:szCs w:val="20"/>
                <w:color w:val="auto"/>
              </w:rPr>
            </w:pPr>
            <w:r>
              <w:rPr>
                <w:rFonts w:ascii="Arial" w:cs="Arial" w:eastAsia="Arial" w:hAnsi="Arial"/>
                <w:sz w:val="15"/>
                <w:szCs w:val="15"/>
                <w:color w:val="auto"/>
              </w:rPr>
              <w:t>Le conseil d'administration nomme les personnes pouvant représenter la société</w:t>
            </w:r>
          </w:p>
        </w:tc>
        <w:tc>
          <w:tcPr>
            <w:tcW w:w="0" w:type="dxa"/>
            <w:vAlign w:val="bottom"/>
          </w:tcPr>
          <w:p>
            <w:pPr>
              <w:spacing w:after="0"/>
              <w:rPr>
                <w:sz w:val="1"/>
                <w:szCs w:val="1"/>
                <w:color w:val="auto"/>
              </w:rPr>
            </w:pPr>
          </w:p>
        </w:tc>
      </w:tr>
      <w:tr>
        <w:trPr>
          <w:trHeight w:val="185"/>
        </w:trPr>
        <w:tc>
          <w:tcPr>
            <w:tcW w:w="5720" w:type="dxa"/>
            <w:vAlign w:val="bottom"/>
            <w:gridSpan w:val="2"/>
          </w:tcPr>
          <w:p>
            <w:pPr>
              <w:ind w:left="40"/>
              <w:spacing w:after="0"/>
              <w:rPr>
                <w:sz w:val="20"/>
                <w:szCs w:val="20"/>
                <w:color w:val="auto"/>
              </w:rPr>
            </w:pPr>
            <w:r>
              <w:rPr>
                <w:rFonts w:ascii="Arial" w:cs="Arial" w:eastAsia="Arial" w:hAnsi="Arial"/>
                <w:sz w:val="15"/>
                <w:szCs w:val="15"/>
                <w:color w:val="auto"/>
              </w:rPr>
              <w:t>company and the kind of signatory power.</w:t>
            </w:r>
          </w:p>
        </w:tc>
        <w:tc>
          <w:tcPr>
            <w:tcW w:w="5720" w:type="dxa"/>
            <w:vAlign w:val="bottom"/>
          </w:tcPr>
          <w:p>
            <w:pPr>
              <w:ind w:left="160"/>
              <w:spacing w:after="0"/>
              <w:rPr>
                <w:sz w:val="20"/>
                <w:szCs w:val="20"/>
                <w:color w:val="auto"/>
              </w:rPr>
            </w:pPr>
            <w:r>
              <w:rPr>
                <w:rFonts w:ascii="Arial" w:cs="Arial" w:eastAsia="Arial" w:hAnsi="Arial"/>
                <w:sz w:val="15"/>
                <w:szCs w:val="15"/>
                <w:color w:val="auto"/>
              </w:rPr>
              <w:t>ainsi que le mode de signature.</w:t>
            </w:r>
          </w:p>
        </w:tc>
        <w:tc>
          <w:tcPr>
            <w:tcW w:w="0" w:type="dxa"/>
            <w:vAlign w:val="bottom"/>
          </w:tcPr>
          <w:p>
            <w:pPr>
              <w:spacing w:after="0"/>
              <w:rPr>
                <w:sz w:val="1"/>
                <w:szCs w:val="1"/>
                <w:color w:val="auto"/>
              </w:rPr>
            </w:pPr>
          </w:p>
        </w:tc>
      </w:tr>
      <w:tr>
        <w:trPr>
          <w:trHeight w:val="715"/>
        </w:trPr>
        <w:tc>
          <w:tcPr>
            <w:tcW w:w="24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31" w:right="219" w:bottom="1440" w:gutter="0" w:footer="0" w:header="0"/>
        </w:sectPr>
      </w:pPr>
    </w:p>
    <w:bookmarkStart w:id="51" w:name="page52"/>
    <w:bookmarkEnd w:id="5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0" w:type="dxa"/>
            <w:vAlign w:val="bottom"/>
          </w:tcPr>
          <w:p>
            <w:pPr>
              <w:ind w:left="5380"/>
              <w:spacing w:after="0"/>
              <w:rPr>
                <w:sz w:val="20"/>
                <w:szCs w:val="20"/>
                <w:color w:val="auto"/>
              </w:rPr>
            </w:pPr>
            <w:r>
              <w:rPr>
                <w:rFonts w:ascii="Arial" w:cs="Arial" w:eastAsia="Arial" w:hAnsi="Arial"/>
                <w:sz w:val="15"/>
                <w:szCs w:val="15"/>
                <w:color w:val="auto"/>
              </w:rPr>
              <w:t>21</w:t>
            </w:r>
          </w:p>
        </w:tc>
      </w:tr>
      <w:tr>
        <w:trPr>
          <w:trHeight w:val="289"/>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r>
        <w:trPr>
          <w:trHeight w:val="211"/>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b w:val="1"/>
                <w:bCs w:val="1"/>
                <w:color w:val="auto"/>
              </w:rPr>
              <w:t>Art. 25  Delegation</w:t>
            </w:r>
          </w:p>
        </w:tc>
        <w:tc>
          <w:tcPr>
            <w:tcW w:w="2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b w:val="1"/>
                <w:bCs w:val="1"/>
                <w:color w:val="auto"/>
              </w:rPr>
              <w:t>Art. 25  Délégation</w:t>
            </w:r>
          </w:p>
        </w:tc>
      </w:tr>
      <w:tr>
        <w:trPr>
          <w:trHeight w:val="334"/>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Moreover, the Board of Directors is authorized to delegate, in part or entirely, the</w:t>
            </w:r>
          </w:p>
        </w:tc>
        <w:tc>
          <w:tcPr>
            <w:tcW w:w="22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En outre, le conseil d'administration peut, dans les limites de la loi, déléguer, en</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management and the representation of the Company, within the limits of the law,</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partie ou entièrement, la gestion et la représentation de la société à un ou</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to one or more individual directors (Delegates) or to third parties pursuant to</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plusieurs administrateurs (délégués) ou à des tiers conformément au règlement</w:t>
            </w:r>
          </w:p>
        </w:tc>
      </w:tr>
      <w:tr>
        <w:trPr>
          <w:trHeight w:val="185"/>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organizational regulations.</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d'organisation.</w:t>
            </w:r>
          </w:p>
        </w:tc>
      </w:tr>
      <w:tr>
        <w:trPr>
          <w:trHeight w:val="196"/>
        </w:trPr>
        <w:tc>
          <w:tcPr>
            <w:tcW w:w="5620" w:type="dxa"/>
            <w:vAlign w:val="bottom"/>
            <w:tcBorders>
              <w:left w:val="single" w:sz="8" w:color="auto"/>
              <w:bottom w:val="single" w:sz="8" w:color="auto"/>
              <w:right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600" w:type="dxa"/>
            <w:vAlign w:val="bottom"/>
            <w:tcBorders>
              <w:bottom w:val="single" w:sz="8" w:color="auto"/>
              <w:right w:val="single" w:sz="8" w:color="auto"/>
            </w:tcBorders>
          </w:tcPr>
          <w:p>
            <w:pPr>
              <w:spacing w:after="0"/>
              <w:rPr>
                <w:sz w:val="17"/>
                <w:szCs w:val="17"/>
                <w:color w:val="auto"/>
              </w:rPr>
            </w:pPr>
          </w:p>
        </w:tc>
      </w:tr>
      <w:tr>
        <w:trPr>
          <w:trHeight w:val="211"/>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b w:val="1"/>
                <w:bCs w:val="1"/>
                <w:color w:val="auto"/>
              </w:rPr>
              <w:t>Art. 26  Meetings, Resolutions and Minutes</w:t>
            </w:r>
          </w:p>
        </w:tc>
        <w:tc>
          <w:tcPr>
            <w:tcW w:w="2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b w:val="1"/>
                <w:bCs w:val="1"/>
                <w:color w:val="auto"/>
              </w:rPr>
              <w:t>Art. 26  Réunions, décisions et procès-verbal</w:t>
            </w:r>
          </w:p>
        </w:tc>
      </w:tr>
      <w:tr>
        <w:trPr>
          <w:trHeight w:val="334"/>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The organization of the meetings, the presence quorum and the passing of</w:t>
            </w:r>
          </w:p>
        </w:tc>
        <w:tc>
          <w:tcPr>
            <w:tcW w:w="22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L'organisation des réunions, le quorum de présence et l'adoption de décisions du</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resolutions  of  the  Board  of  Directors  is  determined  by  the  organizational</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conseil d'administration sont prévus dans le règlement d'organisation. Aucun</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regulations. No presence quorum is required for the approval of the capital</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quorum  de  présence  n'est  nécessaire  pour  l'approbation  d'un  rapport</w:t>
            </w:r>
          </w:p>
        </w:tc>
      </w:tr>
      <w:tr>
        <w:trPr>
          <w:trHeight w:val="185"/>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increase.</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d'augmentation de capital.</w:t>
            </w:r>
          </w:p>
        </w:tc>
      </w:tr>
      <w:tr>
        <w:trPr>
          <w:trHeight w:val="196"/>
        </w:trPr>
        <w:tc>
          <w:tcPr>
            <w:tcW w:w="5620" w:type="dxa"/>
            <w:vAlign w:val="bottom"/>
            <w:tcBorders>
              <w:left w:val="single" w:sz="8" w:color="auto"/>
              <w:bottom w:val="single" w:sz="8" w:color="auto"/>
              <w:right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600" w:type="dxa"/>
            <w:vAlign w:val="bottom"/>
            <w:tcBorders>
              <w:bottom w:val="single" w:sz="8" w:color="auto"/>
              <w:right w:val="single" w:sz="8" w:color="auto"/>
            </w:tcBorders>
          </w:tcPr>
          <w:p>
            <w:pPr>
              <w:spacing w:after="0"/>
              <w:rPr>
                <w:sz w:val="17"/>
                <w:szCs w:val="17"/>
                <w:color w:val="auto"/>
              </w:rPr>
            </w:pPr>
          </w:p>
        </w:tc>
      </w:tr>
      <w:tr>
        <w:trPr>
          <w:trHeight w:val="198"/>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Resolutions may be passed via telephone or videoconference. Resolutions may</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222222"/>
              </w:rPr>
              <w:t>Les décisions peuvent être prises par téléphone ou par vidéoconférence. Les</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also be passed by way of circulation, provided that no member requests oral</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222222"/>
              </w:rPr>
              <w:t>décisions peuvent également être prises par voie de circulation, à condition</w:t>
            </w:r>
          </w:p>
        </w:tc>
      </w:tr>
      <w:tr>
        <w:trPr>
          <w:trHeight w:val="185"/>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deliberation.</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222222"/>
              </w:rPr>
              <w:t>qu'aucun membre ne demande une délibération orale.</w:t>
            </w:r>
          </w:p>
        </w:tc>
      </w:tr>
      <w:tr>
        <w:trPr>
          <w:trHeight w:val="23"/>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198"/>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Minutes are kept of the board's discussions and resolutions and signed by the</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Les délibérations et les décisions du conseil d'administration sont consignées</w:t>
            </w:r>
          </w:p>
        </w:tc>
      </w:tr>
      <w:tr>
        <w:trPr>
          <w:trHeight w:val="185"/>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chairman and the minute-taker.</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dans un procès-verbal signé par le président et le rédacteur du procès-verbal.</w:t>
            </w:r>
          </w:p>
        </w:tc>
      </w:tr>
      <w:tr>
        <w:trPr>
          <w:trHeight w:val="23"/>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11"/>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b w:val="1"/>
                <w:bCs w:val="1"/>
                <w:color w:val="auto"/>
              </w:rPr>
              <w:t>Art. 27  Right to information and inspection</w:t>
            </w:r>
          </w:p>
        </w:tc>
        <w:tc>
          <w:tcPr>
            <w:tcW w:w="2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b w:val="1"/>
                <w:bCs w:val="1"/>
                <w:color w:val="auto"/>
              </w:rPr>
              <w:t>Art. 27  Droit aux renseignements et à la consultation</w:t>
            </w:r>
          </w:p>
        </w:tc>
      </w:tr>
      <w:tr>
        <w:trPr>
          <w:trHeight w:val="334"/>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Any member of the board of directors may request information on any company</w:t>
            </w:r>
          </w:p>
        </w:tc>
        <w:tc>
          <w:tcPr>
            <w:tcW w:w="22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Chaque membre du conseil d'administration a le droit d'obtenir des</w:t>
            </w:r>
          </w:p>
        </w:tc>
      </w:tr>
      <w:tr>
        <w:trPr>
          <w:trHeight w:val="185"/>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business.</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renseignements sur toutes les affaires de la société.</w:t>
            </w:r>
          </w:p>
        </w:tc>
      </w:tr>
      <w:tr>
        <w:trPr>
          <w:trHeight w:val="196"/>
        </w:trPr>
        <w:tc>
          <w:tcPr>
            <w:tcW w:w="5620" w:type="dxa"/>
            <w:vAlign w:val="bottom"/>
            <w:tcBorders>
              <w:left w:val="single" w:sz="8" w:color="auto"/>
              <w:bottom w:val="single" w:sz="8" w:color="auto"/>
              <w:right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600" w:type="dxa"/>
            <w:vAlign w:val="bottom"/>
            <w:tcBorders>
              <w:bottom w:val="single" w:sz="8" w:color="auto"/>
              <w:right w:val="single" w:sz="8" w:color="auto"/>
            </w:tcBorders>
          </w:tcPr>
          <w:p>
            <w:pPr>
              <w:spacing w:after="0"/>
              <w:rPr>
                <w:sz w:val="17"/>
                <w:szCs w:val="17"/>
                <w:color w:val="auto"/>
              </w:rPr>
            </w:pPr>
          </w:p>
        </w:tc>
      </w:tr>
      <w:tr>
        <w:trPr>
          <w:trHeight w:val="198"/>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Outside meetings, any member may request information from the persons</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En dehors des séances, chaque membre du conseil d'administration peut exiger</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entrusted with managing the company's business concerning the company's</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des personnes chargées de la gestion des renseignements sur la marche de</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business  performance  and,  with  the  chairman's  authorisation,  specific</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l'entreprise et, avec l'autorisation du président, sur des affaires déterminées.</w:t>
            </w:r>
          </w:p>
        </w:tc>
      </w:tr>
      <w:tr>
        <w:trPr>
          <w:trHeight w:val="185"/>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transactions.</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spacing w:after="0"/>
              <w:rPr>
                <w:sz w:val="16"/>
                <w:szCs w:val="16"/>
                <w:color w:val="auto"/>
              </w:rPr>
            </w:pPr>
          </w:p>
        </w:tc>
      </w:tr>
      <w:tr>
        <w:trPr>
          <w:trHeight w:val="23"/>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198"/>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Where required for the performance of his duties, any member may request the</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Dans la mesure où cela est nécessaire à l'accomplissement de ses tâches,</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chairman to have books of account and documents made available to him for</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chaque membre du conseil d'administration peut demander au président la</w:t>
            </w:r>
          </w:p>
        </w:tc>
      </w:tr>
      <w:tr>
        <w:trPr>
          <w:trHeight w:val="185"/>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inspection.</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production des livres ou des dossiers.</w:t>
            </w:r>
          </w:p>
        </w:tc>
      </w:tr>
      <w:tr>
        <w:trPr>
          <w:trHeight w:val="23"/>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499"/>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231" w:right="219" w:bottom="1440"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300" w:type="dxa"/>
            <w:vAlign w:val="bottom"/>
          </w:tcPr>
          <w:p>
            <w:pPr>
              <w:jc w:val="right"/>
              <w:spacing w:after="0"/>
              <w:rPr>
                <w:sz w:val="20"/>
                <w:szCs w:val="20"/>
                <w:color w:val="auto"/>
              </w:rPr>
            </w:pPr>
            <w:r>
              <w:rPr>
                <w:rFonts w:ascii="Arial" w:cs="Arial" w:eastAsia="Arial" w:hAnsi="Arial"/>
                <w:sz w:val="15"/>
                <w:szCs w:val="15"/>
                <w:color w:val="auto"/>
              </w:rPr>
              <w:t>22</w:t>
            </w:r>
          </w:p>
        </w:tc>
      </w:tr>
      <w:tr>
        <w:trPr>
          <w:trHeight w:val="289"/>
        </w:trPr>
        <w:tc>
          <w:tcPr>
            <w:tcW w:w="5720" w:type="dxa"/>
            <w:vAlign w:val="bottom"/>
            <w:tcBorders>
              <w:bottom w:val="single" w:sz="8" w:color="auto"/>
            </w:tcBorders>
            <w:gridSpan w:val="2"/>
          </w:tcPr>
          <w:p>
            <w:pPr>
              <w:spacing w:after="0"/>
              <w:rPr>
                <w:sz w:val="24"/>
                <w:szCs w:val="24"/>
                <w:color w:val="auto"/>
              </w:rPr>
            </w:pPr>
          </w:p>
        </w:tc>
        <w:tc>
          <w:tcPr>
            <w:tcW w:w="5720" w:type="dxa"/>
            <w:vAlign w:val="bottom"/>
            <w:tcBorders>
              <w:bottom w:val="single" w:sz="8" w:color="auto"/>
            </w:tcBorders>
            <w:gridSpan w:val="2"/>
          </w:tcPr>
          <w:p>
            <w:pPr>
              <w:spacing w:after="0"/>
              <w:rPr>
                <w:sz w:val="24"/>
                <w:szCs w:val="24"/>
                <w:color w:val="auto"/>
              </w:rPr>
            </w:pPr>
          </w:p>
        </w:tc>
      </w:tr>
      <w:tr>
        <w:trPr>
          <w:trHeight w:val="198"/>
        </w:trPr>
        <w:tc>
          <w:tcPr>
            <w:tcW w:w="5720" w:type="dxa"/>
            <w:vAlign w:val="bottom"/>
            <w:gridSpan w:val="2"/>
          </w:tcPr>
          <w:p>
            <w:pPr>
              <w:ind w:left="40"/>
              <w:spacing w:after="0"/>
              <w:rPr>
                <w:sz w:val="20"/>
                <w:szCs w:val="20"/>
                <w:color w:val="auto"/>
              </w:rPr>
            </w:pPr>
            <w:r>
              <w:rPr>
                <w:rFonts w:ascii="Arial" w:cs="Arial" w:eastAsia="Arial" w:hAnsi="Arial"/>
                <w:sz w:val="15"/>
                <w:szCs w:val="15"/>
                <w:color w:val="auto"/>
              </w:rPr>
              <w:t>If the chairman refuses a request for information, a request to be heard or an</w:t>
            </w:r>
          </w:p>
        </w:tc>
        <w:tc>
          <w:tcPr>
            <w:tcW w:w="5720" w:type="dxa"/>
            <w:vAlign w:val="bottom"/>
            <w:gridSpan w:val="2"/>
          </w:tcPr>
          <w:p>
            <w:pPr>
              <w:ind w:left="160"/>
              <w:spacing w:after="0"/>
              <w:rPr>
                <w:sz w:val="20"/>
                <w:szCs w:val="20"/>
                <w:color w:val="auto"/>
              </w:rPr>
            </w:pPr>
            <w:r>
              <w:rPr>
                <w:rFonts w:ascii="Arial" w:cs="Arial" w:eastAsia="Arial" w:hAnsi="Arial"/>
                <w:sz w:val="15"/>
                <w:szCs w:val="15"/>
                <w:color w:val="auto"/>
              </w:rPr>
              <w:t>Si  le  président  rejette  une  demande  de  renseignement,  d'audition  ou  de</w:t>
            </w:r>
          </w:p>
        </w:tc>
      </w:tr>
      <w:tr>
        <w:trPr>
          <w:trHeight w:val="185"/>
        </w:trPr>
        <w:tc>
          <w:tcPr>
            <w:tcW w:w="5720" w:type="dxa"/>
            <w:vAlign w:val="bottom"/>
            <w:gridSpan w:val="2"/>
          </w:tcPr>
          <w:p>
            <w:pPr>
              <w:ind w:left="40"/>
              <w:spacing w:after="0"/>
              <w:rPr>
                <w:sz w:val="20"/>
                <w:szCs w:val="20"/>
                <w:color w:val="auto"/>
              </w:rPr>
            </w:pPr>
            <w:r>
              <w:rPr>
                <w:rFonts w:ascii="Arial" w:cs="Arial" w:eastAsia="Arial" w:hAnsi="Arial"/>
                <w:sz w:val="15"/>
                <w:szCs w:val="15"/>
                <w:color w:val="auto"/>
              </w:rPr>
              <w:t>application to inspect documents, the board of directors rules on the matter.</w:t>
            </w:r>
          </w:p>
        </w:tc>
        <w:tc>
          <w:tcPr>
            <w:tcW w:w="5720" w:type="dxa"/>
            <w:vAlign w:val="bottom"/>
            <w:gridSpan w:val="2"/>
          </w:tcPr>
          <w:p>
            <w:pPr>
              <w:ind w:left="160"/>
              <w:spacing w:after="0"/>
              <w:rPr>
                <w:sz w:val="20"/>
                <w:szCs w:val="20"/>
                <w:color w:val="auto"/>
              </w:rPr>
            </w:pPr>
            <w:r>
              <w:rPr>
                <w:rFonts w:ascii="Arial" w:cs="Arial" w:eastAsia="Arial" w:hAnsi="Arial"/>
                <w:sz w:val="15"/>
                <w:szCs w:val="15"/>
                <w:color w:val="auto"/>
              </w:rPr>
              <w:t>consultation, le conseil d'administration tranche.</w:t>
            </w:r>
          </w:p>
        </w:tc>
      </w:tr>
      <w:tr>
        <w:trPr>
          <w:trHeight w:val="23"/>
        </w:trPr>
        <w:tc>
          <w:tcPr>
            <w:tcW w:w="5720" w:type="dxa"/>
            <w:vAlign w:val="bottom"/>
            <w:tcBorders>
              <w:bottom w:val="single" w:sz="8" w:color="auto"/>
            </w:tcBorders>
            <w:gridSpan w:val="2"/>
          </w:tcPr>
          <w:p>
            <w:pPr>
              <w:spacing w:after="0"/>
              <w:rPr>
                <w:sz w:val="2"/>
                <w:szCs w:val="2"/>
                <w:color w:val="auto"/>
              </w:rPr>
            </w:pPr>
          </w:p>
        </w:tc>
        <w:tc>
          <w:tcPr>
            <w:tcW w:w="5720" w:type="dxa"/>
            <w:vAlign w:val="bottom"/>
            <w:tcBorders>
              <w:bottom w:val="single" w:sz="8" w:color="auto"/>
            </w:tcBorders>
            <w:gridSpan w:val="2"/>
          </w:tcPr>
          <w:p>
            <w:pPr>
              <w:spacing w:after="0"/>
              <w:rPr>
                <w:sz w:val="2"/>
                <w:szCs w:val="2"/>
                <w:color w:val="auto"/>
              </w:rPr>
            </w:pPr>
          </w:p>
        </w:tc>
      </w:tr>
      <w:tr>
        <w:trPr>
          <w:trHeight w:val="211"/>
        </w:trPr>
        <w:tc>
          <w:tcPr>
            <w:tcW w:w="5720" w:type="dxa"/>
            <w:vAlign w:val="bottom"/>
            <w:gridSpan w:val="2"/>
          </w:tcPr>
          <w:p>
            <w:pPr>
              <w:ind w:left="40"/>
              <w:spacing w:after="0"/>
              <w:rPr>
                <w:sz w:val="20"/>
                <w:szCs w:val="20"/>
                <w:color w:val="auto"/>
              </w:rPr>
            </w:pPr>
            <w:r>
              <w:rPr>
                <w:rFonts w:ascii="Arial" w:cs="Arial" w:eastAsia="Arial" w:hAnsi="Arial"/>
                <w:sz w:val="15"/>
                <w:szCs w:val="15"/>
                <w:b w:val="1"/>
                <w:bCs w:val="1"/>
                <w:color w:val="auto"/>
              </w:rPr>
              <w:t>Art. 28  Compensation Committee</w:t>
            </w:r>
          </w:p>
        </w:tc>
        <w:tc>
          <w:tcPr>
            <w:tcW w:w="5720" w:type="dxa"/>
            <w:vAlign w:val="bottom"/>
            <w:gridSpan w:val="2"/>
          </w:tcPr>
          <w:p>
            <w:pPr>
              <w:ind w:left="160"/>
              <w:spacing w:after="0"/>
              <w:rPr>
                <w:sz w:val="20"/>
                <w:szCs w:val="20"/>
                <w:color w:val="auto"/>
              </w:rPr>
            </w:pPr>
            <w:r>
              <w:rPr>
                <w:rFonts w:ascii="Arial" w:cs="Arial" w:eastAsia="Arial" w:hAnsi="Arial"/>
                <w:sz w:val="15"/>
                <w:szCs w:val="15"/>
                <w:b w:val="1"/>
                <w:bCs w:val="1"/>
                <w:color w:val="auto"/>
              </w:rPr>
              <w:t>Art. 28  Comité de rémunération</w:t>
            </w:r>
          </w:p>
        </w:tc>
      </w:tr>
      <w:tr>
        <w:trPr>
          <w:trHeight w:val="334"/>
        </w:trPr>
        <w:tc>
          <w:tcPr>
            <w:tcW w:w="5720" w:type="dxa"/>
            <w:vAlign w:val="bottom"/>
            <w:gridSpan w:val="2"/>
          </w:tcPr>
          <w:p>
            <w:pPr>
              <w:ind w:left="40"/>
              <w:spacing w:after="0"/>
              <w:rPr>
                <w:sz w:val="20"/>
                <w:szCs w:val="20"/>
                <w:color w:val="auto"/>
              </w:rPr>
            </w:pPr>
            <w:r>
              <w:rPr>
                <w:rFonts w:ascii="Arial" w:cs="Arial" w:eastAsia="Arial" w:hAnsi="Arial"/>
                <w:sz w:val="15"/>
                <w:szCs w:val="15"/>
                <w:color w:val="auto"/>
              </w:rPr>
              <w:t>The Compensation Committee shall comprise at least 2 members. The members</w:t>
            </w:r>
          </w:p>
        </w:tc>
        <w:tc>
          <w:tcPr>
            <w:tcW w:w="5720" w:type="dxa"/>
            <w:vAlign w:val="bottom"/>
            <w:gridSpan w:val="2"/>
          </w:tcPr>
          <w:p>
            <w:pPr>
              <w:ind w:left="160"/>
              <w:spacing w:after="0"/>
              <w:rPr>
                <w:sz w:val="20"/>
                <w:szCs w:val="20"/>
                <w:color w:val="auto"/>
              </w:rPr>
            </w:pPr>
            <w:r>
              <w:rPr>
                <w:rFonts w:ascii="Arial" w:cs="Arial" w:eastAsia="Arial" w:hAnsi="Arial"/>
                <w:sz w:val="15"/>
                <w:szCs w:val="15"/>
                <w:color w:val="auto"/>
              </w:rPr>
              <w:t>Le comité de rémunération se compose d'au moins 2 membres. Les membres</w:t>
            </w:r>
          </w:p>
        </w:tc>
      </w:tr>
      <w:tr>
        <w:trPr>
          <w:trHeight w:val="173"/>
        </w:trPr>
        <w:tc>
          <w:tcPr>
            <w:tcW w:w="5720" w:type="dxa"/>
            <w:vAlign w:val="bottom"/>
            <w:gridSpan w:val="2"/>
          </w:tcPr>
          <w:p>
            <w:pPr>
              <w:ind w:left="40"/>
              <w:spacing w:after="0"/>
              <w:rPr>
                <w:sz w:val="20"/>
                <w:szCs w:val="20"/>
                <w:color w:val="auto"/>
              </w:rPr>
            </w:pPr>
            <w:r>
              <w:rPr>
                <w:rFonts w:ascii="Arial" w:cs="Arial" w:eastAsia="Arial" w:hAnsi="Arial"/>
                <w:sz w:val="15"/>
                <w:szCs w:val="15"/>
                <w:color w:val="auto"/>
              </w:rPr>
              <w:t>of the Compensation Committee shall be individually elected by the Ordinary</w:t>
            </w:r>
          </w:p>
        </w:tc>
        <w:tc>
          <w:tcPr>
            <w:tcW w:w="5720" w:type="dxa"/>
            <w:vAlign w:val="bottom"/>
            <w:gridSpan w:val="2"/>
          </w:tcPr>
          <w:p>
            <w:pPr>
              <w:ind w:left="160"/>
              <w:spacing w:after="0"/>
              <w:rPr>
                <w:sz w:val="20"/>
                <w:szCs w:val="20"/>
                <w:color w:val="auto"/>
              </w:rPr>
            </w:pPr>
            <w:r>
              <w:rPr>
                <w:rFonts w:ascii="Arial" w:cs="Arial" w:eastAsia="Arial" w:hAnsi="Arial"/>
                <w:sz w:val="15"/>
                <w:szCs w:val="15"/>
                <w:color w:val="auto"/>
              </w:rPr>
              <w:t>du comité de rémunération sont élus par l'assemblée générale ordinaire parmi</w:t>
            </w:r>
          </w:p>
        </w:tc>
      </w:tr>
      <w:tr>
        <w:trPr>
          <w:trHeight w:val="173"/>
        </w:trPr>
        <w:tc>
          <w:tcPr>
            <w:tcW w:w="5720" w:type="dxa"/>
            <w:vAlign w:val="bottom"/>
            <w:gridSpan w:val="2"/>
          </w:tcPr>
          <w:p>
            <w:pPr>
              <w:ind w:left="40"/>
              <w:spacing w:after="0"/>
              <w:rPr>
                <w:sz w:val="20"/>
                <w:szCs w:val="20"/>
                <w:color w:val="auto"/>
              </w:rPr>
            </w:pPr>
            <w:r>
              <w:rPr>
                <w:rFonts w:ascii="Arial" w:cs="Arial" w:eastAsia="Arial" w:hAnsi="Arial"/>
                <w:sz w:val="15"/>
                <w:szCs w:val="15"/>
                <w:color w:val="auto"/>
              </w:rPr>
              <w:t>General Meeting from among the members of the Board of Directors for a term of</w:t>
            </w:r>
          </w:p>
        </w:tc>
        <w:tc>
          <w:tcPr>
            <w:tcW w:w="5720" w:type="dxa"/>
            <w:vAlign w:val="bottom"/>
            <w:gridSpan w:val="2"/>
          </w:tcPr>
          <w:p>
            <w:pPr>
              <w:ind w:left="160"/>
              <w:spacing w:after="0"/>
              <w:rPr>
                <w:sz w:val="20"/>
                <w:szCs w:val="20"/>
                <w:color w:val="auto"/>
              </w:rPr>
            </w:pPr>
            <w:r>
              <w:rPr>
                <w:rFonts w:ascii="Arial" w:cs="Arial" w:eastAsia="Arial" w:hAnsi="Arial"/>
                <w:sz w:val="15"/>
                <w:szCs w:val="15"/>
                <w:color w:val="auto"/>
              </w:rPr>
              <w:t>les membres du conseil d'administration pour un mandat d'un an jusqu'à la</w:t>
            </w:r>
          </w:p>
        </w:tc>
      </w:tr>
      <w:tr>
        <w:trPr>
          <w:trHeight w:val="173"/>
        </w:trPr>
        <w:tc>
          <w:tcPr>
            <w:tcW w:w="5720" w:type="dxa"/>
            <w:vAlign w:val="bottom"/>
            <w:gridSpan w:val="2"/>
          </w:tcPr>
          <w:p>
            <w:pPr>
              <w:ind w:left="40"/>
              <w:spacing w:after="0"/>
              <w:rPr>
                <w:sz w:val="20"/>
                <w:szCs w:val="20"/>
                <w:color w:val="auto"/>
              </w:rPr>
            </w:pPr>
            <w:r>
              <w:rPr>
                <w:rFonts w:ascii="Arial" w:cs="Arial" w:eastAsia="Arial" w:hAnsi="Arial"/>
                <w:sz w:val="15"/>
                <w:szCs w:val="15"/>
                <w:color w:val="auto"/>
              </w:rPr>
              <w:t>one year until the next Ordinary General Meeting. Re-election is permitted. The</w:t>
            </w:r>
          </w:p>
        </w:tc>
        <w:tc>
          <w:tcPr>
            <w:tcW w:w="5720" w:type="dxa"/>
            <w:vAlign w:val="bottom"/>
            <w:gridSpan w:val="2"/>
          </w:tcPr>
          <w:p>
            <w:pPr>
              <w:ind w:left="160"/>
              <w:spacing w:after="0"/>
              <w:rPr>
                <w:sz w:val="20"/>
                <w:szCs w:val="20"/>
                <w:color w:val="auto"/>
              </w:rPr>
            </w:pPr>
            <w:r>
              <w:rPr>
                <w:rFonts w:ascii="Arial" w:cs="Arial" w:eastAsia="Arial" w:hAnsi="Arial"/>
                <w:sz w:val="15"/>
                <w:szCs w:val="15"/>
                <w:color w:val="auto"/>
              </w:rPr>
              <w:t>prochaine assemblée générale ordinaire. Une réélection est possible. Le comité</w:t>
            </w:r>
          </w:p>
        </w:tc>
      </w:tr>
      <w:tr>
        <w:trPr>
          <w:trHeight w:val="185"/>
        </w:trPr>
        <w:tc>
          <w:tcPr>
            <w:tcW w:w="5720" w:type="dxa"/>
            <w:vAlign w:val="bottom"/>
            <w:gridSpan w:val="2"/>
          </w:tcPr>
          <w:p>
            <w:pPr>
              <w:ind w:left="40"/>
              <w:spacing w:after="0"/>
              <w:rPr>
                <w:sz w:val="20"/>
                <w:szCs w:val="20"/>
                <w:color w:val="auto"/>
              </w:rPr>
            </w:pPr>
            <w:r>
              <w:rPr>
                <w:rFonts w:ascii="Arial" w:cs="Arial" w:eastAsia="Arial" w:hAnsi="Arial"/>
                <w:sz w:val="15"/>
                <w:szCs w:val="15"/>
                <w:color w:val="auto"/>
              </w:rPr>
              <w:t>Compensation Committee has the following duties:</w:t>
            </w:r>
          </w:p>
        </w:tc>
        <w:tc>
          <w:tcPr>
            <w:tcW w:w="5720" w:type="dxa"/>
            <w:vAlign w:val="bottom"/>
            <w:gridSpan w:val="2"/>
          </w:tcPr>
          <w:p>
            <w:pPr>
              <w:ind w:left="160"/>
              <w:spacing w:after="0"/>
              <w:rPr>
                <w:sz w:val="20"/>
                <w:szCs w:val="20"/>
                <w:color w:val="auto"/>
              </w:rPr>
            </w:pPr>
            <w:r>
              <w:rPr>
                <w:rFonts w:ascii="Arial" w:cs="Arial" w:eastAsia="Arial" w:hAnsi="Arial"/>
                <w:sz w:val="15"/>
                <w:szCs w:val="15"/>
                <w:color w:val="auto"/>
              </w:rPr>
              <w:t>de rémunération a les fonctions suivantes:</w:t>
            </w:r>
          </w:p>
        </w:tc>
      </w:tr>
      <w:tr>
        <w:trPr>
          <w:trHeight w:val="334"/>
        </w:trPr>
        <w:tc>
          <w:tcPr>
            <w:tcW w:w="280" w:type="dxa"/>
            <w:vAlign w:val="bottom"/>
          </w:tcPr>
          <w:p>
            <w:pPr>
              <w:ind w:left="40"/>
              <w:spacing w:after="0"/>
              <w:rPr>
                <w:sz w:val="20"/>
                <w:szCs w:val="20"/>
                <w:color w:val="auto"/>
              </w:rPr>
            </w:pPr>
            <w:r>
              <w:rPr>
                <w:rFonts w:ascii="Arial" w:cs="Arial" w:eastAsia="Arial" w:hAnsi="Arial"/>
                <w:sz w:val="15"/>
                <w:szCs w:val="15"/>
                <w:color w:val="auto"/>
              </w:rPr>
              <w:t>a)</w:t>
            </w:r>
          </w:p>
        </w:tc>
        <w:tc>
          <w:tcPr>
            <w:tcW w:w="5440" w:type="dxa"/>
            <w:vAlign w:val="bottom"/>
          </w:tcPr>
          <w:p>
            <w:pPr>
              <w:ind w:left="300"/>
              <w:spacing w:after="0"/>
              <w:rPr>
                <w:sz w:val="20"/>
                <w:szCs w:val="20"/>
                <w:color w:val="auto"/>
              </w:rPr>
            </w:pPr>
            <w:r>
              <w:rPr>
                <w:rFonts w:ascii="Arial" w:cs="Arial" w:eastAsia="Arial" w:hAnsi="Arial"/>
                <w:sz w:val="15"/>
                <w:szCs w:val="15"/>
                <w:color w:val="auto"/>
              </w:rPr>
              <w:t>to draw up principles for compensation of members of the Board of</w:t>
            </w:r>
          </w:p>
        </w:tc>
        <w:tc>
          <w:tcPr>
            <w:tcW w:w="420" w:type="dxa"/>
            <w:vAlign w:val="bottom"/>
          </w:tcPr>
          <w:p>
            <w:pPr>
              <w:ind w:left="160"/>
              <w:spacing w:after="0"/>
              <w:rPr>
                <w:sz w:val="20"/>
                <w:szCs w:val="20"/>
                <w:color w:val="auto"/>
              </w:rPr>
            </w:pPr>
            <w:r>
              <w:rPr>
                <w:rFonts w:ascii="Arial" w:cs="Arial" w:eastAsia="Arial" w:hAnsi="Arial"/>
                <w:sz w:val="15"/>
                <w:szCs w:val="15"/>
                <w:color w:val="auto"/>
              </w:rPr>
              <w:t>a)</w:t>
            </w:r>
          </w:p>
        </w:tc>
        <w:tc>
          <w:tcPr>
            <w:tcW w:w="5300" w:type="dxa"/>
            <w:vAlign w:val="bottom"/>
          </w:tcPr>
          <w:p>
            <w:pPr>
              <w:jc w:val="right"/>
              <w:spacing w:after="0"/>
              <w:rPr>
                <w:sz w:val="20"/>
                <w:szCs w:val="20"/>
                <w:color w:val="auto"/>
              </w:rPr>
            </w:pPr>
            <w:r>
              <w:rPr>
                <w:rFonts w:ascii="Arial" w:cs="Arial" w:eastAsia="Arial" w:hAnsi="Arial"/>
                <w:sz w:val="15"/>
                <w:szCs w:val="15"/>
                <w:color w:val="auto"/>
              </w:rPr>
              <w:t>élaborer  des  principes  de  rémunération  des  membres  du  conseil</w:t>
            </w:r>
          </w:p>
        </w:tc>
      </w:tr>
      <w:tr>
        <w:trPr>
          <w:trHeight w:val="173"/>
        </w:trPr>
        <w:tc>
          <w:tcPr>
            <w:tcW w:w="280" w:type="dxa"/>
            <w:vAlign w:val="bottom"/>
          </w:tcPr>
          <w:p>
            <w:pPr>
              <w:spacing w:after="0"/>
              <w:rPr>
                <w:sz w:val="15"/>
                <w:szCs w:val="15"/>
                <w:color w:val="auto"/>
              </w:rPr>
            </w:pPr>
          </w:p>
        </w:tc>
        <w:tc>
          <w:tcPr>
            <w:tcW w:w="5440" w:type="dxa"/>
            <w:vAlign w:val="bottom"/>
          </w:tcPr>
          <w:p>
            <w:pPr>
              <w:ind w:left="80"/>
              <w:spacing w:after="0"/>
              <w:rPr>
                <w:sz w:val="20"/>
                <w:szCs w:val="20"/>
                <w:color w:val="auto"/>
              </w:rPr>
            </w:pPr>
            <w:r>
              <w:rPr>
                <w:rFonts w:ascii="Arial" w:cs="Arial" w:eastAsia="Arial" w:hAnsi="Arial"/>
                <w:sz w:val="15"/>
                <w:szCs w:val="15"/>
                <w:color w:val="auto"/>
              </w:rPr>
              <w:t>Directors and the Executive Committee and to submit them to the Board of</w:t>
            </w:r>
          </w:p>
        </w:tc>
        <w:tc>
          <w:tcPr>
            <w:tcW w:w="420" w:type="dxa"/>
            <w:vAlign w:val="bottom"/>
          </w:tcPr>
          <w:p>
            <w:pPr>
              <w:spacing w:after="0"/>
              <w:rPr>
                <w:sz w:val="15"/>
                <w:szCs w:val="15"/>
                <w:color w:val="auto"/>
              </w:rPr>
            </w:pPr>
          </w:p>
        </w:tc>
        <w:tc>
          <w:tcPr>
            <w:tcW w:w="5300" w:type="dxa"/>
            <w:vAlign w:val="bottom"/>
          </w:tcPr>
          <w:p>
            <w:pPr>
              <w:ind w:left="120"/>
              <w:spacing w:after="0"/>
              <w:rPr>
                <w:sz w:val="20"/>
                <w:szCs w:val="20"/>
                <w:color w:val="auto"/>
              </w:rPr>
            </w:pPr>
            <w:r>
              <w:rPr>
                <w:rFonts w:ascii="Arial" w:cs="Arial" w:eastAsia="Arial" w:hAnsi="Arial"/>
                <w:sz w:val="15"/>
                <w:szCs w:val="15"/>
                <w:color w:val="auto"/>
              </w:rPr>
              <w:t>d'administration et du comité exécutif et de les soumettre au conseil</w:t>
            </w:r>
          </w:p>
        </w:tc>
      </w:tr>
      <w:tr>
        <w:trPr>
          <w:trHeight w:val="185"/>
        </w:trPr>
        <w:tc>
          <w:tcPr>
            <w:tcW w:w="280" w:type="dxa"/>
            <w:vAlign w:val="bottom"/>
          </w:tcPr>
          <w:p>
            <w:pPr>
              <w:spacing w:after="0"/>
              <w:rPr>
                <w:sz w:val="16"/>
                <w:szCs w:val="16"/>
                <w:color w:val="auto"/>
              </w:rPr>
            </w:pPr>
          </w:p>
        </w:tc>
        <w:tc>
          <w:tcPr>
            <w:tcW w:w="5440" w:type="dxa"/>
            <w:vAlign w:val="bottom"/>
          </w:tcPr>
          <w:p>
            <w:pPr>
              <w:ind w:left="80"/>
              <w:spacing w:after="0"/>
              <w:rPr>
                <w:sz w:val="20"/>
                <w:szCs w:val="20"/>
                <w:color w:val="auto"/>
              </w:rPr>
            </w:pPr>
            <w:r>
              <w:rPr>
                <w:rFonts w:ascii="Arial" w:cs="Arial" w:eastAsia="Arial" w:hAnsi="Arial"/>
                <w:sz w:val="15"/>
                <w:szCs w:val="15"/>
                <w:color w:val="auto"/>
              </w:rPr>
              <w:t>Directors for approval;</w:t>
            </w:r>
          </w:p>
        </w:tc>
        <w:tc>
          <w:tcPr>
            <w:tcW w:w="420" w:type="dxa"/>
            <w:vAlign w:val="bottom"/>
          </w:tcPr>
          <w:p>
            <w:pPr>
              <w:spacing w:after="0"/>
              <w:rPr>
                <w:sz w:val="16"/>
                <w:szCs w:val="16"/>
                <w:color w:val="auto"/>
              </w:rPr>
            </w:pPr>
          </w:p>
        </w:tc>
        <w:tc>
          <w:tcPr>
            <w:tcW w:w="5300" w:type="dxa"/>
            <w:vAlign w:val="bottom"/>
          </w:tcPr>
          <w:p>
            <w:pPr>
              <w:ind w:left="120"/>
              <w:spacing w:after="0"/>
              <w:rPr>
                <w:sz w:val="20"/>
                <w:szCs w:val="20"/>
                <w:color w:val="auto"/>
              </w:rPr>
            </w:pPr>
            <w:r>
              <w:rPr>
                <w:rFonts w:ascii="Arial" w:cs="Arial" w:eastAsia="Arial" w:hAnsi="Arial"/>
                <w:sz w:val="15"/>
                <w:szCs w:val="15"/>
                <w:color w:val="auto"/>
              </w:rPr>
              <w:t>d'administration pour approbation;</w:t>
            </w:r>
          </w:p>
        </w:tc>
      </w:tr>
      <w:tr>
        <w:trPr>
          <w:trHeight w:val="334"/>
        </w:trPr>
        <w:tc>
          <w:tcPr>
            <w:tcW w:w="280" w:type="dxa"/>
            <w:vAlign w:val="bottom"/>
          </w:tcPr>
          <w:p>
            <w:pPr>
              <w:ind w:left="40"/>
              <w:spacing w:after="0"/>
              <w:rPr>
                <w:sz w:val="20"/>
                <w:szCs w:val="20"/>
                <w:color w:val="auto"/>
              </w:rPr>
            </w:pPr>
            <w:r>
              <w:rPr>
                <w:rFonts w:ascii="Arial" w:cs="Arial" w:eastAsia="Arial" w:hAnsi="Arial"/>
                <w:sz w:val="15"/>
                <w:szCs w:val="15"/>
                <w:color w:val="auto"/>
              </w:rPr>
              <w:t>b)</w:t>
            </w:r>
          </w:p>
        </w:tc>
        <w:tc>
          <w:tcPr>
            <w:tcW w:w="5440" w:type="dxa"/>
            <w:vAlign w:val="bottom"/>
          </w:tcPr>
          <w:p>
            <w:pPr>
              <w:ind w:left="180"/>
              <w:spacing w:after="0"/>
              <w:rPr>
                <w:sz w:val="20"/>
                <w:szCs w:val="20"/>
                <w:color w:val="auto"/>
              </w:rPr>
            </w:pPr>
            <w:r>
              <w:rPr>
                <w:rFonts w:ascii="Arial" w:cs="Arial" w:eastAsia="Arial" w:hAnsi="Arial"/>
                <w:sz w:val="15"/>
                <w:szCs w:val="15"/>
                <w:color w:val="auto"/>
              </w:rPr>
              <w:t>to propose to the Board of Directors the resolution to be submitted to the</w:t>
            </w:r>
          </w:p>
        </w:tc>
        <w:tc>
          <w:tcPr>
            <w:tcW w:w="5720" w:type="dxa"/>
            <w:vAlign w:val="bottom"/>
            <w:gridSpan w:val="2"/>
          </w:tcPr>
          <w:p>
            <w:pPr>
              <w:ind w:left="160"/>
              <w:spacing w:after="0"/>
              <w:rPr>
                <w:sz w:val="20"/>
                <w:szCs w:val="20"/>
                <w:color w:val="auto"/>
              </w:rPr>
            </w:pPr>
            <w:r>
              <w:rPr>
                <w:rFonts w:ascii="Arial" w:cs="Arial" w:eastAsia="Arial" w:hAnsi="Arial"/>
                <w:sz w:val="15"/>
                <w:szCs w:val="15"/>
                <w:color w:val="auto"/>
              </w:rPr>
              <w:t>b)   proposer au conseil d'administration la décision sera soumise à l'assemblée</w:t>
            </w:r>
          </w:p>
        </w:tc>
      </w:tr>
      <w:tr>
        <w:trPr>
          <w:trHeight w:val="173"/>
        </w:trPr>
        <w:tc>
          <w:tcPr>
            <w:tcW w:w="280" w:type="dxa"/>
            <w:vAlign w:val="bottom"/>
          </w:tcPr>
          <w:p>
            <w:pPr>
              <w:spacing w:after="0"/>
              <w:rPr>
                <w:sz w:val="15"/>
                <w:szCs w:val="15"/>
                <w:color w:val="auto"/>
              </w:rPr>
            </w:pPr>
          </w:p>
        </w:tc>
        <w:tc>
          <w:tcPr>
            <w:tcW w:w="5440" w:type="dxa"/>
            <w:vAlign w:val="bottom"/>
          </w:tcPr>
          <w:p>
            <w:pPr>
              <w:ind w:left="80"/>
              <w:spacing w:after="0"/>
              <w:rPr>
                <w:sz w:val="20"/>
                <w:szCs w:val="20"/>
                <w:color w:val="auto"/>
              </w:rPr>
            </w:pPr>
            <w:r>
              <w:rPr>
                <w:rFonts w:ascii="Arial" w:cs="Arial" w:eastAsia="Arial" w:hAnsi="Arial"/>
                <w:sz w:val="15"/>
                <w:szCs w:val="15"/>
                <w:color w:val="auto"/>
              </w:rPr>
              <w:t>Ordinary General Meeting for the maximum total compensation of the Board</w:t>
            </w:r>
          </w:p>
        </w:tc>
        <w:tc>
          <w:tcPr>
            <w:tcW w:w="420" w:type="dxa"/>
            <w:vAlign w:val="bottom"/>
          </w:tcPr>
          <w:p>
            <w:pPr>
              <w:spacing w:after="0"/>
              <w:rPr>
                <w:sz w:val="15"/>
                <w:szCs w:val="15"/>
                <w:color w:val="auto"/>
              </w:rPr>
            </w:pPr>
          </w:p>
        </w:tc>
        <w:tc>
          <w:tcPr>
            <w:tcW w:w="5300" w:type="dxa"/>
            <w:vAlign w:val="bottom"/>
          </w:tcPr>
          <w:p>
            <w:pPr>
              <w:ind w:left="120"/>
              <w:spacing w:after="0"/>
              <w:rPr>
                <w:sz w:val="20"/>
                <w:szCs w:val="20"/>
                <w:color w:val="auto"/>
              </w:rPr>
            </w:pPr>
            <w:r>
              <w:rPr>
                <w:rFonts w:ascii="Arial" w:cs="Arial" w:eastAsia="Arial" w:hAnsi="Arial"/>
                <w:sz w:val="15"/>
                <w:szCs w:val="15"/>
                <w:color w:val="auto"/>
              </w:rPr>
              <w:t>générale  ordinaire  pour  la  rémunération  totale  maximale  du  conseil</w:t>
            </w:r>
          </w:p>
        </w:tc>
      </w:tr>
      <w:tr>
        <w:trPr>
          <w:trHeight w:val="185"/>
        </w:trPr>
        <w:tc>
          <w:tcPr>
            <w:tcW w:w="280" w:type="dxa"/>
            <w:vAlign w:val="bottom"/>
          </w:tcPr>
          <w:p>
            <w:pPr>
              <w:spacing w:after="0"/>
              <w:rPr>
                <w:sz w:val="16"/>
                <w:szCs w:val="16"/>
                <w:color w:val="auto"/>
              </w:rPr>
            </w:pPr>
          </w:p>
        </w:tc>
        <w:tc>
          <w:tcPr>
            <w:tcW w:w="5440" w:type="dxa"/>
            <w:vAlign w:val="bottom"/>
          </w:tcPr>
          <w:p>
            <w:pPr>
              <w:ind w:left="80"/>
              <w:spacing w:after="0"/>
              <w:rPr>
                <w:sz w:val="20"/>
                <w:szCs w:val="20"/>
                <w:color w:val="auto"/>
              </w:rPr>
            </w:pPr>
            <w:r>
              <w:rPr>
                <w:rFonts w:ascii="Arial" w:cs="Arial" w:eastAsia="Arial" w:hAnsi="Arial"/>
                <w:sz w:val="15"/>
                <w:szCs w:val="15"/>
                <w:color w:val="auto"/>
              </w:rPr>
              <w:t>of Directors and Executive Committee;</w:t>
            </w:r>
          </w:p>
        </w:tc>
        <w:tc>
          <w:tcPr>
            <w:tcW w:w="420" w:type="dxa"/>
            <w:vAlign w:val="bottom"/>
          </w:tcPr>
          <w:p>
            <w:pPr>
              <w:spacing w:after="0"/>
              <w:rPr>
                <w:sz w:val="16"/>
                <w:szCs w:val="16"/>
                <w:color w:val="auto"/>
              </w:rPr>
            </w:pPr>
          </w:p>
        </w:tc>
        <w:tc>
          <w:tcPr>
            <w:tcW w:w="5300" w:type="dxa"/>
            <w:vAlign w:val="bottom"/>
          </w:tcPr>
          <w:p>
            <w:pPr>
              <w:ind w:left="120"/>
              <w:spacing w:after="0"/>
              <w:rPr>
                <w:sz w:val="20"/>
                <w:szCs w:val="20"/>
                <w:color w:val="auto"/>
              </w:rPr>
            </w:pPr>
            <w:r>
              <w:rPr>
                <w:rFonts w:ascii="Arial" w:cs="Arial" w:eastAsia="Arial" w:hAnsi="Arial"/>
                <w:sz w:val="15"/>
                <w:szCs w:val="15"/>
                <w:color w:val="auto"/>
              </w:rPr>
              <w:t>d'administration et du comité exécutif;</w:t>
            </w:r>
          </w:p>
        </w:tc>
      </w:tr>
      <w:tr>
        <w:trPr>
          <w:trHeight w:val="334"/>
        </w:trPr>
        <w:tc>
          <w:tcPr>
            <w:tcW w:w="5720" w:type="dxa"/>
            <w:vAlign w:val="bottom"/>
            <w:gridSpan w:val="2"/>
          </w:tcPr>
          <w:p>
            <w:pPr>
              <w:ind w:left="40"/>
              <w:spacing w:after="0"/>
              <w:rPr>
                <w:sz w:val="20"/>
                <w:szCs w:val="20"/>
                <w:color w:val="auto"/>
              </w:rPr>
            </w:pPr>
            <w:r>
              <w:rPr>
                <w:rFonts w:ascii="Arial" w:cs="Arial" w:eastAsia="Arial" w:hAnsi="Arial"/>
                <w:sz w:val="15"/>
                <w:szCs w:val="15"/>
                <w:color w:val="auto"/>
              </w:rPr>
              <w:t>c)  subject to and within the bounds of the maximum compensation approved by</w:t>
            </w:r>
          </w:p>
        </w:tc>
        <w:tc>
          <w:tcPr>
            <w:tcW w:w="420" w:type="dxa"/>
            <w:vAlign w:val="bottom"/>
          </w:tcPr>
          <w:p>
            <w:pPr>
              <w:ind w:left="160"/>
              <w:spacing w:after="0"/>
              <w:rPr>
                <w:sz w:val="20"/>
                <w:szCs w:val="20"/>
                <w:color w:val="auto"/>
              </w:rPr>
            </w:pPr>
            <w:r>
              <w:rPr>
                <w:rFonts w:ascii="Arial" w:cs="Arial" w:eastAsia="Arial" w:hAnsi="Arial"/>
                <w:sz w:val="15"/>
                <w:szCs w:val="15"/>
                <w:color w:val="auto"/>
              </w:rPr>
              <w:t>c)</w:t>
            </w:r>
          </w:p>
        </w:tc>
        <w:tc>
          <w:tcPr>
            <w:tcW w:w="5300" w:type="dxa"/>
            <w:vAlign w:val="bottom"/>
          </w:tcPr>
          <w:p>
            <w:pPr>
              <w:jc w:val="right"/>
              <w:spacing w:after="0"/>
              <w:rPr>
                <w:sz w:val="20"/>
                <w:szCs w:val="20"/>
                <w:color w:val="auto"/>
              </w:rPr>
            </w:pPr>
            <w:r>
              <w:rPr>
                <w:rFonts w:ascii="Arial" w:cs="Arial" w:eastAsia="Arial" w:hAnsi="Arial"/>
                <w:sz w:val="15"/>
                <w:szCs w:val="15"/>
                <w:color w:val="auto"/>
              </w:rPr>
              <w:t>sous réserve et dans les limites de la rémunération maximale approuvée</w:t>
            </w:r>
          </w:p>
        </w:tc>
      </w:tr>
      <w:tr>
        <w:trPr>
          <w:trHeight w:val="173"/>
        </w:trPr>
        <w:tc>
          <w:tcPr>
            <w:tcW w:w="280" w:type="dxa"/>
            <w:vAlign w:val="bottom"/>
          </w:tcPr>
          <w:p>
            <w:pPr>
              <w:spacing w:after="0"/>
              <w:rPr>
                <w:sz w:val="15"/>
                <w:szCs w:val="15"/>
                <w:color w:val="auto"/>
              </w:rPr>
            </w:pPr>
          </w:p>
        </w:tc>
        <w:tc>
          <w:tcPr>
            <w:tcW w:w="5440" w:type="dxa"/>
            <w:vAlign w:val="bottom"/>
          </w:tcPr>
          <w:p>
            <w:pPr>
              <w:ind w:left="80"/>
              <w:spacing w:after="0"/>
              <w:rPr>
                <w:sz w:val="20"/>
                <w:szCs w:val="20"/>
                <w:color w:val="auto"/>
              </w:rPr>
            </w:pPr>
            <w:r>
              <w:rPr>
                <w:rFonts w:ascii="Arial" w:cs="Arial" w:eastAsia="Arial" w:hAnsi="Arial"/>
                <w:sz w:val="15"/>
                <w:szCs w:val="15"/>
                <w:color w:val="auto"/>
              </w:rPr>
              <w:t>the Ordinary General Meeting, to request approval by the Board of Directors</w:t>
            </w:r>
          </w:p>
        </w:tc>
        <w:tc>
          <w:tcPr>
            <w:tcW w:w="420" w:type="dxa"/>
            <w:vAlign w:val="bottom"/>
          </w:tcPr>
          <w:p>
            <w:pPr>
              <w:spacing w:after="0"/>
              <w:rPr>
                <w:sz w:val="15"/>
                <w:szCs w:val="15"/>
                <w:color w:val="auto"/>
              </w:rPr>
            </w:pPr>
          </w:p>
        </w:tc>
        <w:tc>
          <w:tcPr>
            <w:tcW w:w="5300" w:type="dxa"/>
            <w:vAlign w:val="bottom"/>
          </w:tcPr>
          <w:p>
            <w:pPr>
              <w:ind w:left="120"/>
              <w:spacing w:after="0"/>
              <w:rPr>
                <w:sz w:val="20"/>
                <w:szCs w:val="20"/>
                <w:color w:val="auto"/>
              </w:rPr>
            </w:pPr>
            <w:r>
              <w:rPr>
                <w:rFonts w:ascii="Arial" w:cs="Arial" w:eastAsia="Arial" w:hAnsi="Arial"/>
                <w:sz w:val="15"/>
                <w:szCs w:val="15"/>
                <w:color w:val="auto"/>
              </w:rPr>
              <w:t>par l'assemblée générale ordinaire, demander l'approbation du conseil</w:t>
            </w:r>
          </w:p>
        </w:tc>
      </w:tr>
      <w:tr>
        <w:trPr>
          <w:trHeight w:val="173"/>
        </w:trPr>
        <w:tc>
          <w:tcPr>
            <w:tcW w:w="280" w:type="dxa"/>
            <w:vAlign w:val="bottom"/>
          </w:tcPr>
          <w:p>
            <w:pPr>
              <w:spacing w:after="0"/>
              <w:rPr>
                <w:sz w:val="15"/>
                <w:szCs w:val="15"/>
                <w:color w:val="auto"/>
              </w:rPr>
            </w:pPr>
          </w:p>
        </w:tc>
        <w:tc>
          <w:tcPr>
            <w:tcW w:w="5440" w:type="dxa"/>
            <w:vAlign w:val="bottom"/>
          </w:tcPr>
          <w:p>
            <w:pPr>
              <w:ind w:left="80"/>
              <w:spacing w:after="0"/>
              <w:rPr>
                <w:sz w:val="20"/>
                <w:szCs w:val="20"/>
                <w:color w:val="auto"/>
              </w:rPr>
            </w:pPr>
            <w:r>
              <w:rPr>
                <w:rFonts w:ascii="Arial" w:cs="Arial" w:eastAsia="Arial" w:hAnsi="Arial"/>
                <w:sz w:val="15"/>
                <w:szCs w:val="15"/>
                <w:color w:val="auto"/>
              </w:rPr>
              <w:t>of the individual remuneration packages to be paid to members of the Board</w:t>
            </w:r>
          </w:p>
        </w:tc>
        <w:tc>
          <w:tcPr>
            <w:tcW w:w="420" w:type="dxa"/>
            <w:vAlign w:val="bottom"/>
          </w:tcPr>
          <w:p>
            <w:pPr>
              <w:spacing w:after="0"/>
              <w:rPr>
                <w:sz w:val="15"/>
                <w:szCs w:val="15"/>
                <w:color w:val="auto"/>
              </w:rPr>
            </w:pPr>
          </w:p>
        </w:tc>
        <w:tc>
          <w:tcPr>
            <w:tcW w:w="5300" w:type="dxa"/>
            <w:vAlign w:val="bottom"/>
          </w:tcPr>
          <w:p>
            <w:pPr>
              <w:ind w:left="120"/>
              <w:spacing w:after="0"/>
              <w:rPr>
                <w:sz w:val="20"/>
                <w:szCs w:val="20"/>
                <w:color w:val="auto"/>
              </w:rPr>
            </w:pPr>
            <w:r>
              <w:rPr>
                <w:rFonts w:ascii="Arial" w:cs="Arial" w:eastAsia="Arial" w:hAnsi="Arial"/>
                <w:sz w:val="15"/>
                <w:szCs w:val="15"/>
                <w:color w:val="auto"/>
              </w:rPr>
              <w:t>d'administration quant aux paquets de rémunération individuels devant être</w:t>
            </w:r>
          </w:p>
        </w:tc>
      </w:tr>
      <w:tr>
        <w:trPr>
          <w:trHeight w:val="173"/>
        </w:trPr>
        <w:tc>
          <w:tcPr>
            <w:tcW w:w="280" w:type="dxa"/>
            <w:vAlign w:val="bottom"/>
          </w:tcPr>
          <w:p>
            <w:pPr>
              <w:spacing w:after="0"/>
              <w:rPr>
                <w:sz w:val="15"/>
                <w:szCs w:val="15"/>
                <w:color w:val="auto"/>
              </w:rPr>
            </w:pPr>
          </w:p>
        </w:tc>
        <w:tc>
          <w:tcPr>
            <w:tcW w:w="5440" w:type="dxa"/>
            <w:vAlign w:val="bottom"/>
          </w:tcPr>
          <w:p>
            <w:pPr>
              <w:ind w:left="80"/>
              <w:spacing w:after="0"/>
              <w:rPr>
                <w:sz w:val="20"/>
                <w:szCs w:val="20"/>
                <w:color w:val="auto"/>
              </w:rPr>
            </w:pPr>
            <w:r>
              <w:rPr>
                <w:rFonts w:ascii="Arial" w:cs="Arial" w:eastAsia="Arial" w:hAnsi="Arial"/>
                <w:sz w:val="15"/>
                <w:szCs w:val="15"/>
                <w:color w:val="auto"/>
              </w:rPr>
              <w:t>of Directors and members of the Executive Committee;</w:t>
            </w:r>
          </w:p>
        </w:tc>
        <w:tc>
          <w:tcPr>
            <w:tcW w:w="420" w:type="dxa"/>
            <w:vAlign w:val="bottom"/>
          </w:tcPr>
          <w:p>
            <w:pPr>
              <w:spacing w:after="0"/>
              <w:rPr>
                <w:sz w:val="15"/>
                <w:szCs w:val="15"/>
                <w:color w:val="auto"/>
              </w:rPr>
            </w:pPr>
          </w:p>
        </w:tc>
        <w:tc>
          <w:tcPr>
            <w:tcW w:w="5300" w:type="dxa"/>
            <w:vAlign w:val="bottom"/>
          </w:tcPr>
          <w:p>
            <w:pPr>
              <w:ind w:left="120"/>
              <w:spacing w:after="0"/>
              <w:rPr>
                <w:sz w:val="20"/>
                <w:szCs w:val="20"/>
                <w:color w:val="auto"/>
              </w:rPr>
            </w:pPr>
            <w:r>
              <w:rPr>
                <w:rFonts w:ascii="Arial" w:cs="Arial" w:eastAsia="Arial" w:hAnsi="Arial"/>
                <w:sz w:val="15"/>
                <w:szCs w:val="15"/>
                <w:color w:val="auto"/>
              </w:rPr>
              <w:t>versés aux membres du conseil d'administration et aux membres du</w:t>
            </w:r>
          </w:p>
        </w:tc>
      </w:tr>
      <w:tr>
        <w:trPr>
          <w:trHeight w:val="173"/>
        </w:trPr>
        <w:tc>
          <w:tcPr>
            <w:tcW w:w="28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300" w:type="dxa"/>
            <w:vAlign w:val="bottom"/>
          </w:tcPr>
          <w:p>
            <w:pPr>
              <w:ind w:left="120"/>
              <w:spacing w:after="0"/>
              <w:rPr>
                <w:sz w:val="20"/>
                <w:szCs w:val="20"/>
                <w:color w:val="auto"/>
              </w:rPr>
            </w:pPr>
            <w:r>
              <w:rPr>
                <w:rFonts w:ascii="Arial" w:cs="Arial" w:eastAsia="Arial" w:hAnsi="Arial"/>
                <w:sz w:val="15"/>
                <w:szCs w:val="15"/>
                <w:color w:val="auto"/>
              </w:rPr>
              <w:t>comité exécutif;</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-2606675</wp:posOffset>
            </wp:positionV>
            <wp:extent cx="7266305" cy="37357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6305" cy="3735705"/>
                    </a:xfrm>
                    <a:prstGeom prst="rect">
                      <a:avLst/>
                    </a:prstGeom>
                    <a:noFill/>
                  </pic:spPr>
                </pic:pic>
              </a:graphicData>
            </a:graphic>
          </wp:anchor>
        </w:drawing>
      </w:r>
    </w:p>
    <w:p>
      <w:pPr>
        <w:ind w:left="360" w:hanging="322"/>
        <w:spacing w:after="0"/>
        <w:tabs>
          <w:tab w:leader="none" w:pos="3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to request approval by the Board of Directors regarding the determination of</w:t>
      </w:r>
    </w:p>
    <w:p>
      <w:pPr>
        <w:spacing w:after="0" w:line="1" w:lineRule="exact"/>
        <w:rPr>
          <w:sz w:val="20"/>
          <w:szCs w:val="20"/>
          <w:color w:val="auto"/>
        </w:rPr>
      </w:pPr>
    </w:p>
    <w:tbl>
      <w:tblPr>
        <w:tblLayout w:type="fixed"/>
        <w:tblInd w:w="360" w:type="dxa"/>
        <w:tblCellMar>
          <w:top w:w="0" w:type="dxa"/>
          <w:left w:w="0" w:type="dxa"/>
          <w:bottom w:w="0" w:type="dxa"/>
          <w:right w:w="0" w:type="dxa"/>
        </w:tblCellMar>
      </w:tblPr>
      <w:tr>
        <w:trPr>
          <w:trHeight w:val="173"/>
        </w:trPr>
        <w:tc>
          <w:tcPr>
            <w:tcW w:w="4900" w:type="dxa"/>
            <w:vAlign w:val="bottom"/>
          </w:tcPr>
          <w:p>
            <w:pPr>
              <w:spacing w:after="0"/>
              <w:rPr>
                <w:sz w:val="20"/>
                <w:szCs w:val="20"/>
                <w:color w:val="auto"/>
              </w:rPr>
            </w:pPr>
            <w:r>
              <w:rPr>
                <w:rFonts w:ascii="Arial" w:cs="Arial" w:eastAsia="Arial" w:hAnsi="Arial"/>
                <w:sz w:val="15"/>
                <w:szCs w:val="15"/>
                <w:color w:val="auto"/>
              </w:rPr>
              <w:t>the compensation-related targets for the Executive Committee;</w:t>
            </w:r>
          </w:p>
        </w:tc>
        <w:tc>
          <w:tcPr>
            <w:tcW w:w="880" w:type="dxa"/>
            <w:vAlign w:val="bottom"/>
          </w:tcPr>
          <w:p>
            <w:pPr>
              <w:ind w:left="620"/>
              <w:spacing w:after="0"/>
              <w:rPr>
                <w:sz w:val="20"/>
                <w:szCs w:val="20"/>
                <w:color w:val="auto"/>
              </w:rPr>
            </w:pPr>
            <w:r>
              <w:rPr>
                <w:rFonts w:ascii="Arial" w:cs="Arial" w:eastAsia="Arial" w:hAnsi="Arial"/>
                <w:sz w:val="15"/>
                <w:szCs w:val="15"/>
                <w:color w:val="auto"/>
              </w:rPr>
              <w:t>d)</w:t>
            </w:r>
          </w:p>
        </w:tc>
        <w:tc>
          <w:tcPr>
            <w:tcW w:w="5240" w:type="dxa"/>
            <w:vAlign w:val="bottom"/>
          </w:tcPr>
          <w:p>
            <w:pPr>
              <w:ind w:left="160"/>
              <w:spacing w:after="0"/>
              <w:rPr>
                <w:sz w:val="20"/>
                <w:szCs w:val="20"/>
                <w:color w:val="auto"/>
              </w:rPr>
            </w:pPr>
            <w:r>
              <w:rPr>
                <w:rFonts w:ascii="Arial" w:cs="Arial" w:eastAsia="Arial" w:hAnsi="Arial"/>
                <w:sz w:val="15"/>
                <w:szCs w:val="15"/>
                <w:color w:val="auto"/>
              </w:rPr>
              <w:t>requérir l'approbation du conseil d'administration sur la fixation d'objectifs</w:t>
            </w:r>
          </w:p>
        </w:tc>
      </w:tr>
      <w:tr>
        <w:trPr>
          <w:trHeight w:val="173"/>
        </w:trPr>
        <w:tc>
          <w:tcPr>
            <w:tcW w:w="4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40" w:type="dxa"/>
            <w:vAlign w:val="bottom"/>
          </w:tcPr>
          <w:p>
            <w:pPr>
              <w:ind w:left="120"/>
              <w:spacing w:after="0"/>
              <w:rPr>
                <w:sz w:val="20"/>
                <w:szCs w:val="20"/>
                <w:color w:val="auto"/>
              </w:rPr>
            </w:pPr>
            <w:r>
              <w:rPr>
                <w:rFonts w:ascii="Arial" w:cs="Arial" w:eastAsia="Arial" w:hAnsi="Arial"/>
                <w:sz w:val="15"/>
                <w:szCs w:val="15"/>
                <w:color w:val="auto"/>
              </w:rPr>
              <w:t>liés à la rémunération pour le comité exécutif;</w:t>
            </w:r>
          </w:p>
        </w:tc>
      </w:tr>
    </w:tbl>
    <w:p>
      <w:pPr>
        <w:ind w:left="380" w:hanging="342"/>
        <w:spacing w:after="0"/>
        <w:tabs>
          <w:tab w:leader="none" w:pos="3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to request approval by the Board of Directors regarding the adjustments to</w:t>
      </w:r>
    </w:p>
    <w:p>
      <w:pPr>
        <w:spacing w:after="0" w:line="1" w:lineRule="exact"/>
        <w:rPr>
          <w:sz w:val="20"/>
          <w:szCs w:val="20"/>
          <w:color w:val="auto"/>
        </w:rPr>
      </w:pPr>
    </w:p>
    <w:tbl>
      <w:tblPr>
        <w:tblLayout w:type="fixed"/>
        <w:tblInd w:w="360" w:type="dxa"/>
        <w:tblCellMar>
          <w:top w:w="0" w:type="dxa"/>
          <w:left w:w="0" w:type="dxa"/>
          <w:bottom w:w="0" w:type="dxa"/>
          <w:right w:w="0" w:type="dxa"/>
        </w:tblCellMar>
      </w:tblPr>
      <w:tr>
        <w:trPr>
          <w:trHeight w:val="173"/>
        </w:trPr>
        <w:tc>
          <w:tcPr>
            <w:tcW w:w="4640" w:type="dxa"/>
            <w:vAlign w:val="bottom"/>
          </w:tcPr>
          <w:p>
            <w:pPr>
              <w:spacing w:after="0"/>
              <w:rPr>
                <w:sz w:val="20"/>
                <w:szCs w:val="20"/>
                <w:color w:val="auto"/>
              </w:rPr>
            </w:pPr>
            <w:r>
              <w:rPr>
                <w:rFonts w:ascii="Arial" w:cs="Arial" w:eastAsia="Arial" w:hAnsi="Arial"/>
                <w:sz w:val="15"/>
                <w:szCs w:val="15"/>
                <w:color w:val="auto"/>
              </w:rPr>
              <w:t>the Articles of Association relating to remuneration; and</w:t>
            </w:r>
          </w:p>
        </w:tc>
        <w:tc>
          <w:tcPr>
            <w:tcW w:w="1140" w:type="dxa"/>
            <w:vAlign w:val="bottom"/>
          </w:tcPr>
          <w:p>
            <w:pPr>
              <w:ind w:left="880"/>
              <w:spacing w:after="0"/>
              <w:rPr>
                <w:sz w:val="20"/>
                <w:szCs w:val="20"/>
                <w:color w:val="auto"/>
              </w:rPr>
            </w:pPr>
            <w:r>
              <w:rPr>
                <w:rFonts w:ascii="Arial" w:cs="Arial" w:eastAsia="Arial" w:hAnsi="Arial"/>
                <w:sz w:val="15"/>
                <w:szCs w:val="15"/>
                <w:color w:val="auto"/>
              </w:rPr>
              <w:t>e)</w:t>
            </w:r>
          </w:p>
        </w:tc>
        <w:tc>
          <w:tcPr>
            <w:tcW w:w="5240" w:type="dxa"/>
            <w:vAlign w:val="bottom"/>
          </w:tcPr>
          <w:p>
            <w:pPr>
              <w:ind w:left="180"/>
              <w:spacing w:after="0"/>
              <w:rPr>
                <w:sz w:val="20"/>
                <w:szCs w:val="20"/>
                <w:color w:val="auto"/>
              </w:rPr>
            </w:pPr>
            <w:r>
              <w:rPr>
                <w:rFonts w:ascii="Arial" w:cs="Arial" w:eastAsia="Arial" w:hAnsi="Arial"/>
                <w:sz w:val="15"/>
                <w:szCs w:val="15"/>
                <w:color w:val="auto"/>
              </w:rPr>
              <w:t>requérir l'approbation du conseil d'administration sur les adaptations des</w:t>
            </w:r>
          </w:p>
        </w:tc>
      </w:tr>
      <w:tr>
        <w:trPr>
          <w:trHeight w:val="173"/>
        </w:trPr>
        <w:tc>
          <w:tcPr>
            <w:tcW w:w="4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240" w:type="dxa"/>
            <w:vAlign w:val="bottom"/>
          </w:tcPr>
          <w:p>
            <w:pPr>
              <w:ind w:left="120"/>
              <w:spacing w:after="0"/>
              <w:rPr>
                <w:sz w:val="20"/>
                <w:szCs w:val="20"/>
                <w:color w:val="auto"/>
              </w:rPr>
            </w:pPr>
            <w:r>
              <w:rPr>
                <w:rFonts w:ascii="Arial" w:cs="Arial" w:eastAsia="Arial" w:hAnsi="Arial"/>
                <w:sz w:val="15"/>
                <w:szCs w:val="15"/>
                <w:color w:val="auto"/>
              </w:rPr>
              <w:t>statuts relatives à la rémunération; et</w:t>
            </w:r>
          </w:p>
        </w:tc>
      </w:tr>
    </w:tbl>
    <w:p>
      <w:pPr>
        <w:ind w:left="340" w:hanging="302"/>
        <w:spacing w:after="0"/>
        <w:tabs>
          <w:tab w:leader="none" w:pos="3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to prepare the Compensation Report and submit it to the Board of Directors.</w:t>
      </w:r>
    </w:p>
    <w:p>
      <w:pPr>
        <w:spacing w:after="0" w:line="1" w:lineRule="exact"/>
        <w:rPr>
          <w:sz w:val="20"/>
          <w:szCs w:val="20"/>
          <w:color w:val="auto"/>
        </w:rPr>
      </w:pPr>
    </w:p>
    <w:p>
      <w:pPr>
        <w:ind w:left="5880"/>
        <w:spacing w:after="0"/>
        <w:tabs>
          <w:tab w:leader="none" w:pos="6480" w:val="left"/>
        </w:tabs>
        <w:rPr>
          <w:sz w:val="20"/>
          <w:szCs w:val="20"/>
          <w:color w:val="auto"/>
        </w:rPr>
      </w:pPr>
      <w:r>
        <w:rPr>
          <w:rFonts w:ascii="Arial" w:cs="Arial" w:eastAsia="Arial" w:hAnsi="Arial"/>
          <w:sz w:val="15"/>
          <w:szCs w:val="15"/>
          <w:color w:val="auto"/>
        </w:rPr>
        <w:t>f)</w:t>
      </w:r>
      <w:r>
        <w:rPr>
          <w:sz w:val="20"/>
          <w:szCs w:val="20"/>
          <w:color w:val="auto"/>
        </w:rPr>
        <w:tab/>
      </w:r>
      <w:r>
        <w:rPr>
          <w:rFonts w:ascii="Arial" w:cs="Arial" w:eastAsia="Arial" w:hAnsi="Arial"/>
          <w:sz w:val="15"/>
          <w:szCs w:val="15"/>
          <w:color w:val="auto"/>
        </w:rPr>
        <w:t>préparer le rapport de rémunération et de le soumettre au conseil</w:t>
      </w:r>
    </w:p>
    <w:p>
      <w:pPr>
        <w:spacing w:after="0" w:line="1" w:lineRule="exact"/>
        <w:rPr>
          <w:sz w:val="20"/>
          <w:szCs w:val="20"/>
          <w:color w:val="auto"/>
        </w:rPr>
      </w:pPr>
    </w:p>
    <w:p>
      <w:pPr>
        <w:ind w:left="6260"/>
        <w:spacing w:after="0"/>
        <w:rPr>
          <w:sz w:val="20"/>
          <w:szCs w:val="20"/>
          <w:color w:val="auto"/>
        </w:rPr>
      </w:pPr>
      <w:r>
        <w:rPr>
          <w:rFonts w:ascii="Arial" w:cs="Arial" w:eastAsia="Arial" w:hAnsi="Arial"/>
          <w:sz w:val="15"/>
          <w:szCs w:val="15"/>
          <w:color w:val="auto"/>
        </w:rPr>
        <w:t>d'administration.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462280</wp:posOffset>
            </wp:positionV>
            <wp:extent cx="726630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440"/>
          </w:cols>
          <w:pgMar w:left="240" w:top="231" w:right="219" w:bottom="1440" w:gutter="0" w:footer="0" w:header="0"/>
        </w:sectPr>
      </w:pPr>
    </w:p>
    <w:bookmarkStart w:id="53" w:name="page54"/>
    <w:bookmarkEnd w:id="53"/>
    <w:tbl>
      <w:tblPr>
        <w:tblLayout w:type="fixed"/>
        <w:tblInd w:w="10" w:type="dxa"/>
        <w:tblCellMar>
          <w:top w:w="0" w:type="dxa"/>
          <w:left w:w="0" w:type="dxa"/>
          <w:bottom w:w="0" w:type="dxa"/>
          <w:right w:w="0" w:type="dxa"/>
        </w:tblCellMar>
      </w:tblPr>
      <w:tr>
        <w:trPr>
          <w:trHeight w:val="185"/>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0" w:type="dxa"/>
            <w:vAlign w:val="bottom"/>
          </w:tcPr>
          <w:p>
            <w:pPr>
              <w:ind w:left="5380"/>
              <w:spacing w:after="0"/>
              <w:rPr>
                <w:sz w:val="20"/>
                <w:szCs w:val="20"/>
                <w:color w:val="auto"/>
              </w:rPr>
            </w:pPr>
            <w:r>
              <w:rPr>
                <w:rFonts w:ascii="Arial" w:cs="Arial" w:eastAsia="Arial" w:hAnsi="Arial"/>
                <w:sz w:val="15"/>
                <w:szCs w:val="15"/>
                <w:color w:val="auto"/>
              </w:rPr>
              <w:t>23</w:t>
            </w:r>
          </w:p>
        </w:tc>
      </w:tr>
      <w:tr>
        <w:trPr>
          <w:trHeight w:val="289"/>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r>
        <w:trPr>
          <w:trHeight w:val="198"/>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The Board of Directors shall set out any further duties and responsibilities vested</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Le conseil d'administration fixe toutes les autres fonctions et responsabilités</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on the Compensation Committee in the Company's Organizational Rules.</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dévolues au comité de rémunération dans le règlement d'organisation de la</w:t>
            </w:r>
          </w:p>
        </w:tc>
      </w:tr>
      <w:tr>
        <w:trPr>
          <w:trHeight w:val="185"/>
        </w:trPr>
        <w:tc>
          <w:tcPr>
            <w:tcW w:w="5620" w:type="dxa"/>
            <w:vAlign w:val="bottom"/>
            <w:tcBorders>
              <w:left w:val="single" w:sz="8" w:color="auto"/>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société.</w:t>
            </w:r>
          </w:p>
        </w:tc>
      </w:tr>
      <w:tr>
        <w:trPr>
          <w:trHeight w:val="23"/>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11"/>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b w:val="1"/>
                <w:bCs w:val="1"/>
                <w:color w:val="auto"/>
              </w:rPr>
              <w:t>Art. 29  Indemnification</w:t>
            </w:r>
          </w:p>
        </w:tc>
        <w:tc>
          <w:tcPr>
            <w:tcW w:w="2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b w:val="1"/>
                <w:bCs w:val="1"/>
                <w:color w:val="auto"/>
              </w:rPr>
              <w:t>Art. 29  Indemnisation</w:t>
            </w:r>
          </w:p>
        </w:tc>
      </w:tr>
      <w:tr>
        <w:trPr>
          <w:trHeight w:val="23"/>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198"/>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As far as is permissible under applicable law, the Company shall indemnify any</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Dans la mesure permise par la loi applicable, la société indemnisera tout</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current or former member of the Board of Directors, former members of the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membre actuel ou ancien du conseil d'administration, les anciens membres du</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Executive Committee, or any person who is serving or has served at the request</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comité exécutif, ou toute personne qui sert ou a servi à la demande de la société</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of the Company as a member of the Board of Directors or member of the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en tant que membre du conseil d'administration ou membre du comité exécutif</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Executive  Committee  (each  individually,  a  "Covered  Person"),  against  any</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(chacun individuellement, une "Personne Couverte"), pour toutes les dépenses,</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expenses, including attorneys' fees, judgments, fines, and amounts paid in</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y compris les honoraires d'avocat, jugements, amendes, et montants versés</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settlement actually and reasonably incurred by him or her in connection with any</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effectivement et raisonnablement à titre de règlement dans le cadre de toute</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threatened, pending, or completed action, suit or proceeding, whether civil,</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action, poursuite ou procédure imminente, pendante ou terminée, qu'elle soit</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criminal or administrative, to which he or she was, is, or is threatened to be made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civile, pénale ou administrative, à laquelle il ou elle a été, est, ou est menacé</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a party, or is otherwise involved (a "Proceeding"). This provision shall not</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d'être partie, ou est impliqué de toute autre manière (une "Procédure"). Cette</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indemnify any Covered Person against any liability arising out of (a) any fraud or</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disposition  ne  doit  pas  indemniser  une  Personne  Couverte  contre  une</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dishonesty in the performance of such Covered Person's duty to the Company,</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responsabilité découlant de (a) une fraude ou une malhonnêteté de cette</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or (b) such Covered Party's conscious, intentional or willful or grossly negligent</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Personne Couverte dans l'exercice de ses fonctions vis-à-vis de la société, ou</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breach of the obligation to act honestly and in good faith with a view to the best</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(b)  une  violation  consciente,  intentionnelle  ou  volontaire  ou  gravement</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interests of the Company. Notwithstanding the preceding sentence, this section</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négligente de l'obligation de cette Personne Couverte d'agir avec honnêteté en</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shall not extend to any person holding the office of auditor or special auditor of</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tenant compte du meilleur intérêt de la société. Nonobstant ce qui précède, cette</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the Company.</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disposition ne s'étend pas aux personnes qui occupent le poste de réviseur ou</w:t>
            </w:r>
          </w:p>
        </w:tc>
      </w:tr>
      <w:tr>
        <w:trPr>
          <w:trHeight w:val="185"/>
        </w:trPr>
        <w:tc>
          <w:tcPr>
            <w:tcW w:w="5620" w:type="dxa"/>
            <w:vAlign w:val="bottom"/>
            <w:tcBorders>
              <w:left w:val="single" w:sz="8" w:color="auto"/>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de réviseur spécial de la société.</w:t>
            </w:r>
          </w:p>
        </w:tc>
      </w:tr>
      <w:tr>
        <w:trPr>
          <w:trHeight w:val="23"/>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198"/>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In the case of any Proceeding by or in the name of the Company, the Company</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Dans le cas de toute Procédure intentée par ou au nom de la société, la société</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shall indemnify each Covered Person against expenses, including attorneys'</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doit indemniser chaque Personne Couverte pour les dépenses, y compris les</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fees,  actually  and  reasonably  incurred  in  connection  with  the  defense  or</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honoraires d'avocat, effectivement et raisonnablement encourus dans le cadre</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settlement thereof, except no indemnification shall be made in respect of any</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de  la  défense  ou  du  règlement  dans  le  cadre  de  la  Procédure.  Aucune</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claim, issue or matter as to which a Covered Person shall have been adjudged to</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indemnisation ne sera octroyée pour une réclamation, problème ou affaire pour</w:t>
            </w:r>
          </w:p>
        </w:tc>
      </w:tr>
      <w:tr>
        <w:trPr>
          <w:trHeight w:val="185"/>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be liable for fraud or dishonesty in the</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laquelle une Personne Couverte est tenue</w:t>
            </w:r>
          </w:p>
        </w:tc>
      </w:tr>
      <w:tr>
        <w:trPr>
          <w:trHeight w:val="23"/>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499"/>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231" w:right="219" w:bottom="1440" w:gutter="0" w:footer="0" w:header="0"/>
        </w:sectPr>
      </w:pPr>
    </w:p>
    <w:bookmarkStart w:id="54" w:name="page55"/>
    <w:bookmarkEnd w:id="5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0" w:type="dxa"/>
            <w:vAlign w:val="bottom"/>
          </w:tcPr>
          <w:p>
            <w:pPr>
              <w:ind w:left="5380"/>
              <w:spacing w:after="0"/>
              <w:rPr>
                <w:sz w:val="20"/>
                <w:szCs w:val="20"/>
                <w:color w:val="auto"/>
              </w:rPr>
            </w:pPr>
            <w:r>
              <w:rPr>
                <w:rFonts w:ascii="Arial" w:cs="Arial" w:eastAsia="Arial" w:hAnsi="Arial"/>
                <w:sz w:val="15"/>
                <w:szCs w:val="15"/>
                <w:color w:val="auto"/>
              </w:rPr>
              <w:t>24</w:t>
            </w:r>
          </w:p>
        </w:tc>
      </w:tr>
      <w:tr>
        <w:trPr>
          <w:trHeight w:val="289"/>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r>
        <w:trPr>
          <w:trHeight w:val="198"/>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performance of his or her duty to the Company, or for conscious, intentional or</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responsable à la suite de fraude ou de malhonnêteté dans l'exercice de ses</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willful or grossly negligent breach of his or her obligation to act honestly and in</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fonctions  vis-à-vis  de  la  société,  ou  à  cause  d'une  violation  consciente,</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good faith with a view to the best interests of the Company, unless and only to</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intentionnelle  ou  volontaire  ou  gravement  négligente  de  l'obligation  de  la</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the extent that a court in which such action or suit was brought shall determine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Personne Couverte d'agir avec honnêteté en tenant compte du meilleur intérêt</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upon application that despite the adjudication of liability, but in view of all the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de la société, sauf et uniquement si un tribunal auquel une telle action ou</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circumstances of the case, such Covered Person is fairly and reasonably entitled</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poursuite  a  été  porté  détermine  que,  malgré  la  reconnaissance  de  la</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to indemnity for such expenses as the court shall deem proper. Notwithstanding</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responsabilité, mais compte tenu de toutes les circonstances du cas d'espèce,</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the preceding sentence, this section shall not extend to any person holding the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cette  Personne  Couverte  a  équitablement  et  raisonnablement  droit  à  une</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office of auditor or special auditor of the Company.</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indemnisation de ces dépenses, mais uniquement à hauteur du montant que le</w:t>
            </w:r>
          </w:p>
        </w:tc>
      </w:tr>
      <w:tr>
        <w:trPr>
          <w:trHeight w:val="173"/>
        </w:trPr>
        <w:tc>
          <w:tcPr>
            <w:tcW w:w="5620" w:type="dxa"/>
            <w:vAlign w:val="bottom"/>
            <w:tcBorders>
              <w:left w:val="single" w:sz="8" w:color="auto"/>
              <w:right w:val="single" w:sz="8" w:color="auto"/>
            </w:tcBorders>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tribunal jugera convenable. Nonobstant la phrase précédente, cette disposition</w:t>
            </w:r>
          </w:p>
        </w:tc>
      </w:tr>
      <w:tr>
        <w:trPr>
          <w:trHeight w:val="173"/>
        </w:trPr>
        <w:tc>
          <w:tcPr>
            <w:tcW w:w="5620" w:type="dxa"/>
            <w:vAlign w:val="bottom"/>
            <w:tcBorders>
              <w:left w:val="single" w:sz="8" w:color="auto"/>
              <w:right w:val="single" w:sz="8" w:color="auto"/>
            </w:tcBorders>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ne s'étend pas aux personnes qui occupent le poste de réviseur ou de réviseur</w:t>
            </w:r>
          </w:p>
        </w:tc>
      </w:tr>
      <w:tr>
        <w:trPr>
          <w:trHeight w:val="185"/>
        </w:trPr>
        <w:tc>
          <w:tcPr>
            <w:tcW w:w="5620" w:type="dxa"/>
            <w:vAlign w:val="bottom"/>
            <w:tcBorders>
              <w:left w:val="single" w:sz="8" w:color="auto"/>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spécial de la société.</w:t>
            </w:r>
          </w:p>
        </w:tc>
      </w:tr>
      <w:tr>
        <w:trPr>
          <w:trHeight w:val="23"/>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198"/>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Any indemnification under this Article 29 (unless ordered by a court) shall be</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Toute indemnisation en vertu du présent article 29 (sauf si ordonnée par un</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made  by  the  Company  only  as  authorized  in  the  specific  case  upon  a</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tribunal) doit être octroyée par la société dans chaque cas dans les limites de</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determination that indemnification of the Covered Person is proper in the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l'autorisation sur la base d'une détermination que l'indemnisation de la Personne</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circumstances because such person has met the applicable Standard of conduct</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Couverte est appropriée dans les circonstances parce que cette personne a</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set forth in this Article 29. Such determination shall be made, with respect to a</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satisfait au standard de conduite applicable énoncé dans le présent article 29.</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Covered Person (a) by a majority vote of the members of the Board of Directors</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Une telle décision concernant une Personne Couverte doit être prise (a) par la</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who are not parties to such proceeding, even though less than a quorum; (b) by</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majorité des votes des membres du conseil d'administration qui ne sont pas</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a committee of such members of the Board of Directors designated by a majority</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parties à cette procédure, même si le quorum requis n'est pas réuni; (b) par un</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vote of such the Board of Directors, even though less than a quorum; (c) if there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comité de membres du conseil d'administration désignés par une majorité des</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are no such member of the Board of Directors, or if such member of the Board of</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votes du conseil d'administration, même si le quorum requis n'est pas réuni; (c)</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Directors so direct, by independent legal counsel in a written opinion; or (d) by</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s'il n'y a pas de tel membre du conseil d'administration, ou si ce membre du</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the General Meeting of Shareholders. Such determination shall be made, with</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conseil d'administration l'ordonne, par un conseiller juridique indépendant dans</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respect to any other Covered Person, by any person or persons having the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un avis écrit; ou (d) par l'assemblée générale des actionnaires. Une telle</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authority to act on the matter on behalf of the Company. To the extent, however,</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décision concernant une Personne Couverte doit être prise par une personne ou</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that any Covered Person has been successful on the merits or otherwise in</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des personnes ayant le pouvoir d'agir dans cet affaire au nom de la société.</w:t>
            </w:r>
          </w:p>
        </w:tc>
      </w:tr>
      <w:tr>
        <w:trPr>
          <w:trHeight w:val="185"/>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defense of any</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Dans la</w:t>
            </w:r>
          </w:p>
        </w:tc>
      </w:tr>
      <w:tr>
        <w:trPr>
          <w:trHeight w:val="23"/>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499"/>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231" w:right="219" w:bottom="1440" w:gutter="0" w:footer="0" w:header="0"/>
        </w:sectPr>
      </w:pPr>
    </w:p>
    <w:bookmarkStart w:id="55" w:name="page56"/>
    <w:bookmarkEnd w:id="5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0" w:type="dxa"/>
            <w:vAlign w:val="bottom"/>
          </w:tcPr>
          <w:p>
            <w:pPr>
              <w:ind w:left="5380"/>
              <w:spacing w:after="0"/>
              <w:rPr>
                <w:sz w:val="20"/>
                <w:szCs w:val="20"/>
                <w:color w:val="auto"/>
              </w:rPr>
            </w:pPr>
            <w:r>
              <w:rPr>
                <w:rFonts w:ascii="Arial" w:cs="Arial" w:eastAsia="Arial" w:hAnsi="Arial"/>
                <w:sz w:val="15"/>
                <w:szCs w:val="15"/>
                <w:color w:val="auto"/>
              </w:rPr>
              <w:t>25</w:t>
            </w:r>
          </w:p>
        </w:tc>
      </w:tr>
      <w:tr>
        <w:trPr>
          <w:trHeight w:val="289"/>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r>
        <w:trPr>
          <w:trHeight w:val="198"/>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proceeding, or in defense of any claim, issue or matter therein, such Covered</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mesure,  cependant,  où  une  Personne  Couverte  a  gagné  sur  le  fond  ou</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Person shall be indemnified against expenses (including attorneys' fees) actually</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autrement dans la défense d'une procédure, ou dans la défense de toute</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and reasonably incurred by such person in connection therewith, without the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réclamation, problème ou affaire dans cette procédure, cette Personne Couverte</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necessity of authorization in the specific case.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doit être indemnisée pour les dépenses (y compris les honoraires d'avocat)</w:t>
            </w:r>
          </w:p>
        </w:tc>
      </w:tr>
      <w:tr>
        <w:trPr>
          <w:trHeight w:val="173"/>
        </w:trPr>
        <w:tc>
          <w:tcPr>
            <w:tcW w:w="5620" w:type="dxa"/>
            <w:vAlign w:val="bottom"/>
            <w:tcBorders>
              <w:left w:val="single" w:sz="8" w:color="auto"/>
              <w:right w:val="single" w:sz="8" w:color="auto"/>
            </w:tcBorders>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effectivement et raisonnablement encourus dans le cadre de l'affaire en question</w:t>
            </w:r>
          </w:p>
        </w:tc>
      </w:tr>
      <w:tr>
        <w:trPr>
          <w:trHeight w:val="185"/>
        </w:trPr>
        <w:tc>
          <w:tcPr>
            <w:tcW w:w="5620" w:type="dxa"/>
            <w:vAlign w:val="bottom"/>
            <w:tcBorders>
              <w:left w:val="single" w:sz="8" w:color="auto"/>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sans qu'il soit nécessaire d'avoir une autorisation dans le cas spécifique.</w:t>
            </w:r>
          </w:p>
        </w:tc>
      </w:tr>
      <w:tr>
        <w:trPr>
          <w:trHeight w:val="23"/>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198"/>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As far as is permissible under applicable law, expenses, including attorneys'</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Dans la mesure permise par la loi applicable, les dépenses, y compris les</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fees, incurred in defending any proceeding for which indemnification is permitted</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honoraires  d'avocats,  encourus  dans  la  défense  de  toute  procédure  pour</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pursuant to this Article 29 shall be paid by the Company in advance of the final</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laquelle l'indemnisation est permise en vertu du présent article 29, doivent être</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disposition of such proceeding upon receipt by the Board of Directors of an</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payées par la société avant la décision finale dans cette procédure à réception</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undertaking by or on behalf of the Covered Person to repay such amount if it</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par le conseil d'administration d'une promesse faite par ou au nom de la</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shall ultimately be determined that he or she is not entitled to be indemnified by</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Personne Couverte de rembourser ce montant s'il s'avère finalement que cette</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the Company under these Articles of Association.</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Personne Couverte n'a pas droit à l'indemnisation par la société en vertu de ces</w:t>
            </w:r>
          </w:p>
        </w:tc>
      </w:tr>
      <w:tr>
        <w:trPr>
          <w:trHeight w:val="185"/>
        </w:trPr>
        <w:tc>
          <w:tcPr>
            <w:tcW w:w="5620" w:type="dxa"/>
            <w:vAlign w:val="bottom"/>
            <w:tcBorders>
              <w:left w:val="single" w:sz="8" w:color="auto"/>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statuts.</w:t>
            </w:r>
          </w:p>
        </w:tc>
      </w:tr>
      <w:tr>
        <w:trPr>
          <w:trHeight w:val="23"/>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198"/>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It being the policy of the Company that indemnification of the persons specified in</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La politique de la société prévoit que l'indemnisation des personnes visées au</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this Article 29 shall be made to the fullest extent permitted by law and the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présent article 29 doit être payée dans toute la mesure autorisée par la loi et</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indemnification provided by this Article 29 shall not be deemed exclusive (a) of</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l'indemnisation  prévue  par  cet  article  29  ne  sera  pas  considérée  comme</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any other rights to which those seeking indemnification or advancement of</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exclusive  (a)  d'autres  droits  auxquels  les  personnes  demandant  une</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expenses may be entitled under these Articles of Association, any agreement,</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indemnisation ou une avance des dépenses ont droit en vertu de ces statuts,</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any insurance purchased by the Company, vote of shareholders or disinterested</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d'un accord, d'une assurance souscrite par la société, d'un vote d'actionnaires</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members of the Board of Directors, or pursuant to the decision of any court of</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ou de membres du conseil d'administration n'ayant pas d'intérêt direct, ou en</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competent jurisdiction, or otherwise, both as to action in his or her official</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vertu d'une décision d'un tribunal compétent, ou autrement, soit à l'égard</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capacity and as to action in another capacity while holding such office, or (b) of</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d'actions faites en sa capacité officielle, soit à l'égard d'actions faites à un autre</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the power of the Company to indemnify any person who is or was an employee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titre tout en ayant une telle fonction, ou (b) du pouvoir de la société d'indemniser</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or agent of the Company or of another corporation, joint venture, trust or other</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toute personne qui est ou était un employé ou un mandataire de la société ou</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enterprise which he or she is serving or has served at the request of the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d'une autre société, d'une joint venture, d'une fiducie ou d'une autre entreprise</w:t>
            </w:r>
          </w:p>
        </w:tc>
      </w:tr>
      <w:tr>
        <w:trPr>
          <w:trHeight w:val="185"/>
        </w:trPr>
        <w:tc>
          <w:tcPr>
            <w:tcW w:w="5620" w:type="dxa"/>
            <w:vAlign w:val="bottom"/>
            <w:tcBorders>
              <w:left w:val="single" w:sz="8" w:color="auto"/>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pour laquelle il ou elle</w:t>
            </w:r>
          </w:p>
        </w:tc>
      </w:tr>
      <w:tr>
        <w:trPr>
          <w:trHeight w:val="196"/>
        </w:trPr>
        <w:tc>
          <w:tcPr>
            <w:tcW w:w="5620" w:type="dxa"/>
            <w:vAlign w:val="bottom"/>
            <w:tcBorders>
              <w:left w:val="single" w:sz="8" w:color="auto"/>
              <w:bottom w:val="single" w:sz="8" w:color="auto"/>
              <w:right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600" w:type="dxa"/>
            <w:vAlign w:val="bottom"/>
            <w:tcBorders>
              <w:bottom w:val="single" w:sz="8" w:color="auto"/>
              <w:right w:val="single" w:sz="8" w:color="auto"/>
            </w:tcBorders>
          </w:tcPr>
          <w:p>
            <w:pPr>
              <w:spacing w:after="0"/>
              <w:rPr>
                <w:sz w:val="17"/>
                <w:szCs w:val="17"/>
                <w:color w:val="auto"/>
              </w:rPr>
            </w:pPr>
          </w:p>
        </w:tc>
      </w:tr>
      <w:tr>
        <w:trPr>
          <w:trHeight w:val="499"/>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231" w:right="219" w:bottom="1440" w:gutter="0" w:footer="0" w:header="0"/>
        </w:sectPr>
      </w:pPr>
    </w:p>
    <w:bookmarkStart w:id="56" w:name="page57"/>
    <w:bookmarkEnd w:id="5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56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20" w:type="dxa"/>
            <w:vAlign w:val="bottom"/>
          </w:tcPr>
          <w:p>
            <w:pPr>
              <w:ind w:left="4800"/>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289"/>
        </w:trPr>
        <w:tc>
          <w:tcPr>
            <w:tcW w:w="5620" w:type="dxa"/>
            <w:vAlign w:val="bottom"/>
            <w:tcBorders>
              <w:bottom w:val="single" w:sz="8" w:color="auto"/>
            </w:tcBorders>
            <w:gridSpan w:val="2"/>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Company, to the same extent and in the same situations and subject to the same</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travaille ou a travaillé à la demande de la société, dans la même mesure et dans</w:t>
            </w: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determinations as are hereinabove set forth with respect to a Covered Person.</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les mêmes situations et sous réserve des mêmes principes concernant une</w:t>
            </w:r>
          </w:p>
        </w:tc>
        <w:tc>
          <w:tcPr>
            <w:tcW w:w="0" w:type="dxa"/>
            <w:vAlign w:val="bottom"/>
          </w:tcPr>
          <w:p>
            <w:pPr>
              <w:spacing w:after="0"/>
              <w:rPr>
                <w:sz w:val="1"/>
                <w:szCs w:val="1"/>
                <w:color w:val="auto"/>
              </w:rPr>
            </w:pPr>
          </w:p>
        </w:tc>
      </w:tr>
      <w:tr>
        <w:trPr>
          <w:trHeight w:val="185"/>
        </w:trPr>
        <w:tc>
          <w:tcPr>
            <w:tcW w:w="5620" w:type="dxa"/>
            <w:vAlign w:val="bottom"/>
            <w:tcBorders>
              <w:left w:val="single" w:sz="8" w:color="auto"/>
              <w:right w:val="single" w:sz="8" w:color="auto"/>
            </w:tcBorders>
            <w:gridSpan w:val="2"/>
            <w:vMerge w:val="restart"/>
          </w:tcPr>
          <w:p>
            <w:pPr>
              <w:ind w:left="40"/>
              <w:spacing w:after="0"/>
              <w:rPr>
                <w:sz w:val="20"/>
                <w:szCs w:val="20"/>
                <w:color w:val="auto"/>
              </w:rPr>
            </w:pPr>
            <w:r>
              <w:rPr>
                <w:rFonts w:ascii="Arial" w:cs="Arial" w:eastAsia="Arial" w:hAnsi="Arial"/>
                <w:sz w:val="15"/>
                <w:szCs w:val="15"/>
                <w:color w:val="auto"/>
              </w:rPr>
              <w:t>As used in this Article 29, references to the "Company" include all constituent</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Personne Couverte évoquées ci-dessus.</w:t>
            </w:r>
          </w:p>
        </w:tc>
        <w:tc>
          <w:tcPr>
            <w:tcW w:w="0" w:type="dxa"/>
            <w:vAlign w:val="bottom"/>
          </w:tcPr>
          <w:p>
            <w:pPr>
              <w:spacing w:after="0"/>
              <w:rPr>
                <w:sz w:val="1"/>
                <w:szCs w:val="1"/>
                <w:color w:val="auto"/>
              </w:rPr>
            </w:pPr>
          </w:p>
        </w:tc>
      </w:tr>
      <w:tr>
        <w:trPr>
          <w:trHeight w:val="161"/>
        </w:trPr>
        <w:tc>
          <w:tcPr>
            <w:tcW w:w="5620" w:type="dxa"/>
            <w:vAlign w:val="bottom"/>
            <w:tcBorders>
              <w:left w:val="single" w:sz="8" w:color="auto"/>
              <w:right w:val="single" w:sz="8" w:color="auto"/>
            </w:tcBorders>
            <w:gridSpan w:val="2"/>
            <w:vMerge w:val="continue"/>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50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corporations  in  a  consolidation  or  merger  in  which  the  Company  or  a</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Tel qu'utilisé dans le présent article 29, les références à la "société" comprennent</w:t>
            </w: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predecessor to the Company by consolidation or merger was involved.</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toutes les sociétés ayant fait l'objet d'un regroupement ou d'une fusion dans</w:t>
            </w:r>
          </w:p>
        </w:tc>
        <w:tc>
          <w:tcPr>
            <w:tcW w:w="0" w:type="dxa"/>
            <w:vAlign w:val="bottom"/>
          </w:tcPr>
          <w:p>
            <w:pPr>
              <w:spacing w:after="0"/>
              <w:rPr>
                <w:sz w:val="1"/>
                <w:szCs w:val="1"/>
                <w:color w:val="auto"/>
              </w:rPr>
            </w:pPr>
          </w:p>
        </w:tc>
      </w:tr>
      <w:tr>
        <w:trPr>
          <w:trHeight w:val="185"/>
        </w:trPr>
        <w:tc>
          <w:tcPr>
            <w:tcW w:w="5620" w:type="dxa"/>
            <w:vAlign w:val="bottom"/>
            <w:tcBorders>
              <w:left w:val="single" w:sz="8" w:color="auto"/>
              <w:right w:val="single" w:sz="8" w:color="auto"/>
            </w:tcBorders>
            <w:gridSpan w:val="2"/>
            <w:vMerge w:val="restart"/>
          </w:tcPr>
          <w:p>
            <w:pPr>
              <w:ind w:left="40"/>
              <w:spacing w:after="0"/>
              <w:rPr>
                <w:sz w:val="20"/>
                <w:szCs w:val="20"/>
                <w:color w:val="auto"/>
              </w:rPr>
            </w:pPr>
            <w:r>
              <w:rPr>
                <w:rFonts w:ascii="Arial" w:cs="Arial" w:eastAsia="Arial" w:hAnsi="Arial"/>
                <w:sz w:val="15"/>
                <w:szCs w:val="15"/>
                <w:color w:val="auto"/>
              </w:rPr>
              <w:t>The indemnification provided by this Article 29 shall continue as to a person who</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laquelle la société ou un prédécesseur à la société a été impliqué.</w:t>
            </w:r>
          </w:p>
        </w:tc>
        <w:tc>
          <w:tcPr>
            <w:tcW w:w="0" w:type="dxa"/>
            <w:vAlign w:val="bottom"/>
          </w:tcPr>
          <w:p>
            <w:pPr>
              <w:spacing w:after="0"/>
              <w:rPr>
                <w:sz w:val="1"/>
                <w:szCs w:val="1"/>
                <w:color w:val="auto"/>
              </w:rPr>
            </w:pPr>
          </w:p>
        </w:tc>
      </w:tr>
      <w:tr>
        <w:trPr>
          <w:trHeight w:val="161"/>
        </w:trPr>
        <w:tc>
          <w:tcPr>
            <w:tcW w:w="5620" w:type="dxa"/>
            <w:vAlign w:val="bottom"/>
            <w:tcBorders>
              <w:left w:val="single" w:sz="8" w:color="auto"/>
              <w:right w:val="single" w:sz="8" w:color="auto"/>
            </w:tcBorders>
            <w:gridSpan w:val="2"/>
            <w:vMerge w:val="continue"/>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50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has ceased to be a member of the Board of Directors or the Executive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L'indemnisation prévue par cet article 29 est maintenue à l'égard d'une personne</w:t>
            </w: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Committee  and  shall  inure  to  the  benefit  of  their  heirs,  executors,  and</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qui a cessé d'être un membre du conseil d'administration ou le comité exécutif et</w:t>
            </w:r>
          </w:p>
        </w:tc>
        <w:tc>
          <w:tcPr>
            <w:tcW w:w="0" w:type="dxa"/>
            <w:vAlign w:val="bottom"/>
          </w:tcPr>
          <w:p>
            <w:pPr>
              <w:spacing w:after="0"/>
              <w:rPr>
                <w:sz w:val="1"/>
                <w:szCs w:val="1"/>
                <w:color w:val="auto"/>
              </w:rPr>
            </w:pPr>
          </w:p>
        </w:tc>
      </w:tr>
      <w:tr>
        <w:trPr>
          <w:trHeight w:val="185"/>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administrators.</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sera en vigueur au bénéfice de ses héritiers, exécuteurs et administrateurs.</w:t>
            </w:r>
          </w:p>
        </w:tc>
        <w:tc>
          <w:tcPr>
            <w:tcW w:w="0" w:type="dxa"/>
            <w:vAlign w:val="bottom"/>
          </w:tcPr>
          <w:p>
            <w:pPr>
              <w:spacing w:after="0"/>
              <w:rPr>
                <w:sz w:val="1"/>
                <w:szCs w:val="1"/>
                <w:color w:val="auto"/>
              </w:rPr>
            </w:pPr>
          </w:p>
        </w:tc>
      </w:tr>
      <w:tr>
        <w:trPr>
          <w:trHeight w:val="196"/>
        </w:trPr>
        <w:tc>
          <w:tcPr>
            <w:tcW w:w="560" w:type="dxa"/>
            <w:vAlign w:val="bottom"/>
            <w:tcBorders>
              <w:left w:val="single" w:sz="8" w:color="auto"/>
              <w:bottom w:val="single" w:sz="8" w:color="auto"/>
            </w:tcBorders>
          </w:tcPr>
          <w:p>
            <w:pPr>
              <w:spacing w:after="0"/>
              <w:rPr>
                <w:sz w:val="17"/>
                <w:szCs w:val="17"/>
                <w:color w:val="auto"/>
              </w:rPr>
            </w:pPr>
          </w:p>
        </w:tc>
        <w:tc>
          <w:tcPr>
            <w:tcW w:w="506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50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60" w:type="dxa"/>
            <w:vAlign w:val="bottom"/>
            <w:tcBorders>
              <w:left w:val="single" w:sz="8" w:color="auto"/>
            </w:tcBorders>
          </w:tcPr>
          <w:p>
            <w:pPr>
              <w:ind w:left="40"/>
              <w:spacing w:after="0"/>
              <w:rPr>
                <w:sz w:val="20"/>
                <w:szCs w:val="20"/>
                <w:color w:val="auto"/>
              </w:rPr>
            </w:pPr>
            <w:r>
              <w:rPr>
                <w:rFonts w:ascii="Arial" w:cs="Arial" w:eastAsia="Arial" w:hAnsi="Arial"/>
                <w:sz w:val="15"/>
                <w:szCs w:val="15"/>
                <w:b w:val="1"/>
                <w:bCs w:val="1"/>
                <w:color w:val="auto"/>
              </w:rPr>
              <w:t>VI.</w:t>
            </w:r>
          </w:p>
        </w:tc>
        <w:tc>
          <w:tcPr>
            <w:tcW w:w="5060" w:type="dxa"/>
            <w:vAlign w:val="bottom"/>
            <w:tcBorders>
              <w:right w:val="single" w:sz="8" w:color="auto"/>
            </w:tcBorders>
          </w:tcPr>
          <w:p>
            <w:pPr>
              <w:ind w:left="80"/>
              <w:spacing w:after="0"/>
              <w:rPr>
                <w:sz w:val="20"/>
                <w:szCs w:val="20"/>
                <w:color w:val="auto"/>
              </w:rPr>
            </w:pPr>
            <w:r>
              <w:rPr>
                <w:rFonts w:ascii="Arial" w:cs="Arial" w:eastAsia="Arial" w:hAnsi="Arial"/>
                <w:sz w:val="15"/>
                <w:szCs w:val="15"/>
                <w:b w:val="1"/>
                <w:bCs w:val="1"/>
                <w:color w:val="auto"/>
              </w:rPr>
              <w:t>AUDITORS</w:t>
            </w:r>
          </w:p>
        </w:tc>
        <w:tc>
          <w:tcPr>
            <w:tcW w:w="220" w:type="dxa"/>
            <w:vAlign w:val="bottom"/>
            <w:tcBorders>
              <w:right w:val="single" w:sz="8" w:color="auto"/>
            </w:tcBorders>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5"/>
                <w:szCs w:val="15"/>
                <w:b w:val="1"/>
                <w:bCs w:val="1"/>
                <w:color w:val="auto"/>
              </w:rPr>
              <w:t>VI.</w:t>
            </w:r>
          </w:p>
        </w:tc>
        <w:tc>
          <w:tcPr>
            <w:tcW w:w="5020" w:type="dxa"/>
            <w:vAlign w:val="bottom"/>
            <w:tcBorders>
              <w:right w:val="single" w:sz="8" w:color="auto"/>
            </w:tcBorders>
          </w:tcPr>
          <w:p>
            <w:pPr>
              <w:ind w:left="80"/>
              <w:spacing w:after="0"/>
              <w:rPr>
                <w:sz w:val="20"/>
                <w:szCs w:val="20"/>
                <w:color w:val="auto"/>
              </w:rPr>
            </w:pPr>
            <w:r>
              <w:rPr>
                <w:rFonts w:ascii="Arial" w:cs="Arial" w:eastAsia="Arial" w:hAnsi="Arial"/>
                <w:sz w:val="15"/>
                <w:szCs w:val="15"/>
                <w:b w:val="1"/>
                <w:bCs w:val="1"/>
                <w:color w:val="auto"/>
              </w:rPr>
              <w:t>ORGANE DE RÉVISION</w:t>
            </w:r>
          </w:p>
        </w:tc>
        <w:tc>
          <w:tcPr>
            <w:tcW w:w="0" w:type="dxa"/>
            <w:vAlign w:val="bottom"/>
          </w:tcPr>
          <w:p>
            <w:pPr>
              <w:spacing w:after="0"/>
              <w:rPr>
                <w:sz w:val="1"/>
                <w:szCs w:val="1"/>
                <w:color w:val="auto"/>
              </w:rPr>
            </w:pPr>
          </w:p>
        </w:tc>
      </w:tr>
      <w:tr>
        <w:trPr>
          <w:trHeight w:val="23"/>
        </w:trPr>
        <w:tc>
          <w:tcPr>
            <w:tcW w:w="560" w:type="dxa"/>
            <w:vAlign w:val="bottom"/>
            <w:tcBorders>
              <w:left w:val="single" w:sz="8" w:color="auto"/>
              <w:bottom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560" w:type="dxa"/>
            <w:vAlign w:val="bottom"/>
            <w:tcBorders>
              <w:left w:val="single" w:sz="8" w:color="auto"/>
            </w:tcBorders>
          </w:tcPr>
          <w:p>
            <w:pPr>
              <w:ind w:left="40"/>
              <w:spacing w:after="0"/>
              <w:rPr>
                <w:sz w:val="20"/>
                <w:szCs w:val="20"/>
                <w:color w:val="auto"/>
              </w:rPr>
            </w:pPr>
            <w:r>
              <w:rPr>
                <w:rFonts w:ascii="Arial" w:cs="Arial" w:eastAsia="Arial" w:hAnsi="Arial"/>
                <w:sz w:val="15"/>
                <w:szCs w:val="15"/>
                <w:b w:val="1"/>
                <w:bCs w:val="1"/>
                <w:color w:val="auto"/>
              </w:rPr>
              <w:t>Art. 30</w:t>
            </w:r>
          </w:p>
        </w:tc>
        <w:tc>
          <w:tcPr>
            <w:tcW w:w="5060" w:type="dxa"/>
            <w:vAlign w:val="bottom"/>
            <w:tcBorders>
              <w:right w:val="single" w:sz="8" w:color="auto"/>
            </w:tcBorders>
          </w:tcPr>
          <w:p>
            <w:pPr>
              <w:ind w:left="120"/>
              <w:spacing w:after="0"/>
              <w:rPr>
                <w:sz w:val="20"/>
                <w:szCs w:val="20"/>
                <w:color w:val="auto"/>
              </w:rPr>
            </w:pPr>
            <w:r>
              <w:rPr>
                <w:rFonts w:ascii="Arial" w:cs="Arial" w:eastAsia="Arial" w:hAnsi="Arial"/>
                <w:sz w:val="15"/>
                <w:szCs w:val="15"/>
                <w:b w:val="1"/>
                <w:bCs w:val="1"/>
                <w:color w:val="auto"/>
              </w:rPr>
              <w:t>Election, Term</w:t>
            </w:r>
          </w:p>
        </w:tc>
        <w:tc>
          <w:tcPr>
            <w:tcW w:w="220" w:type="dxa"/>
            <w:vAlign w:val="bottom"/>
            <w:tcBorders>
              <w:right w:val="single" w:sz="8" w:color="auto"/>
            </w:tcBorders>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5"/>
                <w:szCs w:val="15"/>
                <w:b w:val="1"/>
                <w:bCs w:val="1"/>
                <w:color w:val="auto"/>
              </w:rPr>
              <w:t>Art. 30</w:t>
            </w:r>
          </w:p>
        </w:tc>
        <w:tc>
          <w:tcPr>
            <w:tcW w:w="5020" w:type="dxa"/>
            <w:vAlign w:val="bottom"/>
            <w:tcBorders>
              <w:right w:val="single" w:sz="8" w:color="auto"/>
            </w:tcBorders>
          </w:tcPr>
          <w:p>
            <w:pPr>
              <w:ind w:left="140"/>
              <w:spacing w:after="0"/>
              <w:rPr>
                <w:sz w:val="20"/>
                <w:szCs w:val="20"/>
                <w:color w:val="auto"/>
              </w:rPr>
            </w:pPr>
            <w:r>
              <w:rPr>
                <w:rFonts w:ascii="Arial" w:cs="Arial" w:eastAsia="Arial" w:hAnsi="Arial"/>
                <w:sz w:val="15"/>
                <w:szCs w:val="15"/>
                <w:b w:val="1"/>
                <w:bCs w:val="1"/>
                <w:color w:val="auto"/>
              </w:rPr>
              <w:t>Élection, durée</w:t>
            </w:r>
          </w:p>
        </w:tc>
        <w:tc>
          <w:tcPr>
            <w:tcW w:w="0" w:type="dxa"/>
            <w:vAlign w:val="bottom"/>
          </w:tcPr>
          <w:p>
            <w:pPr>
              <w:spacing w:after="0"/>
              <w:rPr>
                <w:sz w:val="1"/>
                <w:szCs w:val="1"/>
                <w:color w:val="auto"/>
              </w:rPr>
            </w:pPr>
          </w:p>
        </w:tc>
      </w:tr>
      <w:tr>
        <w:trPr>
          <w:trHeight w:val="318"/>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The General Meeting shall elect one or more accountants as its Auditors in terms</w:t>
            </w:r>
          </w:p>
        </w:tc>
        <w:tc>
          <w:tcPr>
            <w:tcW w:w="22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L'assemblée générale nomme chaque année un ou plusieurs réviseurs comme</w:t>
            </w:r>
          </w:p>
        </w:tc>
        <w:tc>
          <w:tcPr>
            <w:tcW w:w="0" w:type="dxa"/>
            <w:vAlign w:val="bottom"/>
          </w:tcPr>
          <w:p>
            <w:pPr>
              <w:spacing w:after="0"/>
              <w:rPr>
                <w:sz w:val="1"/>
                <w:szCs w:val="1"/>
                <w:color w:val="auto"/>
              </w:rPr>
            </w:pPr>
          </w:p>
        </w:tc>
      </w:tr>
      <w:tr>
        <w:trPr>
          <w:trHeight w:val="189"/>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 xml:space="preserve">of Articles 727 </w:t>
            </w:r>
            <w:r>
              <w:rPr>
                <w:rFonts w:ascii="Arial" w:cs="Arial" w:eastAsia="Arial" w:hAnsi="Arial"/>
                <w:sz w:val="15"/>
                <w:szCs w:val="15"/>
                <w:i w:val="1"/>
                <w:iCs w:val="1"/>
                <w:color w:val="auto"/>
              </w:rPr>
              <w:t>et seq.</w:t>
            </w:r>
            <w:r>
              <w:rPr>
                <w:rFonts w:ascii="Arial" w:cs="Arial" w:eastAsia="Arial" w:hAnsi="Arial"/>
                <w:sz w:val="15"/>
                <w:szCs w:val="15"/>
                <w:color w:val="auto"/>
              </w:rPr>
              <w:t xml:space="preserve"> CO every year with the rights and duties determined by</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organe de révision selon les articles 727 ss. CO avec les droits et les devoirs</w:t>
            </w:r>
          </w:p>
        </w:tc>
        <w:tc>
          <w:tcPr>
            <w:tcW w:w="0" w:type="dxa"/>
            <w:vAlign w:val="bottom"/>
          </w:tcPr>
          <w:p>
            <w:pPr>
              <w:spacing w:after="0"/>
              <w:rPr>
                <w:sz w:val="1"/>
                <w:szCs w:val="1"/>
                <w:color w:val="auto"/>
              </w:rPr>
            </w:pPr>
          </w:p>
        </w:tc>
      </w:tr>
      <w:tr>
        <w:trPr>
          <w:trHeight w:val="185"/>
        </w:trPr>
        <w:tc>
          <w:tcPr>
            <w:tcW w:w="560" w:type="dxa"/>
            <w:vAlign w:val="bottom"/>
            <w:tcBorders>
              <w:left w:val="single" w:sz="8" w:color="auto"/>
            </w:tcBorders>
          </w:tcPr>
          <w:p>
            <w:pPr>
              <w:ind w:left="40"/>
              <w:spacing w:after="0"/>
              <w:rPr>
                <w:sz w:val="20"/>
                <w:szCs w:val="20"/>
                <w:color w:val="auto"/>
              </w:rPr>
            </w:pPr>
            <w:r>
              <w:rPr>
                <w:rFonts w:ascii="Arial" w:cs="Arial" w:eastAsia="Arial" w:hAnsi="Arial"/>
                <w:sz w:val="15"/>
                <w:szCs w:val="15"/>
                <w:color w:val="auto"/>
              </w:rPr>
              <w:t>law.</w:t>
            </w:r>
          </w:p>
        </w:tc>
        <w:tc>
          <w:tcPr>
            <w:tcW w:w="5060" w:type="dxa"/>
            <w:vAlign w:val="bottom"/>
            <w:tcBorders>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déterminés par la loi.</w:t>
            </w:r>
          </w:p>
        </w:tc>
        <w:tc>
          <w:tcPr>
            <w:tcW w:w="0" w:type="dxa"/>
            <w:vAlign w:val="bottom"/>
          </w:tcPr>
          <w:p>
            <w:pPr>
              <w:spacing w:after="0"/>
              <w:rPr>
                <w:sz w:val="1"/>
                <w:szCs w:val="1"/>
                <w:color w:val="auto"/>
              </w:rPr>
            </w:pPr>
          </w:p>
        </w:tc>
      </w:tr>
      <w:tr>
        <w:trPr>
          <w:trHeight w:val="196"/>
        </w:trPr>
        <w:tc>
          <w:tcPr>
            <w:tcW w:w="5620" w:type="dxa"/>
            <w:vAlign w:val="bottom"/>
            <w:tcBorders>
              <w:left w:val="single" w:sz="8" w:color="auto"/>
              <w:bottom w:val="single" w:sz="8" w:color="auto"/>
              <w:right w:val="single" w:sz="8" w:color="auto"/>
            </w:tcBorders>
            <w:gridSpan w:val="2"/>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600" w:type="dxa"/>
            <w:vAlign w:val="bottom"/>
            <w:tcBorders>
              <w:bottom w:val="single" w:sz="8" w:color="auto"/>
              <w:right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The General Meeting may appoint Special Auditors for a term of up to three</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L'assemblée générale peut nommer des réviseurs spéciaux pour une durée de</w:t>
            </w: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years who provide the attestations required for capital increases.</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trois  ans  au  maximum  qui  fournissent  les  attestations  requises  pour  les</w:t>
            </w:r>
          </w:p>
        </w:tc>
        <w:tc>
          <w:tcPr>
            <w:tcW w:w="0" w:type="dxa"/>
            <w:vAlign w:val="bottom"/>
          </w:tcPr>
          <w:p>
            <w:pPr>
              <w:spacing w:after="0"/>
              <w:rPr>
                <w:sz w:val="1"/>
                <w:szCs w:val="1"/>
                <w:color w:val="auto"/>
              </w:rPr>
            </w:pPr>
          </w:p>
        </w:tc>
      </w:tr>
      <w:tr>
        <w:trPr>
          <w:trHeight w:val="185"/>
        </w:trPr>
        <w:tc>
          <w:tcPr>
            <w:tcW w:w="560" w:type="dxa"/>
            <w:vAlign w:val="bottom"/>
            <w:tcBorders>
              <w:left w:val="single" w:sz="8" w:color="auto"/>
            </w:tcBorders>
          </w:tcPr>
          <w:p>
            <w:pPr>
              <w:spacing w:after="0"/>
              <w:rPr>
                <w:sz w:val="16"/>
                <w:szCs w:val="16"/>
                <w:color w:val="auto"/>
              </w:rPr>
            </w:pPr>
          </w:p>
        </w:tc>
        <w:tc>
          <w:tcPr>
            <w:tcW w:w="5060" w:type="dxa"/>
            <w:vAlign w:val="bottom"/>
            <w:tcBorders>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augmentations de capital.</w:t>
            </w:r>
          </w:p>
        </w:tc>
        <w:tc>
          <w:tcPr>
            <w:tcW w:w="0" w:type="dxa"/>
            <w:vAlign w:val="bottom"/>
          </w:tcPr>
          <w:p>
            <w:pPr>
              <w:spacing w:after="0"/>
              <w:rPr>
                <w:sz w:val="1"/>
                <w:szCs w:val="1"/>
                <w:color w:val="auto"/>
              </w:rPr>
            </w:pPr>
          </w:p>
        </w:tc>
      </w:tr>
      <w:tr>
        <w:trPr>
          <w:trHeight w:val="23"/>
        </w:trPr>
        <w:tc>
          <w:tcPr>
            <w:tcW w:w="560" w:type="dxa"/>
            <w:vAlign w:val="bottom"/>
            <w:tcBorders>
              <w:left w:val="single" w:sz="8" w:color="auto"/>
              <w:bottom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560" w:type="dxa"/>
            <w:vAlign w:val="bottom"/>
            <w:tcBorders>
              <w:left w:val="single" w:sz="8" w:color="auto"/>
            </w:tcBorders>
          </w:tcPr>
          <w:p>
            <w:pPr>
              <w:ind w:left="40"/>
              <w:spacing w:after="0"/>
              <w:rPr>
                <w:sz w:val="20"/>
                <w:szCs w:val="20"/>
                <w:color w:val="auto"/>
              </w:rPr>
            </w:pPr>
            <w:r>
              <w:rPr>
                <w:rFonts w:ascii="Arial" w:cs="Arial" w:eastAsia="Arial" w:hAnsi="Arial"/>
                <w:sz w:val="15"/>
                <w:szCs w:val="15"/>
                <w:b w:val="1"/>
                <w:bCs w:val="1"/>
                <w:color w:val="auto"/>
              </w:rPr>
              <w:t>Art. 31</w:t>
            </w:r>
          </w:p>
        </w:tc>
        <w:tc>
          <w:tcPr>
            <w:tcW w:w="5060" w:type="dxa"/>
            <w:vAlign w:val="bottom"/>
            <w:tcBorders>
              <w:right w:val="single" w:sz="8" w:color="auto"/>
            </w:tcBorders>
          </w:tcPr>
          <w:p>
            <w:pPr>
              <w:ind w:left="120"/>
              <w:spacing w:after="0"/>
              <w:rPr>
                <w:sz w:val="20"/>
                <w:szCs w:val="20"/>
                <w:color w:val="auto"/>
              </w:rPr>
            </w:pPr>
            <w:r>
              <w:rPr>
                <w:rFonts w:ascii="Arial" w:cs="Arial" w:eastAsia="Arial" w:hAnsi="Arial"/>
                <w:sz w:val="15"/>
                <w:szCs w:val="15"/>
                <w:b w:val="1"/>
                <w:bCs w:val="1"/>
                <w:color w:val="auto"/>
              </w:rPr>
              <w:t>Duties</w:t>
            </w:r>
          </w:p>
        </w:tc>
        <w:tc>
          <w:tcPr>
            <w:tcW w:w="220" w:type="dxa"/>
            <w:vAlign w:val="bottom"/>
            <w:tcBorders>
              <w:right w:val="single" w:sz="8" w:color="auto"/>
            </w:tcBorders>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5"/>
                <w:szCs w:val="15"/>
                <w:b w:val="1"/>
                <w:bCs w:val="1"/>
                <w:color w:val="auto"/>
              </w:rPr>
              <w:t>Art. 31</w:t>
            </w:r>
          </w:p>
        </w:tc>
        <w:tc>
          <w:tcPr>
            <w:tcW w:w="5020" w:type="dxa"/>
            <w:vAlign w:val="bottom"/>
            <w:tcBorders>
              <w:right w:val="single" w:sz="8" w:color="auto"/>
            </w:tcBorders>
          </w:tcPr>
          <w:p>
            <w:pPr>
              <w:ind w:left="140"/>
              <w:spacing w:after="0"/>
              <w:rPr>
                <w:sz w:val="20"/>
                <w:szCs w:val="20"/>
                <w:color w:val="auto"/>
              </w:rPr>
            </w:pPr>
            <w:r>
              <w:rPr>
                <w:rFonts w:ascii="Arial" w:cs="Arial" w:eastAsia="Arial" w:hAnsi="Arial"/>
                <w:sz w:val="15"/>
                <w:szCs w:val="15"/>
                <w:b w:val="1"/>
                <w:bCs w:val="1"/>
                <w:color w:val="auto"/>
              </w:rPr>
              <w:t>Fonctions</w:t>
            </w:r>
          </w:p>
        </w:tc>
        <w:tc>
          <w:tcPr>
            <w:tcW w:w="0" w:type="dxa"/>
            <w:vAlign w:val="bottom"/>
          </w:tcPr>
          <w:p>
            <w:pPr>
              <w:spacing w:after="0"/>
              <w:rPr>
                <w:sz w:val="1"/>
                <w:szCs w:val="1"/>
                <w:color w:val="auto"/>
              </w:rPr>
            </w:pPr>
          </w:p>
        </w:tc>
      </w:tr>
      <w:tr>
        <w:trPr>
          <w:trHeight w:val="334"/>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The  Auditors  shall  perform  their  duties  to  audit  and  report  whether  the</w:t>
            </w:r>
          </w:p>
        </w:tc>
        <w:tc>
          <w:tcPr>
            <w:tcW w:w="22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L'organe de révision vérifie et rapporte si la comptabilité, les comptes annuels et</w:t>
            </w: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accounting, the annual accounts and the proposal regarding allocation of profits</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la proposition relative à la répartition des bénéfices sont en conformité avec la loi</w:t>
            </w:r>
          </w:p>
        </w:tc>
        <w:tc>
          <w:tcPr>
            <w:tcW w:w="0" w:type="dxa"/>
            <w:vAlign w:val="bottom"/>
          </w:tcPr>
          <w:p>
            <w:pPr>
              <w:spacing w:after="0"/>
              <w:rPr>
                <w:sz w:val="1"/>
                <w:szCs w:val="1"/>
                <w:color w:val="auto"/>
              </w:rPr>
            </w:pPr>
          </w:p>
        </w:tc>
      </w:tr>
      <w:tr>
        <w:trPr>
          <w:trHeight w:val="185"/>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are in accordance with law and the Articles of Association.</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et les statuts.</w:t>
            </w:r>
          </w:p>
        </w:tc>
        <w:tc>
          <w:tcPr>
            <w:tcW w:w="0" w:type="dxa"/>
            <w:vAlign w:val="bottom"/>
          </w:tcPr>
          <w:p>
            <w:pPr>
              <w:spacing w:after="0"/>
              <w:rPr>
                <w:sz w:val="1"/>
                <w:szCs w:val="1"/>
                <w:color w:val="auto"/>
              </w:rPr>
            </w:pPr>
          </w:p>
        </w:tc>
      </w:tr>
      <w:tr>
        <w:trPr>
          <w:trHeight w:val="196"/>
        </w:trPr>
        <w:tc>
          <w:tcPr>
            <w:tcW w:w="560" w:type="dxa"/>
            <w:vAlign w:val="bottom"/>
            <w:tcBorders>
              <w:left w:val="single" w:sz="8" w:color="auto"/>
              <w:bottom w:val="single" w:sz="8" w:color="auto"/>
            </w:tcBorders>
          </w:tcPr>
          <w:p>
            <w:pPr>
              <w:spacing w:after="0"/>
              <w:rPr>
                <w:sz w:val="17"/>
                <w:szCs w:val="17"/>
                <w:color w:val="auto"/>
              </w:rPr>
            </w:pPr>
          </w:p>
        </w:tc>
        <w:tc>
          <w:tcPr>
            <w:tcW w:w="506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50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60" w:type="dxa"/>
            <w:vAlign w:val="bottom"/>
            <w:tcBorders>
              <w:left w:val="single" w:sz="8" w:color="auto"/>
            </w:tcBorders>
          </w:tcPr>
          <w:p>
            <w:pPr>
              <w:spacing w:after="0"/>
              <w:rPr>
                <w:sz w:val="20"/>
                <w:szCs w:val="20"/>
                <w:color w:val="auto"/>
              </w:rPr>
            </w:pPr>
            <w:r>
              <w:rPr>
                <w:rFonts w:ascii="Arial" w:cs="Arial" w:eastAsia="Arial" w:hAnsi="Arial"/>
                <w:sz w:val="15"/>
                <w:szCs w:val="15"/>
                <w:b w:val="1"/>
                <w:bCs w:val="1"/>
                <w:color w:val="auto"/>
              </w:rPr>
              <w:t>VII.</w:t>
            </w:r>
          </w:p>
        </w:tc>
        <w:tc>
          <w:tcPr>
            <w:tcW w:w="5060" w:type="dxa"/>
            <w:vAlign w:val="bottom"/>
            <w:tcBorders>
              <w:right w:val="single" w:sz="8" w:color="auto"/>
            </w:tcBorders>
          </w:tcPr>
          <w:p>
            <w:pPr>
              <w:ind w:left="60"/>
              <w:spacing w:after="0"/>
              <w:rPr>
                <w:sz w:val="20"/>
                <w:szCs w:val="20"/>
                <w:color w:val="auto"/>
              </w:rPr>
            </w:pPr>
            <w:r>
              <w:rPr>
                <w:rFonts w:ascii="Arial" w:cs="Arial" w:eastAsia="Arial" w:hAnsi="Arial"/>
                <w:sz w:val="15"/>
                <w:szCs w:val="15"/>
                <w:b w:val="1"/>
                <w:bCs w:val="1"/>
                <w:color w:val="auto"/>
              </w:rPr>
              <w:t>COMPENSATION AND RELATED PROVISIONS</w:t>
            </w:r>
          </w:p>
        </w:tc>
        <w:tc>
          <w:tcPr>
            <w:tcW w:w="220" w:type="dxa"/>
            <w:vAlign w:val="bottom"/>
            <w:tcBorders>
              <w:right w:val="single" w:sz="8" w:color="auto"/>
            </w:tcBorders>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5"/>
                <w:szCs w:val="15"/>
                <w:b w:val="1"/>
                <w:bCs w:val="1"/>
                <w:color w:val="auto"/>
              </w:rPr>
              <w:t>VII.</w:t>
            </w:r>
          </w:p>
        </w:tc>
        <w:tc>
          <w:tcPr>
            <w:tcW w:w="5020" w:type="dxa"/>
            <w:vAlign w:val="bottom"/>
            <w:tcBorders>
              <w:right w:val="single" w:sz="8" w:color="auto"/>
            </w:tcBorders>
          </w:tcPr>
          <w:p>
            <w:pPr>
              <w:ind w:left="80"/>
              <w:spacing w:after="0"/>
              <w:rPr>
                <w:sz w:val="20"/>
                <w:szCs w:val="20"/>
                <w:color w:val="auto"/>
              </w:rPr>
            </w:pPr>
            <w:r>
              <w:rPr>
                <w:rFonts w:ascii="Arial" w:cs="Arial" w:eastAsia="Arial" w:hAnsi="Arial"/>
                <w:sz w:val="15"/>
                <w:szCs w:val="15"/>
                <w:b w:val="1"/>
                <w:bCs w:val="1"/>
                <w:color w:val="auto"/>
              </w:rPr>
              <w:t>RÉMUNÉRATION ET DISPOSITIONS ANALOGUES</w:t>
            </w:r>
          </w:p>
        </w:tc>
        <w:tc>
          <w:tcPr>
            <w:tcW w:w="0" w:type="dxa"/>
            <w:vAlign w:val="bottom"/>
          </w:tcPr>
          <w:p>
            <w:pPr>
              <w:spacing w:after="0"/>
              <w:rPr>
                <w:sz w:val="1"/>
                <w:szCs w:val="1"/>
                <w:color w:val="auto"/>
              </w:rPr>
            </w:pPr>
          </w:p>
        </w:tc>
      </w:tr>
      <w:tr>
        <w:trPr>
          <w:trHeight w:val="23"/>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Art. 32  Principles of the Compensation of the Board of Directors</w:t>
            </w:r>
          </w:p>
        </w:tc>
        <w:tc>
          <w:tcPr>
            <w:tcW w:w="2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Art. 32   Principes de rémunération du conseil d'administration</w:t>
            </w:r>
          </w:p>
        </w:tc>
        <w:tc>
          <w:tcPr>
            <w:tcW w:w="0" w:type="dxa"/>
            <w:vAlign w:val="bottom"/>
          </w:tcPr>
          <w:p>
            <w:pPr>
              <w:spacing w:after="0"/>
              <w:rPr>
                <w:sz w:val="1"/>
                <w:szCs w:val="1"/>
                <w:color w:val="auto"/>
              </w:rPr>
            </w:pPr>
          </w:p>
        </w:tc>
      </w:tr>
      <w:tr>
        <w:trPr>
          <w:trHeight w:val="334"/>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The compensation payable to the members of the Board of Directors comprises,</w:t>
            </w:r>
          </w:p>
        </w:tc>
        <w:tc>
          <w:tcPr>
            <w:tcW w:w="22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La rémunération des membres du conseil d'administration comprend, sous</w:t>
            </w: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subject to and within the bounds of the approval by the General Meeting of the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réserve et dans les limites de l'approbation de la rémunération totale par</w:t>
            </w:r>
          </w:p>
        </w:tc>
        <w:tc>
          <w:tcPr>
            <w:tcW w:w="0" w:type="dxa"/>
            <w:vAlign w:val="bottom"/>
          </w:tcPr>
          <w:p>
            <w:pPr>
              <w:spacing w:after="0"/>
              <w:rPr>
                <w:sz w:val="1"/>
                <w:szCs w:val="1"/>
                <w:color w:val="auto"/>
              </w:rPr>
            </w:pPr>
          </w:p>
        </w:tc>
      </w:tr>
      <w:tr>
        <w:trPr>
          <w:trHeight w:val="185"/>
        </w:trPr>
        <w:tc>
          <w:tcPr>
            <w:tcW w:w="560" w:type="dxa"/>
            <w:vAlign w:val="bottom"/>
            <w:tcBorders>
              <w:left w:val="single" w:sz="8" w:color="auto"/>
            </w:tcBorders>
          </w:tcPr>
          <w:p>
            <w:pPr>
              <w:ind w:left="40"/>
              <w:spacing w:after="0"/>
              <w:rPr>
                <w:sz w:val="20"/>
                <w:szCs w:val="20"/>
                <w:color w:val="auto"/>
              </w:rPr>
            </w:pPr>
            <w:r>
              <w:rPr>
                <w:rFonts w:ascii="Arial" w:cs="Arial" w:eastAsia="Arial" w:hAnsi="Arial"/>
                <w:sz w:val="15"/>
                <w:szCs w:val="15"/>
                <w:color w:val="auto"/>
              </w:rPr>
              <w:t>total</w:t>
            </w:r>
          </w:p>
        </w:tc>
        <w:tc>
          <w:tcPr>
            <w:tcW w:w="5060" w:type="dxa"/>
            <w:vAlign w:val="bottom"/>
            <w:tcBorders>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l'assemblée</w:t>
            </w:r>
          </w:p>
        </w:tc>
        <w:tc>
          <w:tcPr>
            <w:tcW w:w="0" w:type="dxa"/>
            <w:vAlign w:val="bottom"/>
          </w:tcPr>
          <w:p>
            <w:pPr>
              <w:spacing w:after="0"/>
              <w:rPr>
                <w:sz w:val="1"/>
                <w:szCs w:val="1"/>
                <w:color w:val="auto"/>
              </w:rPr>
            </w:pPr>
          </w:p>
        </w:tc>
      </w:tr>
      <w:tr>
        <w:trPr>
          <w:trHeight w:val="196"/>
        </w:trPr>
        <w:tc>
          <w:tcPr>
            <w:tcW w:w="560" w:type="dxa"/>
            <w:vAlign w:val="bottom"/>
            <w:tcBorders>
              <w:left w:val="single" w:sz="8" w:color="auto"/>
              <w:bottom w:val="single" w:sz="8" w:color="auto"/>
            </w:tcBorders>
          </w:tcPr>
          <w:p>
            <w:pPr>
              <w:spacing w:after="0"/>
              <w:rPr>
                <w:sz w:val="17"/>
                <w:szCs w:val="17"/>
                <w:color w:val="auto"/>
              </w:rPr>
            </w:pPr>
          </w:p>
        </w:tc>
        <w:tc>
          <w:tcPr>
            <w:tcW w:w="506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50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99"/>
        </w:trPr>
        <w:tc>
          <w:tcPr>
            <w:tcW w:w="56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31" w:right="219" w:bottom="1440" w:gutter="0" w:footer="0" w:header="0"/>
        </w:sectPr>
      </w:pPr>
    </w:p>
    <w:bookmarkStart w:id="57" w:name="page58"/>
    <w:bookmarkEnd w:id="5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30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300" w:type="dxa"/>
            <w:vAlign w:val="bottom"/>
          </w:tcPr>
          <w:p>
            <w:pPr>
              <w:jc w:val="right"/>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289"/>
        </w:trPr>
        <w:tc>
          <w:tcPr>
            <w:tcW w:w="5620" w:type="dxa"/>
            <w:vAlign w:val="bottom"/>
            <w:tcBorders>
              <w:bottom w:val="single" w:sz="8" w:color="auto"/>
            </w:tcBorders>
            <w:gridSpan w:val="2"/>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compensation, the following elements:</w:t>
            </w:r>
          </w:p>
        </w:tc>
        <w:tc>
          <w:tcPr>
            <w:tcW w:w="2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générale, les éléments suivants:</w:t>
            </w:r>
          </w:p>
        </w:tc>
        <w:tc>
          <w:tcPr>
            <w:tcW w:w="0" w:type="dxa"/>
            <w:vAlign w:val="bottom"/>
          </w:tcPr>
          <w:p>
            <w:pPr>
              <w:spacing w:after="0"/>
              <w:rPr>
                <w:sz w:val="1"/>
                <w:szCs w:val="1"/>
                <w:color w:val="auto"/>
              </w:rPr>
            </w:pPr>
          </w:p>
        </w:tc>
      </w:tr>
      <w:tr>
        <w:trPr>
          <w:trHeight w:val="346"/>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a)   a fixed basic remuneration;</w:t>
            </w:r>
          </w:p>
        </w:tc>
        <w:tc>
          <w:tcPr>
            <w:tcW w:w="220" w:type="dxa"/>
            <w:vAlign w:val="bottom"/>
            <w:tcBorders>
              <w:right w:val="single" w:sz="8" w:color="auto"/>
            </w:tcBorders>
          </w:tcPr>
          <w:p>
            <w:pPr>
              <w:spacing w:after="0"/>
              <w:rPr>
                <w:sz w:val="24"/>
                <w:szCs w:val="24"/>
                <w:color w:val="auto"/>
              </w:rPr>
            </w:pPr>
          </w:p>
        </w:tc>
        <w:tc>
          <w:tcPr>
            <w:tcW w:w="300" w:type="dxa"/>
            <w:vAlign w:val="bottom"/>
          </w:tcPr>
          <w:p>
            <w:pPr>
              <w:ind w:left="40"/>
              <w:spacing w:after="0"/>
              <w:rPr>
                <w:sz w:val="20"/>
                <w:szCs w:val="20"/>
                <w:color w:val="auto"/>
              </w:rPr>
            </w:pPr>
            <w:r>
              <w:rPr>
                <w:rFonts w:ascii="Arial" w:cs="Arial" w:eastAsia="Arial" w:hAnsi="Arial"/>
                <w:sz w:val="15"/>
                <w:szCs w:val="15"/>
                <w:color w:val="auto"/>
              </w:rPr>
              <w:t>a)</w:t>
            </w:r>
          </w:p>
        </w:tc>
        <w:tc>
          <w:tcPr>
            <w:tcW w:w="530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une rémunération fixe de base;</w:t>
            </w:r>
          </w:p>
        </w:tc>
        <w:tc>
          <w:tcPr>
            <w:tcW w:w="0" w:type="dxa"/>
            <w:vAlign w:val="bottom"/>
          </w:tcPr>
          <w:p>
            <w:pPr>
              <w:spacing w:after="0"/>
              <w:rPr>
                <w:sz w:val="1"/>
                <w:szCs w:val="1"/>
                <w:color w:val="auto"/>
              </w:rPr>
            </w:pPr>
          </w:p>
        </w:tc>
      </w:tr>
      <w:tr>
        <w:trPr>
          <w:trHeight w:val="334"/>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b)   a fixed committee fee for work in a committee of the Board of Directors;</w:t>
            </w:r>
          </w:p>
        </w:tc>
        <w:tc>
          <w:tcPr>
            <w:tcW w:w="220" w:type="dxa"/>
            <w:vAlign w:val="bottom"/>
            <w:tcBorders>
              <w:right w:val="single" w:sz="8" w:color="auto"/>
            </w:tcBorders>
          </w:tcPr>
          <w:p>
            <w:pPr>
              <w:spacing w:after="0"/>
              <w:rPr>
                <w:sz w:val="24"/>
                <w:szCs w:val="24"/>
                <w:color w:val="auto"/>
              </w:rPr>
            </w:pPr>
          </w:p>
        </w:tc>
        <w:tc>
          <w:tcPr>
            <w:tcW w:w="300" w:type="dxa"/>
            <w:vAlign w:val="bottom"/>
          </w:tcPr>
          <w:p>
            <w:pPr>
              <w:ind w:left="40"/>
              <w:spacing w:after="0"/>
              <w:rPr>
                <w:sz w:val="20"/>
                <w:szCs w:val="20"/>
                <w:color w:val="auto"/>
              </w:rPr>
            </w:pPr>
            <w:r>
              <w:rPr>
                <w:rFonts w:ascii="Arial" w:cs="Arial" w:eastAsia="Arial" w:hAnsi="Arial"/>
                <w:sz w:val="15"/>
                <w:szCs w:val="15"/>
                <w:color w:val="auto"/>
              </w:rPr>
              <w:t>b)</w:t>
            </w:r>
          </w:p>
        </w:tc>
        <w:tc>
          <w:tcPr>
            <w:tcW w:w="530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des frais de commission fixes pour le travail dans un comité du conseil</w:t>
            </w:r>
          </w:p>
        </w:tc>
        <w:tc>
          <w:tcPr>
            <w:tcW w:w="0" w:type="dxa"/>
            <w:vAlign w:val="bottom"/>
          </w:tcPr>
          <w:p>
            <w:pPr>
              <w:spacing w:after="0"/>
              <w:rPr>
                <w:sz w:val="1"/>
                <w:szCs w:val="1"/>
                <w:color w:val="auto"/>
              </w:rPr>
            </w:pPr>
          </w:p>
        </w:tc>
      </w:tr>
      <w:tr>
        <w:trPr>
          <w:trHeight w:val="185"/>
        </w:trPr>
        <w:tc>
          <w:tcPr>
            <w:tcW w:w="5620" w:type="dxa"/>
            <w:vAlign w:val="bottom"/>
            <w:tcBorders>
              <w:left w:val="single" w:sz="8" w:color="auto"/>
              <w:right w:val="single" w:sz="8" w:color="auto"/>
            </w:tcBorders>
            <w:gridSpan w:val="2"/>
            <w:vMerge w:val="restart"/>
          </w:tcPr>
          <w:p>
            <w:pPr>
              <w:ind w:left="40"/>
              <w:spacing w:after="0"/>
              <w:rPr>
                <w:sz w:val="20"/>
                <w:szCs w:val="20"/>
                <w:color w:val="auto"/>
              </w:rPr>
            </w:pPr>
            <w:r>
              <w:rPr>
                <w:rFonts w:ascii="Arial" w:cs="Arial" w:eastAsia="Arial" w:hAnsi="Arial"/>
                <w:sz w:val="15"/>
                <w:szCs w:val="15"/>
                <w:color w:val="auto"/>
              </w:rPr>
              <w:t>c)   a lump sum compensation for expenses;</w:t>
            </w:r>
          </w:p>
        </w:tc>
        <w:tc>
          <w:tcPr>
            <w:tcW w:w="22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530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d'administration;</w:t>
            </w: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gridSpan w:val="2"/>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5"/>
                <w:szCs w:val="15"/>
                <w:color w:val="auto"/>
              </w:rPr>
              <w:t>c)   une compensation forfaitaire pour les dépenses;</w:t>
            </w:r>
          </w:p>
        </w:tc>
        <w:tc>
          <w:tcPr>
            <w:tcW w:w="0" w:type="dxa"/>
            <w:vAlign w:val="bottom"/>
          </w:tcPr>
          <w:p>
            <w:pPr>
              <w:spacing w:after="0"/>
              <w:rPr>
                <w:sz w:val="1"/>
                <w:szCs w:val="1"/>
                <w:color w:val="auto"/>
              </w:rPr>
            </w:pPr>
          </w:p>
        </w:tc>
      </w:tr>
      <w:tr>
        <w:trPr>
          <w:trHeight w:val="173"/>
        </w:trPr>
        <w:tc>
          <w:tcPr>
            <w:tcW w:w="300" w:type="dxa"/>
            <w:vAlign w:val="bottom"/>
            <w:tcBorders>
              <w:left w:val="single" w:sz="8" w:color="auto"/>
            </w:tcBorders>
            <w:vMerge w:val="restart"/>
          </w:tcPr>
          <w:p>
            <w:pPr>
              <w:ind w:left="40"/>
              <w:spacing w:after="0"/>
              <w:rPr>
                <w:sz w:val="20"/>
                <w:szCs w:val="20"/>
                <w:color w:val="auto"/>
              </w:rPr>
            </w:pPr>
            <w:r>
              <w:rPr>
                <w:rFonts w:ascii="Arial" w:cs="Arial" w:eastAsia="Arial" w:hAnsi="Arial"/>
                <w:sz w:val="15"/>
                <w:szCs w:val="15"/>
                <w:color w:val="auto"/>
              </w:rPr>
              <w:t>d)</w:t>
            </w:r>
          </w:p>
        </w:tc>
        <w:tc>
          <w:tcPr>
            <w:tcW w:w="5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5"/>
                <w:szCs w:val="15"/>
                <w:color w:val="auto"/>
              </w:rPr>
              <w:t>a number of options or shares in the Company, as further outlined in Art.</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00" w:type="dxa"/>
            <w:vAlign w:val="bottom"/>
            <w:tcBorders>
              <w:left w:val="single" w:sz="8" w:color="auto"/>
            </w:tcBorders>
            <w:vMerge w:val="continue"/>
          </w:tcPr>
          <w:p>
            <w:pPr>
              <w:spacing w:after="0"/>
              <w:rPr>
                <w:sz w:val="13"/>
                <w:szCs w:val="13"/>
                <w:color w:val="auto"/>
              </w:rPr>
            </w:pPr>
          </w:p>
        </w:tc>
        <w:tc>
          <w:tcPr>
            <w:tcW w:w="5320" w:type="dxa"/>
            <w:vAlign w:val="bottom"/>
            <w:tcBorders>
              <w:right w:val="single" w:sz="8" w:color="auto"/>
            </w:tcBorders>
            <w:vMerge w:val="continue"/>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53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00" w:type="dxa"/>
            <w:vAlign w:val="bottom"/>
            <w:tcBorders>
              <w:left w:val="single" w:sz="8" w:color="auto"/>
            </w:tcBorders>
          </w:tcPr>
          <w:p>
            <w:pPr>
              <w:spacing w:after="0"/>
              <w:rPr>
                <w:sz w:val="15"/>
                <w:szCs w:val="15"/>
                <w:color w:val="auto"/>
              </w:rPr>
            </w:pPr>
          </w:p>
        </w:tc>
        <w:tc>
          <w:tcPr>
            <w:tcW w:w="5320" w:type="dxa"/>
            <w:vAlign w:val="bottom"/>
            <w:tcBorders>
              <w:right w:val="single" w:sz="8" w:color="auto"/>
            </w:tcBorders>
          </w:tcPr>
          <w:p>
            <w:pPr>
              <w:jc w:val="right"/>
              <w:ind w:right="4903"/>
              <w:spacing w:after="0"/>
              <w:rPr>
                <w:sz w:val="20"/>
                <w:szCs w:val="20"/>
                <w:color w:val="auto"/>
              </w:rPr>
            </w:pPr>
            <w:r>
              <w:rPr>
                <w:rFonts w:ascii="Arial" w:cs="Arial" w:eastAsia="Arial" w:hAnsi="Arial"/>
                <w:sz w:val="15"/>
                <w:szCs w:val="15"/>
                <w:color w:val="auto"/>
              </w:rPr>
              <w:t>41.</w:t>
            </w:r>
          </w:p>
        </w:tc>
        <w:tc>
          <w:tcPr>
            <w:tcW w:w="220" w:type="dxa"/>
            <w:vAlign w:val="bottom"/>
            <w:tcBorders>
              <w:right w:val="single" w:sz="8" w:color="auto"/>
            </w:tcBorders>
          </w:tcPr>
          <w:p>
            <w:pPr>
              <w:spacing w:after="0"/>
              <w:rPr>
                <w:sz w:val="15"/>
                <w:szCs w:val="15"/>
                <w:color w:val="auto"/>
              </w:rPr>
            </w:pPr>
          </w:p>
        </w:tc>
        <w:tc>
          <w:tcPr>
            <w:tcW w:w="300" w:type="dxa"/>
            <w:vAlign w:val="bottom"/>
          </w:tcPr>
          <w:p>
            <w:pPr>
              <w:ind w:left="40"/>
              <w:spacing w:after="0"/>
              <w:rPr>
                <w:sz w:val="20"/>
                <w:szCs w:val="20"/>
                <w:color w:val="auto"/>
              </w:rPr>
            </w:pPr>
            <w:r>
              <w:rPr>
                <w:rFonts w:ascii="Arial" w:cs="Arial" w:eastAsia="Arial" w:hAnsi="Arial"/>
                <w:sz w:val="15"/>
                <w:szCs w:val="15"/>
                <w:color w:val="auto"/>
              </w:rPr>
              <w:t>d)</w:t>
            </w:r>
          </w:p>
        </w:tc>
        <w:tc>
          <w:tcPr>
            <w:tcW w:w="530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un nombre d'actions ou d'options dans la société, comme détaillée à l'art.</w:t>
            </w:r>
          </w:p>
        </w:tc>
        <w:tc>
          <w:tcPr>
            <w:tcW w:w="0" w:type="dxa"/>
            <w:vAlign w:val="bottom"/>
          </w:tcPr>
          <w:p>
            <w:pPr>
              <w:spacing w:after="0"/>
              <w:rPr>
                <w:sz w:val="1"/>
                <w:szCs w:val="1"/>
                <w:color w:val="auto"/>
              </w:rPr>
            </w:pPr>
          </w:p>
        </w:tc>
      </w:tr>
      <w:tr>
        <w:trPr>
          <w:trHeight w:val="185"/>
        </w:trPr>
        <w:tc>
          <w:tcPr>
            <w:tcW w:w="300" w:type="dxa"/>
            <w:vAlign w:val="bottom"/>
            <w:tcBorders>
              <w:left w:val="single" w:sz="8" w:color="auto"/>
            </w:tcBorders>
          </w:tcPr>
          <w:p>
            <w:pPr>
              <w:spacing w:after="0"/>
              <w:rPr>
                <w:sz w:val="16"/>
                <w:szCs w:val="16"/>
                <w:color w:val="auto"/>
              </w:rPr>
            </w:pPr>
          </w:p>
        </w:tc>
        <w:tc>
          <w:tcPr>
            <w:tcW w:w="5320" w:type="dxa"/>
            <w:vAlign w:val="bottom"/>
            <w:tcBorders>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530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41.</w:t>
            </w:r>
          </w:p>
        </w:tc>
        <w:tc>
          <w:tcPr>
            <w:tcW w:w="0" w:type="dxa"/>
            <w:vAlign w:val="bottom"/>
          </w:tcPr>
          <w:p>
            <w:pPr>
              <w:spacing w:after="0"/>
              <w:rPr>
                <w:sz w:val="1"/>
                <w:szCs w:val="1"/>
                <w:color w:val="auto"/>
              </w:rPr>
            </w:pPr>
          </w:p>
        </w:tc>
      </w:tr>
      <w:tr>
        <w:trPr>
          <w:trHeight w:val="196"/>
        </w:trPr>
        <w:tc>
          <w:tcPr>
            <w:tcW w:w="5620" w:type="dxa"/>
            <w:vAlign w:val="bottom"/>
            <w:tcBorders>
              <w:left w:val="single" w:sz="8" w:color="auto"/>
              <w:bottom w:val="single" w:sz="8" w:color="auto"/>
              <w:right w:val="single" w:sz="8" w:color="auto"/>
            </w:tcBorders>
            <w:gridSpan w:val="2"/>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600" w:type="dxa"/>
            <w:vAlign w:val="bottom"/>
            <w:tcBorders>
              <w:bottom w:val="single" w:sz="8" w:color="auto"/>
              <w:right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The compensation is paid in cash and in form of options or shares in the</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La rémunération est versée en espèces et sous forme d'options ou d'actions de</w:t>
            </w: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Company.  The  board  of  directors  or,  to  the  extent  delegated  to  it,  the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la société. Le conseil d'administration ou, en cas de délégation des fonctions, le</w:t>
            </w: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compensation  committee  shall  determine  grant,  exercise  and  forfeiture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comité de rémunération doit fixer les conditions de l'octroi, de l'exercice et de la</w:t>
            </w: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conditions. In particular, they may provide for continuation, acceleration or</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péremption. En particulier, il peut prévoir la poursuite, l'accélération ou la</w:t>
            </w: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removal of vesting, exercise and forfeiture conditions, for payment or grant of</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suppression des conditions d'acquisition, d'exercice et de péremption, pour le</w:t>
            </w: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compensation based upon assumed target achievement, or for forfeiture, in each</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paiement ou l'octroi d'une rémunération basée sur la réalisation des objectifs</w:t>
            </w: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case in the event of pre-determined events such as a change-of-control or</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supposés, ou pour la péremption, dans chaque cas, dans le cas d'événements</w:t>
            </w: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termination of an employment or mandate agreement. The Company may</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prédéterminés tels qu'un changement de contrôle ou la résiliation d'un contrat de</w:t>
            </w: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procure the required shares through purchases in the market, from treasury</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travail ou d'un mandat. La société peut fournir les actions nécessaires par des</w:t>
            </w: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shares or by using contingent or authorized share capital.</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achats sur le marché, par ses actions propres ou en utilisant du capital</w:t>
            </w:r>
          </w:p>
        </w:tc>
        <w:tc>
          <w:tcPr>
            <w:tcW w:w="0" w:type="dxa"/>
            <w:vAlign w:val="bottom"/>
          </w:tcPr>
          <w:p>
            <w:pPr>
              <w:spacing w:after="0"/>
              <w:rPr>
                <w:sz w:val="1"/>
                <w:szCs w:val="1"/>
                <w:color w:val="auto"/>
              </w:rPr>
            </w:pPr>
          </w:p>
        </w:tc>
      </w:tr>
      <w:tr>
        <w:trPr>
          <w:trHeight w:val="185"/>
        </w:trPr>
        <w:tc>
          <w:tcPr>
            <w:tcW w:w="300" w:type="dxa"/>
            <w:vAlign w:val="bottom"/>
            <w:tcBorders>
              <w:left w:val="single" w:sz="8" w:color="auto"/>
            </w:tcBorders>
          </w:tcPr>
          <w:p>
            <w:pPr>
              <w:spacing w:after="0"/>
              <w:rPr>
                <w:sz w:val="16"/>
                <w:szCs w:val="16"/>
                <w:color w:val="auto"/>
              </w:rPr>
            </w:pPr>
          </w:p>
        </w:tc>
        <w:tc>
          <w:tcPr>
            <w:tcW w:w="5320" w:type="dxa"/>
            <w:vAlign w:val="bottom"/>
            <w:tcBorders>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conditionnel ou autorisé.</w:t>
            </w:r>
          </w:p>
        </w:tc>
        <w:tc>
          <w:tcPr>
            <w:tcW w:w="0" w:type="dxa"/>
            <w:vAlign w:val="bottom"/>
          </w:tcPr>
          <w:p>
            <w:pPr>
              <w:spacing w:after="0"/>
              <w:rPr>
                <w:sz w:val="1"/>
                <w:szCs w:val="1"/>
                <w:color w:val="auto"/>
              </w:rPr>
            </w:pPr>
          </w:p>
        </w:tc>
      </w:tr>
      <w:tr>
        <w:trPr>
          <w:trHeight w:val="23"/>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Subject to the approval by the General Meeting, the members of the Board of</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Sous réserve de l'approbation par l'assemblée générale, les membres du conseil</w:t>
            </w: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Directors may receive remuneration in cash at customary conditions for advisory</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d'administration  peuvent  recevoir  une  rémunération  en  espèces  dans  les</w:t>
            </w: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services rendered outside their capacity as Board member for the benefit of the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conditions habituelles pour des services consultatifs rendus en-dehors de leur</w:t>
            </w: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Company or companies under its control. The General Meeting may approve an</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qualité de membre du conseil pour le bénéfice de la société ou des sociétés</w:t>
            </w: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additional bonus for the members of the Board of Directors in exceptional cases.</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sous  son  contrôle.  L'assemblée  générale  peut  approuver  un  bonus</w:t>
            </w:r>
          </w:p>
        </w:tc>
        <w:tc>
          <w:tcPr>
            <w:tcW w:w="0" w:type="dxa"/>
            <w:vAlign w:val="bottom"/>
          </w:tcPr>
          <w:p>
            <w:pPr>
              <w:spacing w:after="0"/>
              <w:rPr>
                <w:sz w:val="1"/>
                <w:szCs w:val="1"/>
                <w:color w:val="auto"/>
              </w:rPr>
            </w:pPr>
          </w:p>
        </w:tc>
      </w:tr>
      <w:tr>
        <w:trPr>
          <w:trHeight w:val="173"/>
        </w:trPr>
        <w:tc>
          <w:tcPr>
            <w:tcW w:w="300" w:type="dxa"/>
            <w:vAlign w:val="bottom"/>
            <w:tcBorders>
              <w:left w:val="single" w:sz="8" w:color="auto"/>
            </w:tcBorders>
          </w:tcPr>
          <w:p>
            <w:pPr>
              <w:spacing w:after="0"/>
              <w:rPr>
                <w:sz w:val="15"/>
                <w:szCs w:val="15"/>
                <w:color w:val="auto"/>
              </w:rPr>
            </w:pPr>
          </w:p>
        </w:tc>
        <w:tc>
          <w:tcPr>
            <w:tcW w:w="5320" w:type="dxa"/>
            <w:vAlign w:val="bottom"/>
            <w:tcBorders>
              <w:right w:val="single" w:sz="8" w:color="auto"/>
            </w:tcBorders>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supplémentaire pour les membres du conseil d'administration dans des cas</w:t>
            </w:r>
          </w:p>
        </w:tc>
        <w:tc>
          <w:tcPr>
            <w:tcW w:w="0" w:type="dxa"/>
            <w:vAlign w:val="bottom"/>
          </w:tcPr>
          <w:p>
            <w:pPr>
              <w:spacing w:after="0"/>
              <w:rPr>
                <w:sz w:val="1"/>
                <w:szCs w:val="1"/>
                <w:color w:val="auto"/>
              </w:rPr>
            </w:pPr>
          </w:p>
        </w:tc>
      </w:tr>
      <w:tr>
        <w:trPr>
          <w:trHeight w:val="185"/>
        </w:trPr>
        <w:tc>
          <w:tcPr>
            <w:tcW w:w="300" w:type="dxa"/>
            <w:vAlign w:val="bottom"/>
            <w:tcBorders>
              <w:left w:val="single" w:sz="8" w:color="auto"/>
            </w:tcBorders>
          </w:tcPr>
          <w:p>
            <w:pPr>
              <w:spacing w:after="0"/>
              <w:rPr>
                <w:sz w:val="16"/>
                <w:szCs w:val="16"/>
                <w:color w:val="auto"/>
              </w:rPr>
            </w:pPr>
          </w:p>
        </w:tc>
        <w:tc>
          <w:tcPr>
            <w:tcW w:w="5320" w:type="dxa"/>
            <w:vAlign w:val="bottom"/>
            <w:tcBorders>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exceptionnels.</w:t>
            </w:r>
          </w:p>
        </w:tc>
        <w:tc>
          <w:tcPr>
            <w:tcW w:w="0" w:type="dxa"/>
            <w:vAlign w:val="bottom"/>
          </w:tcPr>
          <w:p>
            <w:pPr>
              <w:spacing w:after="0"/>
              <w:rPr>
                <w:sz w:val="1"/>
                <w:szCs w:val="1"/>
                <w:color w:val="auto"/>
              </w:rPr>
            </w:pPr>
          </w:p>
        </w:tc>
      </w:tr>
      <w:tr>
        <w:trPr>
          <w:trHeight w:val="23"/>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The compensation may also be paid for activities in companies that are directly</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La rémunération peut également être accordée pour des activités dans des</w:t>
            </w: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or indirectly controlled by the Company and may be paid by the Company or by a</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entreprises qui sont contrôlées directement ou indirectement par la société et</w:t>
            </w:r>
          </w:p>
        </w:tc>
        <w:tc>
          <w:tcPr>
            <w:tcW w:w="0" w:type="dxa"/>
            <w:vAlign w:val="bottom"/>
          </w:tcPr>
          <w:p>
            <w:pPr>
              <w:spacing w:after="0"/>
              <w:rPr>
                <w:sz w:val="1"/>
                <w:szCs w:val="1"/>
                <w:color w:val="auto"/>
              </w:rPr>
            </w:pPr>
          </w:p>
        </w:tc>
      </w:tr>
      <w:tr>
        <w:trPr>
          <w:trHeight w:val="185"/>
        </w:trPr>
        <w:tc>
          <w:tcPr>
            <w:tcW w:w="300" w:type="dxa"/>
            <w:vAlign w:val="bottom"/>
            <w:tcBorders>
              <w:left w:val="single" w:sz="8" w:color="auto"/>
            </w:tcBorders>
          </w:tcPr>
          <w:p>
            <w:pPr>
              <w:spacing w:after="0"/>
              <w:rPr>
                <w:sz w:val="16"/>
                <w:szCs w:val="16"/>
                <w:color w:val="auto"/>
              </w:rPr>
            </w:pPr>
          </w:p>
        </w:tc>
        <w:tc>
          <w:tcPr>
            <w:tcW w:w="5320" w:type="dxa"/>
            <w:vAlign w:val="bottom"/>
            <w:tcBorders>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peuvent</w:t>
            </w:r>
          </w:p>
        </w:tc>
        <w:tc>
          <w:tcPr>
            <w:tcW w:w="0" w:type="dxa"/>
            <w:vAlign w:val="bottom"/>
          </w:tcPr>
          <w:p>
            <w:pPr>
              <w:spacing w:after="0"/>
              <w:rPr>
                <w:sz w:val="1"/>
                <w:szCs w:val="1"/>
                <w:color w:val="auto"/>
              </w:rPr>
            </w:pPr>
          </w:p>
        </w:tc>
      </w:tr>
      <w:tr>
        <w:trPr>
          <w:trHeight w:val="23"/>
        </w:trPr>
        <w:tc>
          <w:tcPr>
            <w:tcW w:w="300" w:type="dxa"/>
            <w:vAlign w:val="bottom"/>
            <w:tcBorders>
              <w:left w:val="single" w:sz="8" w:color="auto"/>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9"/>
        </w:trPr>
        <w:tc>
          <w:tcPr>
            <w:tcW w:w="30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31" w:right="219" w:bottom="1440" w:gutter="0" w:footer="0" w:header="0"/>
        </w:sectPr>
      </w:pPr>
    </w:p>
    <w:bookmarkStart w:id="58" w:name="page59"/>
    <w:bookmarkEnd w:id="5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30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300" w:type="dxa"/>
            <w:vAlign w:val="bottom"/>
          </w:tcPr>
          <w:p>
            <w:pPr>
              <w:jc w:val="right"/>
              <w:spacing w:after="0"/>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289"/>
        </w:trPr>
        <w:tc>
          <w:tcPr>
            <w:tcW w:w="5620" w:type="dxa"/>
            <w:vAlign w:val="bottom"/>
            <w:tcBorders>
              <w:bottom w:val="single" w:sz="8" w:color="auto"/>
            </w:tcBorders>
            <w:gridSpan w:val="2"/>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company controlled by it.</w:t>
            </w:r>
          </w:p>
        </w:tc>
        <w:tc>
          <w:tcPr>
            <w:tcW w:w="2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être versées par la société ou par une société contrôlée par elle.</w:t>
            </w:r>
          </w:p>
        </w:tc>
        <w:tc>
          <w:tcPr>
            <w:tcW w:w="0" w:type="dxa"/>
            <w:vAlign w:val="bottom"/>
          </w:tcPr>
          <w:p>
            <w:pPr>
              <w:spacing w:after="0"/>
              <w:rPr>
                <w:sz w:val="1"/>
                <w:szCs w:val="1"/>
                <w:color w:val="auto"/>
              </w:rPr>
            </w:pPr>
          </w:p>
        </w:tc>
      </w:tr>
      <w:tr>
        <w:trPr>
          <w:trHeight w:val="23"/>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Art. 33 Principles of the Compensation of the Executive Committee</w:t>
            </w:r>
          </w:p>
        </w:tc>
        <w:tc>
          <w:tcPr>
            <w:tcW w:w="2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Art. 33  Principe de rémunération du comité exécutif</w:t>
            </w:r>
          </w:p>
        </w:tc>
        <w:tc>
          <w:tcPr>
            <w:tcW w:w="0" w:type="dxa"/>
            <w:vAlign w:val="bottom"/>
          </w:tcPr>
          <w:p>
            <w:pPr>
              <w:spacing w:after="0"/>
              <w:rPr>
                <w:sz w:val="1"/>
                <w:szCs w:val="1"/>
                <w:color w:val="auto"/>
              </w:rPr>
            </w:pPr>
          </w:p>
        </w:tc>
      </w:tr>
      <w:tr>
        <w:trPr>
          <w:trHeight w:val="334"/>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The compensation payable to the members of the Executive Committee is</w:t>
            </w:r>
          </w:p>
        </w:tc>
        <w:tc>
          <w:tcPr>
            <w:tcW w:w="22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La rémunération des membres du comité exécutif est soumis à l'approbation</w:t>
            </w: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subject to the approval by the General Meeting and comprises the following</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l'assemblée générale et comprend les éléments suivants</w:t>
            </w:r>
          </w:p>
        </w:tc>
        <w:tc>
          <w:tcPr>
            <w:tcW w:w="0" w:type="dxa"/>
            <w:vAlign w:val="bottom"/>
          </w:tcPr>
          <w:p>
            <w:pPr>
              <w:spacing w:after="0"/>
              <w:rPr>
                <w:sz w:val="1"/>
                <w:szCs w:val="1"/>
                <w:color w:val="auto"/>
              </w:rPr>
            </w:pPr>
          </w:p>
        </w:tc>
      </w:tr>
      <w:tr>
        <w:trPr>
          <w:trHeight w:val="185"/>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elements:</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5"/>
                <w:szCs w:val="15"/>
                <w:color w:val="auto"/>
              </w:rPr>
              <w:t>a)   une rémunération fixe payable en espèces;</w:t>
            </w: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gridSpan w:val="2"/>
            <w:vMerge w:val="restart"/>
          </w:tcPr>
          <w:p>
            <w:pPr>
              <w:ind w:left="40"/>
              <w:spacing w:after="0"/>
              <w:rPr>
                <w:sz w:val="20"/>
                <w:szCs w:val="20"/>
                <w:color w:val="auto"/>
              </w:rPr>
            </w:pPr>
            <w:r>
              <w:rPr>
                <w:rFonts w:ascii="Arial" w:cs="Arial" w:eastAsia="Arial" w:hAnsi="Arial"/>
                <w:sz w:val="15"/>
                <w:szCs w:val="15"/>
                <w:color w:val="auto"/>
              </w:rPr>
              <w:t>a)   a fixed remuneration payable in cash;</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gridSpan w:val="2"/>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5"/>
                <w:szCs w:val="15"/>
                <w:color w:val="auto"/>
              </w:rPr>
              <w:t>b)   une rémunération liée à la performance payable en espèces (variable);</w:t>
            </w: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gridSpan w:val="2"/>
            <w:vMerge w:val="restart"/>
          </w:tcPr>
          <w:p>
            <w:pPr>
              <w:ind w:left="40"/>
              <w:spacing w:after="0"/>
              <w:rPr>
                <w:sz w:val="20"/>
                <w:szCs w:val="20"/>
                <w:color w:val="auto"/>
              </w:rPr>
            </w:pPr>
            <w:r>
              <w:rPr>
                <w:rFonts w:ascii="Arial" w:cs="Arial" w:eastAsia="Arial" w:hAnsi="Arial"/>
                <w:sz w:val="15"/>
                <w:szCs w:val="15"/>
                <w:color w:val="auto"/>
              </w:rPr>
              <w:t>b)   a performance-related remuneration payable in cash (variable);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gridSpan w:val="2"/>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300" w:type="dxa"/>
            <w:vAlign w:val="bottom"/>
            <w:vMerge w:val="restart"/>
          </w:tcPr>
          <w:p>
            <w:pPr>
              <w:ind w:left="40"/>
              <w:spacing w:after="0"/>
              <w:rPr>
                <w:sz w:val="20"/>
                <w:szCs w:val="20"/>
                <w:color w:val="auto"/>
              </w:rPr>
            </w:pPr>
            <w:r>
              <w:rPr>
                <w:rFonts w:ascii="Arial" w:cs="Arial" w:eastAsia="Arial" w:hAnsi="Arial"/>
                <w:sz w:val="15"/>
                <w:szCs w:val="15"/>
                <w:color w:val="auto"/>
              </w:rPr>
              <w:t>c)</w:t>
            </w:r>
          </w:p>
        </w:tc>
        <w:tc>
          <w:tcPr>
            <w:tcW w:w="53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5"/>
                <w:szCs w:val="15"/>
                <w:color w:val="auto"/>
              </w:rPr>
              <w:t>un nombre d'actions ou d'options dans la société, comme détaillée à l'art.</w:t>
            </w:r>
          </w:p>
        </w:tc>
        <w:tc>
          <w:tcPr>
            <w:tcW w:w="0" w:type="dxa"/>
            <w:vAlign w:val="bottom"/>
          </w:tcPr>
          <w:p>
            <w:pPr>
              <w:spacing w:after="0"/>
              <w:rPr>
                <w:sz w:val="1"/>
                <w:szCs w:val="1"/>
                <w:color w:val="auto"/>
              </w:rPr>
            </w:pPr>
          </w:p>
        </w:tc>
      </w:tr>
      <w:tr>
        <w:trPr>
          <w:trHeight w:val="161"/>
        </w:trPr>
        <w:tc>
          <w:tcPr>
            <w:tcW w:w="300" w:type="dxa"/>
            <w:vAlign w:val="bottom"/>
            <w:tcBorders>
              <w:left w:val="single" w:sz="8" w:color="auto"/>
            </w:tcBorders>
          </w:tcPr>
          <w:p>
            <w:pPr>
              <w:spacing w:after="0"/>
              <w:rPr>
                <w:sz w:val="13"/>
                <w:szCs w:val="13"/>
                <w:color w:val="auto"/>
              </w:rPr>
            </w:pPr>
          </w:p>
        </w:tc>
        <w:tc>
          <w:tcPr>
            <w:tcW w:w="5320" w:type="dxa"/>
            <w:vAlign w:val="bottom"/>
            <w:tcBorders>
              <w:right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300" w:type="dxa"/>
            <w:vAlign w:val="bottom"/>
            <w:vMerge w:val="continue"/>
          </w:tcPr>
          <w:p>
            <w:pPr>
              <w:spacing w:after="0"/>
              <w:rPr>
                <w:sz w:val="13"/>
                <w:szCs w:val="13"/>
                <w:color w:val="auto"/>
              </w:rPr>
            </w:pPr>
          </w:p>
        </w:tc>
        <w:tc>
          <w:tcPr>
            <w:tcW w:w="53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5"/>
                <w:szCs w:val="15"/>
                <w:color w:val="auto"/>
              </w:rPr>
              <w:t>c)</w:t>
            </w:r>
          </w:p>
        </w:tc>
        <w:tc>
          <w:tcPr>
            <w:tcW w:w="532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a number of options or shares in the Company, as further outlined in Art.</w:t>
            </w:r>
          </w:p>
        </w:tc>
        <w:tc>
          <w:tcPr>
            <w:tcW w:w="22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5300" w:type="dxa"/>
            <w:vAlign w:val="bottom"/>
            <w:tcBorders>
              <w:right w:val="single" w:sz="8" w:color="auto"/>
            </w:tcBorders>
          </w:tcPr>
          <w:p>
            <w:pPr>
              <w:jc w:val="right"/>
              <w:ind w:right="4883"/>
              <w:spacing w:after="0"/>
              <w:rPr>
                <w:sz w:val="20"/>
                <w:szCs w:val="20"/>
                <w:color w:val="auto"/>
              </w:rPr>
            </w:pPr>
            <w:r>
              <w:rPr>
                <w:rFonts w:ascii="Arial" w:cs="Arial" w:eastAsia="Arial" w:hAnsi="Arial"/>
                <w:sz w:val="15"/>
                <w:szCs w:val="15"/>
                <w:color w:val="auto"/>
              </w:rPr>
              <w:t>41.</w:t>
            </w:r>
          </w:p>
        </w:tc>
        <w:tc>
          <w:tcPr>
            <w:tcW w:w="0" w:type="dxa"/>
            <w:vAlign w:val="bottom"/>
          </w:tcPr>
          <w:p>
            <w:pPr>
              <w:spacing w:after="0"/>
              <w:rPr>
                <w:sz w:val="1"/>
                <w:szCs w:val="1"/>
                <w:color w:val="auto"/>
              </w:rPr>
            </w:pPr>
          </w:p>
        </w:tc>
      </w:tr>
      <w:tr>
        <w:trPr>
          <w:trHeight w:val="185"/>
        </w:trPr>
        <w:tc>
          <w:tcPr>
            <w:tcW w:w="300" w:type="dxa"/>
            <w:vAlign w:val="bottom"/>
            <w:tcBorders>
              <w:left w:val="single" w:sz="8" w:color="auto"/>
            </w:tcBorders>
          </w:tcPr>
          <w:p>
            <w:pPr>
              <w:spacing w:after="0"/>
              <w:rPr>
                <w:sz w:val="16"/>
                <w:szCs w:val="16"/>
                <w:color w:val="auto"/>
              </w:rPr>
            </w:pPr>
          </w:p>
        </w:tc>
        <w:tc>
          <w:tcPr>
            <w:tcW w:w="5320" w:type="dxa"/>
            <w:vAlign w:val="bottom"/>
            <w:tcBorders>
              <w:right w:val="single" w:sz="8" w:color="auto"/>
            </w:tcBorders>
          </w:tcPr>
          <w:p>
            <w:pPr>
              <w:jc w:val="right"/>
              <w:ind w:right="4903"/>
              <w:spacing w:after="0"/>
              <w:rPr>
                <w:sz w:val="20"/>
                <w:szCs w:val="20"/>
                <w:color w:val="auto"/>
              </w:rPr>
            </w:pPr>
            <w:r>
              <w:rPr>
                <w:rFonts w:ascii="Arial" w:cs="Arial" w:eastAsia="Arial" w:hAnsi="Arial"/>
                <w:sz w:val="15"/>
                <w:szCs w:val="15"/>
                <w:color w:val="auto"/>
              </w:rPr>
              <w:t>41.</w:t>
            </w:r>
          </w:p>
        </w:tc>
        <w:tc>
          <w:tcPr>
            <w:tcW w:w="22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5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Borders>
              <w:left w:val="single" w:sz="8" w:color="auto"/>
              <w:bottom w:val="single" w:sz="8" w:color="auto"/>
              <w:right w:val="single" w:sz="8" w:color="auto"/>
            </w:tcBorders>
            <w:gridSpan w:val="2"/>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600" w:type="dxa"/>
            <w:vAlign w:val="bottom"/>
            <w:tcBorders>
              <w:bottom w:val="single" w:sz="8" w:color="auto"/>
              <w:right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The performance-related remuneration depends on the Company's business</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La rémunération liée à la performance dépend de la réussite économique de la</w:t>
            </w: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success  and  the  individual  performance  of  the  member  of  the  Executive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société et de la performance individuelle du membre du comité exécutif sur la</w:t>
            </w: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Committee  based  on  the  achievement  of  pre-determined  targets  during  a</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base  de  la  réalisation  des  objectifs  prédéterminés  au  cours  d'une  année</w:t>
            </w: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business year. The Board of Directors determines annually at the beginning of</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d'activité. Le conseil d'administration détermine au début de chaque exercice les</w:t>
            </w: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each relevant business year the decisive targets and their weighting upon</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objectifs décisifs et leur pondération sur proposition du comité de rémunération.</w:t>
            </w: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proposal by the Compensation Committee. The amount of the performance-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Le montant de la rémunération liée à la performance pour chaque membre du</w:t>
            </w: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related remuneration for each member of the Executive Committee is determined</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comité exécutif est déterminé par le conseil d'administration et ne peut dépasser</w:t>
            </w: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by the Board of Directors and may not exceed 100 percent of the respective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100 pour cent de la rémunération fixe individuelle respective pour la même</w:t>
            </w:r>
          </w:p>
        </w:tc>
        <w:tc>
          <w:tcPr>
            <w:tcW w:w="0" w:type="dxa"/>
            <w:vAlign w:val="bottom"/>
          </w:tcPr>
          <w:p>
            <w:pPr>
              <w:spacing w:after="0"/>
              <w:rPr>
                <w:sz w:val="1"/>
                <w:szCs w:val="1"/>
                <w:color w:val="auto"/>
              </w:rPr>
            </w:pPr>
          </w:p>
        </w:tc>
      </w:tr>
      <w:tr>
        <w:trPr>
          <w:trHeight w:val="185"/>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individual fixed remuneration for the same year.</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année.</w:t>
            </w:r>
          </w:p>
        </w:tc>
        <w:tc>
          <w:tcPr>
            <w:tcW w:w="0" w:type="dxa"/>
            <w:vAlign w:val="bottom"/>
          </w:tcPr>
          <w:p>
            <w:pPr>
              <w:spacing w:after="0"/>
              <w:rPr>
                <w:sz w:val="1"/>
                <w:szCs w:val="1"/>
                <w:color w:val="auto"/>
              </w:rPr>
            </w:pPr>
          </w:p>
        </w:tc>
      </w:tr>
      <w:tr>
        <w:trPr>
          <w:trHeight w:val="23"/>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The compensation may also be paid for activities in companies that are directly</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La rémunération peut également être versée pour activités dans des entreprises</w:t>
            </w: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or indirectly controlled by the Company and may be paid by the Company or by a</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qui sont contrôlées directement ou indirectement par la société et peut être</w:t>
            </w:r>
          </w:p>
        </w:tc>
        <w:tc>
          <w:tcPr>
            <w:tcW w:w="0" w:type="dxa"/>
            <w:vAlign w:val="bottom"/>
          </w:tcPr>
          <w:p>
            <w:pPr>
              <w:spacing w:after="0"/>
              <w:rPr>
                <w:sz w:val="1"/>
                <w:szCs w:val="1"/>
                <w:color w:val="auto"/>
              </w:rPr>
            </w:pPr>
          </w:p>
        </w:tc>
      </w:tr>
      <w:tr>
        <w:trPr>
          <w:trHeight w:val="185"/>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company controlled by it.</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versée par la société ou par une société contrôlée par elle.</w:t>
            </w:r>
          </w:p>
        </w:tc>
        <w:tc>
          <w:tcPr>
            <w:tcW w:w="0" w:type="dxa"/>
            <w:vAlign w:val="bottom"/>
          </w:tcPr>
          <w:p>
            <w:pPr>
              <w:spacing w:after="0"/>
              <w:rPr>
                <w:sz w:val="1"/>
                <w:szCs w:val="1"/>
                <w:color w:val="auto"/>
              </w:rPr>
            </w:pPr>
          </w:p>
        </w:tc>
      </w:tr>
      <w:tr>
        <w:trPr>
          <w:trHeight w:val="23"/>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Art. 34  Compensation for new Members of the Executive Committee</w:t>
            </w:r>
          </w:p>
        </w:tc>
        <w:tc>
          <w:tcPr>
            <w:tcW w:w="2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Art. 34   Rémunération pour les nouveaux membres du comité exécutif</w:t>
            </w:r>
          </w:p>
        </w:tc>
        <w:tc>
          <w:tcPr>
            <w:tcW w:w="0" w:type="dxa"/>
            <w:vAlign w:val="bottom"/>
          </w:tcPr>
          <w:p>
            <w:pPr>
              <w:spacing w:after="0"/>
              <w:rPr>
                <w:sz w:val="1"/>
                <w:szCs w:val="1"/>
                <w:color w:val="auto"/>
              </w:rPr>
            </w:pPr>
          </w:p>
        </w:tc>
      </w:tr>
      <w:tr>
        <w:trPr>
          <w:trHeight w:val="334"/>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If new members of the Executive Committee are appointed and take up their</w:t>
            </w:r>
          </w:p>
        </w:tc>
        <w:tc>
          <w:tcPr>
            <w:tcW w:w="22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Si de nouveaux membres du comité exécutif sont nommés et prennent leur</w:t>
            </w: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position in the Company after the General Meeting has approved the maximum</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position  dans  la  société  après  que  l'assemblée  générale  a  approuvé  la</w:t>
            </w: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total compensation for members of the Executive Committee for the year in</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rémunération totale maximale pour les membres du comité exécutif pour l'année</w:t>
            </w:r>
          </w:p>
        </w:tc>
        <w:tc>
          <w:tcPr>
            <w:tcW w:w="0" w:type="dxa"/>
            <w:vAlign w:val="bottom"/>
          </w:tcPr>
          <w:p>
            <w:pPr>
              <w:spacing w:after="0"/>
              <w:rPr>
                <w:sz w:val="1"/>
                <w:szCs w:val="1"/>
                <w:color w:val="auto"/>
              </w:rPr>
            </w:pPr>
          </w:p>
        </w:tc>
      </w:tr>
      <w:tr>
        <w:trPr>
          <w:trHeight w:val="185"/>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question, the new members may</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en question, les nouveaux membres</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tcBorders>
          </w:tcPr>
          <w:p>
            <w:pPr>
              <w:spacing w:after="0"/>
              <w:rPr>
                <w:sz w:val="17"/>
                <w:szCs w:val="17"/>
                <w:color w:val="auto"/>
              </w:rPr>
            </w:pPr>
          </w:p>
        </w:tc>
        <w:tc>
          <w:tcPr>
            <w:tcW w:w="532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53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99"/>
        </w:trPr>
        <w:tc>
          <w:tcPr>
            <w:tcW w:w="30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31" w:right="219" w:bottom="1440" w:gutter="0" w:footer="0" w:header="0"/>
        </w:sectPr>
      </w:pPr>
    </w:p>
    <w:bookmarkStart w:id="59" w:name="page60"/>
    <w:bookmarkEnd w:id="5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60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0" w:type="dxa"/>
            <w:vAlign w:val="bottom"/>
          </w:tcPr>
          <w:p>
            <w:pPr>
              <w:ind w:left="5380"/>
              <w:spacing w:after="0"/>
              <w:rPr>
                <w:sz w:val="20"/>
                <w:szCs w:val="20"/>
                <w:color w:val="auto"/>
              </w:rPr>
            </w:pPr>
            <w:r>
              <w:rPr>
                <w:rFonts w:ascii="Arial" w:cs="Arial" w:eastAsia="Arial" w:hAnsi="Arial"/>
                <w:sz w:val="15"/>
                <w:szCs w:val="15"/>
                <w:color w:val="auto"/>
              </w:rPr>
              <w:t>29</w:t>
            </w:r>
          </w:p>
        </w:tc>
      </w:tr>
      <w:tr>
        <w:trPr>
          <w:trHeight w:val="289"/>
        </w:trPr>
        <w:tc>
          <w:tcPr>
            <w:tcW w:w="60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r>
        <w:trPr>
          <w:trHeight w:val="198"/>
        </w:trPr>
        <w:tc>
          <w:tcPr>
            <w:tcW w:w="600" w:type="dxa"/>
            <w:vAlign w:val="bottom"/>
            <w:tcBorders>
              <w:left w:val="single" w:sz="8" w:color="auto"/>
            </w:tcBorders>
          </w:tcPr>
          <w:p>
            <w:pPr>
              <w:spacing w:after="0"/>
              <w:rPr>
                <w:sz w:val="17"/>
                <w:szCs w:val="17"/>
                <w:color w:val="auto"/>
              </w:rPr>
            </w:pPr>
          </w:p>
        </w:tc>
        <w:tc>
          <w:tcPr>
            <w:tcW w:w="502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be paid an additional amount for the period until the next Ordinary</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ind w:left="660"/>
              <w:spacing w:after="0"/>
              <w:rPr>
                <w:sz w:val="20"/>
                <w:szCs w:val="20"/>
                <w:color w:val="auto"/>
              </w:rPr>
            </w:pPr>
            <w:r>
              <w:rPr>
                <w:rFonts w:ascii="Arial" w:cs="Arial" w:eastAsia="Arial" w:hAnsi="Arial"/>
                <w:sz w:val="15"/>
                <w:szCs w:val="15"/>
                <w:color w:val="auto"/>
              </w:rPr>
              <w:t>peuvent être payés au moyen d'un montant additionnel pour la période</w:t>
            </w:r>
          </w:p>
        </w:tc>
      </w:tr>
      <w:tr>
        <w:trPr>
          <w:trHeight w:val="173"/>
        </w:trPr>
        <w:tc>
          <w:tcPr>
            <w:tcW w:w="600" w:type="dxa"/>
            <w:vAlign w:val="bottom"/>
            <w:tcBorders>
              <w:left w:val="single" w:sz="8" w:color="auto"/>
            </w:tcBorders>
          </w:tcPr>
          <w:p>
            <w:pPr>
              <w:spacing w:after="0"/>
              <w:rPr>
                <w:sz w:val="15"/>
                <w:szCs w:val="15"/>
                <w:color w:val="auto"/>
              </w:rPr>
            </w:pPr>
          </w:p>
        </w:tc>
        <w:tc>
          <w:tcPr>
            <w:tcW w:w="502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Meeting of Shareholder. The additional amount payable to all new</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660"/>
              <w:spacing w:after="0"/>
              <w:rPr>
                <w:sz w:val="20"/>
                <w:szCs w:val="20"/>
                <w:color w:val="auto"/>
              </w:rPr>
            </w:pPr>
            <w:r>
              <w:rPr>
                <w:rFonts w:ascii="Arial" w:cs="Arial" w:eastAsia="Arial" w:hAnsi="Arial"/>
                <w:sz w:val="15"/>
                <w:szCs w:val="15"/>
                <w:color w:val="auto"/>
              </w:rPr>
              <w:t>allant jusqu'à la prochaine assemblée ordinaire des actionnaires. Le</w:t>
            </w:r>
          </w:p>
        </w:tc>
      </w:tr>
      <w:tr>
        <w:trPr>
          <w:trHeight w:val="173"/>
        </w:trPr>
        <w:tc>
          <w:tcPr>
            <w:tcW w:w="600" w:type="dxa"/>
            <w:vAlign w:val="bottom"/>
            <w:tcBorders>
              <w:left w:val="single" w:sz="8" w:color="auto"/>
            </w:tcBorders>
          </w:tcPr>
          <w:p>
            <w:pPr>
              <w:spacing w:after="0"/>
              <w:rPr>
                <w:sz w:val="15"/>
                <w:szCs w:val="15"/>
                <w:color w:val="auto"/>
              </w:rPr>
            </w:pPr>
          </w:p>
        </w:tc>
        <w:tc>
          <w:tcPr>
            <w:tcW w:w="502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members of the Executive Committee may not exceed 50 percent of the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660"/>
              <w:spacing w:after="0"/>
              <w:rPr>
                <w:sz w:val="20"/>
                <w:szCs w:val="20"/>
                <w:color w:val="auto"/>
              </w:rPr>
            </w:pPr>
            <w:r>
              <w:rPr>
                <w:rFonts w:ascii="Arial" w:cs="Arial" w:eastAsia="Arial" w:hAnsi="Arial"/>
                <w:sz w:val="15"/>
                <w:szCs w:val="15"/>
                <w:color w:val="auto"/>
              </w:rPr>
              <w:t>montant additionnel payable à tous les nouveaux membres du comité</w:t>
            </w:r>
          </w:p>
        </w:tc>
      </w:tr>
      <w:tr>
        <w:trPr>
          <w:trHeight w:val="173"/>
        </w:trPr>
        <w:tc>
          <w:tcPr>
            <w:tcW w:w="600" w:type="dxa"/>
            <w:vAlign w:val="bottom"/>
            <w:tcBorders>
              <w:left w:val="single" w:sz="8" w:color="auto"/>
            </w:tcBorders>
          </w:tcPr>
          <w:p>
            <w:pPr>
              <w:spacing w:after="0"/>
              <w:rPr>
                <w:sz w:val="15"/>
                <w:szCs w:val="15"/>
                <w:color w:val="auto"/>
              </w:rPr>
            </w:pPr>
          </w:p>
        </w:tc>
        <w:tc>
          <w:tcPr>
            <w:tcW w:w="502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respective total compensation already approved by the General</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660"/>
              <w:spacing w:after="0"/>
              <w:rPr>
                <w:sz w:val="20"/>
                <w:szCs w:val="20"/>
                <w:color w:val="auto"/>
              </w:rPr>
            </w:pPr>
            <w:r>
              <w:rPr>
                <w:rFonts w:ascii="Arial" w:cs="Arial" w:eastAsia="Arial" w:hAnsi="Arial"/>
                <w:sz w:val="15"/>
                <w:szCs w:val="15"/>
                <w:color w:val="auto"/>
              </w:rPr>
              <w:t>exécutif ne peut pas dépasser 50 pour cent de la rémunération totale</w:t>
            </w:r>
          </w:p>
        </w:tc>
      </w:tr>
      <w:tr>
        <w:trPr>
          <w:trHeight w:val="173"/>
        </w:trPr>
        <w:tc>
          <w:tcPr>
            <w:tcW w:w="600" w:type="dxa"/>
            <w:vAlign w:val="bottom"/>
            <w:tcBorders>
              <w:left w:val="single" w:sz="8" w:color="auto"/>
            </w:tcBorders>
          </w:tcPr>
          <w:p>
            <w:pPr>
              <w:spacing w:after="0"/>
              <w:rPr>
                <w:sz w:val="15"/>
                <w:szCs w:val="15"/>
                <w:color w:val="auto"/>
              </w:rPr>
            </w:pPr>
          </w:p>
        </w:tc>
        <w:tc>
          <w:tcPr>
            <w:tcW w:w="502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Meeting. The additional compensation may only be paid if the total</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660"/>
              <w:spacing w:after="0"/>
              <w:rPr>
                <w:sz w:val="20"/>
                <w:szCs w:val="20"/>
                <w:color w:val="auto"/>
              </w:rPr>
            </w:pPr>
            <w:r>
              <w:rPr>
                <w:rFonts w:ascii="Arial" w:cs="Arial" w:eastAsia="Arial" w:hAnsi="Arial"/>
                <w:sz w:val="15"/>
                <w:szCs w:val="15"/>
                <w:color w:val="auto"/>
              </w:rPr>
              <w:t>respective déjà approuvé par l'assemblée générale. La rémunération</w:t>
            </w:r>
          </w:p>
        </w:tc>
      </w:tr>
      <w:tr>
        <w:trPr>
          <w:trHeight w:val="173"/>
        </w:trPr>
        <w:tc>
          <w:tcPr>
            <w:tcW w:w="600" w:type="dxa"/>
            <w:vAlign w:val="bottom"/>
            <w:tcBorders>
              <w:left w:val="single" w:sz="8" w:color="auto"/>
            </w:tcBorders>
          </w:tcPr>
          <w:p>
            <w:pPr>
              <w:spacing w:after="0"/>
              <w:rPr>
                <w:sz w:val="15"/>
                <w:szCs w:val="15"/>
                <w:color w:val="auto"/>
              </w:rPr>
            </w:pPr>
          </w:p>
        </w:tc>
        <w:tc>
          <w:tcPr>
            <w:tcW w:w="502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compensation amount that has been approved by the General Meeting</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660"/>
              <w:spacing w:after="0"/>
              <w:rPr>
                <w:sz w:val="20"/>
                <w:szCs w:val="20"/>
                <w:color w:val="auto"/>
              </w:rPr>
            </w:pPr>
            <w:r>
              <w:rPr>
                <w:rFonts w:ascii="Arial" w:cs="Arial" w:eastAsia="Arial" w:hAnsi="Arial"/>
                <w:sz w:val="15"/>
                <w:szCs w:val="15"/>
                <w:color w:val="auto"/>
              </w:rPr>
              <w:t>additionnelle ne peut être versée que si le montant total de la</w:t>
            </w:r>
          </w:p>
        </w:tc>
      </w:tr>
      <w:tr>
        <w:trPr>
          <w:trHeight w:val="173"/>
        </w:trPr>
        <w:tc>
          <w:tcPr>
            <w:tcW w:w="600" w:type="dxa"/>
            <w:vAlign w:val="bottom"/>
            <w:tcBorders>
              <w:left w:val="single" w:sz="8" w:color="auto"/>
            </w:tcBorders>
          </w:tcPr>
          <w:p>
            <w:pPr>
              <w:spacing w:after="0"/>
              <w:rPr>
                <w:sz w:val="15"/>
                <w:szCs w:val="15"/>
                <w:color w:val="auto"/>
              </w:rPr>
            </w:pPr>
          </w:p>
        </w:tc>
        <w:tc>
          <w:tcPr>
            <w:tcW w:w="502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for the compensation of the members of the Executive Committee is</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660"/>
              <w:spacing w:after="0"/>
              <w:rPr>
                <w:sz w:val="20"/>
                <w:szCs w:val="20"/>
                <w:color w:val="auto"/>
              </w:rPr>
            </w:pPr>
            <w:r>
              <w:rPr>
                <w:rFonts w:ascii="Arial" w:cs="Arial" w:eastAsia="Arial" w:hAnsi="Arial"/>
                <w:sz w:val="15"/>
                <w:szCs w:val="15"/>
                <w:color w:val="auto"/>
              </w:rPr>
              <w:t>rémunération qui a été approuvé par l'assemblée générale pour la</w:t>
            </w:r>
          </w:p>
        </w:tc>
      </w:tr>
      <w:tr>
        <w:trPr>
          <w:trHeight w:val="173"/>
        </w:trPr>
        <w:tc>
          <w:tcPr>
            <w:tcW w:w="600" w:type="dxa"/>
            <w:vAlign w:val="bottom"/>
            <w:tcBorders>
              <w:left w:val="single" w:sz="8" w:color="auto"/>
            </w:tcBorders>
          </w:tcPr>
          <w:p>
            <w:pPr>
              <w:spacing w:after="0"/>
              <w:rPr>
                <w:sz w:val="15"/>
                <w:szCs w:val="15"/>
                <w:color w:val="auto"/>
              </w:rPr>
            </w:pPr>
          </w:p>
        </w:tc>
        <w:tc>
          <w:tcPr>
            <w:tcW w:w="502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insufficient to compensate the newly appointed members. The General</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660"/>
              <w:spacing w:after="0"/>
              <w:rPr>
                <w:sz w:val="20"/>
                <w:szCs w:val="20"/>
                <w:color w:val="auto"/>
              </w:rPr>
            </w:pPr>
            <w:r>
              <w:rPr>
                <w:rFonts w:ascii="Arial" w:cs="Arial" w:eastAsia="Arial" w:hAnsi="Arial"/>
                <w:sz w:val="15"/>
                <w:szCs w:val="15"/>
                <w:color w:val="auto"/>
              </w:rPr>
              <w:t>rémunération des membres du comité exécutif est insuffisant pour</w:t>
            </w:r>
          </w:p>
        </w:tc>
      </w:tr>
      <w:tr>
        <w:trPr>
          <w:trHeight w:val="173"/>
        </w:trPr>
        <w:tc>
          <w:tcPr>
            <w:tcW w:w="600" w:type="dxa"/>
            <w:vAlign w:val="bottom"/>
            <w:tcBorders>
              <w:left w:val="single" w:sz="8" w:color="auto"/>
            </w:tcBorders>
          </w:tcPr>
          <w:p>
            <w:pPr>
              <w:spacing w:after="0"/>
              <w:rPr>
                <w:sz w:val="15"/>
                <w:szCs w:val="15"/>
                <w:color w:val="auto"/>
              </w:rPr>
            </w:pPr>
          </w:p>
        </w:tc>
        <w:tc>
          <w:tcPr>
            <w:tcW w:w="502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Meeting is not required to vote on this additional amount.</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660"/>
              <w:spacing w:after="0"/>
              <w:rPr>
                <w:sz w:val="20"/>
                <w:szCs w:val="20"/>
                <w:color w:val="auto"/>
              </w:rPr>
            </w:pPr>
            <w:r>
              <w:rPr>
                <w:rFonts w:ascii="Arial" w:cs="Arial" w:eastAsia="Arial" w:hAnsi="Arial"/>
                <w:sz w:val="15"/>
                <w:szCs w:val="15"/>
                <w:color w:val="auto"/>
              </w:rPr>
              <w:t>rémunérer les membres nouvellement nommés. L'assemblée générale</w:t>
            </w:r>
          </w:p>
        </w:tc>
      </w:tr>
      <w:tr>
        <w:trPr>
          <w:trHeight w:val="185"/>
        </w:trPr>
        <w:tc>
          <w:tcPr>
            <w:tcW w:w="600" w:type="dxa"/>
            <w:vAlign w:val="bottom"/>
            <w:tcBorders>
              <w:left w:val="single" w:sz="8" w:color="auto"/>
            </w:tcBorders>
          </w:tcPr>
          <w:p>
            <w:pPr>
              <w:spacing w:after="0"/>
              <w:rPr>
                <w:sz w:val="16"/>
                <w:szCs w:val="16"/>
                <w:color w:val="auto"/>
              </w:rPr>
            </w:pPr>
          </w:p>
        </w:tc>
        <w:tc>
          <w:tcPr>
            <w:tcW w:w="5020" w:type="dxa"/>
            <w:vAlign w:val="bottom"/>
            <w:tcBorders>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ind w:left="660"/>
              <w:spacing w:after="0"/>
              <w:rPr>
                <w:sz w:val="20"/>
                <w:szCs w:val="20"/>
                <w:color w:val="auto"/>
              </w:rPr>
            </w:pPr>
            <w:r>
              <w:rPr>
                <w:rFonts w:ascii="Arial" w:cs="Arial" w:eastAsia="Arial" w:hAnsi="Arial"/>
                <w:sz w:val="15"/>
                <w:szCs w:val="15"/>
                <w:color w:val="auto"/>
              </w:rPr>
              <w:t>n'a pas à se prononcer sur ce montant supplémentaire.</w:t>
            </w:r>
          </w:p>
        </w:tc>
      </w:tr>
      <w:tr>
        <w:trPr>
          <w:trHeight w:val="23"/>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198"/>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This additional overall compensation is understood to include any settlements for</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Cette rémunération additionnelle globale est sensée comprendre toutes les</w:t>
            </w:r>
          </w:p>
        </w:tc>
      </w:tr>
      <w:tr>
        <w:trPr>
          <w:trHeight w:val="185"/>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any disadvantage suffered as a result of the change of job.</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règlements pour tout inconvénient subi à la suite du changement de travail.</w:t>
            </w:r>
          </w:p>
        </w:tc>
      </w:tr>
      <w:tr>
        <w:trPr>
          <w:trHeight w:val="23"/>
        </w:trPr>
        <w:tc>
          <w:tcPr>
            <w:tcW w:w="600" w:type="dxa"/>
            <w:vAlign w:val="bottom"/>
            <w:tcBorders>
              <w:left w:val="single" w:sz="8" w:color="auto"/>
              <w:bottom w:val="single" w:sz="8" w:color="auto"/>
            </w:tcBorders>
          </w:tcPr>
          <w:p>
            <w:pPr>
              <w:spacing w:after="0"/>
              <w:rPr>
                <w:sz w:val="2"/>
                <w:szCs w:val="2"/>
                <w:color w:val="auto"/>
              </w:rPr>
            </w:pPr>
          </w:p>
        </w:tc>
        <w:tc>
          <w:tcPr>
            <w:tcW w:w="50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11"/>
        </w:trPr>
        <w:tc>
          <w:tcPr>
            <w:tcW w:w="600" w:type="dxa"/>
            <w:vAlign w:val="bottom"/>
            <w:tcBorders>
              <w:left w:val="single" w:sz="8" w:color="auto"/>
            </w:tcBorders>
          </w:tcPr>
          <w:p>
            <w:pPr>
              <w:ind w:left="40"/>
              <w:spacing w:after="0"/>
              <w:rPr>
                <w:sz w:val="20"/>
                <w:szCs w:val="20"/>
                <w:color w:val="auto"/>
              </w:rPr>
            </w:pPr>
            <w:r>
              <w:rPr>
                <w:rFonts w:ascii="Arial" w:cs="Arial" w:eastAsia="Arial" w:hAnsi="Arial"/>
                <w:sz w:val="15"/>
                <w:szCs w:val="15"/>
                <w:b w:val="1"/>
                <w:bCs w:val="1"/>
                <w:color w:val="auto"/>
              </w:rPr>
              <w:t>Art. 35</w:t>
            </w:r>
          </w:p>
        </w:tc>
        <w:tc>
          <w:tcPr>
            <w:tcW w:w="5020" w:type="dxa"/>
            <w:vAlign w:val="bottom"/>
            <w:tcBorders>
              <w:right w:val="single" w:sz="8" w:color="auto"/>
            </w:tcBorders>
          </w:tcPr>
          <w:p>
            <w:pPr>
              <w:ind w:left="80"/>
              <w:spacing w:after="0"/>
              <w:rPr>
                <w:sz w:val="20"/>
                <w:szCs w:val="20"/>
                <w:color w:val="auto"/>
              </w:rPr>
            </w:pPr>
            <w:r>
              <w:rPr>
                <w:rFonts w:ascii="Arial" w:cs="Arial" w:eastAsia="Arial" w:hAnsi="Arial"/>
                <w:sz w:val="15"/>
                <w:szCs w:val="15"/>
                <w:b w:val="1"/>
                <w:bCs w:val="1"/>
                <w:color w:val="auto"/>
              </w:rPr>
              <w:t>Expenses</w:t>
            </w:r>
          </w:p>
        </w:tc>
        <w:tc>
          <w:tcPr>
            <w:tcW w:w="2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b w:val="1"/>
                <w:bCs w:val="1"/>
                <w:color w:val="auto"/>
              </w:rPr>
              <w:t>Art. 35  Dépenses</w:t>
            </w:r>
          </w:p>
        </w:tc>
      </w:tr>
      <w:tr>
        <w:trPr>
          <w:trHeight w:val="334"/>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Expenses which are not covered by the lump sum compensation pursuant to the</w:t>
            </w:r>
          </w:p>
        </w:tc>
        <w:tc>
          <w:tcPr>
            <w:tcW w:w="22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Les dépenses qui ne sont pas couvertes par l'indemnité forfaitaire conformément</w:t>
            </w: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Company's expense regulations shall be reimbursed following presentation of the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aux règlements de frais de la société sont remboursées à la suite de la</w:t>
            </w: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supporting receipts. This additional remuneration is not subject to a separate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présentation des reçus correspondants. Cette rémunération additionnelle n'est</w:t>
            </w:r>
          </w:p>
        </w:tc>
      </w:tr>
      <w:tr>
        <w:trPr>
          <w:trHeight w:val="185"/>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vote by the General Meeting.</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pas soumise à un vote séparé par l'assemblée générale.</w:t>
            </w:r>
          </w:p>
        </w:tc>
      </w:tr>
      <w:tr>
        <w:trPr>
          <w:trHeight w:val="196"/>
        </w:trPr>
        <w:tc>
          <w:tcPr>
            <w:tcW w:w="600" w:type="dxa"/>
            <w:vAlign w:val="bottom"/>
            <w:tcBorders>
              <w:left w:val="single" w:sz="8" w:color="auto"/>
              <w:bottom w:val="single" w:sz="8" w:color="auto"/>
            </w:tcBorders>
          </w:tcPr>
          <w:p>
            <w:pPr>
              <w:spacing w:after="0"/>
              <w:rPr>
                <w:sz w:val="17"/>
                <w:szCs w:val="17"/>
                <w:color w:val="auto"/>
              </w:rPr>
            </w:pPr>
          </w:p>
        </w:tc>
        <w:tc>
          <w:tcPr>
            <w:tcW w:w="502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600" w:type="dxa"/>
            <w:vAlign w:val="bottom"/>
            <w:tcBorders>
              <w:bottom w:val="single" w:sz="8" w:color="auto"/>
              <w:right w:val="single" w:sz="8" w:color="auto"/>
            </w:tcBorders>
          </w:tcPr>
          <w:p>
            <w:pPr>
              <w:spacing w:after="0"/>
              <w:rPr>
                <w:sz w:val="17"/>
                <w:szCs w:val="17"/>
                <w:color w:val="auto"/>
              </w:rPr>
            </w:pPr>
          </w:p>
        </w:tc>
      </w:tr>
      <w:tr>
        <w:trPr>
          <w:trHeight w:val="211"/>
        </w:trPr>
        <w:tc>
          <w:tcPr>
            <w:tcW w:w="600" w:type="dxa"/>
            <w:vAlign w:val="bottom"/>
            <w:tcBorders>
              <w:left w:val="single" w:sz="8" w:color="auto"/>
            </w:tcBorders>
          </w:tcPr>
          <w:p>
            <w:pPr>
              <w:ind w:left="40"/>
              <w:spacing w:after="0"/>
              <w:rPr>
                <w:sz w:val="20"/>
                <w:szCs w:val="20"/>
                <w:color w:val="auto"/>
              </w:rPr>
            </w:pPr>
            <w:r>
              <w:rPr>
                <w:rFonts w:ascii="Arial" w:cs="Arial" w:eastAsia="Arial" w:hAnsi="Arial"/>
                <w:sz w:val="15"/>
                <w:szCs w:val="15"/>
                <w:b w:val="1"/>
                <w:bCs w:val="1"/>
                <w:color w:val="auto"/>
              </w:rPr>
              <w:t>Art. 36</w:t>
            </w:r>
          </w:p>
        </w:tc>
        <w:tc>
          <w:tcPr>
            <w:tcW w:w="5020" w:type="dxa"/>
            <w:vAlign w:val="bottom"/>
            <w:tcBorders>
              <w:right w:val="single" w:sz="8" w:color="auto"/>
            </w:tcBorders>
          </w:tcPr>
          <w:p>
            <w:pPr>
              <w:ind w:left="80"/>
              <w:spacing w:after="0"/>
              <w:rPr>
                <w:sz w:val="20"/>
                <w:szCs w:val="20"/>
                <w:color w:val="auto"/>
              </w:rPr>
            </w:pPr>
            <w:r>
              <w:rPr>
                <w:rFonts w:ascii="Arial" w:cs="Arial" w:eastAsia="Arial" w:hAnsi="Arial"/>
                <w:sz w:val="15"/>
                <w:szCs w:val="15"/>
                <w:b w:val="1"/>
                <w:bCs w:val="1"/>
                <w:color w:val="auto"/>
              </w:rPr>
              <w:t>Compensation Agreements</w:t>
            </w:r>
          </w:p>
        </w:tc>
        <w:tc>
          <w:tcPr>
            <w:tcW w:w="2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b w:val="1"/>
                <w:bCs w:val="1"/>
                <w:color w:val="auto"/>
              </w:rPr>
              <w:t>Art. 36  Accords sur la rémunération</w:t>
            </w:r>
          </w:p>
        </w:tc>
      </w:tr>
      <w:tr>
        <w:trPr>
          <w:trHeight w:val="334"/>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Agreements on compensation with members of the Board of Directors may not</w:t>
            </w:r>
          </w:p>
        </w:tc>
        <w:tc>
          <w:tcPr>
            <w:tcW w:w="22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Les accords sur la rémunération des membres du conseil d'administration ne</w:t>
            </w:r>
          </w:p>
        </w:tc>
      </w:tr>
      <w:tr>
        <w:trPr>
          <w:trHeight w:val="185"/>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exceed the term of maximal one year.</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peuvent pas excéder la durée maximale d'une année.</w:t>
            </w:r>
          </w:p>
        </w:tc>
      </w:tr>
      <w:tr>
        <w:trPr>
          <w:trHeight w:val="196"/>
        </w:trPr>
        <w:tc>
          <w:tcPr>
            <w:tcW w:w="5620" w:type="dxa"/>
            <w:vAlign w:val="bottom"/>
            <w:tcBorders>
              <w:left w:val="single" w:sz="8" w:color="auto"/>
              <w:bottom w:val="single" w:sz="8" w:color="auto"/>
              <w:right w:val="single" w:sz="8" w:color="auto"/>
            </w:tcBorders>
            <w:gridSpan w:val="2"/>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600" w:type="dxa"/>
            <w:vAlign w:val="bottom"/>
            <w:tcBorders>
              <w:bottom w:val="single" w:sz="8" w:color="auto"/>
              <w:right w:val="single" w:sz="8" w:color="auto"/>
            </w:tcBorders>
          </w:tcPr>
          <w:p>
            <w:pPr>
              <w:spacing w:after="0"/>
              <w:rPr>
                <w:sz w:val="17"/>
                <w:szCs w:val="17"/>
                <w:color w:val="auto"/>
              </w:rPr>
            </w:pPr>
          </w:p>
        </w:tc>
      </w:tr>
      <w:tr>
        <w:trPr>
          <w:trHeight w:val="198"/>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Employment agreements of the members of the Executive Committee are</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Les contrats de travail des membres du comité exécutif sont principalement</w:t>
            </w: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principally concluded for an indefinite period of time whereas a notice period may</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conclus pour une durée indéterminée. Un délai de préavis ne peut pas excéder</w:t>
            </w: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not exceed 12 months. If an employment agreement is concluded for a fixed term</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12 mois. Si un accord de travail est conclu pour une durée déterminée, telle</w:t>
            </w:r>
          </w:p>
        </w:tc>
      </w:tr>
      <w:tr>
        <w:trPr>
          <w:trHeight w:val="185"/>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such term may not exceed one year.</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durée ne peut pas excéder un an.</w:t>
            </w:r>
          </w:p>
        </w:tc>
      </w:tr>
      <w:tr>
        <w:trPr>
          <w:trHeight w:val="23"/>
        </w:trPr>
        <w:tc>
          <w:tcPr>
            <w:tcW w:w="600" w:type="dxa"/>
            <w:vAlign w:val="bottom"/>
            <w:tcBorders>
              <w:left w:val="single" w:sz="8" w:color="auto"/>
              <w:bottom w:val="single" w:sz="8" w:color="auto"/>
            </w:tcBorders>
          </w:tcPr>
          <w:p>
            <w:pPr>
              <w:spacing w:after="0"/>
              <w:rPr>
                <w:sz w:val="2"/>
                <w:szCs w:val="2"/>
                <w:color w:val="auto"/>
              </w:rPr>
            </w:pPr>
          </w:p>
        </w:tc>
        <w:tc>
          <w:tcPr>
            <w:tcW w:w="50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499"/>
        </w:trPr>
        <w:tc>
          <w:tcPr>
            <w:tcW w:w="60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231" w:right="219" w:bottom="1440" w:gutter="0" w:footer="0" w:header="0"/>
        </w:sectPr>
      </w:pPr>
    </w:p>
    <w:bookmarkStart w:id="60" w:name="page61"/>
    <w:bookmarkEnd w:id="6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28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300" w:type="dxa"/>
            <w:vAlign w:val="bottom"/>
          </w:tcPr>
          <w:p>
            <w:pPr>
              <w:jc w:val="right"/>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r>
        <w:trPr>
          <w:trHeight w:val="289"/>
        </w:trPr>
        <w:tc>
          <w:tcPr>
            <w:tcW w:w="5620" w:type="dxa"/>
            <w:vAlign w:val="bottom"/>
            <w:tcBorders>
              <w:bottom w:val="single" w:sz="8" w:color="auto"/>
            </w:tcBorders>
            <w:gridSpan w:val="2"/>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Art. 37  Mandates of a Member of the Board of Directors outside the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Art. 37  Mandats d'un membre du conseil d'administration de la société</w:t>
            </w:r>
          </w:p>
        </w:tc>
        <w:tc>
          <w:tcPr>
            <w:tcW w:w="0" w:type="dxa"/>
            <w:vAlign w:val="bottom"/>
          </w:tcPr>
          <w:p>
            <w:pPr>
              <w:spacing w:after="0"/>
              <w:rPr>
                <w:sz w:val="1"/>
                <w:szCs w:val="1"/>
                <w:color w:val="auto"/>
              </w:rPr>
            </w:pPr>
          </w:p>
        </w:tc>
      </w:tr>
      <w:tr>
        <w:trPr>
          <w:trHeight w:val="203"/>
        </w:trPr>
        <w:tc>
          <w:tcPr>
            <w:tcW w:w="280" w:type="dxa"/>
            <w:vAlign w:val="bottom"/>
            <w:tcBorders>
              <w:left w:val="single" w:sz="8" w:color="auto"/>
            </w:tcBorders>
          </w:tcPr>
          <w:p>
            <w:pPr>
              <w:spacing w:after="0"/>
              <w:rPr>
                <w:sz w:val="17"/>
                <w:szCs w:val="17"/>
                <w:color w:val="auto"/>
              </w:rPr>
            </w:pPr>
          </w:p>
        </w:tc>
        <w:tc>
          <w:tcPr>
            <w:tcW w:w="5340" w:type="dxa"/>
            <w:vAlign w:val="bottom"/>
            <w:tcBorders>
              <w:right w:val="single" w:sz="8" w:color="auto"/>
            </w:tcBorders>
          </w:tcPr>
          <w:p>
            <w:pPr>
              <w:ind w:left="420"/>
              <w:spacing w:after="0"/>
              <w:rPr>
                <w:sz w:val="20"/>
                <w:szCs w:val="20"/>
                <w:color w:val="auto"/>
              </w:rPr>
            </w:pPr>
            <w:r>
              <w:rPr>
                <w:rFonts w:ascii="Arial" w:cs="Arial" w:eastAsia="Arial" w:hAnsi="Arial"/>
                <w:sz w:val="15"/>
                <w:szCs w:val="15"/>
                <w:b w:val="1"/>
                <w:bCs w:val="1"/>
                <w:color w:val="auto"/>
              </w:rPr>
              <w:t>Company</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5"/>
                <w:szCs w:val="15"/>
                <w:color w:val="auto"/>
              </w:rPr>
              <w:t>Un membre du conseil d'administration ne peut pas cumuler plus que le nombre</w:t>
            </w:r>
          </w:p>
        </w:tc>
        <w:tc>
          <w:tcPr>
            <w:tcW w:w="0" w:type="dxa"/>
            <w:vAlign w:val="bottom"/>
          </w:tcPr>
          <w:p>
            <w:pPr>
              <w:spacing w:after="0"/>
              <w:rPr>
                <w:sz w:val="1"/>
                <w:szCs w:val="1"/>
                <w:color w:val="auto"/>
              </w:rPr>
            </w:pPr>
          </w:p>
        </w:tc>
      </w:tr>
      <w:tr>
        <w:trPr>
          <w:trHeight w:val="161"/>
        </w:trPr>
        <w:tc>
          <w:tcPr>
            <w:tcW w:w="280" w:type="dxa"/>
            <w:vAlign w:val="bottom"/>
            <w:tcBorders>
              <w:left w:val="single" w:sz="8" w:color="auto"/>
            </w:tcBorders>
          </w:tcPr>
          <w:p>
            <w:pPr>
              <w:spacing w:after="0"/>
              <w:rPr>
                <w:sz w:val="13"/>
                <w:szCs w:val="13"/>
                <w:color w:val="auto"/>
              </w:rPr>
            </w:pPr>
          </w:p>
        </w:tc>
        <w:tc>
          <w:tcPr>
            <w:tcW w:w="5340" w:type="dxa"/>
            <w:vAlign w:val="bottom"/>
            <w:tcBorders>
              <w:right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5600" w:type="dxa"/>
            <w:vAlign w:val="bottom"/>
            <w:tcBorders>
              <w:right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A member of the Board of Directors may cumulatively assume not more than the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suivant de mandats dans un conseil d'administration, une direction supérieure ou</w:t>
            </w: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following  number  of  mandates  in  the  board  of  directors,  the  superior</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un organisme administratif d'une personne morale qui est obligée d'être inscrite</w:t>
            </w: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management or an administrative body of a legal entity which is obliged to be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au registre du commerce suisse ou un registre étranger équivalent:</w:t>
            </w:r>
          </w:p>
        </w:tc>
        <w:tc>
          <w:tcPr>
            <w:tcW w:w="0" w:type="dxa"/>
            <w:vAlign w:val="bottom"/>
          </w:tcPr>
          <w:p>
            <w:pPr>
              <w:spacing w:after="0"/>
              <w:rPr>
                <w:sz w:val="1"/>
                <w:szCs w:val="1"/>
                <w:color w:val="auto"/>
              </w:rPr>
            </w:pPr>
          </w:p>
        </w:tc>
      </w:tr>
      <w:tr>
        <w:trPr>
          <w:trHeight w:val="185"/>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registered in the Swiss commercial register or an equivalent foreign register:</w:t>
            </w:r>
          </w:p>
        </w:tc>
        <w:tc>
          <w:tcPr>
            <w:tcW w:w="220" w:type="dxa"/>
            <w:vAlign w:val="bottom"/>
            <w:tcBorders>
              <w:right w:val="single" w:sz="8" w:color="auto"/>
            </w:tcBorders>
          </w:tcPr>
          <w:p>
            <w:pPr>
              <w:spacing w:after="0"/>
              <w:rPr>
                <w:sz w:val="16"/>
                <w:szCs w:val="16"/>
                <w:color w:val="auto"/>
              </w:rPr>
            </w:pPr>
          </w:p>
        </w:tc>
        <w:tc>
          <w:tcPr>
            <w:tcW w:w="300" w:type="dxa"/>
            <w:vAlign w:val="bottom"/>
            <w:vMerge w:val="restart"/>
          </w:tcPr>
          <w:p>
            <w:pPr>
              <w:ind w:left="40"/>
              <w:spacing w:after="0"/>
              <w:rPr>
                <w:sz w:val="20"/>
                <w:szCs w:val="20"/>
                <w:color w:val="auto"/>
              </w:rPr>
            </w:pPr>
            <w:r>
              <w:rPr>
                <w:rFonts w:ascii="Arial" w:cs="Arial" w:eastAsia="Arial" w:hAnsi="Arial"/>
                <w:sz w:val="15"/>
                <w:szCs w:val="15"/>
                <w:color w:val="auto"/>
              </w:rPr>
              <w:t>a)</w:t>
            </w:r>
          </w:p>
        </w:tc>
        <w:tc>
          <w:tcPr>
            <w:tcW w:w="53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5"/>
                <w:szCs w:val="15"/>
                <w:color w:val="auto"/>
              </w:rPr>
              <w:t>7 mandats pour les entreprises cotées en bourse selon l'art. 727 al. 1</w:t>
            </w:r>
          </w:p>
        </w:tc>
        <w:tc>
          <w:tcPr>
            <w:tcW w:w="0" w:type="dxa"/>
            <w:vAlign w:val="bottom"/>
          </w:tcPr>
          <w:p>
            <w:pPr>
              <w:spacing w:after="0"/>
              <w:rPr>
                <w:sz w:val="1"/>
                <w:szCs w:val="1"/>
                <w:color w:val="auto"/>
              </w:rPr>
            </w:pPr>
          </w:p>
        </w:tc>
      </w:tr>
      <w:tr>
        <w:trPr>
          <w:trHeight w:val="161"/>
        </w:trPr>
        <w:tc>
          <w:tcPr>
            <w:tcW w:w="280" w:type="dxa"/>
            <w:vAlign w:val="bottom"/>
            <w:tcBorders>
              <w:left w:val="single" w:sz="8" w:color="auto"/>
            </w:tcBorders>
          </w:tcPr>
          <w:p>
            <w:pPr>
              <w:spacing w:after="0"/>
              <w:rPr>
                <w:sz w:val="13"/>
                <w:szCs w:val="13"/>
                <w:color w:val="auto"/>
              </w:rPr>
            </w:pPr>
          </w:p>
        </w:tc>
        <w:tc>
          <w:tcPr>
            <w:tcW w:w="5340" w:type="dxa"/>
            <w:vAlign w:val="bottom"/>
            <w:tcBorders>
              <w:right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300" w:type="dxa"/>
            <w:vAlign w:val="bottom"/>
            <w:vMerge w:val="continue"/>
          </w:tcPr>
          <w:p>
            <w:pPr>
              <w:spacing w:after="0"/>
              <w:rPr>
                <w:sz w:val="13"/>
                <w:szCs w:val="13"/>
                <w:color w:val="auto"/>
              </w:rPr>
            </w:pPr>
          </w:p>
        </w:tc>
        <w:tc>
          <w:tcPr>
            <w:tcW w:w="53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5"/>
                <w:szCs w:val="15"/>
                <w:color w:val="auto"/>
              </w:rPr>
              <w:t>a)</w:t>
            </w:r>
          </w:p>
        </w:tc>
        <w:tc>
          <w:tcPr>
            <w:tcW w:w="5340" w:type="dxa"/>
            <w:vAlign w:val="bottom"/>
            <w:tcBorders>
              <w:right w:val="single" w:sz="8" w:color="auto"/>
            </w:tcBorders>
          </w:tcPr>
          <w:p>
            <w:pPr>
              <w:ind w:left="180"/>
              <w:spacing w:after="0"/>
              <w:rPr>
                <w:sz w:val="20"/>
                <w:szCs w:val="20"/>
                <w:color w:val="auto"/>
              </w:rPr>
            </w:pPr>
            <w:r>
              <w:rPr>
                <w:rFonts w:ascii="Arial" w:cs="Arial" w:eastAsia="Arial" w:hAnsi="Arial"/>
                <w:sz w:val="15"/>
                <w:szCs w:val="15"/>
                <w:color w:val="auto"/>
              </w:rPr>
              <w:t>7 mandates for publicly traded companies pursuant to art. 727 para. 1</w:t>
            </w:r>
          </w:p>
        </w:tc>
        <w:tc>
          <w:tcPr>
            <w:tcW w:w="22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530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chiffre 1 CO; et</w:t>
            </w:r>
          </w:p>
        </w:tc>
        <w:tc>
          <w:tcPr>
            <w:tcW w:w="0" w:type="dxa"/>
            <w:vAlign w:val="bottom"/>
          </w:tcPr>
          <w:p>
            <w:pPr>
              <w:spacing w:after="0"/>
              <w:rPr>
                <w:sz w:val="1"/>
                <w:szCs w:val="1"/>
                <w:color w:val="auto"/>
              </w:rPr>
            </w:pPr>
          </w:p>
        </w:tc>
      </w:tr>
      <w:tr>
        <w:trPr>
          <w:trHeight w:val="185"/>
        </w:trPr>
        <w:tc>
          <w:tcPr>
            <w:tcW w:w="280" w:type="dxa"/>
            <w:vAlign w:val="bottom"/>
            <w:tcBorders>
              <w:left w:val="single" w:sz="8" w:color="auto"/>
            </w:tcBorders>
          </w:tcPr>
          <w:p>
            <w:pPr>
              <w:spacing w:after="0"/>
              <w:rPr>
                <w:sz w:val="16"/>
                <w:szCs w:val="16"/>
                <w:color w:val="auto"/>
              </w:rPr>
            </w:pPr>
          </w:p>
        </w:tc>
        <w:tc>
          <w:tcPr>
            <w:tcW w:w="53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number 1 CO; and</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5"/>
                <w:szCs w:val="15"/>
                <w:color w:val="auto"/>
              </w:rPr>
              <w:t>b)   8 mandats pour des entreprises selon l'art. 727 al. 1 chiffre 2 CO; et</w:t>
            </w: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gridSpan w:val="2"/>
            <w:vMerge w:val="restart"/>
          </w:tcPr>
          <w:p>
            <w:pPr>
              <w:ind w:left="40"/>
              <w:spacing w:after="0"/>
              <w:rPr>
                <w:sz w:val="20"/>
                <w:szCs w:val="20"/>
                <w:color w:val="auto"/>
              </w:rPr>
            </w:pPr>
            <w:r>
              <w:rPr>
                <w:rFonts w:ascii="Arial" w:cs="Arial" w:eastAsia="Arial" w:hAnsi="Arial"/>
                <w:sz w:val="15"/>
                <w:szCs w:val="15"/>
                <w:color w:val="auto"/>
              </w:rPr>
              <w:t>b)  8 mandates for companies pursuant to art. 727 para. 1 number 2 CO; and</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gridSpan w:val="2"/>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300" w:type="dxa"/>
            <w:vAlign w:val="bottom"/>
            <w:vMerge w:val="restart"/>
          </w:tcPr>
          <w:p>
            <w:pPr>
              <w:ind w:left="40"/>
              <w:spacing w:after="0"/>
              <w:rPr>
                <w:sz w:val="20"/>
                <w:szCs w:val="20"/>
                <w:color w:val="auto"/>
              </w:rPr>
            </w:pPr>
            <w:r>
              <w:rPr>
                <w:rFonts w:ascii="Arial" w:cs="Arial" w:eastAsia="Arial" w:hAnsi="Arial"/>
                <w:sz w:val="15"/>
                <w:szCs w:val="15"/>
                <w:color w:val="auto"/>
              </w:rPr>
              <w:t>c)</w:t>
            </w:r>
          </w:p>
        </w:tc>
        <w:tc>
          <w:tcPr>
            <w:tcW w:w="53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5"/>
                <w:szCs w:val="15"/>
                <w:color w:val="auto"/>
              </w:rPr>
              <w:t>5 mandats pour les entreprises qui ne remplissent pas les critères sous a)</w:t>
            </w:r>
          </w:p>
        </w:tc>
        <w:tc>
          <w:tcPr>
            <w:tcW w:w="0" w:type="dxa"/>
            <w:vAlign w:val="bottom"/>
          </w:tcPr>
          <w:p>
            <w:pPr>
              <w:spacing w:after="0"/>
              <w:rPr>
                <w:sz w:val="1"/>
                <w:szCs w:val="1"/>
                <w:color w:val="auto"/>
              </w:rPr>
            </w:pPr>
          </w:p>
        </w:tc>
      </w:tr>
      <w:tr>
        <w:trPr>
          <w:trHeight w:val="161"/>
        </w:trPr>
        <w:tc>
          <w:tcPr>
            <w:tcW w:w="280" w:type="dxa"/>
            <w:vAlign w:val="bottom"/>
            <w:tcBorders>
              <w:left w:val="single" w:sz="8" w:color="auto"/>
            </w:tcBorders>
          </w:tcPr>
          <w:p>
            <w:pPr>
              <w:spacing w:after="0"/>
              <w:rPr>
                <w:sz w:val="13"/>
                <w:szCs w:val="13"/>
                <w:color w:val="auto"/>
              </w:rPr>
            </w:pPr>
          </w:p>
        </w:tc>
        <w:tc>
          <w:tcPr>
            <w:tcW w:w="5340" w:type="dxa"/>
            <w:vAlign w:val="bottom"/>
            <w:tcBorders>
              <w:right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300" w:type="dxa"/>
            <w:vAlign w:val="bottom"/>
            <w:vMerge w:val="continue"/>
          </w:tcPr>
          <w:p>
            <w:pPr>
              <w:spacing w:after="0"/>
              <w:rPr>
                <w:sz w:val="13"/>
                <w:szCs w:val="13"/>
                <w:color w:val="auto"/>
              </w:rPr>
            </w:pPr>
          </w:p>
        </w:tc>
        <w:tc>
          <w:tcPr>
            <w:tcW w:w="53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c)   5 mandates for companies which do not fulfil the criteria under a) and b)</w:t>
            </w:r>
          </w:p>
        </w:tc>
        <w:tc>
          <w:tcPr>
            <w:tcW w:w="22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530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et b) ci-dessus.</w:t>
            </w:r>
          </w:p>
        </w:tc>
        <w:tc>
          <w:tcPr>
            <w:tcW w:w="0" w:type="dxa"/>
            <w:vAlign w:val="bottom"/>
          </w:tcPr>
          <w:p>
            <w:pPr>
              <w:spacing w:after="0"/>
              <w:rPr>
                <w:sz w:val="1"/>
                <w:szCs w:val="1"/>
                <w:color w:val="auto"/>
              </w:rPr>
            </w:pPr>
          </w:p>
        </w:tc>
      </w:tr>
      <w:tr>
        <w:trPr>
          <w:trHeight w:val="185"/>
        </w:trPr>
        <w:tc>
          <w:tcPr>
            <w:tcW w:w="280" w:type="dxa"/>
            <w:vAlign w:val="bottom"/>
            <w:tcBorders>
              <w:left w:val="single" w:sz="8" w:color="auto"/>
            </w:tcBorders>
          </w:tcPr>
          <w:p>
            <w:pPr>
              <w:spacing w:after="0"/>
              <w:rPr>
                <w:sz w:val="16"/>
                <w:szCs w:val="16"/>
                <w:color w:val="auto"/>
              </w:rPr>
            </w:pPr>
          </w:p>
        </w:tc>
        <w:tc>
          <w:tcPr>
            <w:tcW w:w="53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above.</w:t>
            </w:r>
          </w:p>
        </w:tc>
        <w:tc>
          <w:tcPr>
            <w:tcW w:w="22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5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Borders>
              <w:left w:val="single" w:sz="8" w:color="auto"/>
              <w:bottom w:val="single" w:sz="8" w:color="auto"/>
              <w:right w:val="single" w:sz="8" w:color="auto"/>
            </w:tcBorders>
            <w:gridSpan w:val="2"/>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600" w:type="dxa"/>
            <w:vAlign w:val="bottom"/>
            <w:tcBorders>
              <w:bottom w:val="single" w:sz="8" w:color="auto"/>
              <w:right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Mandates  held  in  several  legal  entities  each  operating  under  the  same</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Les mandats exercés dans plusieurs entités juridiques opérant chacune sous la</w:t>
            </w: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management or same beneficial owner (group) are deemed to be a single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même direction ou le même bénéficiaire effectif (groupe) sont réputés être un</w:t>
            </w:r>
          </w:p>
        </w:tc>
        <w:tc>
          <w:tcPr>
            <w:tcW w:w="0" w:type="dxa"/>
            <w:vAlign w:val="bottom"/>
          </w:tcPr>
          <w:p>
            <w:pPr>
              <w:spacing w:after="0"/>
              <w:rPr>
                <w:sz w:val="1"/>
                <w:szCs w:val="1"/>
                <w:color w:val="auto"/>
              </w:rPr>
            </w:pPr>
          </w:p>
        </w:tc>
      </w:tr>
      <w:tr>
        <w:trPr>
          <w:trHeight w:val="185"/>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mandate.</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seul mandat.</w:t>
            </w:r>
          </w:p>
        </w:tc>
        <w:tc>
          <w:tcPr>
            <w:tcW w:w="0" w:type="dxa"/>
            <w:vAlign w:val="bottom"/>
          </w:tcPr>
          <w:p>
            <w:pPr>
              <w:spacing w:after="0"/>
              <w:rPr>
                <w:sz w:val="1"/>
                <w:szCs w:val="1"/>
                <w:color w:val="auto"/>
              </w:rPr>
            </w:pPr>
          </w:p>
        </w:tc>
      </w:tr>
      <w:tr>
        <w:trPr>
          <w:trHeight w:val="23"/>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If a legal entity fulfills several of the above mentioned criteria, it can be freely</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Si une entité juridique remplit plusieurs des critères mentionnés ci-dessus, elle</w:t>
            </w: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counted towards any category. The following mandates are excepted from these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peut être librement placée dans une catégorie. Les mandats suivants sont</w:t>
            </w:r>
          </w:p>
        </w:tc>
        <w:tc>
          <w:tcPr>
            <w:tcW w:w="0" w:type="dxa"/>
            <w:vAlign w:val="bottom"/>
          </w:tcPr>
          <w:p>
            <w:pPr>
              <w:spacing w:after="0"/>
              <w:rPr>
                <w:sz w:val="1"/>
                <w:szCs w:val="1"/>
                <w:color w:val="auto"/>
              </w:rPr>
            </w:pPr>
          </w:p>
        </w:tc>
      </w:tr>
      <w:tr>
        <w:trPr>
          <w:trHeight w:val="185"/>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restrictions:</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exceptés de ces restrictions:</w:t>
            </w:r>
          </w:p>
        </w:tc>
        <w:tc>
          <w:tcPr>
            <w:tcW w:w="0" w:type="dxa"/>
            <w:vAlign w:val="bottom"/>
          </w:tcPr>
          <w:p>
            <w:pPr>
              <w:spacing w:after="0"/>
              <w:rPr>
                <w:sz w:val="1"/>
                <w:szCs w:val="1"/>
                <w:color w:val="auto"/>
              </w:rPr>
            </w:pPr>
          </w:p>
        </w:tc>
      </w:tr>
      <w:tr>
        <w:trPr>
          <w:trHeight w:val="334"/>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a)   mandates in legal entities which are controlled by the Company or which</w:t>
            </w:r>
          </w:p>
        </w:tc>
        <w:tc>
          <w:tcPr>
            <w:tcW w:w="220" w:type="dxa"/>
            <w:vAlign w:val="bottom"/>
            <w:tcBorders>
              <w:right w:val="single" w:sz="8" w:color="auto"/>
            </w:tcBorders>
          </w:tcPr>
          <w:p>
            <w:pPr>
              <w:spacing w:after="0"/>
              <w:rPr>
                <w:sz w:val="24"/>
                <w:szCs w:val="24"/>
                <w:color w:val="auto"/>
              </w:rPr>
            </w:pPr>
          </w:p>
        </w:tc>
        <w:tc>
          <w:tcPr>
            <w:tcW w:w="300" w:type="dxa"/>
            <w:vAlign w:val="bottom"/>
          </w:tcPr>
          <w:p>
            <w:pPr>
              <w:ind w:left="40"/>
              <w:spacing w:after="0"/>
              <w:rPr>
                <w:sz w:val="20"/>
                <w:szCs w:val="20"/>
                <w:color w:val="auto"/>
              </w:rPr>
            </w:pPr>
            <w:r>
              <w:rPr>
                <w:rFonts w:ascii="Arial" w:cs="Arial" w:eastAsia="Arial" w:hAnsi="Arial"/>
                <w:sz w:val="15"/>
                <w:szCs w:val="15"/>
                <w:color w:val="auto"/>
              </w:rPr>
              <w:t>a)</w:t>
            </w:r>
          </w:p>
        </w:tc>
        <w:tc>
          <w:tcPr>
            <w:tcW w:w="530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les mandats dans des entités juridiques qui sont contrôlées par la société</w:t>
            </w:r>
          </w:p>
        </w:tc>
        <w:tc>
          <w:tcPr>
            <w:tcW w:w="0" w:type="dxa"/>
            <w:vAlign w:val="bottom"/>
          </w:tcPr>
          <w:p>
            <w:pPr>
              <w:spacing w:after="0"/>
              <w:rPr>
                <w:sz w:val="1"/>
                <w:szCs w:val="1"/>
                <w:color w:val="auto"/>
              </w:rPr>
            </w:pPr>
          </w:p>
        </w:tc>
      </w:tr>
      <w:tr>
        <w:trPr>
          <w:trHeight w:val="185"/>
        </w:trPr>
        <w:tc>
          <w:tcPr>
            <w:tcW w:w="280" w:type="dxa"/>
            <w:vAlign w:val="bottom"/>
            <w:tcBorders>
              <w:left w:val="single" w:sz="8" w:color="auto"/>
            </w:tcBorders>
          </w:tcPr>
          <w:p>
            <w:pPr>
              <w:spacing w:after="0"/>
              <w:rPr>
                <w:sz w:val="16"/>
                <w:szCs w:val="16"/>
                <w:color w:val="auto"/>
              </w:rPr>
            </w:pPr>
          </w:p>
        </w:tc>
        <w:tc>
          <w:tcPr>
            <w:tcW w:w="53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control the Company;</w:t>
            </w:r>
          </w:p>
        </w:tc>
        <w:tc>
          <w:tcPr>
            <w:tcW w:w="22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530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ou qui contrôlent la société;</w:t>
            </w:r>
          </w:p>
        </w:tc>
        <w:tc>
          <w:tcPr>
            <w:tcW w:w="0" w:type="dxa"/>
            <w:vAlign w:val="bottom"/>
          </w:tcPr>
          <w:p>
            <w:pPr>
              <w:spacing w:after="0"/>
              <w:rPr>
                <w:sz w:val="1"/>
                <w:szCs w:val="1"/>
                <w:color w:val="auto"/>
              </w:rPr>
            </w:pPr>
          </w:p>
        </w:tc>
      </w:tr>
      <w:tr>
        <w:trPr>
          <w:trHeight w:val="346"/>
        </w:trPr>
        <w:tc>
          <w:tcPr>
            <w:tcW w:w="5620" w:type="dxa"/>
            <w:vAlign w:val="bottom"/>
            <w:tcBorders>
              <w:left w:val="single" w:sz="8" w:color="auto"/>
              <w:right w:val="single" w:sz="8" w:color="auto"/>
            </w:tcBorders>
            <w:gridSpan w:val="2"/>
            <w:vMerge w:val="restart"/>
          </w:tcPr>
          <w:p>
            <w:pPr>
              <w:ind w:left="40"/>
              <w:spacing w:after="0"/>
              <w:rPr>
                <w:sz w:val="20"/>
                <w:szCs w:val="20"/>
                <w:color w:val="auto"/>
              </w:rPr>
            </w:pPr>
            <w:r>
              <w:rPr>
                <w:rFonts w:ascii="Arial" w:cs="Arial" w:eastAsia="Arial" w:hAnsi="Arial"/>
                <w:sz w:val="15"/>
                <w:szCs w:val="15"/>
                <w:color w:val="auto"/>
              </w:rPr>
              <w:t>b)  honorary mandates in charitable legal entities.</w:t>
            </w:r>
          </w:p>
        </w:tc>
        <w:tc>
          <w:tcPr>
            <w:tcW w:w="22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b)   des mandats d'honneur à des personnes morales de bienfaisance.</w:t>
            </w: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gridSpan w:val="2"/>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53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620" w:type="dxa"/>
            <w:vAlign w:val="bottom"/>
            <w:tcBorders>
              <w:left w:val="single" w:sz="8" w:color="auto"/>
              <w:bottom w:val="single" w:sz="8" w:color="auto"/>
              <w:right w:val="single" w:sz="8" w:color="auto"/>
            </w:tcBorders>
            <w:gridSpan w:val="2"/>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600" w:type="dxa"/>
            <w:vAlign w:val="bottom"/>
            <w:tcBorders>
              <w:bottom w:val="single" w:sz="8" w:color="auto"/>
              <w:right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Art. 38  Mandates of a Member of the Executive Committee outside the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Art. 38  Mandats d'un membre du comité exécutif en-dehors de la société</w:t>
            </w:r>
          </w:p>
        </w:tc>
        <w:tc>
          <w:tcPr>
            <w:tcW w:w="0" w:type="dxa"/>
            <w:vAlign w:val="bottom"/>
          </w:tcPr>
          <w:p>
            <w:pPr>
              <w:spacing w:after="0"/>
              <w:rPr>
                <w:sz w:val="1"/>
                <w:szCs w:val="1"/>
                <w:color w:val="auto"/>
              </w:rPr>
            </w:pPr>
          </w:p>
        </w:tc>
      </w:tr>
      <w:tr>
        <w:trPr>
          <w:trHeight w:val="203"/>
        </w:trPr>
        <w:tc>
          <w:tcPr>
            <w:tcW w:w="280" w:type="dxa"/>
            <w:vAlign w:val="bottom"/>
            <w:tcBorders>
              <w:left w:val="single" w:sz="8" w:color="auto"/>
            </w:tcBorders>
          </w:tcPr>
          <w:p>
            <w:pPr>
              <w:spacing w:after="0"/>
              <w:rPr>
                <w:sz w:val="17"/>
                <w:szCs w:val="17"/>
                <w:color w:val="auto"/>
              </w:rPr>
            </w:pPr>
          </w:p>
        </w:tc>
        <w:tc>
          <w:tcPr>
            <w:tcW w:w="5340" w:type="dxa"/>
            <w:vAlign w:val="bottom"/>
            <w:tcBorders>
              <w:right w:val="single" w:sz="8" w:color="auto"/>
            </w:tcBorders>
          </w:tcPr>
          <w:p>
            <w:pPr>
              <w:ind w:left="420"/>
              <w:spacing w:after="0"/>
              <w:rPr>
                <w:sz w:val="20"/>
                <w:szCs w:val="20"/>
                <w:color w:val="auto"/>
              </w:rPr>
            </w:pPr>
            <w:r>
              <w:rPr>
                <w:rFonts w:ascii="Arial" w:cs="Arial" w:eastAsia="Arial" w:hAnsi="Arial"/>
                <w:sz w:val="15"/>
                <w:szCs w:val="15"/>
                <w:b w:val="1"/>
                <w:bCs w:val="1"/>
                <w:color w:val="auto"/>
              </w:rPr>
              <w:t>Company</w:t>
            </w:r>
          </w:p>
        </w:tc>
        <w:tc>
          <w:tcPr>
            <w:tcW w:w="22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53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4"/>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Each member of the Executive Committee may, with approval of the Board of</w:t>
            </w:r>
          </w:p>
        </w:tc>
        <w:tc>
          <w:tcPr>
            <w:tcW w:w="22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Chaque  membre  du  comité  exécutif  peut,  avec  l'approbation  du  conseil</w:t>
            </w: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Directors, cumulatively assume not more than the following number of mandates</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d'administration, cumuler pas plus que le nombre suivant de mandats dans un</w:t>
            </w: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in the board of directors, the superior management or an administrative body of a</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conseil d'administration, une direction supérieure ou un organisme administratif</w:t>
            </w:r>
          </w:p>
        </w:tc>
        <w:tc>
          <w:tcPr>
            <w:tcW w:w="0" w:type="dxa"/>
            <w:vAlign w:val="bottom"/>
          </w:tcPr>
          <w:p>
            <w:pPr>
              <w:spacing w:after="0"/>
              <w:rPr>
                <w:sz w:val="1"/>
                <w:szCs w:val="1"/>
                <w:color w:val="auto"/>
              </w:rPr>
            </w:pPr>
          </w:p>
        </w:tc>
      </w:tr>
      <w:tr>
        <w:trPr>
          <w:trHeight w:val="185"/>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legal entity which is obliged to be registered in the Swiss</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d'une personne morale qui est obligée d'être inscrite dans le</w:t>
            </w:r>
          </w:p>
        </w:tc>
        <w:tc>
          <w:tcPr>
            <w:tcW w:w="0" w:type="dxa"/>
            <w:vAlign w:val="bottom"/>
          </w:tcPr>
          <w:p>
            <w:pPr>
              <w:spacing w:after="0"/>
              <w:rPr>
                <w:sz w:val="1"/>
                <w:szCs w:val="1"/>
                <w:color w:val="auto"/>
              </w:rPr>
            </w:pPr>
          </w:p>
        </w:tc>
      </w:tr>
      <w:tr>
        <w:trPr>
          <w:trHeight w:val="196"/>
        </w:trPr>
        <w:tc>
          <w:tcPr>
            <w:tcW w:w="280" w:type="dxa"/>
            <w:vAlign w:val="bottom"/>
            <w:tcBorders>
              <w:left w:val="single" w:sz="8" w:color="auto"/>
              <w:bottom w:val="single" w:sz="8" w:color="auto"/>
            </w:tcBorders>
          </w:tcPr>
          <w:p>
            <w:pPr>
              <w:spacing w:after="0"/>
              <w:rPr>
                <w:sz w:val="17"/>
                <w:szCs w:val="17"/>
                <w:color w:val="auto"/>
              </w:rPr>
            </w:pPr>
          </w:p>
        </w:tc>
        <w:tc>
          <w:tcPr>
            <w:tcW w:w="534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53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99"/>
        </w:trPr>
        <w:tc>
          <w:tcPr>
            <w:tcW w:w="28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31" w:right="219"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300" w:type="dxa"/>
            <w:vAlign w:val="bottom"/>
          </w:tcPr>
          <w:p>
            <w:pPr>
              <w:jc w:val="right"/>
              <w:spacing w:after="0"/>
              <w:rPr>
                <w:sz w:val="20"/>
                <w:szCs w:val="20"/>
                <w:color w:val="auto"/>
              </w:rPr>
            </w:pPr>
            <w:r>
              <w:rPr>
                <w:rFonts w:ascii="Arial" w:cs="Arial" w:eastAsia="Arial" w:hAnsi="Arial"/>
                <w:sz w:val="15"/>
                <w:szCs w:val="15"/>
                <w:color w:val="auto"/>
              </w:rPr>
              <w:t>31</w:t>
            </w:r>
          </w:p>
        </w:tc>
      </w:tr>
      <w:tr>
        <w:trPr>
          <w:trHeight w:val="289"/>
        </w:trPr>
        <w:tc>
          <w:tcPr>
            <w:tcW w:w="5720" w:type="dxa"/>
            <w:vAlign w:val="bottom"/>
            <w:tcBorders>
              <w:bottom w:val="single" w:sz="8" w:color="auto"/>
            </w:tcBorders>
            <w:gridSpan w:val="2"/>
          </w:tcPr>
          <w:p>
            <w:pPr>
              <w:spacing w:after="0"/>
              <w:rPr>
                <w:sz w:val="24"/>
                <w:szCs w:val="24"/>
                <w:color w:val="auto"/>
              </w:rPr>
            </w:pPr>
          </w:p>
        </w:tc>
        <w:tc>
          <w:tcPr>
            <w:tcW w:w="5720" w:type="dxa"/>
            <w:vAlign w:val="bottom"/>
            <w:tcBorders>
              <w:bottom w:val="single" w:sz="8" w:color="auto"/>
            </w:tcBorders>
            <w:gridSpan w:val="2"/>
          </w:tcPr>
          <w:p>
            <w:pPr>
              <w:spacing w:after="0"/>
              <w:rPr>
                <w:sz w:val="24"/>
                <w:szCs w:val="24"/>
                <w:color w:val="auto"/>
              </w:rPr>
            </w:pPr>
          </w:p>
        </w:tc>
      </w:tr>
      <w:tr>
        <w:trPr>
          <w:trHeight w:val="211"/>
        </w:trPr>
        <w:tc>
          <w:tcPr>
            <w:tcW w:w="5720" w:type="dxa"/>
            <w:vAlign w:val="bottom"/>
            <w:gridSpan w:val="2"/>
          </w:tcPr>
          <w:p>
            <w:pPr>
              <w:ind w:left="40"/>
              <w:spacing w:after="0"/>
              <w:rPr>
                <w:sz w:val="20"/>
                <w:szCs w:val="20"/>
                <w:color w:val="auto"/>
              </w:rPr>
            </w:pPr>
            <w:r>
              <w:rPr>
                <w:rFonts w:ascii="Arial" w:cs="Arial" w:eastAsia="Arial" w:hAnsi="Arial"/>
                <w:sz w:val="15"/>
                <w:szCs w:val="15"/>
                <w:color w:val="auto"/>
              </w:rPr>
              <w:t>commercial register or an equivalent foreign register:</w:t>
            </w:r>
          </w:p>
        </w:tc>
        <w:tc>
          <w:tcPr>
            <w:tcW w:w="5720" w:type="dxa"/>
            <w:vAlign w:val="bottom"/>
            <w:gridSpan w:val="2"/>
          </w:tcPr>
          <w:p>
            <w:pPr>
              <w:ind w:left="160"/>
              <w:spacing w:after="0"/>
              <w:rPr>
                <w:sz w:val="20"/>
                <w:szCs w:val="20"/>
                <w:color w:val="auto"/>
              </w:rPr>
            </w:pPr>
            <w:r>
              <w:rPr>
                <w:rFonts w:ascii="Arial" w:cs="Arial" w:eastAsia="Arial" w:hAnsi="Arial"/>
                <w:sz w:val="15"/>
                <w:szCs w:val="15"/>
                <w:color w:val="auto"/>
              </w:rPr>
              <w:t>registre du commerce suisse ou un registre étranger équivalent:</w:t>
            </w:r>
          </w:p>
        </w:tc>
      </w:tr>
      <w:tr>
        <w:trPr>
          <w:trHeight w:val="334"/>
        </w:trPr>
        <w:tc>
          <w:tcPr>
            <w:tcW w:w="280" w:type="dxa"/>
            <w:vAlign w:val="bottom"/>
          </w:tcPr>
          <w:p>
            <w:pPr>
              <w:ind w:left="40"/>
              <w:spacing w:after="0"/>
              <w:rPr>
                <w:sz w:val="20"/>
                <w:szCs w:val="20"/>
                <w:color w:val="auto"/>
              </w:rPr>
            </w:pPr>
            <w:r>
              <w:rPr>
                <w:rFonts w:ascii="Arial" w:cs="Arial" w:eastAsia="Arial" w:hAnsi="Arial"/>
                <w:sz w:val="15"/>
                <w:szCs w:val="15"/>
                <w:color w:val="auto"/>
              </w:rPr>
              <w:t>a)</w:t>
            </w:r>
          </w:p>
        </w:tc>
        <w:tc>
          <w:tcPr>
            <w:tcW w:w="5440" w:type="dxa"/>
            <w:vAlign w:val="bottom"/>
          </w:tcPr>
          <w:p>
            <w:pPr>
              <w:ind w:left="180"/>
              <w:spacing w:after="0"/>
              <w:rPr>
                <w:sz w:val="20"/>
                <w:szCs w:val="20"/>
                <w:color w:val="auto"/>
              </w:rPr>
            </w:pPr>
            <w:r>
              <w:rPr>
                <w:rFonts w:ascii="Arial" w:cs="Arial" w:eastAsia="Arial" w:hAnsi="Arial"/>
                <w:sz w:val="15"/>
                <w:szCs w:val="15"/>
                <w:color w:val="auto"/>
              </w:rPr>
              <w:t>2 mandates for publicly traded companies pursuant to Art. 727 para. 1</w:t>
            </w:r>
          </w:p>
        </w:tc>
        <w:tc>
          <w:tcPr>
            <w:tcW w:w="420" w:type="dxa"/>
            <w:vAlign w:val="bottom"/>
          </w:tcPr>
          <w:p>
            <w:pPr>
              <w:ind w:left="160"/>
              <w:spacing w:after="0"/>
              <w:rPr>
                <w:sz w:val="20"/>
                <w:szCs w:val="20"/>
                <w:color w:val="auto"/>
              </w:rPr>
            </w:pPr>
            <w:r>
              <w:rPr>
                <w:rFonts w:ascii="Arial" w:cs="Arial" w:eastAsia="Arial" w:hAnsi="Arial"/>
                <w:sz w:val="15"/>
                <w:szCs w:val="15"/>
                <w:color w:val="auto"/>
              </w:rPr>
              <w:t>a)</w:t>
            </w:r>
          </w:p>
        </w:tc>
        <w:tc>
          <w:tcPr>
            <w:tcW w:w="5300" w:type="dxa"/>
            <w:vAlign w:val="bottom"/>
          </w:tcPr>
          <w:p>
            <w:pPr>
              <w:jc w:val="right"/>
              <w:spacing w:after="0"/>
              <w:rPr>
                <w:sz w:val="20"/>
                <w:szCs w:val="20"/>
                <w:color w:val="auto"/>
              </w:rPr>
            </w:pPr>
            <w:r>
              <w:rPr>
                <w:rFonts w:ascii="Arial" w:cs="Arial" w:eastAsia="Arial" w:hAnsi="Arial"/>
                <w:sz w:val="15"/>
                <w:szCs w:val="15"/>
                <w:color w:val="auto"/>
              </w:rPr>
              <w:t>2 mandats pour les entreprises cotées en bourse selon l'art. 727 al. 1</w:t>
            </w:r>
          </w:p>
        </w:tc>
      </w:tr>
      <w:tr>
        <w:trPr>
          <w:trHeight w:val="185"/>
        </w:trPr>
        <w:tc>
          <w:tcPr>
            <w:tcW w:w="280" w:type="dxa"/>
            <w:vAlign w:val="bottom"/>
          </w:tcPr>
          <w:p>
            <w:pPr>
              <w:spacing w:after="0"/>
              <w:rPr>
                <w:sz w:val="16"/>
                <w:szCs w:val="16"/>
                <w:color w:val="auto"/>
              </w:rPr>
            </w:pPr>
          </w:p>
        </w:tc>
        <w:tc>
          <w:tcPr>
            <w:tcW w:w="5440" w:type="dxa"/>
            <w:vAlign w:val="bottom"/>
          </w:tcPr>
          <w:p>
            <w:pPr>
              <w:ind w:left="80"/>
              <w:spacing w:after="0"/>
              <w:rPr>
                <w:sz w:val="20"/>
                <w:szCs w:val="20"/>
                <w:color w:val="auto"/>
              </w:rPr>
            </w:pPr>
            <w:r>
              <w:rPr>
                <w:rFonts w:ascii="Arial" w:cs="Arial" w:eastAsia="Arial" w:hAnsi="Arial"/>
                <w:sz w:val="15"/>
                <w:szCs w:val="15"/>
                <w:color w:val="auto"/>
              </w:rPr>
              <w:t>number 1 CO; and</w:t>
            </w:r>
          </w:p>
        </w:tc>
        <w:tc>
          <w:tcPr>
            <w:tcW w:w="420" w:type="dxa"/>
            <w:vAlign w:val="bottom"/>
          </w:tcPr>
          <w:p>
            <w:pPr>
              <w:spacing w:after="0"/>
              <w:rPr>
                <w:sz w:val="16"/>
                <w:szCs w:val="16"/>
                <w:color w:val="auto"/>
              </w:rPr>
            </w:pPr>
          </w:p>
        </w:tc>
        <w:tc>
          <w:tcPr>
            <w:tcW w:w="5300" w:type="dxa"/>
            <w:vAlign w:val="bottom"/>
          </w:tcPr>
          <w:p>
            <w:pPr>
              <w:ind w:left="120"/>
              <w:spacing w:after="0"/>
              <w:rPr>
                <w:sz w:val="20"/>
                <w:szCs w:val="20"/>
                <w:color w:val="auto"/>
              </w:rPr>
            </w:pPr>
            <w:r>
              <w:rPr>
                <w:rFonts w:ascii="Arial" w:cs="Arial" w:eastAsia="Arial" w:hAnsi="Arial"/>
                <w:sz w:val="15"/>
                <w:szCs w:val="15"/>
                <w:color w:val="auto"/>
              </w:rPr>
              <w:t>chiffre 1 CO; et</w:t>
            </w:r>
          </w:p>
        </w:tc>
      </w:tr>
      <w:tr>
        <w:trPr>
          <w:trHeight w:val="346"/>
        </w:trPr>
        <w:tc>
          <w:tcPr>
            <w:tcW w:w="5720" w:type="dxa"/>
            <w:vAlign w:val="bottom"/>
            <w:gridSpan w:val="2"/>
          </w:tcPr>
          <w:p>
            <w:pPr>
              <w:ind w:left="40"/>
              <w:spacing w:after="0"/>
              <w:rPr>
                <w:sz w:val="20"/>
                <w:szCs w:val="20"/>
                <w:color w:val="auto"/>
              </w:rPr>
            </w:pPr>
            <w:r>
              <w:rPr>
                <w:rFonts w:ascii="Arial" w:cs="Arial" w:eastAsia="Arial" w:hAnsi="Arial"/>
                <w:sz w:val="15"/>
                <w:szCs w:val="15"/>
                <w:color w:val="auto"/>
              </w:rPr>
              <w:t>b)  3 mandates for companies pursuant to Art. 727 para. 1 number 2 CO; and</w:t>
            </w:r>
          </w:p>
        </w:tc>
        <w:tc>
          <w:tcPr>
            <w:tcW w:w="420" w:type="dxa"/>
            <w:vAlign w:val="bottom"/>
          </w:tcPr>
          <w:p>
            <w:pPr>
              <w:ind w:left="160"/>
              <w:spacing w:after="0"/>
              <w:rPr>
                <w:sz w:val="20"/>
                <w:szCs w:val="20"/>
                <w:color w:val="auto"/>
              </w:rPr>
            </w:pPr>
            <w:r>
              <w:rPr>
                <w:rFonts w:ascii="Arial" w:cs="Arial" w:eastAsia="Arial" w:hAnsi="Arial"/>
                <w:sz w:val="15"/>
                <w:szCs w:val="15"/>
                <w:color w:val="auto"/>
              </w:rPr>
              <w:t>b)</w:t>
            </w:r>
          </w:p>
        </w:tc>
        <w:tc>
          <w:tcPr>
            <w:tcW w:w="5300" w:type="dxa"/>
            <w:vAlign w:val="bottom"/>
          </w:tcPr>
          <w:p>
            <w:pPr>
              <w:ind w:left="120"/>
              <w:spacing w:after="0"/>
              <w:rPr>
                <w:sz w:val="20"/>
                <w:szCs w:val="20"/>
                <w:color w:val="auto"/>
              </w:rPr>
            </w:pPr>
            <w:r>
              <w:rPr>
                <w:rFonts w:ascii="Arial" w:cs="Arial" w:eastAsia="Arial" w:hAnsi="Arial"/>
                <w:sz w:val="15"/>
                <w:szCs w:val="15"/>
                <w:color w:val="auto"/>
              </w:rPr>
              <w:t>3 mandats pour des entreprises selon l'art. 727 al. 1 chiffre 2 CO; et</w:t>
            </w:r>
          </w:p>
        </w:tc>
      </w:tr>
      <w:tr>
        <w:trPr>
          <w:trHeight w:val="334"/>
        </w:trPr>
        <w:tc>
          <w:tcPr>
            <w:tcW w:w="5720" w:type="dxa"/>
            <w:vAlign w:val="bottom"/>
            <w:gridSpan w:val="2"/>
          </w:tcPr>
          <w:p>
            <w:pPr>
              <w:ind w:left="40"/>
              <w:spacing w:after="0"/>
              <w:rPr>
                <w:sz w:val="20"/>
                <w:szCs w:val="20"/>
                <w:color w:val="auto"/>
              </w:rPr>
            </w:pPr>
            <w:r>
              <w:rPr>
                <w:rFonts w:ascii="Arial" w:cs="Arial" w:eastAsia="Arial" w:hAnsi="Arial"/>
                <w:sz w:val="15"/>
                <w:szCs w:val="15"/>
                <w:color w:val="auto"/>
              </w:rPr>
              <w:t>c)   5 mandates for companies which do not fulfil the criteria under litera a) and</w:t>
            </w:r>
          </w:p>
        </w:tc>
        <w:tc>
          <w:tcPr>
            <w:tcW w:w="420" w:type="dxa"/>
            <w:vAlign w:val="bottom"/>
          </w:tcPr>
          <w:p>
            <w:pPr>
              <w:ind w:left="160"/>
              <w:spacing w:after="0"/>
              <w:rPr>
                <w:sz w:val="20"/>
                <w:szCs w:val="20"/>
                <w:color w:val="auto"/>
              </w:rPr>
            </w:pPr>
            <w:r>
              <w:rPr>
                <w:rFonts w:ascii="Arial" w:cs="Arial" w:eastAsia="Arial" w:hAnsi="Arial"/>
                <w:sz w:val="15"/>
                <w:szCs w:val="15"/>
                <w:color w:val="auto"/>
              </w:rPr>
              <w:t>c)</w:t>
            </w:r>
          </w:p>
        </w:tc>
        <w:tc>
          <w:tcPr>
            <w:tcW w:w="5300" w:type="dxa"/>
            <w:vAlign w:val="bottom"/>
          </w:tcPr>
          <w:p>
            <w:pPr>
              <w:jc w:val="right"/>
              <w:spacing w:after="0"/>
              <w:rPr>
                <w:sz w:val="20"/>
                <w:szCs w:val="20"/>
                <w:color w:val="auto"/>
              </w:rPr>
            </w:pPr>
            <w:r>
              <w:rPr>
                <w:rFonts w:ascii="Arial" w:cs="Arial" w:eastAsia="Arial" w:hAnsi="Arial"/>
                <w:sz w:val="15"/>
                <w:szCs w:val="15"/>
                <w:color w:val="auto"/>
              </w:rPr>
              <w:t>5 mandats pour les entreprises qui ne remplissent pas les critères sous a)</w:t>
            </w:r>
          </w:p>
        </w:tc>
      </w:tr>
      <w:tr>
        <w:trPr>
          <w:trHeight w:val="185"/>
        </w:trPr>
        <w:tc>
          <w:tcPr>
            <w:tcW w:w="280" w:type="dxa"/>
            <w:vAlign w:val="bottom"/>
          </w:tcPr>
          <w:p>
            <w:pPr>
              <w:spacing w:after="0"/>
              <w:rPr>
                <w:sz w:val="16"/>
                <w:szCs w:val="16"/>
                <w:color w:val="auto"/>
              </w:rPr>
            </w:pPr>
          </w:p>
        </w:tc>
        <w:tc>
          <w:tcPr>
            <w:tcW w:w="5440" w:type="dxa"/>
            <w:vAlign w:val="bottom"/>
          </w:tcPr>
          <w:p>
            <w:pPr>
              <w:ind w:left="80"/>
              <w:spacing w:after="0"/>
              <w:rPr>
                <w:sz w:val="20"/>
                <w:szCs w:val="20"/>
                <w:color w:val="auto"/>
              </w:rPr>
            </w:pPr>
            <w:r>
              <w:rPr>
                <w:rFonts w:ascii="Arial" w:cs="Arial" w:eastAsia="Arial" w:hAnsi="Arial"/>
                <w:sz w:val="15"/>
                <w:szCs w:val="15"/>
                <w:color w:val="auto"/>
              </w:rPr>
              <w:t>b) above.</w:t>
            </w:r>
          </w:p>
        </w:tc>
        <w:tc>
          <w:tcPr>
            <w:tcW w:w="420" w:type="dxa"/>
            <w:vAlign w:val="bottom"/>
          </w:tcPr>
          <w:p>
            <w:pPr>
              <w:spacing w:after="0"/>
              <w:rPr>
                <w:sz w:val="16"/>
                <w:szCs w:val="16"/>
                <w:color w:val="auto"/>
              </w:rPr>
            </w:pPr>
          </w:p>
        </w:tc>
        <w:tc>
          <w:tcPr>
            <w:tcW w:w="5300" w:type="dxa"/>
            <w:vAlign w:val="bottom"/>
          </w:tcPr>
          <w:p>
            <w:pPr>
              <w:ind w:left="120"/>
              <w:spacing w:after="0"/>
              <w:rPr>
                <w:sz w:val="20"/>
                <w:szCs w:val="20"/>
                <w:color w:val="auto"/>
              </w:rPr>
            </w:pPr>
            <w:r>
              <w:rPr>
                <w:rFonts w:ascii="Arial" w:cs="Arial" w:eastAsia="Arial" w:hAnsi="Arial"/>
                <w:sz w:val="15"/>
                <w:szCs w:val="15"/>
                <w:color w:val="auto"/>
              </w:rPr>
              <w:t>et b) ci-dessus.</w:t>
            </w:r>
          </w:p>
        </w:tc>
      </w:tr>
      <w:tr>
        <w:trPr>
          <w:trHeight w:val="334"/>
        </w:trPr>
        <w:tc>
          <w:tcPr>
            <w:tcW w:w="5720" w:type="dxa"/>
            <w:vAlign w:val="bottom"/>
            <w:gridSpan w:val="2"/>
          </w:tcPr>
          <w:p>
            <w:pPr>
              <w:ind w:left="40"/>
              <w:spacing w:after="0"/>
              <w:rPr>
                <w:sz w:val="20"/>
                <w:szCs w:val="20"/>
                <w:color w:val="auto"/>
              </w:rPr>
            </w:pPr>
            <w:r>
              <w:rPr>
                <w:rFonts w:ascii="Arial" w:cs="Arial" w:eastAsia="Arial" w:hAnsi="Arial"/>
                <w:sz w:val="15"/>
                <w:szCs w:val="15"/>
                <w:color w:val="auto"/>
              </w:rPr>
              <w:t>Mandates  held  in  several  legal  entities  each  operating  under  the  same</w:t>
            </w:r>
          </w:p>
        </w:tc>
        <w:tc>
          <w:tcPr>
            <w:tcW w:w="5720" w:type="dxa"/>
            <w:vAlign w:val="bottom"/>
            <w:gridSpan w:val="2"/>
          </w:tcPr>
          <w:p>
            <w:pPr>
              <w:ind w:left="160"/>
              <w:spacing w:after="0"/>
              <w:rPr>
                <w:sz w:val="20"/>
                <w:szCs w:val="20"/>
                <w:color w:val="auto"/>
              </w:rPr>
            </w:pPr>
            <w:r>
              <w:rPr>
                <w:rFonts w:ascii="Arial" w:cs="Arial" w:eastAsia="Arial" w:hAnsi="Arial"/>
                <w:sz w:val="15"/>
                <w:szCs w:val="15"/>
                <w:color w:val="auto"/>
              </w:rPr>
              <w:t>Les mandats exercés dans plusieurs entités juridiques opérant chacun sous la</w:t>
            </w:r>
          </w:p>
        </w:tc>
      </w:tr>
      <w:tr>
        <w:trPr>
          <w:trHeight w:val="173"/>
        </w:trPr>
        <w:tc>
          <w:tcPr>
            <w:tcW w:w="5720" w:type="dxa"/>
            <w:vAlign w:val="bottom"/>
            <w:gridSpan w:val="2"/>
          </w:tcPr>
          <w:p>
            <w:pPr>
              <w:ind w:left="40"/>
              <w:spacing w:after="0"/>
              <w:rPr>
                <w:sz w:val="20"/>
                <w:szCs w:val="20"/>
                <w:color w:val="auto"/>
              </w:rPr>
            </w:pPr>
            <w:r>
              <w:rPr>
                <w:rFonts w:ascii="Arial" w:cs="Arial" w:eastAsia="Arial" w:hAnsi="Arial"/>
                <w:sz w:val="15"/>
                <w:szCs w:val="15"/>
                <w:color w:val="auto"/>
              </w:rPr>
              <w:t>management or same beneficial owner (group) are deemed to be a single</w:t>
            </w:r>
          </w:p>
        </w:tc>
        <w:tc>
          <w:tcPr>
            <w:tcW w:w="5720" w:type="dxa"/>
            <w:vAlign w:val="bottom"/>
            <w:gridSpan w:val="2"/>
          </w:tcPr>
          <w:p>
            <w:pPr>
              <w:ind w:left="160"/>
              <w:spacing w:after="0"/>
              <w:rPr>
                <w:sz w:val="20"/>
                <w:szCs w:val="20"/>
                <w:color w:val="auto"/>
              </w:rPr>
            </w:pPr>
            <w:r>
              <w:rPr>
                <w:rFonts w:ascii="Arial" w:cs="Arial" w:eastAsia="Arial" w:hAnsi="Arial"/>
                <w:sz w:val="15"/>
                <w:szCs w:val="15"/>
                <w:color w:val="auto"/>
              </w:rPr>
              <w:t>même direction ou même bénéficiaire effectif (groupe) sont réputés être un seul</w:t>
            </w:r>
          </w:p>
        </w:tc>
      </w:tr>
      <w:tr>
        <w:trPr>
          <w:trHeight w:val="185"/>
        </w:trPr>
        <w:tc>
          <w:tcPr>
            <w:tcW w:w="5720" w:type="dxa"/>
            <w:vAlign w:val="bottom"/>
            <w:gridSpan w:val="2"/>
          </w:tcPr>
          <w:p>
            <w:pPr>
              <w:ind w:left="40"/>
              <w:spacing w:after="0"/>
              <w:rPr>
                <w:sz w:val="20"/>
                <w:szCs w:val="20"/>
                <w:color w:val="auto"/>
              </w:rPr>
            </w:pPr>
            <w:r>
              <w:rPr>
                <w:rFonts w:ascii="Arial" w:cs="Arial" w:eastAsia="Arial" w:hAnsi="Arial"/>
                <w:sz w:val="15"/>
                <w:szCs w:val="15"/>
                <w:color w:val="auto"/>
              </w:rPr>
              <w:t>mandate.</w:t>
            </w:r>
          </w:p>
        </w:tc>
        <w:tc>
          <w:tcPr>
            <w:tcW w:w="5720" w:type="dxa"/>
            <w:vAlign w:val="bottom"/>
            <w:gridSpan w:val="2"/>
          </w:tcPr>
          <w:p>
            <w:pPr>
              <w:ind w:left="160"/>
              <w:spacing w:after="0"/>
              <w:rPr>
                <w:sz w:val="20"/>
                <w:szCs w:val="20"/>
                <w:color w:val="auto"/>
              </w:rPr>
            </w:pPr>
            <w:r>
              <w:rPr>
                <w:rFonts w:ascii="Arial" w:cs="Arial" w:eastAsia="Arial" w:hAnsi="Arial"/>
                <w:sz w:val="15"/>
                <w:szCs w:val="15"/>
                <w:color w:val="auto"/>
              </w:rPr>
              <w:t>mandat.</w:t>
            </w:r>
          </w:p>
        </w:tc>
      </w:tr>
      <w:tr>
        <w:trPr>
          <w:trHeight w:val="334"/>
        </w:trPr>
        <w:tc>
          <w:tcPr>
            <w:tcW w:w="5720" w:type="dxa"/>
            <w:vAlign w:val="bottom"/>
            <w:gridSpan w:val="2"/>
          </w:tcPr>
          <w:p>
            <w:pPr>
              <w:ind w:left="40"/>
              <w:spacing w:after="0"/>
              <w:rPr>
                <w:sz w:val="20"/>
                <w:szCs w:val="20"/>
                <w:color w:val="auto"/>
              </w:rPr>
            </w:pPr>
            <w:r>
              <w:rPr>
                <w:rFonts w:ascii="Arial" w:cs="Arial" w:eastAsia="Arial" w:hAnsi="Arial"/>
                <w:sz w:val="15"/>
                <w:szCs w:val="15"/>
                <w:color w:val="auto"/>
              </w:rPr>
              <w:t>If a legal entity fulfills several of the above mentioned criteria, it can be freely</w:t>
            </w:r>
          </w:p>
        </w:tc>
        <w:tc>
          <w:tcPr>
            <w:tcW w:w="5720" w:type="dxa"/>
            <w:vAlign w:val="bottom"/>
            <w:gridSpan w:val="2"/>
          </w:tcPr>
          <w:p>
            <w:pPr>
              <w:ind w:left="160"/>
              <w:spacing w:after="0"/>
              <w:rPr>
                <w:sz w:val="20"/>
                <w:szCs w:val="20"/>
                <w:color w:val="auto"/>
              </w:rPr>
            </w:pPr>
            <w:r>
              <w:rPr>
                <w:rFonts w:ascii="Arial" w:cs="Arial" w:eastAsia="Arial" w:hAnsi="Arial"/>
                <w:sz w:val="15"/>
                <w:szCs w:val="15"/>
                <w:color w:val="auto"/>
              </w:rPr>
              <w:t>Si une entité juridique remplit plusieurs des critères mentionnés ci-dessus, elle</w:t>
            </w:r>
          </w:p>
        </w:tc>
      </w:tr>
      <w:tr>
        <w:trPr>
          <w:trHeight w:val="173"/>
        </w:trPr>
        <w:tc>
          <w:tcPr>
            <w:tcW w:w="5720" w:type="dxa"/>
            <w:vAlign w:val="bottom"/>
            <w:gridSpan w:val="2"/>
          </w:tcPr>
          <w:p>
            <w:pPr>
              <w:ind w:left="40"/>
              <w:spacing w:after="0"/>
              <w:rPr>
                <w:sz w:val="20"/>
                <w:szCs w:val="20"/>
                <w:color w:val="auto"/>
              </w:rPr>
            </w:pPr>
            <w:r>
              <w:rPr>
                <w:rFonts w:ascii="Arial" w:cs="Arial" w:eastAsia="Arial" w:hAnsi="Arial"/>
                <w:sz w:val="15"/>
                <w:szCs w:val="15"/>
                <w:color w:val="auto"/>
              </w:rPr>
              <w:t>counted towards any category. The following mandates are excepted from this</w:t>
            </w:r>
          </w:p>
        </w:tc>
        <w:tc>
          <w:tcPr>
            <w:tcW w:w="5720" w:type="dxa"/>
            <w:vAlign w:val="bottom"/>
            <w:gridSpan w:val="2"/>
          </w:tcPr>
          <w:p>
            <w:pPr>
              <w:ind w:left="160"/>
              <w:spacing w:after="0"/>
              <w:rPr>
                <w:sz w:val="20"/>
                <w:szCs w:val="20"/>
                <w:color w:val="auto"/>
              </w:rPr>
            </w:pPr>
            <w:r>
              <w:rPr>
                <w:rFonts w:ascii="Arial" w:cs="Arial" w:eastAsia="Arial" w:hAnsi="Arial"/>
                <w:sz w:val="15"/>
                <w:szCs w:val="15"/>
                <w:color w:val="auto"/>
              </w:rPr>
              <w:t>peut être librement placée dans une catégorie. Les mandats suivants sont</w:t>
            </w:r>
          </w:p>
        </w:tc>
      </w:tr>
      <w:tr>
        <w:trPr>
          <w:trHeight w:val="185"/>
        </w:trPr>
        <w:tc>
          <w:tcPr>
            <w:tcW w:w="5720" w:type="dxa"/>
            <w:vAlign w:val="bottom"/>
            <w:gridSpan w:val="2"/>
          </w:tcPr>
          <w:p>
            <w:pPr>
              <w:ind w:left="40"/>
              <w:spacing w:after="0"/>
              <w:rPr>
                <w:sz w:val="20"/>
                <w:szCs w:val="20"/>
                <w:color w:val="auto"/>
              </w:rPr>
            </w:pPr>
            <w:r>
              <w:rPr>
                <w:rFonts w:ascii="Arial" w:cs="Arial" w:eastAsia="Arial" w:hAnsi="Arial"/>
                <w:sz w:val="15"/>
                <w:szCs w:val="15"/>
                <w:color w:val="auto"/>
              </w:rPr>
              <w:t>restrictions:</w:t>
            </w:r>
          </w:p>
        </w:tc>
        <w:tc>
          <w:tcPr>
            <w:tcW w:w="5720" w:type="dxa"/>
            <w:vAlign w:val="bottom"/>
            <w:gridSpan w:val="2"/>
          </w:tcPr>
          <w:p>
            <w:pPr>
              <w:ind w:left="160"/>
              <w:spacing w:after="0"/>
              <w:rPr>
                <w:sz w:val="20"/>
                <w:szCs w:val="20"/>
                <w:color w:val="auto"/>
              </w:rPr>
            </w:pPr>
            <w:r>
              <w:rPr>
                <w:rFonts w:ascii="Arial" w:cs="Arial" w:eastAsia="Arial" w:hAnsi="Arial"/>
                <w:sz w:val="15"/>
                <w:szCs w:val="15"/>
                <w:color w:val="auto"/>
              </w:rPr>
              <w:t>exceptés de ces restrictions:</w:t>
            </w:r>
          </w:p>
        </w:tc>
      </w:tr>
      <w:tr>
        <w:trPr>
          <w:trHeight w:val="334"/>
        </w:trPr>
        <w:tc>
          <w:tcPr>
            <w:tcW w:w="280" w:type="dxa"/>
            <w:vAlign w:val="bottom"/>
          </w:tcPr>
          <w:p>
            <w:pPr>
              <w:ind w:left="40"/>
              <w:spacing w:after="0"/>
              <w:rPr>
                <w:sz w:val="20"/>
                <w:szCs w:val="20"/>
                <w:color w:val="auto"/>
              </w:rPr>
            </w:pPr>
            <w:r>
              <w:rPr>
                <w:rFonts w:ascii="Arial" w:cs="Arial" w:eastAsia="Arial" w:hAnsi="Arial"/>
                <w:sz w:val="15"/>
                <w:szCs w:val="15"/>
                <w:color w:val="auto"/>
              </w:rPr>
              <w:t>a)</w:t>
            </w:r>
          </w:p>
        </w:tc>
        <w:tc>
          <w:tcPr>
            <w:tcW w:w="5440" w:type="dxa"/>
            <w:vAlign w:val="bottom"/>
          </w:tcPr>
          <w:p>
            <w:pPr>
              <w:ind w:left="180"/>
              <w:spacing w:after="0"/>
              <w:rPr>
                <w:sz w:val="20"/>
                <w:szCs w:val="20"/>
                <w:color w:val="auto"/>
              </w:rPr>
            </w:pPr>
            <w:r>
              <w:rPr>
                <w:rFonts w:ascii="Arial" w:cs="Arial" w:eastAsia="Arial" w:hAnsi="Arial"/>
                <w:sz w:val="15"/>
                <w:szCs w:val="15"/>
                <w:color w:val="auto"/>
              </w:rPr>
              <w:t>mandates in legal entities which are controlled by the Company or which</w:t>
            </w:r>
          </w:p>
        </w:tc>
        <w:tc>
          <w:tcPr>
            <w:tcW w:w="420" w:type="dxa"/>
            <w:vAlign w:val="bottom"/>
          </w:tcPr>
          <w:p>
            <w:pPr>
              <w:ind w:left="160"/>
              <w:spacing w:after="0"/>
              <w:rPr>
                <w:sz w:val="20"/>
                <w:szCs w:val="20"/>
                <w:color w:val="auto"/>
              </w:rPr>
            </w:pPr>
            <w:r>
              <w:rPr>
                <w:rFonts w:ascii="Arial" w:cs="Arial" w:eastAsia="Arial" w:hAnsi="Arial"/>
                <w:sz w:val="15"/>
                <w:szCs w:val="15"/>
                <w:color w:val="auto"/>
              </w:rPr>
              <w:t>a)</w:t>
            </w:r>
          </w:p>
        </w:tc>
        <w:tc>
          <w:tcPr>
            <w:tcW w:w="5300" w:type="dxa"/>
            <w:vAlign w:val="bottom"/>
          </w:tcPr>
          <w:p>
            <w:pPr>
              <w:jc w:val="right"/>
              <w:spacing w:after="0"/>
              <w:rPr>
                <w:sz w:val="20"/>
                <w:szCs w:val="20"/>
                <w:color w:val="auto"/>
              </w:rPr>
            </w:pPr>
            <w:r>
              <w:rPr>
                <w:rFonts w:ascii="Arial" w:cs="Arial" w:eastAsia="Arial" w:hAnsi="Arial"/>
                <w:sz w:val="15"/>
                <w:szCs w:val="15"/>
                <w:color w:val="auto"/>
              </w:rPr>
              <w:t>les mandats dans des entités juridiques qui sont contrôlées par la société</w:t>
            </w:r>
          </w:p>
        </w:tc>
      </w:tr>
      <w:tr>
        <w:trPr>
          <w:trHeight w:val="185"/>
        </w:trPr>
        <w:tc>
          <w:tcPr>
            <w:tcW w:w="280" w:type="dxa"/>
            <w:vAlign w:val="bottom"/>
          </w:tcPr>
          <w:p>
            <w:pPr>
              <w:spacing w:after="0"/>
              <w:rPr>
                <w:sz w:val="16"/>
                <w:szCs w:val="16"/>
                <w:color w:val="auto"/>
              </w:rPr>
            </w:pPr>
          </w:p>
        </w:tc>
        <w:tc>
          <w:tcPr>
            <w:tcW w:w="5440" w:type="dxa"/>
            <w:vAlign w:val="bottom"/>
          </w:tcPr>
          <w:p>
            <w:pPr>
              <w:ind w:left="80"/>
              <w:spacing w:after="0"/>
              <w:rPr>
                <w:sz w:val="20"/>
                <w:szCs w:val="20"/>
                <w:color w:val="auto"/>
              </w:rPr>
            </w:pPr>
            <w:r>
              <w:rPr>
                <w:rFonts w:ascii="Arial" w:cs="Arial" w:eastAsia="Arial" w:hAnsi="Arial"/>
                <w:sz w:val="15"/>
                <w:szCs w:val="15"/>
                <w:color w:val="auto"/>
              </w:rPr>
              <w:t>control the Company;</w:t>
            </w:r>
          </w:p>
        </w:tc>
        <w:tc>
          <w:tcPr>
            <w:tcW w:w="420" w:type="dxa"/>
            <w:vAlign w:val="bottom"/>
          </w:tcPr>
          <w:p>
            <w:pPr>
              <w:spacing w:after="0"/>
              <w:rPr>
                <w:sz w:val="16"/>
                <w:szCs w:val="16"/>
                <w:color w:val="auto"/>
              </w:rPr>
            </w:pPr>
          </w:p>
        </w:tc>
        <w:tc>
          <w:tcPr>
            <w:tcW w:w="5300" w:type="dxa"/>
            <w:vAlign w:val="bottom"/>
          </w:tcPr>
          <w:p>
            <w:pPr>
              <w:ind w:left="120"/>
              <w:spacing w:after="0"/>
              <w:rPr>
                <w:sz w:val="20"/>
                <w:szCs w:val="20"/>
                <w:color w:val="auto"/>
              </w:rPr>
            </w:pPr>
            <w:r>
              <w:rPr>
                <w:rFonts w:ascii="Arial" w:cs="Arial" w:eastAsia="Arial" w:hAnsi="Arial"/>
                <w:sz w:val="15"/>
                <w:szCs w:val="15"/>
                <w:color w:val="auto"/>
              </w:rPr>
              <w:t>ou qui contrôlent la société;</w:t>
            </w:r>
          </w:p>
        </w:tc>
      </w:tr>
      <w:tr>
        <w:trPr>
          <w:trHeight w:val="334"/>
        </w:trPr>
        <w:tc>
          <w:tcPr>
            <w:tcW w:w="28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420" w:type="dxa"/>
            <w:vAlign w:val="bottom"/>
          </w:tcPr>
          <w:p>
            <w:pPr>
              <w:ind w:left="160"/>
              <w:spacing w:after="0"/>
              <w:rPr>
                <w:sz w:val="20"/>
                <w:szCs w:val="20"/>
                <w:color w:val="auto"/>
              </w:rPr>
            </w:pPr>
            <w:r>
              <w:rPr>
                <w:rFonts w:ascii="Arial" w:cs="Arial" w:eastAsia="Arial" w:hAnsi="Arial"/>
                <w:sz w:val="15"/>
                <w:szCs w:val="15"/>
                <w:color w:val="auto"/>
              </w:rPr>
              <w:t>b)</w:t>
            </w:r>
          </w:p>
        </w:tc>
        <w:tc>
          <w:tcPr>
            <w:tcW w:w="5300" w:type="dxa"/>
            <w:vAlign w:val="bottom"/>
          </w:tcPr>
          <w:p>
            <w:pPr>
              <w:ind w:left="120"/>
              <w:spacing w:after="0"/>
              <w:rPr>
                <w:sz w:val="20"/>
                <w:szCs w:val="20"/>
                <w:color w:val="auto"/>
              </w:rPr>
            </w:pPr>
            <w:r>
              <w:rPr>
                <w:rFonts w:ascii="Arial" w:cs="Arial" w:eastAsia="Arial" w:hAnsi="Arial"/>
                <w:sz w:val="15"/>
                <w:szCs w:val="15"/>
                <w:color w:val="auto"/>
              </w:rPr>
              <w:t>mandats d'honneur dans des entités juridiques de bienfaisance.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-2445385</wp:posOffset>
            </wp:positionV>
            <wp:extent cx="7266305" cy="45561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6305" cy="4556125"/>
                    </a:xfrm>
                    <a:prstGeom prst="rect">
                      <a:avLst/>
                    </a:prstGeom>
                    <a:noFill/>
                  </pic:spPr>
                </pic:pic>
              </a:graphicData>
            </a:graphic>
          </wp:anchor>
        </w:drawing>
      </w:r>
    </w:p>
    <w:p>
      <w:pPr>
        <w:ind w:left="380" w:hanging="342"/>
        <w:spacing w:after="0"/>
        <w:tabs>
          <w:tab w:leader="none" w:pos="3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honorary mandates in charitable legal entities.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5680" w:type="dxa"/>
            <w:vAlign w:val="bottom"/>
          </w:tcPr>
          <w:p>
            <w:pPr>
              <w:spacing w:after="0"/>
              <w:rPr>
                <w:sz w:val="20"/>
                <w:szCs w:val="20"/>
                <w:color w:val="auto"/>
              </w:rPr>
            </w:pPr>
            <w:r>
              <w:rPr>
                <w:rFonts w:ascii="Arial" w:cs="Arial" w:eastAsia="Arial" w:hAnsi="Arial"/>
                <w:sz w:val="15"/>
                <w:szCs w:val="15"/>
                <w:b w:val="1"/>
                <w:bCs w:val="1"/>
                <w:color w:val="auto"/>
              </w:rPr>
              <w:t>Art. 39   Loans and Credits</w:t>
            </w:r>
          </w:p>
        </w:tc>
        <w:tc>
          <w:tcPr>
            <w:tcW w:w="5660" w:type="dxa"/>
            <w:vAlign w:val="bottom"/>
          </w:tcPr>
          <w:p>
            <w:pPr>
              <w:ind w:left="160"/>
              <w:spacing w:after="0"/>
              <w:rPr>
                <w:sz w:val="20"/>
                <w:szCs w:val="20"/>
                <w:color w:val="auto"/>
              </w:rPr>
            </w:pPr>
            <w:r>
              <w:rPr>
                <w:rFonts w:ascii="Arial" w:cs="Arial" w:eastAsia="Arial" w:hAnsi="Arial"/>
                <w:sz w:val="15"/>
                <w:szCs w:val="15"/>
                <w:b w:val="1"/>
                <w:bCs w:val="1"/>
                <w:color w:val="auto"/>
              </w:rPr>
              <w:t>Art. 39   Prêts et crédits</w:t>
            </w:r>
          </w:p>
        </w:tc>
      </w:tr>
      <w:tr>
        <w:trPr>
          <w:trHeight w:val="334"/>
        </w:trPr>
        <w:tc>
          <w:tcPr>
            <w:tcW w:w="5680" w:type="dxa"/>
            <w:vAlign w:val="bottom"/>
          </w:tcPr>
          <w:p>
            <w:pPr>
              <w:spacing w:after="0"/>
              <w:rPr>
                <w:sz w:val="20"/>
                <w:szCs w:val="20"/>
                <w:color w:val="auto"/>
              </w:rPr>
            </w:pPr>
            <w:r>
              <w:rPr>
                <w:rFonts w:ascii="Arial" w:cs="Arial" w:eastAsia="Arial" w:hAnsi="Arial"/>
                <w:sz w:val="15"/>
                <w:szCs w:val="15"/>
                <w:color w:val="auto"/>
              </w:rPr>
              <w:t>The members of the Board of Directors and the Executive Committee may not be</w:t>
            </w:r>
          </w:p>
        </w:tc>
        <w:tc>
          <w:tcPr>
            <w:tcW w:w="5660" w:type="dxa"/>
            <w:vAlign w:val="bottom"/>
          </w:tcPr>
          <w:p>
            <w:pPr>
              <w:ind w:left="160"/>
              <w:spacing w:after="0"/>
              <w:rPr>
                <w:sz w:val="20"/>
                <w:szCs w:val="20"/>
                <w:color w:val="auto"/>
              </w:rPr>
            </w:pPr>
            <w:r>
              <w:rPr>
                <w:rFonts w:ascii="Arial" w:cs="Arial" w:eastAsia="Arial" w:hAnsi="Arial"/>
                <w:sz w:val="15"/>
                <w:szCs w:val="15"/>
                <w:color w:val="auto"/>
              </w:rPr>
              <w:t>Les membres du conseil d'administration et du comité exécutif ne peuvent pas</w:t>
            </w:r>
          </w:p>
        </w:tc>
      </w:tr>
      <w:tr>
        <w:trPr>
          <w:trHeight w:val="173"/>
        </w:trPr>
        <w:tc>
          <w:tcPr>
            <w:tcW w:w="5680" w:type="dxa"/>
            <w:vAlign w:val="bottom"/>
          </w:tcPr>
          <w:p>
            <w:pPr>
              <w:spacing w:after="0"/>
              <w:rPr>
                <w:sz w:val="20"/>
                <w:szCs w:val="20"/>
                <w:color w:val="auto"/>
              </w:rPr>
            </w:pPr>
            <w:r>
              <w:rPr>
                <w:rFonts w:ascii="Arial" w:cs="Arial" w:eastAsia="Arial" w:hAnsi="Arial"/>
                <w:sz w:val="15"/>
                <w:szCs w:val="15"/>
                <w:color w:val="auto"/>
              </w:rPr>
              <w:t>granted any loans, credits or securities. Excepted from the above are advances</w:t>
            </w:r>
          </w:p>
        </w:tc>
        <w:tc>
          <w:tcPr>
            <w:tcW w:w="5660" w:type="dxa"/>
            <w:vAlign w:val="bottom"/>
          </w:tcPr>
          <w:p>
            <w:pPr>
              <w:ind w:left="160"/>
              <w:spacing w:after="0"/>
              <w:rPr>
                <w:sz w:val="20"/>
                <w:szCs w:val="20"/>
                <w:color w:val="auto"/>
              </w:rPr>
            </w:pPr>
            <w:r>
              <w:rPr>
                <w:rFonts w:ascii="Arial" w:cs="Arial" w:eastAsia="Arial" w:hAnsi="Arial"/>
                <w:sz w:val="15"/>
                <w:szCs w:val="15"/>
                <w:color w:val="auto"/>
              </w:rPr>
              <w:t>souscrire des prêts, des crédits ou des titres. Sont exceptées les avances d'un</w:t>
            </w:r>
          </w:p>
        </w:tc>
      </w:tr>
      <w:tr>
        <w:trPr>
          <w:trHeight w:val="173"/>
        </w:trPr>
        <w:tc>
          <w:tcPr>
            <w:tcW w:w="5680" w:type="dxa"/>
            <w:vAlign w:val="bottom"/>
          </w:tcPr>
          <w:p>
            <w:pPr>
              <w:spacing w:after="0"/>
              <w:rPr>
                <w:sz w:val="20"/>
                <w:szCs w:val="20"/>
                <w:color w:val="auto"/>
              </w:rPr>
            </w:pPr>
            <w:r>
              <w:rPr>
                <w:rFonts w:ascii="Arial" w:cs="Arial" w:eastAsia="Arial" w:hAnsi="Arial"/>
                <w:sz w:val="15"/>
                <w:szCs w:val="15"/>
                <w:color w:val="auto"/>
              </w:rPr>
              <w:t>in the maximum amount of CHF 500'000 per person for attorneys' fees, court and</w:t>
            </w:r>
          </w:p>
        </w:tc>
        <w:tc>
          <w:tcPr>
            <w:tcW w:w="5660" w:type="dxa"/>
            <w:vAlign w:val="bottom"/>
          </w:tcPr>
          <w:p>
            <w:pPr>
              <w:ind w:left="160"/>
              <w:spacing w:after="0"/>
              <w:rPr>
                <w:sz w:val="20"/>
                <w:szCs w:val="20"/>
                <w:color w:val="auto"/>
              </w:rPr>
            </w:pPr>
            <w:r>
              <w:rPr>
                <w:rFonts w:ascii="Arial" w:cs="Arial" w:eastAsia="Arial" w:hAnsi="Arial"/>
                <w:sz w:val="15"/>
                <w:szCs w:val="15"/>
                <w:color w:val="auto"/>
              </w:rPr>
              <w:t>montant maximum de CHF 500'000 par personne pour les frais d'avocat, des</w:t>
            </w:r>
          </w:p>
        </w:tc>
      </w:tr>
      <w:tr>
        <w:trPr>
          <w:trHeight w:val="173"/>
        </w:trPr>
        <w:tc>
          <w:tcPr>
            <w:tcW w:w="5680" w:type="dxa"/>
            <w:vAlign w:val="bottom"/>
          </w:tcPr>
          <w:p>
            <w:pPr>
              <w:spacing w:after="0"/>
              <w:rPr>
                <w:sz w:val="20"/>
                <w:szCs w:val="20"/>
                <w:color w:val="auto"/>
              </w:rPr>
            </w:pPr>
            <w:r>
              <w:rPr>
                <w:rFonts w:ascii="Arial" w:cs="Arial" w:eastAsia="Arial" w:hAnsi="Arial"/>
                <w:sz w:val="15"/>
                <w:szCs w:val="15"/>
                <w:color w:val="auto"/>
              </w:rPr>
              <w:t>other similar costs required for the defence of third-party liability claims permitted</w:t>
            </w:r>
          </w:p>
        </w:tc>
        <w:tc>
          <w:tcPr>
            <w:tcW w:w="5660" w:type="dxa"/>
            <w:vAlign w:val="bottom"/>
          </w:tcPr>
          <w:p>
            <w:pPr>
              <w:ind w:left="160"/>
              <w:spacing w:after="0"/>
              <w:rPr>
                <w:sz w:val="20"/>
                <w:szCs w:val="20"/>
                <w:color w:val="auto"/>
              </w:rPr>
            </w:pPr>
            <w:r>
              <w:rPr>
                <w:rFonts w:ascii="Arial" w:cs="Arial" w:eastAsia="Arial" w:hAnsi="Arial"/>
                <w:sz w:val="15"/>
                <w:szCs w:val="15"/>
                <w:color w:val="auto"/>
              </w:rPr>
              <w:t>coûts de tribunaux et d'autres coûts similaires nécessaires à la défense contre</w:t>
            </w:r>
          </w:p>
        </w:tc>
      </w:tr>
      <w:tr>
        <w:trPr>
          <w:trHeight w:val="185"/>
        </w:trPr>
        <w:tc>
          <w:tcPr>
            <w:tcW w:w="5680" w:type="dxa"/>
            <w:vAlign w:val="bottom"/>
          </w:tcPr>
          <w:p>
            <w:pPr>
              <w:spacing w:after="0"/>
              <w:rPr>
                <w:sz w:val="20"/>
                <w:szCs w:val="20"/>
                <w:color w:val="auto"/>
              </w:rPr>
            </w:pPr>
            <w:r>
              <w:rPr>
                <w:rFonts w:ascii="Arial" w:cs="Arial" w:eastAsia="Arial" w:hAnsi="Arial"/>
                <w:sz w:val="15"/>
                <w:szCs w:val="15"/>
                <w:color w:val="auto"/>
              </w:rPr>
              <w:t>by Article 29.</w:t>
            </w:r>
          </w:p>
        </w:tc>
        <w:tc>
          <w:tcPr>
            <w:tcW w:w="5660" w:type="dxa"/>
            <w:vAlign w:val="bottom"/>
          </w:tcPr>
          <w:p>
            <w:pPr>
              <w:ind w:left="160"/>
              <w:spacing w:after="0"/>
              <w:rPr>
                <w:sz w:val="20"/>
                <w:szCs w:val="20"/>
                <w:color w:val="auto"/>
              </w:rPr>
            </w:pPr>
            <w:r>
              <w:rPr>
                <w:rFonts w:ascii="Arial" w:cs="Arial" w:eastAsia="Arial" w:hAnsi="Arial"/>
                <w:sz w:val="15"/>
                <w:szCs w:val="15"/>
                <w:color w:val="auto"/>
              </w:rPr>
              <w:t>des actions en responsabilité civile autorisés par l'article 29.</w:t>
            </w:r>
          </w:p>
        </w:tc>
      </w:tr>
    </w:tbl>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20" w:type="dxa"/>
            <w:vAlign w:val="bottom"/>
          </w:tcPr>
          <w:p>
            <w:pPr>
              <w:ind w:left="40"/>
              <w:spacing w:after="0"/>
              <w:rPr>
                <w:sz w:val="20"/>
                <w:szCs w:val="20"/>
                <w:color w:val="auto"/>
              </w:rPr>
            </w:pPr>
            <w:r>
              <w:rPr>
                <w:rFonts w:ascii="Arial" w:cs="Arial" w:eastAsia="Arial" w:hAnsi="Arial"/>
                <w:sz w:val="15"/>
                <w:szCs w:val="15"/>
                <w:b w:val="1"/>
                <w:bCs w:val="1"/>
                <w:color w:val="auto"/>
              </w:rPr>
              <w:t>Art. 40   Pension Funds</w:t>
            </w:r>
          </w:p>
        </w:tc>
        <w:tc>
          <w:tcPr>
            <w:tcW w:w="5720" w:type="dxa"/>
            <w:vAlign w:val="bottom"/>
          </w:tcPr>
          <w:p>
            <w:pPr>
              <w:ind w:left="160"/>
              <w:spacing w:after="0"/>
              <w:rPr>
                <w:sz w:val="20"/>
                <w:szCs w:val="20"/>
                <w:color w:val="auto"/>
              </w:rPr>
            </w:pPr>
            <w:r>
              <w:rPr>
                <w:rFonts w:ascii="Arial" w:cs="Arial" w:eastAsia="Arial" w:hAnsi="Arial"/>
                <w:sz w:val="15"/>
                <w:szCs w:val="15"/>
                <w:b w:val="1"/>
                <w:bCs w:val="1"/>
                <w:color w:val="auto"/>
              </w:rPr>
              <w:t>Art. 40   Fonds de pension</w:t>
            </w:r>
          </w:p>
        </w:tc>
      </w:tr>
      <w:tr>
        <w:trPr>
          <w:trHeight w:val="334"/>
        </w:trPr>
        <w:tc>
          <w:tcPr>
            <w:tcW w:w="5720" w:type="dxa"/>
            <w:vAlign w:val="bottom"/>
          </w:tcPr>
          <w:p>
            <w:pPr>
              <w:ind w:left="40"/>
              <w:spacing w:after="0"/>
              <w:rPr>
                <w:sz w:val="20"/>
                <w:szCs w:val="20"/>
                <w:color w:val="auto"/>
              </w:rPr>
            </w:pPr>
            <w:r>
              <w:rPr>
                <w:rFonts w:ascii="Arial" w:cs="Arial" w:eastAsia="Arial" w:hAnsi="Arial"/>
                <w:sz w:val="15"/>
                <w:szCs w:val="15"/>
                <w:color w:val="auto"/>
              </w:rPr>
              <w:t>The Company shall remunerate members of the Board of Directors only in</w:t>
            </w:r>
          </w:p>
        </w:tc>
        <w:tc>
          <w:tcPr>
            <w:tcW w:w="5720" w:type="dxa"/>
            <w:vAlign w:val="bottom"/>
          </w:tcPr>
          <w:p>
            <w:pPr>
              <w:ind w:left="160"/>
              <w:spacing w:after="0"/>
              <w:rPr>
                <w:sz w:val="20"/>
                <w:szCs w:val="20"/>
                <w:color w:val="auto"/>
              </w:rPr>
            </w:pPr>
            <w:r>
              <w:rPr>
                <w:rFonts w:ascii="Arial" w:cs="Arial" w:eastAsia="Arial" w:hAnsi="Arial"/>
                <w:sz w:val="15"/>
                <w:szCs w:val="15"/>
                <w:color w:val="auto"/>
              </w:rPr>
              <w:t>La société ne doit rémunérer les membres du conseil d'administration que du</w:t>
            </w:r>
          </w:p>
        </w:tc>
      </w:tr>
      <w:tr>
        <w:trPr>
          <w:trHeight w:val="173"/>
        </w:trPr>
        <w:tc>
          <w:tcPr>
            <w:tcW w:w="5720" w:type="dxa"/>
            <w:vAlign w:val="bottom"/>
          </w:tcPr>
          <w:p>
            <w:pPr>
              <w:ind w:left="40"/>
              <w:spacing w:after="0"/>
              <w:rPr>
                <w:sz w:val="20"/>
                <w:szCs w:val="20"/>
                <w:color w:val="auto"/>
              </w:rPr>
            </w:pPr>
            <w:r>
              <w:rPr>
                <w:rFonts w:ascii="Arial" w:cs="Arial" w:eastAsia="Arial" w:hAnsi="Arial"/>
                <w:sz w:val="15"/>
                <w:szCs w:val="15"/>
                <w:color w:val="auto"/>
              </w:rPr>
              <w:t>respect of the employer's mandatory contributions to social insurance. Above</w:t>
            </w:r>
          </w:p>
        </w:tc>
        <w:tc>
          <w:tcPr>
            <w:tcW w:w="5720" w:type="dxa"/>
            <w:vAlign w:val="bottom"/>
          </w:tcPr>
          <w:p>
            <w:pPr>
              <w:ind w:left="160"/>
              <w:spacing w:after="0"/>
              <w:rPr>
                <w:sz w:val="20"/>
                <w:szCs w:val="20"/>
                <w:color w:val="auto"/>
              </w:rPr>
            </w:pPr>
            <w:r>
              <w:rPr>
                <w:rFonts w:ascii="Arial" w:cs="Arial" w:eastAsia="Arial" w:hAnsi="Arial"/>
                <w:sz w:val="15"/>
                <w:szCs w:val="15"/>
                <w:color w:val="auto"/>
              </w:rPr>
              <w:t>montant dû au titre de contributions obligatoire de l'employeur à l'assurance</w:t>
            </w:r>
          </w:p>
        </w:tc>
      </w:tr>
      <w:tr>
        <w:trPr>
          <w:trHeight w:val="173"/>
        </w:trPr>
        <w:tc>
          <w:tcPr>
            <w:tcW w:w="5720" w:type="dxa"/>
            <w:vAlign w:val="bottom"/>
          </w:tcPr>
          <w:p>
            <w:pPr>
              <w:ind w:left="40"/>
              <w:spacing w:after="0"/>
              <w:rPr>
                <w:sz w:val="20"/>
                <w:szCs w:val="20"/>
                <w:color w:val="auto"/>
              </w:rPr>
            </w:pPr>
            <w:r>
              <w:rPr>
                <w:rFonts w:ascii="Arial" w:cs="Arial" w:eastAsia="Arial" w:hAnsi="Arial"/>
                <w:sz w:val="15"/>
                <w:szCs w:val="15"/>
                <w:color w:val="auto"/>
              </w:rPr>
              <w:t>and beyond this, the Company shall not make any contributions to pension funds</w:t>
            </w:r>
          </w:p>
        </w:tc>
        <w:tc>
          <w:tcPr>
            <w:tcW w:w="5720" w:type="dxa"/>
            <w:vAlign w:val="bottom"/>
          </w:tcPr>
          <w:p>
            <w:pPr>
              <w:ind w:left="160"/>
              <w:spacing w:after="0"/>
              <w:rPr>
                <w:sz w:val="20"/>
                <w:szCs w:val="20"/>
                <w:color w:val="auto"/>
              </w:rPr>
            </w:pPr>
            <w:r>
              <w:rPr>
                <w:rFonts w:ascii="Arial" w:cs="Arial" w:eastAsia="Arial" w:hAnsi="Arial"/>
                <w:sz w:val="15"/>
                <w:szCs w:val="15"/>
                <w:color w:val="auto"/>
              </w:rPr>
              <w:t>sociale. Au-delà de ce montant, la société ne doit pas verser de cotisations à des</w:t>
            </w:r>
          </w:p>
        </w:tc>
      </w:tr>
      <w:tr>
        <w:trPr>
          <w:trHeight w:val="173"/>
        </w:trPr>
        <w:tc>
          <w:tcPr>
            <w:tcW w:w="5720" w:type="dxa"/>
            <w:vAlign w:val="bottom"/>
          </w:tcPr>
          <w:p>
            <w:pPr>
              <w:ind w:left="40"/>
              <w:spacing w:after="0"/>
              <w:rPr>
                <w:sz w:val="20"/>
                <w:szCs w:val="20"/>
                <w:color w:val="auto"/>
              </w:rPr>
            </w:pPr>
            <w:r>
              <w:rPr>
                <w:rFonts w:ascii="Arial" w:cs="Arial" w:eastAsia="Arial" w:hAnsi="Arial"/>
                <w:sz w:val="15"/>
                <w:szCs w:val="15"/>
                <w:color w:val="auto"/>
              </w:rPr>
              <w:t>or other such pension plans. In exceptional cases, contributions such as these</w:t>
            </w:r>
          </w:p>
        </w:tc>
        <w:tc>
          <w:tcPr>
            <w:tcW w:w="5720" w:type="dxa"/>
            <w:vAlign w:val="bottom"/>
          </w:tcPr>
          <w:p>
            <w:pPr>
              <w:ind w:left="160"/>
              <w:spacing w:after="0"/>
              <w:rPr>
                <w:sz w:val="20"/>
                <w:szCs w:val="20"/>
                <w:color w:val="auto"/>
              </w:rPr>
            </w:pPr>
            <w:r>
              <w:rPr>
                <w:rFonts w:ascii="Arial" w:cs="Arial" w:eastAsia="Arial" w:hAnsi="Arial"/>
                <w:sz w:val="15"/>
                <w:szCs w:val="15"/>
                <w:color w:val="auto"/>
              </w:rPr>
              <w:t>institutions de prévoyance ou à d'autres régimes de retraite. Dans des cas</w:t>
            </w:r>
          </w:p>
        </w:tc>
      </w:tr>
      <w:tr>
        <w:trPr>
          <w:trHeight w:val="185"/>
        </w:trPr>
        <w:tc>
          <w:tcPr>
            <w:tcW w:w="5720" w:type="dxa"/>
            <w:vAlign w:val="bottom"/>
          </w:tcPr>
          <w:p>
            <w:pPr>
              <w:ind w:left="40"/>
              <w:spacing w:after="0"/>
              <w:rPr>
                <w:sz w:val="20"/>
                <w:szCs w:val="20"/>
                <w:color w:val="auto"/>
              </w:rPr>
            </w:pPr>
            <w:r>
              <w:rPr>
                <w:rFonts w:ascii="Arial" w:cs="Arial" w:eastAsia="Arial" w:hAnsi="Arial"/>
                <w:sz w:val="15"/>
                <w:szCs w:val="15"/>
                <w:color w:val="auto"/>
              </w:rPr>
              <w:t>may be made subject to a</w:t>
            </w:r>
          </w:p>
        </w:tc>
        <w:tc>
          <w:tcPr>
            <w:tcW w:w="5720" w:type="dxa"/>
            <w:vAlign w:val="bottom"/>
          </w:tcPr>
          <w:p>
            <w:pPr>
              <w:ind w:left="160"/>
              <w:spacing w:after="0"/>
              <w:rPr>
                <w:sz w:val="20"/>
                <w:szCs w:val="20"/>
                <w:color w:val="auto"/>
              </w:rPr>
            </w:pPr>
            <w:r>
              <w:rPr>
                <w:rFonts w:ascii="Arial" w:cs="Arial" w:eastAsia="Arial" w:hAnsi="Arial"/>
                <w:sz w:val="15"/>
                <w:szCs w:val="15"/>
                <w:color w:val="auto"/>
              </w:rPr>
              <w:t>exceptionnels, des contributions comme</w:t>
            </w:r>
          </w:p>
        </w:tc>
      </w:tr>
      <w:tr>
        <w:trPr>
          <w:trHeight w:val="715"/>
        </w:trPr>
        <w:tc>
          <w:tcPr>
            <w:tcW w:w="572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231" w:right="219" w:bottom="1440" w:gutter="0" w:footer="0" w:header="0"/>
        </w:sectPr>
      </w:pPr>
    </w:p>
    <w:bookmarkStart w:id="62" w:name="page63"/>
    <w:bookmarkEnd w:id="6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0" w:type="dxa"/>
            <w:vAlign w:val="bottom"/>
          </w:tcPr>
          <w:p>
            <w:pPr>
              <w:ind w:left="5380"/>
              <w:spacing w:after="0"/>
              <w:rPr>
                <w:sz w:val="20"/>
                <w:szCs w:val="20"/>
                <w:color w:val="auto"/>
              </w:rPr>
            </w:pPr>
            <w:r>
              <w:rPr>
                <w:rFonts w:ascii="Arial" w:cs="Arial" w:eastAsia="Arial" w:hAnsi="Arial"/>
                <w:sz w:val="15"/>
                <w:szCs w:val="15"/>
                <w:color w:val="auto"/>
              </w:rPr>
              <w:t>32</w:t>
            </w:r>
          </w:p>
        </w:tc>
      </w:tr>
      <w:tr>
        <w:trPr>
          <w:trHeight w:val="289"/>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r>
        <w:trPr>
          <w:trHeight w:val="198"/>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request by the Compensation Committee and the approval of the General</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celles-ci peuvent être faites sur demande au comité de rémunération et sous</w:t>
            </w:r>
          </w:p>
        </w:tc>
      </w:tr>
      <w:tr>
        <w:trPr>
          <w:trHeight w:val="185"/>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Meeting.</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réserve de l'approbation de l'assemblée générale.</w:t>
            </w:r>
          </w:p>
        </w:tc>
      </w:tr>
      <w:tr>
        <w:trPr>
          <w:trHeight w:val="23"/>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198"/>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Members of the Executive Committee participate in the Company's pension</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Les membres du comité exécutif participent aux régimes de retraite de la société</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plans (the Company's pension fund and the management pension plan). The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(le fond de pension de la société et le régime de retraite du management). Les</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pension plans conform to the legal requirements. For members of the Executive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régimes de retraite sont conformes aux exigences légales (LPP). Pour les</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Committee, the insured income is defined as the fixed remuneration plus 50</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membres du comité exécutif, le revenu assuré est défini comme la rémunération</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percent  of  the  target  performance-related  remuneration,  up  to  the  legal</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fixe plus les 50 pour cent de la rémunération liée à la performance, jusqu'au</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maximum. Equity-linked income components are not included.</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maximum légal. Les composantes du revenu liées au capital propre ne sont pas</w:t>
            </w:r>
          </w:p>
        </w:tc>
      </w:tr>
      <w:tr>
        <w:trPr>
          <w:trHeight w:val="185"/>
        </w:trPr>
        <w:tc>
          <w:tcPr>
            <w:tcW w:w="5620" w:type="dxa"/>
            <w:vAlign w:val="bottom"/>
            <w:tcBorders>
              <w:left w:val="single" w:sz="8" w:color="auto"/>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inclus.</w:t>
            </w:r>
          </w:p>
        </w:tc>
      </w:tr>
      <w:tr>
        <w:trPr>
          <w:trHeight w:val="23"/>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198"/>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Within the overall compensation approved by the General Meeting, the Company</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Dans la rémunération globale approuvée par l'assemblée générale, la société</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may make additional payments into the Company's pension funds for the benefit</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pourra effectuer des paiements supplémentaires dans les caisses de retraite de</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of members of the Executive Committee in order to cover any disadvantage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la société pour le bénéfice des membres du comité exécutif afin de couvrir tout</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suffered as a result of the change of jobs or to purchase additional pension</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désavantage subi par suite de la modification de l'emploi ou pour acheter des</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entitlements. In this context the Company may conclude life insurance policies</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droits de pension supplémentaires. Dans ce contexte, la société peut conclure</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on behalf of members of the Executive Committee and pay the insurance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des contrats d'assurance-vie au nom des membres du comité exécutif et payer</w:t>
            </w:r>
          </w:p>
        </w:tc>
      </w:tr>
      <w:tr>
        <w:trPr>
          <w:trHeight w:val="185"/>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premiums either fully or in part.</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en totalité ou en partie les primes d'assurance.</w:t>
            </w:r>
          </w:p>
        </w:tc>
      </w:tr>
      <w:tr>
        <w:trPr>
          <w:trHeight w:val="23"/>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198"/>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Upon retirement, the Company may also grant members of the Executive</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À la retraite, la société peut également accorder aux membres du comité</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Committee a bridging pension to cover the period between early retirement at 62</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exécutif, une pension de transition pour couvrir la période entre la retraite</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and the ordinary age of retirement, if such bridging pension does not exceed 100</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anticipée à 62 ans et l'âge ordinaire de la retraite, si cette rente transitoire ne</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percent of the total annual compensation of the respective member last paid.</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dépasse pas 100 pour cent du dernier montant de la rémunération annuelle</w:t>
            </w:r>
          </w:p>
        </w:tc>
      </w:tr>
      <w:tr>
        <w:trPr>
          <w:trHeight w:val="185"/>
        </w:trPr>
        <w:tc>
          <w:tcPr>
            <w:tcW w:w="5620" w:type="dxa"/>
            <w:vAlign w:val="bottom"/>
            <w:tcBorders>
              <w:left w:val="single" w:sz="8" w:color="auto"/>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totale payée au membre respectif.</w:t>
            </w:r>
          </w:p>
        </w:tc>
      </w:tr>
      <w:tr>
        <w:trPr>
          <w:trHeight w:val="23"/>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11"/>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b w:val="1"/>
                <w:bCs w:val="1"/>
                <w:color w:val="auto"/>
              </w:rPr>
              <w:t>Art. 41  Option and Share Plans</w:t>
            </w:r>
          </w:p>
        </w:tc>
        <w:tc>
          <w:tcPr>
            <w:tcW w:w="2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b w:val="1"/>
                <w:bCs w:val="1"/>
                <w:color w:val="auto"/>
              </w:rPr>
              <w:t>Art. 41   Options et plan d'actions</w:t>
            </w:r>
          </w:p>
        </w:tc>
      </w:tr>
      <w:tr>
        <w:trPr>
          <w:trHeight w:val="334"/>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Under the Company's Option Plan, the Board of Directors, upon proposal of the</w:t>
            </w:r>
          </w:p>
        </w:tc>
        <w:tc>
          <w:tcPr>
            <w:tcW w:w="22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En vertu du régime d'options de la société, le conseil d'administration, sur</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Compensation Committee, allocates the participating members of the Executive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proposition du comité de rémunération, attribue aux membres participants du</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Committee and the Board of Directors a fixed number of options or shares with a</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comité exécutif et du conseil d'administration un nombre fixe d'options ou</w:t>
            </w:r>
          </w:p>
        </w:tc>
      </w:tr>
      <w:tr>
        <w:trPr>
          <w:trHeight w:val="1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vesting for a period of at least three years (the vesting period). At the end of the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d'actions avec une période de blocage d'une période d'au moins trois ans (la</w:t>
            </w:r>
          </w:p>
        </w:tc>
      </w:tr>
      <w:tr>
        <w:trPr>
          <w:trHeight w:val="185"/>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vesting period, participants in the Option</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"Période de Blocage"). À la fin de la Période de Blocage, les participants au</w:t>
            </w:r>
          </w:p>
        </w:tc>
      </w:tr>
      <w:tr>
        <w:trPr>
          <w:trHeight w:val="196"/>
        </w:trPr>
        <w:tc>
          <w:tcPr>
            <w:tcW w:w="5620" w:type="dxa"/>
            <w:vAlign w:val="bottom"/>
            <w:tcBorders>
              <w:left w:val="single" w:sz="8" w:color="auto"/>
              <w:bottom w:val="single" w:sz="8" w:color="auto"/>
              <w:right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600" w:type="dxa"/>
            <w:vAlign w:val="bottom"/>
            <w:tcBorders>
              <w:bottom w:val="single" w:sz="8" w:color="auto"/>
              <w:right w:val="single" w:sz="8" w:color="auto"/>
            </w:tcBorders>
          </w:tcPr>
          <w:p>
            <w:pPr>
              <w:spacing w:after="0"/>
              <w:rPr>
                <w:sz w:val="17"/>
                <w:szCs w:val="17"/>
                <w:color w:val="auto"/>
              </w:rPr>
            </w:pPr>
          </w:p>
        </w:tc>
      </w:tr>
      <w:tr>
        <w:trPr>
          <w:trHeight w:val="499"/>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231" w:right="219" w:bottom="1440" w:gutter="0" w:footer="0" w:header="0"/>
        </w:sectPr>
      </w:pPr>
    </w:p>
    <w:bookmarkStart w:id="63" w:name="page64"/>
    <w:bookmarkEnd w:id="63"/>
    <w:p>
      <w:pPr>
        <w:ind w:left="11182"/>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191135</wp:posOffset>
            </wp:positionV>
            <wp:extent cx="7266305" cy="36842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6305" cy="3684270"/>
                    </a:xfrm>
                    <a:prstGeom prst="rect">
                      <a:avLst/>
                    </a:prstGeom>
                    <a:noFill/>
                  </pic:spPr>
                </pic:pic>
              </a:graphicData>
            </a:graphic>
          </wp:anchor>
        </w:drawing>
      </w:r>
    </w:p>
    <w:p>
      <w:pPr>
        <w:sectPr>
          <w:pgSz w:w="11900" w:h="16838" w:orient="portrait"/>
          <w:cols w:equalWidth="0" w:num="1">
            <w:col w:w="11362"/>
          </w:cols>
          <w:pgMar w:left="278" w:top="231" w:right="259" w:bottom="1440" w:gutter="0" w:footer="0" w:header="0"/>
        </w:sectPr>
      </w:pPr>
    </w:p>
    <w:p>
      <w:pPr>
        <w:spacing w:after="0" w:line="347" w:lineRule="exact"/>
        <w:rPr>
          <w:sz w:val="20"/>
          <w:szCs w:val="20"/>
          <w:color w:val="auto"/>
        </w:rPr>
      </w:pPr>
    </w:p>
    <w:p>
      <w:pPr>
        <w:jc w:val="both"/>
        <w:ind w:left="2"/>
        <w:spacing w:after="0" w:line="249" w:lineRule="auto"/>
        <w:rPr>
          <w:sz w:val="20"/>
          <w:szCs w:val="20"/>
          <w:color w:val="auto"/>
        </w:rPr>
      </w:pPr>
      <w:r>
        <w:rPr>
          <w:rFonts w:ascii="Arial" w:cs="Arial" w:eastAsia="Arial" w:hAnsi="Arial"/>
          <w:sz w:val="15"/>
          <w:szCs w:val="15"/>
          <w:color w:val="auto"/>
        </w:rPr>
        <w:t>Plan are entitled to exercise the options granted against payment of the strike price. These options to acquire shares in the Company or allocated shares are subject to the basic principles set out in the following:</w:t>
      </w:r>
    </w:p>
    <w:p>
      <w:pPr>
        <w:spacing w:after="0" w:line="155" w:lineRule="exact"/>
        <w:rPr>
          <w:sz w:val="20"/>
          <w:szCs w:val="20"/>
          <w:color w:val="auto"/>
        </w:rPr>
      </w:pPr>
    </w:p>
    <w:p>
      <w:pPr>
        <w:ind w:left="322" w:hanging="322"/>
        <w:spacing w:after="0" w:line="258" w:lineRule="auto"/>
        <w:tabs>
          <w:tab w:leader="none" w:pos="489" w:val="left"/>
        </w:tabs>
        <w:numPr>
          <w:ilvl w:val="0"/>
          <w:numId w:val="19"/>
        </w:numPr>
        <w:rPr>
          <w:rFonts w:ascii="Arial" w:cs="Arial" w:eastAsia="Arial" w:hAnsi="Arial"/>
          <w:sz w:val="15"/>
          <w:szCs w:val="15"/>
          <w:color w:val="auto"/>
        </w:rPr>
      </w:pPr>
      <w:r>
        <w:rPr>
          <w:rFonts w:ascii="Arial" w:cs="Arial" w:eastAsia="Arial" w:hAnsi="Arial"/>
          <w:sz w:val="15"/>
          <w:szCs w:val="15"/>
          <w:color w:val="auto"/>
        </w:rPr>
        <w:t>it is the sole discretion of the Board of Directors to decide whether to allocate options or shares and to whom;</w:t>
      </w:r>
    </w:p>
    <w:p>
      <w:pPr>
        <w:spacing w:after="0" w:line="148" w:lineRule="exact"/>
        <w:rPr>
          <w:rFonts w:ascii="Arial" w:cs="Arial" w:eastAsia="Arial" w:hAnsi="Arial"/>
          <w:sz w:val="15"/>
          <w:szCs w:val="15"/>
          <w:color w:val="auto"/>
        </w:rPr>
      </w:pPr>
    </w:p>
    <w:p>
      <w:pPr>
        <w:jc w:val="both"/>
        <w:ind w:left="322" w:hanging="322"/>
        <w:spacing w:after="0" w:line="249" w:lineRule="auto"/>
        <w:tabs>
          <w:tab w:leader="none" w:pos="479" w:val="left"/>
        </w:tabs>
        <w:numPr>
          <w:ilvl w:val="0"/>
          <w:numId w:val="19"/>
        </w:numPr>
        <w:rPr>
          <w:rFonts w:ascii="Arial" w:cs="Arial" w:eastAsia="Arial" w:hAnsi="Arial"/>
          <w:sz w:val="15"/>
          <w:szCs w:val="15"/>
          <w:color w:val="auto"/>
        </w:rPr>
      </w:pPr>
      <w:r>
        <w:rPr>
          <w:rFonts w:ascii="Arial" w:cs="Arial" w:eastAsia="Arial" w:hAnsi="Arial"/>
          <w:sz w:val="15"/>
          <w:szCs w:val="15"/>
          <w:color w:val="auto"/>
        </w:rPr>
        <w:t>each year, the Board of Directors, upon proposal of the Compensation Committee, stipulates the number of options and shares to be allocated, the date of allocation and the strike price;</w:t>
      </w:r>
    </w:p>
    <w:p>
      <w:pPr>
        <w:spacing w:after="0" w:line="155" w:lineRule="exact"/>
        <w:rPr>
          <w:rFonts w:ascii="Arial" w:cs="Arial" w:eastAsia="Arial" w:hAnsi="Arial"/>
          <w:sz w:val="15"/>
          <w:szCs w:val="15"/>
          <w:color w:val="auto"/>
        </w:rPr>
      </w:pPr>
    </w:p>
    <w:p>
      <w:pPr>
        <w:ind w:left="322" w:hanging="322"/>
        <w:spacing w:after="0" w:line="258" w:lineRule="auto"/>
        <w:tabs>
          <w:tab w:leader="none" w:pos="422" w:val="left"/>
        </w:tabs>
        <w:numPr>
          <w:ilvl w:val="0"/>
          <w:numId w:val="19"/>
        </w:numPr>
        <w:rPr>
          <w:rFonts w:ascii="Arial" w:cs="Arial" w:eastAsia="Arial" w:hAnsi="Arial"/>
          <w:sz w:val="15"/>
          <w:szCs w:val="15"/>
          <w:color w:val="auto"/>
        </w:rPr>
      </w:pPr>
      <w:r>
        <w:rPr>
          <w:rFonts w:ascii="Arial" w:cs="Arial" w:eastAsia="Arial" w:hAnsi="Arial"/>
          <w:sz w:val="15"/>
          <w:szCs w:val="15"/>
          <w:color w:val="auto"/>
        </w:rPr>
        <w:t>each option incorporates a non-transferable, pre-emptive, and contingent right to acquire a certain number of Company's shares;</w:t>
      </w:r>
    </w:p>
    <w:p>
      <w:pPr>
        <w:spacing w:after="0" w:line="148" w:lineRule="exact"/>
        <w:rPr>
          <w:rFonts w:ascii="Arial" w:cs="Arial" w:eastAsia="Arial" w:hAnsi="Arial"/>
          <w:sz w:val="15"/>
          <w:szCs w:val="15"/>
          <w:color w:val="auto"/>
        </w:rPr>
      </w:pPr>
    </w:p>
    <w:p>
      <w:pPr>
        <w:jc w:val="both"/>
        <w:ind w:left="322" w:hanging="322"/>
        <w:spacing w:after="0" w:line="243" w:lineRule="auto"/>
        <w:tabs>
          <w:tab w:leader="none" w:pos="344" w:val="left"/>
        </w:tabs>
        <w:numPr>
          <w:ilvl w:val="0"/>
          <w:numId w:val="19"/>
        </w:numPr>
        <w:rPr>
          <w:rFonts w:ascii="Arial" w:cs="Arial" w:eastAsia="Arial" w:hAnsi="Arial"/>
          <w:sz w:val="15"/>
          <w:szCs w:val="15"/>
          <w:color w:val="auto"/>
        </w:rPr>
      </w:pPr>
      <w:r>
        <w:rPr>
          <w:rFonts w:ascii="Arial" w:cs="Arial" w:eastAsia="Arial" w:hAnsi="Arial"/>
          <w:sz w:val="15"/>
          <w:szCs w:val="15"/>
          <w:color w:val="auto"/>
        </w:rPr>
        <w:t>in the case of a change of control (as defined in the Option Plan) or delisting of the Company's shares, the vesting period shall end (accelerated vesting) and the participant shall be entitled to exercise the options on a pro rata basis on the day the transaction that led to the change of control or delisting was executed. It is at the sole discretion of the Board of Directors to decide upon proposal of the Compensation Committee whether the financial objectives have been met;</w:t>
      </w:r>
    </w:p>
    <w:p>
      <w:pPr>
        <w:spacing w:after="0" w:line="334" w:lineRule="exact"/>
        <w:rPr>
          <w:rFonts w:ascii="Arial" w:cs="Arial" w:eastAsia="Arial" w:hAnsi="Arial"/>
          <w:sz w:val="15"/>
          <w:szCs w:val="15"/>
          <w:color w:val="auto"/>
        </w:rPr>
      </w:pPr>
    </w:p>
    <w:p>
      <w:pPr>
        <w:jc w:val="both"/>
        <w:ind w:left="322" w:hanging="322"/>
        <w:spacing w:after="0" w:line="246" w:lineRule="auto"/>
        <w:tabs>
          <w:tab w:leader="none" w:pos="548"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individual members of the Executive Committee or the Board of Directors participating in the Option Plan are responsible for paying any taxes or social security contributions and for declaring income correctly to the authorities;</w:t>
      </w:r>
    </w:p>
    <w:p>
      <w:pPr>
        <w:spacing w:after="0" w:line="157" w:lineRule="exact"/>
        <w:rPr>
          <w:rFonts w:ascii="Arial" w:cs="Arial" w:eastAsia="Arial" w:hAnsi="Arial"/>
          <w:sz w:val="15"/>
          <w:szCs w:val="15"/>
          <w:color w:val="auto"/>
        </w:rPr>
      </w:pPr>
    </w:p>
    <w:p>
      <w:pPr>
        <w:jc w:val="both"/>
        <w:ind w:left="322" w:hanging="322"/>
        <w:spacing w:after="0" w:line="249" w:lineRule="auto"/>
        <w:tabs>
          <w:tab w:leader="none" w:pos="398" w:val="left"/>
        </w:tabs>
        <w:numPr>
          <w:ilvl w:val="0"/>
          <w:numId w:val="19"/>
        </w:numPr>
        <w:rPr>
          <w:rFonts w:ascii="Arial" w:cs="Arial" w:eastAsia="Arial" w:hAnsi="Arial"/>
          <w:sz w:val="15"/>
          <w:szCs w:val="15"/>
          <w:color w:val="auto"/>
        </w:rPr>
      </w:pPr>
      <w:r>
        <w:rPr>
          <w:rFonts w:ascii="Arial" w:cs="Arial" w:eastAsia="Arial" w:hAnsi="Arial"/>
          <w:sz w:val="15"/>
          <w:szCs w:val="15"/>
          <w:color w:val="auto"/>
        </w:rPr>
        <w:t>it is at the sole discretion of the Board of Directors to decide whether to supplement the Option Plan within the bounds of the principles set out above or to discontinue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560705</wp:posOffset>
            </wp:positionV>
            <wp:extent cx="726630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jc w:val="both"/>
        <w:ind w:left="5" w:right="20"/>
        <w:spacing w:after="0" w:line="249" w:lineRule="auto"/>
        <w:rPr>
          <w:sz w:val="20"/>
          <w:szCs w:val="20"/>
          <w:color w:val="auto"/>
        </w:rPr>
      </w:pPr>
      <w:r>
        <w:rPr>
          <w:rFonts w:ascii="Arial" w:cs="Arial" w:eastAsia="Arial" w:hAnsi="Arial"/>
          <w:sz w:val="15"/>
          <w:szCs w:val="15"/>
          <w:color w:val="auto"/>
        </w:rPr>
        <w:t>régime d'options sont habilités à exercer les options attribuées contre paiement du prix d'exercice. Ces options d'achat d'actions de la société ou d'actions attribuées sont soumises aux principes de base suivants:</w:t>
      </w:r>
    </w:p>
    <w:p>
      <w:pPr>
        <w:spacing w:after="0" w:line="155" w:lineRule="exact"/>
        <w:rPr>
          <w:sz w:val="20"/>
          <w:szCs w:val="20"/>
          <w:color w:val="auto"/>
        </w:rPr>
      </w:pPr>
    </w:p>
    <w:p>
      <w:pPr>
        <w:ind w:left="385" w:right="20" w:hanging="385"/>
        <w:spacing w:after="0" w:line="258" w:lineRule="auto"/>
        <w:tabs>
          <w:tab w:leader="none" w:pos="467" w:val="left"/>
        </w:tabs>
        <w:numPr>
          <w:ilvl w:val="0"/>
          <w:numId w:val="20"/>
        </w:numPr>
        <w:rPr>
          <w:rFonts w:ascii="Arial" w:cs="Arial" w:eastAsia="Arial" w:hAnsi="Arial"/>
          <w:sz w:val="15"/>
          <w:szCs w:val="15"/>
          <w:color w:val="auto"/>
        </w:rPr>
      </w:pPr>
      <w:r>
        <w:rPr>
          <w:rFonts w:ascii="Arial" w:cs="Arial" w:eastAsia="Arial" w:hAnsi="Arial"/>
          <w:sz w:val="15"/>
          <w:szCs w:val="15"/>
          <w:color w:val="auto"/>
        </w:rPr>
        <w:t>il relève de la libre appréciation du conseil d'administration de décider si des options ou actions sont attribuées et à qui;</w:t>
      </w:r>
    </w:p>
    <w:p>
      <w:pPr>
        <w:spacing w:after="0" w:line="148" w:lineRule="exact"/>
        <w:rPr>
          <w:rFonts w:ascii="Arial" w:cs="Arial" w:eastAsia="Arial" w:hAnsi="Arial"/>
          <w:sz w:val="15"/>
          <w:szCs w:val="15"/>
          <w:color w:val="auto"/>
        </w:rPr>
      </w:pPr>
    </w:p>
    <w:p>
      <w:pPr>
        <w:jc w:val="both"/>
        <w:ind w:left="385" w:right="20" w:hanging="385"/>
        <w:spacing w:after="0" w:line="249" w:lineRule="auto"/>
        <w:tabs>
          <w:tab w:leader="none" w:pos="496" w:val="left"/>
        </w:tabs>
        <w:numPr>
          <w:ilvl w:val="0"/>
          <w:numId w:val="20"/>
        </w:numPr>
        <w:rPr>
          <w:rFonts w:ascii="Arial" w:cs="Arial" w:eastAsia="Arial" w:hAnsi="Arial"/>
          <w:sz w:val="15"/>
          <w:szCs w:val="15"/>
          <w:color w:val="auto"/>
        </w:rPr>
      </w:pPr>
      <w:r>
        <w:rPr>
          <w:rFonts w:ascii="Arial" w:cs="Arial" w:eastAsia="Arial" w:hAnsi="Arial"/>
          <w:sz w:val="15"/>
          <w:szCs w:val="15"/>
          <w:color w:val="auto"/>
        </w:rPr>
        <w:t>chaque année, le conseil d'administration, sur proposition du comité de rémunération, fixe le nombre d'options et d'actions à attribuer, la date d'attribution et le prix d'exercice;</w:t>
      </w:r>
    </w:p>
    <w:p>
      <w:pPr>
        <w:spacing w:after="0" w:line="155" w:lineRule="exact"/>
        <w:rPr>
          <w:rFonts w:ascii="Arial" w:cs="Arial" w:eastAsia="Arial" w:hAnsi="Arial"/>
          <w:sz w:val="15"/>
          <w:szCs w:val="15"/>
          <w:color w:val="auto"/>
        </w:rPr>
      </w:pPr>
    </w:p>
    <w:p>
      <w:pPr>
        <w:jc w:val="both"/>
        <w:ind w:left="385" w:right="20" w:hanging="385"/>
        <w:spacing w:after="0" w:line="249" w:lineRule="auto"/>
        <w:tabs>
          <w:tab w:leader="none" w:pos="656" w:val="left"/>
        </w:tabs>
        <w:numPr>
          <w:ilvl w:val="0"/>
          <w:numId w:val="20"/>
        </w:numPr>
        <w:rPr>
          <w:rFonts w:ascii="Arial" w:cs="Arial" w:eastAsia="Arial" w:hAnsi="Arial"/>
          <w:sz w:val="15"/>
          <w:szCs w:val="15"/>
          <w:color w:val="auto"/>
        </w:rPr>
      </w:pPr>
      <w:r>
        <w:rPr>
          <w:rFonts w:ascii="Arial" w:cs="Arial" w:eastAsia="Arial" w:hAnsi="Arial"/>
          <w:sz w:val="15"/>
          <w:szCs w:val="15"/>
          <w:color w:val="auto"/>
        </w:rPr>
        <w:t>chaque option comporte un droit non transférable, de souscription préférentielle et optionnel d'acquérir un certain nombre d'actions de la société;</w:t>
      </w:r>
    </w:p>
    <w:p>
      <w:pPr>
        <w:spacing w:after="0" w:line="155" w:lineRule="exact"/>
        <w:rPr>
          <w:rFonts w:ascii="Arial" w:cs="Arial" w:eastAsia="Arial" w:hAnsi="Arial"/>
          <w:sz w:val="15"/>
          <w:szCs w:val="15"/>
          <w:color w:val="auto"/>
        </w:rPr>
      </w:pPr>
    </w:p>
    <w:p>
      <w:pPr>
        <w:jc w:val="both"/>
        <w:ind w:left="385" w:right="20" w:hanging="385"/>
        <w:spacing w:after="0" w:line="243" w:lineRule="auto"/>
        <w:tabs>
          <w:tab w:leader="none" w:pos="487" w:val="left"/>
        </w:tabs>
        <w:numPr>
          <w:ilvl w:val="0"/>
          <w:numId w:val="20"/>
        </w:numPr>
        <w:rPr>
          <w:rFonts w:ascii="Arial" w:cs="Arial" w:eastAsia="Arial" w:hAnsi="Arial"/>
          <w:sz w:val="15"/>
          <w:szCs w:val="15"/>
          <w:color w:val="auto"/>
        </w:rPr>
      </w:pPr>
      <w:r>
        <w:rPr>
          <w:rFonts w:ascii="Arial" w:cs="Arial" w:eastAsia="Arial" w:hAnsi="Arial"/>
          <w:sz w:val="15"/>
          <w:szCs w:val="15"/>
          <w:color w:val="auto"/>
        </w:rPr>
        <w:t>dans le cas d'un changement de contrôle (tel que défini dans le régime d'options) ou la radiation des actions de la société, la Période de Blocage prend fin (acquisition accélérée) et le participant est en droit d'exercer les options sur une base pro rata le jour de la transaction qui a conduit à un changement de contrôle ou le jour où la radiation a été exécutée. Il relève de la libre appréciation du conseil d'administration de décider, sur proposition du comité de rémunération, si les objectifs financiers ont été atteints;</w:t>
      </w:r>
    </w:p>
    <w:p>
      <w:pPr>
        <w:spacing w:after="0" w:line="334" w:lineRule="exact"/>
        <w:rPr>
          <w:rFonts w:ascii="Arial" w:cs="Arial" w:eastAsia="Arial" w:hAnsi="Arial"/>
          <w:sz w:val="15"/>
          <w:szCs w:val="15"/>
          <w:color w:val="auto"/>
        </w:rPr>
      </w:pPr>
    </w:p>
    <w:p>
      <w:pPr>
        <w:jc w:val="both"/>
        <w:ind w:left="385" w:right="20" w:hanging="385"/>
        <w:spacing w:after="0" w:line="246" w:lineRule="auto"/>
        <w:tabs>
          <w:tab w:leader="none" w:pos="437" w:val="left"/>
        </w:tabs>
        <w:numPr>
          <w:ilvl w:val="0"/>
          <w:numId w:val="20"/>
        </w:numPr>
        <w:rPr>
          <w:rFonts w:ascii="Arial" w:cs="Arial" w:eastAsia="Arial" w:hAnsi="Arial"/>
          <w:sz w:val="15"/>
          <w:szCs w:val="15"/>
          <w:color w:val="auto"/>
        </w:rPr>
      </w:pPr>
      <w:r>
        <w:rPr>
          <w:rFonts w:ascii="Arial" w:cs="Arial" w:eastAsia="Arial" w:hAnsi="Arial"/>
          <w:sz w:val="15"/>
          <w:szCs w:val="15"/>
          <w:color w:val="auto"/>
        </w:rPr>
        <w:t>les membres individuels du comité exécutif ou du conseil d'administration qui participent au régime d'options sont responsables du paiement de tous les impôts ou cotisations de sécurité sociale et de déclarer correctement le revenu aux autorités;</w:t>
      </w:r>
    </w:p>
    <w:p>
      <w:pPr>
        <w:spacing w:after="0" w:line="157" w:lineRule="exact"/>
        <w:rPr>
          <w:rFonts w:ascii="Arial" w:cs="Arial" w:eastAsia="Arial" w:hAnsi="Arial"/>
          <w:sz w:val="15"/>
          <w:szCs w:val="15"/>
          <w:color w:val="auto"/>
        </w:rPr>
      </w:pPr>
    </w:p>
    <w:p>
      <w:pPr>
        <w:jc w:val="both"/>
        <w:ind w:left="385" w:right="20" w:hanging="385"/>
        <w:spacing w:after="0" w:line="249" w:lineRule="auto"/>
        <w:tabs>
          <w:tab w:leader="none" w:pos="408" w:val="left"/>
        </w:tabs>
        <w:numPr>
          <w:ilvl w:val="0"/>
          <w:numId w:val="20"/>
        </w:numPr>
        <w:rPr>
          <w:rFonts w:ascii="Arial" w:cs="Arial" w:eastAsia="Arial" w:hAnsi="Arial"/>
          <w:sz w:val="15"/>
          <w:szCs w:val="15"/>
          <w:color w:val="auto"/>
        </w:rPr>
      </w:pPr>
      <w:r>
        <w:rPr>
          <w:rFonts w:ascii="Arial" w:cs="Arial" w:eastAsia="Arial" w:hAnsi="Arial"/>
          <w:sz w:val="15"/>
          <w:szCs w:val="15"/>
          <w:color w:val="auto"/>
        </w:rPr>
        <w:t>il relève de la libre appréciation du conseil d'administration de décider si le régime d'options est complété dans les limites des principes énoncés ci-dessus ou de l'interrompre.</w:t>
      </w:r>
    </w:p>
    <w:p>
      <w:pPr>
        <w:sectPr>
          <w:pgSz w:w="11900" w:h="16838" w:orient="portrait"/>
          <w:cols w:equalWidth="0" w:num="2">
            <w:col w:w="5522" w:space="315"/>
            <w:col w:w="5525"/>
          </w:cols>
          <w:pgMar w:left="278" w:top="231" w:right="259" w:bottom="1440" w:gutter="0" w:footer="0" w:header="0"/>
          <w:type w:val="continuous"/>
        </w:sectPr>
      </w:pPr>
    </w:p>
    <w:bookmarkStart w:id="64" w:name="page65"/>
    <w:bookmarkEnd w:id="64"/>
    <w:tbl>
      <w:tblPr>
        <w:tblLayout w:type="fixed"/>
        <w:tblInd w:w="10" w:type="dxa"/>
        <w:tblCellMar>
          <w:top w:w="0" w:type="dxa"/>
          <w:left w:w="0" w:type="dxa"/>
          <w:bottom w:w="0" w:type="dxa"/>
          <w:right w:w="0" w:type="dxa"/>
        </w:tblCellMar>
      </w:tblPr>
      <w:tr>
        <w:trPr>
          <w:trHeight w:val="185"/>
        </w:trPr>
        <w:tc>
          <w:tcPr>
            <w:tcW w:w="66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20" w:type="dxa"/>
            <w:vAlign w:val="bottom"/>
          </w:tcPr>
          <w:p>
            <w:pPr>
              <w:jc w:val="right"/>
              <w:spacing w:after="0"/>
              <w:rPr>
                <w:sz w:val="20"/>
                <w:szCs w:val="20"/>
                <w:color w:val="auto"/>
              </w:rPr>
            </w:pPr>
            <w:r>
              <w:rPr>
                <w:rFonts w:ascii="Arial" w:cs="Arial" w:eastAsia="Arial" w:hAnsi="Arial"/>
                <w:sz w:val="15"/>
                <w:szCs w:val="15"/>
                <w:color w:val="auto"/>
              </w:rPr>
              <w:t>34</w:t>
            </w:r>
          </w:p>
        </w:tc>
      </w:tr>
      <w:tr>
        <w:trPr>
          <w:trHeight w:val="289"/>
        </w:trPr>
        <w:tc>
          <w:tcPr>
            <w:tcW w:w="5620" w:type="dxa"/>
            <w:vAlign w:val="bottom"/>
            <w:tcBorders>
              <w:bottom w:val="single" w:sz="8" w:color="auto"/>
            </w:tcBorders>
            <w:gridSpan w:val="2"/>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gridSpan w:val="2"/>
          </w:tcPr>
          <w:p>
            <w:pPr>
              <w:spacing w:after="0"/>
              <w:rPr>
                <w:sz w:val="24"/>
                <w:szCs w:val="24"/>
                <w:color w:val="auto"/>
              </w:rPr>
            </w:pPr>
          </w:p>
        </w:tc>
      </w:tr>
      <w:tr>
        <w:trPr>
          <w:trHeight w:val="198"/>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The Company may periodically offer shares in the Company to important and</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La société peut périodiquement offrir des actions de la société aux salariés</w:t>
            </w: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long-term employees for a price being at maximum ten percent below the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importants et à long terme pour un prix étant au maximum dix pour cent au-</w:t>
            </w: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average volume-weighted price of the last 30 trading days at the stock exchange.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dessous du prix moyen pondéré par les volumes des 30 derniers jours à la</w:t>
            </w: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Members of the Board of Directors and the Executive Committee may be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bourse. Les membres du conseil d'administration et du comité exécutif peuvent</w:t>
            </w: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included in this program. The shares acquired thereby shall be blocked for a</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être inclus dans ce programme. Les actions ainsi acquises seront bloquées pour</w:t>
            </w:r>
          </w:p>
        </w:tc>
      </w:tr>
      <w:tr>
        <w:trPr>
          <w:trHeight w:val="185"/>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period of at least 3 years.</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une période d'au moins 3 ans.</w:t>
            </w:r>
          </w:p>
        </w:tc>
      </w:tr>
      <w:tr>
        <w:trPr>
          <w:trHeight w:val="23"/>
        </w:trPr>
        <w:tc>
          <w:tcPr>
            <w:tcW w:w="660" w:type="dxa"/>
            <w:vAlign w:val="bottom"/>
            <w:tcBorders>
              <w:left w:val="single" w:sz="8" w:color="auto"/>
              <w:bottom w:val="single" w:sz="8" w:color="auto"/>
            </w:tcBorders>
          </w:tcPr>
          <w:p>
            <w:pPr>
              <w:spacing w:after="0"/>
              <w:rPr>
                <w:sz w:val="2"/>
                <w:szCs w:val="2"/>
                <w:color w:val="auto"/>
              </w:rPr>
            </w:pPr>
          </w:p>
        </w:tc>
        <w:tc>
          <w:tcPr>
            <w:tcW w:w="496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020" w:type="dxa"/>
            <w:vAlign w:val="bottom"/>
            <w:tcBorders>
              <w:bottom w:val="single" w:sz="8" w:color="auto"/>
              <w:right w:val="single" w:sz="8" w:color="auto"/>
            </w:tcBorders>
          </w:tcPr>
          <w:p>
            <w:pPr>
              <w:spacing w:after="0"/>
              <w:rPr>
                <w:sz w:val="2"/>
                <w:szCs w:val="2"/>
                <w:color w:val="auto"/>
              </w:rPr>
            </w:pPr>
          </w:p>
        </w:tc>
      </w:tr>
      <w:tr>
        <w:trPr>
          <w:trHeight w:val="211"/>
        </w:trPr>
        <w:tc>
          <w:tcPr>
            <w:tcW w:w="660" w:type="dxa"/>
            <w:vAlign w:val="bottom"/>
            <w:tcBorders>
              <w:left w:val="single" w:sz="8" w:color="auto"/>
            </w:tcBorders>
          </w:tcPr>
          <w:p>
            <w:pPr>
              <w:spacing w:after="0"/>
              <w:rPr>
                <w:sz w:val="20"/>
                <w:szCs w:val="20"/>
                <w:color w:val="auto"/>
              </w:rPr>
            </w:pPr>
            <w:r>
              <w:rPr>
                <w:rFonts w:ascii="Arial" w:cs="Arial" w:eastAsia="Arial" w:hAnsi="Arial"/>
                <w:sz w:val="15"/>
                <w:szCs w:val="15"/>
                <w:b w:val="1"/>
                <w:bCs w:val="1"/>
                <w:color w:val="auto"/>
              </w:rPr>
              <w:t>VIII.</w:t>
            </w:r>
          </w:p>
        </w:tc>
        <w:tc>
          <w:tcPr>
            <w:tcW w:w="4960" w:type="dxa"/>
            <w:vAlign w:val="bottom"/>
            <w:tcBorders>
              <w:right w:val="single" w:sz="8" w:color="auto"/>
            </w:tcBorders>
          </w:tcPr>
          <w:p>
            <w:pPr>
              <w:spacing w:after="0"/>
              <w:rPr>
                <w:sz w:val="20"/>
                <w:szCs w:val="20"/>
                <w:color w:val="auto"/>
              </w:rPr>
            </w:pPr>
            <w:r>
              <w:rPr>
                <w:rFonts w:ascii="Arial" w:cs="Arial" w:eastAsia="Arial" w:hAnsi="Arial"/>
                <w:sz w:val="15"/>
                <w:szCs w:val="15"/>
                <w:b w:val="1"/>
                <w:bCs w:val="1"/>
                <w:color w:val="auto"/>
              </w:rPr>
              <w:t>BUSINESS YEAR, ACCOUNTING, ALLOCATION OF PROFITS</w:t>
            </w:r>
          </w:p>
        </w:tc>
        <w:tc>
          <w:tcPr>
            <w:tcW w:w="220" w:type="dxa"/>
            <w:vAlign w:val="bottom"/>
            <w:tcBorders>
              <w:right w:val="single" w:sz="8" w:color="auto"/>
            </w:tcBorders>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5"/>
                <w:szCs w:val="15"/>
                <w:b w:val="1"/>
                <w:bCs w:val="1"/>
                <w:color w:val="auto"/>
              </w:rPr>
              <w:t>VIII.</w:t>
            </w:r>
          </w:p>
        </w:tc>
        <w:tc>
          <w:tcPr>
            <w:tcW w:w="5020" w:type="dxa"/>
            <w:vAlign w:val="bottom"/>
            <w:tcBorders>
              <w:right w:val="single" w:sz="8" w:color="auto"/>
            </w:tcBorders>
          </w:tcPr>
          <w:p>
            <w:pPr>
              <w:ind w:left="80"/>
              <w:spacing w:after="0"/>
              <w:rPr>
                <w:sz w:val="20"/>
                <w:szCs w:val="20"/>
                <w:color w:val="auto"/>
              </w:rPr>
            </w:pPr>
            <w:r>
              <w:rPr>
                <w:rFonts w:ascii="Arial" w:cs="Arial" w:eastAsia="Arial" w:hAnsi="Arial"/>
                <w:sz w:val="15"/>
                <w:szCs w:val="15"/>
                <w:b w:val="1"/>
                <w:bCs w:val="1"/>
                <w:color w:val="auto"/>
              </w:rPr>
              <w:t>EXERCICE, COMPTABILITÉ, RÉPARTITION DES BÉNÉFICES</w:t>
            </w:r>
          </w:p>
        </w:tc>
      </w:tr>
      <w:tr>
        <w:trPr>
          <w:trHeight w:val="23"/>
        </w:trPr>
        <w:tc>
          <w:tcPr>
            <w:tcW w:w="660" w:type="dxa"/>
            <w:vAlign w:val="bottom"/>
            <w:tcBorders>
              <w:left w:val="single" w:sz="8" w:color="auto"/>
              <w:bottom w:val="single" w:sz="8" w:color="auto"/>
            </w:tcBorders>
          </w:tcPr>
          <w:p>
            <w:pPr>
              <w:spacing w:after="0"/>
              <w:rPr>
                <w:sz w:val="2"/>
                <w:szCs w:val="2"/>
                <w:color w:val="auto"/>
              </w:rPr>
            </w:pPr>
          </w:p>
        </w:tc>
        <w:tc>
          <w:tcPr>
            <w:tcW w:w="496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020" w:type="dxa"/>
            <w:vAlign w:val="bottom"/>
            <w:tcBorders>
              <w:bottom w:val="single" w:sz="8" w:color="auto"/>
              <w:right w:val="single" w:sz="8" w:color="auto"/>
            </w:tcBorders>
          </w:tcPr>
          <w:p>
            <w:pPr>
              <w:spacing w:after="0"/>
              <w:rPr>
                <w:sz w:val="2"/>
                <w:szCs w:val="2"/>
                <w:color w:val="auto"/>
              </w:rPr>
            </w:pPr>
          </w:p>
        </w:tc>
      </w:tr>
      <w:tr>
        <w:trPr>
          <w:trHeight w:val="211"/>
        </w:trPr>
        <w:tc>
          <w:tcPr>
            <w:tcW w:w="660" w:type="dxa"/>
            <w:vAlign w:val="bottom"/>
            <w:tcBorders>
              <w:left w:val="single" w:sz="8" w:color="auto"/>
            </w:tcBorders>
          </w:tcPr>
          <w:p>
            <w:pPr>
              <w:ind w:left="40"/>
              <w:spacing w:after="0"/>
              <w:rPr>
                <w:sz w:val="20"/>
                <w:szCs w:val="20"/>
                <w:color w:val="auto"/>
              </w:rPr>
            </w:pPr>
            <w:r>
              <w:rPr>
                <w:rFonts w:ascii="Arial" w:cs="Arial" w:eastAsia="Arial" w:hAnsi="Arial"/>
                <w:sz w:val="15"/>
                <w:szCs w:val="15"/>
                <w:b w:val="1"/>
                <w:bCs w:val="1"/>
                <w:color w:val="auto"/>
              </w:rPr>
              <w:t>Art. 42</w:t>
            </w:r>
          </w:p>
        </w:tc>
        <w:tc>
          <w:tcPr>
            <w:tcW w:w="4960" w:type="dxa"/>
            <w:vAlign w:val="bottom"/>
            <w:tcBorders>
              <w:right w:val="single" w:sz="8" w:color="auto"/>
            </w:tcBorders>
          </w:tcPr>
          <w:p>
            <w:pPr>
              <w:ind w:left="20"/>
              <w:spacing w:after="0"/>
              <w:rPr>
                <w:sz w:val="20"/>
                <w:szCs w:val="20"/>
                <w:color w:val="auto"/>
              </w:rPr>
            </w:pPr>
            <w:r>
              <w:rPr>
                <w:rFonts w:ascii="Arial" w:cs="Arial" w:eastAsia="Arial" w:hAnsi="Arial"/>
                <w:sz w:val="15"/>
                <w:szCs w:val="15"/>
                <w:b w:val="1"/>
                <w:bCs w:val="1"/>
                <w:color w:val="auto"/>
              </w:rPr>
              <w:t>Business Year</w:t>
            </w:r>
          </w:p>
        </w:tc>
        <w:tc>
          <w:tcPr>
            <w:tcW w:w="220" w:type="dxa"/>
            <w:vAlign w:val="bottom"/>
            <w:tcBorders>
              <w:right w:val="single" w:sz="8" w:color="auto"/>
            </w:tcBorders>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5"/>
                <w:szCs w:val="15"/>
                <w:b w:val="1"/>
                <w:bCs w:val="1"/>
                <w:color w:val="auto"/>
              </w:rPr>
              <w:t>Art. 42</w:t>
            </w:r>
          </w:p>
        </w:tc>
        <w:tc>
          <w:tcPr>
            <w:tcW w:w="5020" w:type="dxa"/>
            <w:vAlign w:val="bottom"/>
            <w:tcBorders>
              <w:right w:val="single" w:sz="8" w:color="auto"/>
            </w:tcBorders>
          </w:tcPr>
          <w:p>
            <w:pPr>
              <w:ind w:left="140"/>
              <w:spacing w:after="0"/>
              <w:rPr>
                <w:sz w:val="20"/>
                <w:szCs w:val="20"/>
                <w:color w:val="auto"/>
              </w:rPr>
            </w:pPr>
            <w:r>
              <w:rPr>
                <w:rFonts w:ascii="Arial" w:cs="Arial" w:eastAsia="Arial" w:hAnsi="Arial"/>
                <w:sz w:val="15"/>
                <w:szCs w:val="15"/>
                <w:b w:val="1"/>
                <w:bCs w:val="1"/>
                <w:color w:val="auto"/>
              </w:rPr>
              <w:t>Exercice</w:t>
            </w:r>
          </w:p>
        </w:tc>
      </w:tr>
      <w:tr>
        <w:trPr>
          <w:trHeight w:val="334"/>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The Board of Directors shall determine the start and the end of the Company's</w:t>
            </w:r>
          </w:p>
        </w:tc>
        <w:tc>
          <w:tcPr>
            <w:tcW w:w="22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Le conseil d'administration détermine le début et la fin de l'exercice de la société.</w:t>
            </w:r>
          </w:p>
        </w:tc>
      </w:tr>
      <w:tr>
        <w:trPr>
          <w:trHeight w:val="185"/>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business year.</w:t>
            </w:r>
          </w:p>
        </w:tc>
        <w:tc>
          <w:tcPr>
            <w:tcW w:w="220" w:type="dxa"/>
            <w:vAlign w:val="bottom"/>
            <w:tcBorders>
              <w:righ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5020" w:type="dxa"/>
            <w:vAlign w:val="bottom"/>
            <w:tcBorders>
              <w:right w:val="single" w:sz="8" w:color="auto"/>
            </w:tcBorders>
          </w:tcPr>
          <w:p>
            <w:pPr>
              <w:spacing w:after="0"/>
              <w:rPr>
                <w:sz w:val="16"/>
                <w:szCs w:val="16"/>
                <w:color w:val="auto"/>
              </w:rPr>
            </w:pPr>
          </w:p>
        </w:tc>
      </w:tr>
      <w:tr>
        <w:trPr>
          <w:trHeight w:val="196"/>
        </w:trPr>
        <w:tc>
          <w:tcPr>
            <w:tcW w:w="660" w:type="dxa"/>
            <w:vAlign w:val="bottom"/>
            <w:tcBorders>
              <w:left w:val="single" w:sz="8" w:color="auto"/>
              <w:bottom w:val="single" w:sz="8" w:color="auto"/>
            </w:tcBorders>
          </w:tcPr>
          <w:p>
            <w:pPr>
              <w:spacing w:after="0"/>
              <w:rPr>
                <w:sz w:val="17"/>
                <w:szCs w:val="17"/>
                <w:color w:val="auto"/>
              </w:rPr>
            </w:pPr>
          </w:p>
        </w:tc>
        <w:tc>
          <w:tcPr>
            <w:tcW w:w="496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5020" w:type="dxa"/>
            <w:vAlign w:val="bottom"/>
            <w:tcBorders>
              <w:bottom w:val="single" w:sz="8" w:color="auto"/>
              <w:right w:val="single" w:sz="8" w:color="auto"/>
            </w:tcBorders>
          </w:tcPr>
          <w:p>
            <w:pPr>
              <w:spacing w:after="0"/>
              <w:rPr>
                <w:sz w:val="17"/>
                <w:szCs w:val="17"/>
                <w:color w:val="auto"/>
              </w:rPr>
            </w:pPr>
          </w:p>
        </w:tc>
      </w:tr>
      <w:tr>
        <w:trPr>
          <w:trHeight w:val="211"/>
        </w:trPr>
        <w:tc>
          <w:tcPr>
            <w:tcW w:w="660" w:type="dxa"/>
            <w:vAlign w:val="bottom"/>
            <w:tcBorders>
              <w:left w:val="single" w:sz="8" w:color="auto"/>
            </w:tcBorders>
          </w:tcPr>
          <w:p>
            <w:pPr>
              <w:ind w:left="40"/>
              <w:spacing w:after="0"/>
              <w:rPr>
                <w:sz w:val="20"/>
                <w:szCs w:val="20"/>
                <w:color w:val="auto"/>
              </w:rPr>
            </w:pPr>
            <w:r>
              <w:rPr>
                <w:rFonts w:ascii="Arial" w:cs="Arial" w:eastAsia="Arial" w:hAnsi="Arial"/>
                <w:sz w:val="15"/>
                <w:szCs w:val="15"/>
                <w:b w:val="1"/>
                <w:bCs w:val="1"/>
                <w:color w:val="auto"/>
              </w:rPr>
              <w:t>Art. 43</w:t>
            </w:r>
          </w:p>
        </w:tc>
        <w:tc>
          <w:tcPr>
            <w:tcW w:w="4960" w:type="dxa"/>
            <w:vAlign w:val="bottom"/>
            <w:tcBorders>
              <w:right w:val="single" w:sz="8" w:color="auto"/>
            </w:tcBorders>
          </w:tcPr>
          <w:p>
            <w:pPr>
              <w:ind w:left="60"/>
              <w:spacing w:after="0"/>
              <w:rPr>
                <w:sz w:val="20"/>
                <w:szCs w:val="20"/>
                <w:color w:val="auto"/>
              </w:rPr>
            </w:pPr>
            <w:r>
              <w:rPr>
                <w:rFonts w:ascii="Arial" w:cs="Arial" w:eastAsia="Arial" w:hAnsi="Arial"/>
                <w:sz w:val="15"/>
                <w:szCs w:val="15"/>
                <w:b w:val="1"/>
                <w:bCs w:val="1"/>
                <w:color w:val="auto"/>
              </w:rPr>
              <w:t>Accounting</w:t>
            </w:r>
          </w:p>
        </w:tc>
        <w:tc>
          <w:tcPr>
            <w:tcW w:w="220" w:type="dxa"/>
            <w:vAlign w:val="bottom"/>
            <w:tcBorders>
              <w:right w:val="single" w:sz="8" w:color="auto"/>
            </w:tcBorders>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5"/>
                <w:szCs w:val="15"/>
                <w:b w:val="1"/>
                <w:bCs w:val="1"/>
                <w:color w:val="auto"/>
              </w:rPr>
              <w:t>Art. 43</w:t>
            </w:r>
          </w:p>
        </w:tc>
        <w:tc>
          <w:tcPr>
            <w:tcW w:w="5020" w:type="dxa"/>
            <w:vAlign w:val="bottom"/>
            <w:tcBorders>
              <w:right w:val="single" w:sz="8" w:color="auto"/>
            </w:tcBorders>
          </w:tcPr>
          <w:p>
            <w:pPr>
              <w:ind w:left="140"/>
              <w:spacing w:after="0"/>
              <w:rPr>
                <w:sz w:val="20"/>
                <w:szCs w:val="20"/>
                <w:color w:val="auto"/>
              </w:rPr>
            </w:pPr>
            <w:r>
              <w:rPr>
                <w:rFonts w:ascii="Arial" w:cs="Arial" w:eastAsia="Arial" w:hAnsi="Arial"/>
                <w:sz w:val="15"/>
                <w:szCs w:val="15"/>
                <w:b w:val="1"/>
                <w:bCs w:val="1"/>
                <w:color w:val="auto"/>
              </w:rPr>
              <w:t>Comptabilité</w:t>
            </w:r>
          </w:p>
        </w:tc>
      </w:tr>
      <w:tr>
        <w:trPr>
          <w:trHeight w:val="334"/>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The annual accounts consist of the profit and loss statement, the balance sheet,</w:t>
            </w:r>
          </w:p>
        </w:tc>
        <w:tc>
          <w:tcPr>
            <w:tcW w:w="22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Les comptes annuels se composent du compte de profits et pertes, du bilan, du</w:t>
            </w:r>
          </w:p>
        </w:tc>
      </w:tr>
      <w:tr>
        <w:trPr>
          <w:trHeight w:val="157"/>
        </w:trPr>
        <w:tc>
          <w:tcPr>
            <w:tcW w:w="5620" w:type="dxa"/>
            <w:vAlign w:val="bottom"/>
            <w:tcBorders>
              <w:left w:val="single" w:sz="8" w:color="auto"/>
              <w:right w:val="single" w:sz="8" w:color="auto"/>
            </w:tcBorders>
            <w:gridSpan w:val="2"/>
          </w:tcPr>
          <w:p>
            <w:pPr>
              <w:ind w:left="40"/>
              <w:spacing w:after="0" w:line="157" w:lineRule="exact"/>
              <w:rPr>
                <w:sz w:val="20"/>
                <w:szCs w:val="20"/>
                <w:color w:val="auto"/>
              </w:rPr>
            </w:pPr>
            <w:r>
              <w:rPr>
                <w:rFonts w:ascii="Arial" w:cs="Arial" w:eastAsia="Arial" w:hAnsi="Arial"/>
                <w:sz w:val="15"/>
                <w:szCs w:val="15"/>
                <w:color w:val="auto"/>
              </w:rPr>
              <w:t>the cash flow statement, the annex and the management report, and shall be</w:t>
            </w:r>
          </w:p>
        </w:tc>
        <w:tc>
          <w:tcPr>
            <w:tcW w:w="220" w:type="dxa"/>
            <w:vAlign w:val="bottom"/>
            <w:tcBorders>
              <w:right w:val="single" w:sz="8" w:color="auto"/>
            </w:tcBorders>
          </w:tcPr>
          <w:p>
            <w:pPr>
              <w:spacing w:after="0"/>
              <w:rPr>
                <w:sz w:val="13"/>
                <w:szCs w:val="13"/>
                <w:color w:val="auto"/>
              </w:rPr>
            </w:pPr>
          </w:p>
        </w:tc>
        <w:tc>
          <w:tcPr>
            <w:tcW w:w="5600" w:type="dxa"/>
            <w:vAlign w:val="bottom"/>
            <w:tcBorders>
              <w:right w:val="single" w:sz="8" w:color="auto"/>
            </w:tcBorders>
            <w:gridSpan w:val="2"/>
          </w:tcPr>
          <w:p>
            <w:pPr>
              <w:ind w:left="40"/>
              <w:spacing w:after="0" w:line="157" w:lineRule="exact"/>
              <w:rPr>
                <w:sz w:val="20"/>
                <w:szCs w:val="20"/>
                <w:color w:val="auto"/>
              </w:rPr>
            </w:pPr>
            <w:r>
              <w:rPr>
                <w:rFonts w:ascii="Arial" w:cs="Arial" w:eastAsia="Arial" w:hAnsi="Arial"/>
                <w:sz w:val="15"/>
                <w:szCs w:val="15"/>
                <w:color w:val="auto"/>
              </w:rPr>
              <w:t>tableau des flux de trésorerie, de l'annexe et du rapport de gestion, et sont</w:t>
            </w:r>
          </w:p>
        </w:tc>
      </w:tr>
      <w:tr>
        <w:trPr>
          <w:trHeight w:val="189"/>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 xml:space="preserve">drawn up pursuant to the provisions of the CO, particularly of Articles 958 </w:t>
            </w:r>
            <w:r>
              <w:rPr>
                <w:rFonts w:ascii="Arial" w:cs="Arial" w:eastAsia="Arial" w:hAnsi="Arial"/>
                <w:sz w:val="15"/>
                <w:szCs w:val="15"/>
                <w:i w:val="1"/>
                <w:iCs w:val="1"/>
                <w:color w:val="auto"/>
              </w:rPr>
              <w:t>et seq.</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établis conformément aux dispositions du CO, en particulier des articles 958 ss.</w:t>
            </w: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CO, and the generally accepted commercial principles and customary rules in</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CO,  et  aux  principes  commerciaux  généralement  reconnus  et  aux  règles</w:t>
            </w:r>
          </w:p>
        </w:tc>
      </w:tr>
      <w:tr>
        <w:trPr>
          <w:trHeight w:val="185"/>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that business area.</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coutumières dans ce secteur d'activité.</w:t>
            </w:r>
          </w:p>
        </w:tc>
      </w:tr>
      <w:tr>
        <w:trPr>
          <w:trHeight w:val="196"/>
        </w:trPr>
        <w:tc>
          <w:tcPr>
            <w:tcW w:w="5620" w:type="dxa"/>
            <w:vAlign w:val="bottom"/>
            <w:tcBorders>
              <w:left w:val="single" w:sz="8" w:color="auto"/>
              <w:bottom w:val="single" w:sz="8" w:color="auto"/>
              <w:right w:val="single" w:sz="8" w:color="auto"/>
            </w:tcBorders>
            <w:gridSpan w:val="2"/>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600" w:type="dxa"/>
            <w:vAlign w:val="bottom"/>
            <w:tcBorders>
              <w:bottom w:val="single" w:sz="8" w:color="auto"/>
              <w:right w:val="single" w:sz="8" w:color="auto"/>
            </w:tcBorders>
            <w:gridSpan w:val="2"/>
          </w:tcPr>
          <w:p>
            <w:pPr>
              <w:spacing w:after="0"/>
              <w:rPr>
                <w:sz w:val="17"/>
                <w:szCs w:val="17"/>
                <w:color w:val="auto"/>
              </w:rPr>
            </w:pPr>
          </w:p>
        </w:tc>
      </w:tr>
      <w:tr>
        <w:trPr>
          <w:trHeight w:val="198"/>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If required by law, the consolidated financial statements shall be drawn in</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Si requis par la loi, les états financiers consolidés sont établis en conformité avec</w:t>
            </w:r>
          </w:p>
        </w:tc>
      </w:tr>
      <w:tr>
        <w:trPr>
          <w:trHeight w:val="185"/>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accordance with the provisions of Article 962 CO.</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les dispositions de l'article 962 CO.</w:t>
            </w:r>
          </w:p>
        </w:tc>
      </w:tr>
      <w:tr>
        <w:trPr>
          <w:trHeight w:val="23"/>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gridSpan w:val="2"/>
          </w:tcPr>
          <w:p>
            <w:pPr>
              <w:spacing w:after="0"/>
              <w:rPr>
                <w:sz w:val="2"/>
                <w:szCs w:val="2"/>
                <w:color w:val="auto"/>
              </w:rPr>
            </w:pPr>
          </w:p>
        </w:tc>
      </w:tr>
      <w:tr>
        <w:trPr>
          <w:trHeight w:val="211"/>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Art. 44   Allocation of Profits</w:t>
            </w:r>
          </w:p>
        </w:tc>
        <w:tc>
          <w:tcPr>
            <w:tcW w:w="2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Art. 44   Répartition des bénéfices</w:t>
            </w:r>
          </w:p>
        </w:tc>
      </w:tr>
      <w:tr>
        <w:trPr>
          <w:trHeight w:val="334"/>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Subject to the legal provisions regarding distribution of profits, the profit as</w:t>
            </w:r>
          </w:p>
        </w:tc>
        <w:tc>
          <w:tcPr>
            <w:tcW w:w="22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Sous réserve des dispositions légales en matière de répartition des bénéfices, le</w:t>
            </w: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shown on the balance sheet shall be allocated by the General Meeting at its</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bénéfice comme indiqué sur le bilan doit être alloué à la libre appréciation de</w:t>
            </w: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discretion after receipt of the proposals of the Board of Directors and the</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l'assemblée   générale   après   réception   des   propositions   du   conseil</w:t>
            </w:r>
          </w:p>
        </w:tc>
      </w:tr>
      <w:tr>
        <w:trPr>
          <w:trHeight w:val="185"/>
        </w:trPr>
        <w:tc>
          <w:tcPr>
            <w:tcW w:w="660" w:type="dxa"/>
            <w:vAlign w:val="bottom"/>
            <w:tcBorders>
              <w:left w:val="single" w:sz="8" w:color="auto"/>
            </w:tcBorders>
          </w:tcPr>
          <w:p>
            <w:pPr>
              <w:ind w:left="40"/>
              <w:spacing w:after="0"/>
              <w:rPr>
                <w:sz w:val="20"/>
                <w:szCs w:val="20"/>
                <w:color w:val="auto"/>
              </w:rPr>
            </w:pPr>
            <w:r>
              <w:rPr>
                <w:rFonts w:ascii="Arial" w:cs="Arial" w:eastAsia="Arial" w:hAnsi="Arial"/>
                <w:sz w:val="15"/>
                <w:szCs w:val="15"/>
                <w:color w:val="auto"/>
              </w:rPr>
              <w:t>Auditors.</w:t>
            </w:r>
          </w:p>
        </w:tc>
        <w:tc>
          <w:tcPr>
            <w:tcW w:w="4960" w:type="dxa"/>
            <w:vAlign w:val="bottom"/>
            <w:tcBorders>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d'administration et de l'organe de révision.</w:t>
            </w:r>
          </w:p>
        </w:tc>
      </w:tr>
      <w:tr>
        <w:trPr>
          <w:trHeight w:val="196"/>
        </w:trPr>
        <w:tc>
          <w:tcPr>
            <w:tcW w:w="5620" w:type="dxa"/>
            <w:vAlign w:val="bottom"/>
            <w:tcBorders>
              <w:left w:val="single" w:sz="8" w:color="auto"/>
              <w:bottom w:val="single" w:sz="8" w:color="auto"/>
              <w:right w:val="single" w:sz="8" w:color="auto"/>
            </w:tcBorders>
            <w:gridSpan w:val="2"/>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600" w:type="dxa"/>
            <w:vAlign w:val="bottom"/>
            <w:tcBorders>
              <w:bottom w:val="single" w:sz="8" w:color="auto"/>
              <w:right w:val="single" w:sz="8" w:color="auto"/>
            </w:tcBorders>
            <w:gridSpan w:val="2"/>
          </w:tcPr>
          <w:p>
            <w:pPr>
              <w:spacing w:after="0"/>
              <w:rPr>
                <w:sz w:val="17"/>
                <w:szCs w:val="17"/>
                <w:color w:val="auto"/>
              </w:rPr>
            </w:pPr>
          </w:p>
        </w:tc>
      </w:tr>
      <w:tr>
        <w:trPr>
          <w:trHeight w:val="198"/>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In addition to the legal reserves, the General Meeting may create supplemental</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En plus des réserves légales, l'assemblée générale peut créer des réserves</w:t>
            </w:r>
          </w:p>
        </w:tc>
      </w:tr>
      <w:tr>
        <w:trPr>
          <w:trHeight w:val="185"/>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reserves.</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supplémentaires.</w:t>
            </w:r>
          </w:p>
        </w:tc>
      </w:tr>
      <w:tr>
        <w:trPr>
          <w:trHeight w:val="23"/>
        </w:trPr>
        <w:tc>
          <w:tcPr>
            <w:tcW w:w="660" w:type="dxa"/>
            <w:vAlign w:val="bottom"/>
            <w:tcBorders>
              <w:left w:val="single" w:sz="8" w:color="auto"/>
              <w:bottom w:val="single" w:sz="8" w:color="auto"/>
            </w:tcBorders>
          </w:tcPr>
          <w:p>
            <w:pPr>
              <w:spacing w:after="0"/>
              <w:rPr>
                <w:sz w:val="2"/>
                <w:szCs w:val="2"/>
                <w:color w:val="auto"/>
              </w:rPr>
            </w:pPr>
          </w:p>
        </w:tc>
        <w:tc>
          <w:tcPr>
            <w:tcW w:w="496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020" w:type="dxa"/>
            <w:vAlign w:val="bottom"/>
            <w:tcBorders>
              <w:bottom w:val="single" w:sz="8" w:color="auto"/>
              <w:right w:val="single" w:sz="8" w:color="auto"/>
            </w:tcBorders>
          </w:tcPr>
          <w:p>
            <w:pPr>
              <w:spacing w:after="0"/>
              <w:rPr>
                <w:sz w:val="2"/>
                <w:szCs w:val="2"/>
                <w:color w:val="auto"/>
              </w:rPr>
            </w:pPr>
          </w:p>
        </w:tc>
      </w:tr>
      <w:tr>
        <w:trPr>
          <w:trHeight w:val="499"/>
        </w:trPr>
        <w:tc>
          <w:tcPr>
            <w:tcW w:w="6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231" w:right="219" w:bottom="1440" w:gutter="0" w:footer="0" w:header="0"/>
        </w:sectPr>
      </w:pPr>
    </w:p>
    <w:bookmarkStart w:id="65" w:name="page66"/>
    <w:bookmarkEnd w:id="6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42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180" w:type="dxa"/>
            <w:vAlign w:val="bottom"/>
          </w:tcPr>
          <w:p>
            <w:pPr>
              <w:jc w:val="right"/>
              <w:spacing w:after="0"/>
              <w:rPr>
                <w:sz w:val="20"/>
                <w:szCs w:val="20"/>
                <w:color w:val="auto"/>
              </w:rPr>
            </w:pPr>
            <w:r>
              <w:rPr>
                <w:rFonts w:ascii="Arial" w:cs="Arial" w:eastAsia="Arial" w:hAnsi="Arial"/>
                <w:sz w:val="15"/>
                <w:szCs w:val="15"/>
                <w:color w:val="auto"/>
              </w:rPr>
              <w:t>35</w:t>
            </w:r>
          </w:p>
        </w:tc>
      </w:tr>
      <w:tr>
        <w:trPr>
          <w:trHeight w:val="289"/>
        </w:trPr>
        <w:tc>
          <w:tcPr>
            <w:tcW w:w="5620" w:type="dxa"/>
            <w:vAlign w:val="bottom"/>
            <w:tcBorders>
              <w:bottom w:val="single" w:sz="8" w:color="auto"/>
            </w:tcBorders>
            <w:gridSpan w:val="2"/>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gridSpan w:val="2"/>
          </w:tcPr>
          <w:p>
            <w:pPr>
              <w:spacing w:after="0"/>
              <w:rPr>
                <w:sz w:val="24"/>
                <w:szCs w:val="24"/>
                <w:color w:val="auto"/>
              </w:rPr>
            </w:pPr>
          </w:p>
        </w:tc>
      </w:tr>
      <w:tr>
        <w:trPr>
          <w:trHeight w:val="198"/>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Dividends not claimed within five years after the due date shall remain with the</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Les dividendes non réclamés dans les cinq ans après la date d'échéance restent</w:t>
            </w:r>
          </w:p>
        </w:tc>
      </w:tr>
      <w:tr>
        <w:trPr>
          <w:trHeight w:val="185"/>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Company and be allocated to the general reserves.</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avec la société et sont attribués aux réserves générales.</w:t>
            </w:r>
          </w:p>
        </w:tc>
      </w:tr>
      <w:tr>
        <w:trPr>
          <w:trHeight w:val="23"/>
        </w:trPr>
        <w:tc>
          <w:tcPr>
            <w:tcW w:w="420" w:type="dxa"/>
            <w:vAlign w:val="bottom"/>
            <w:tcBorders>
              <w:left w:val="single" w:sz="8" w:color="auto"/>
              <w:bottom w:val="single" w:sz="8" w:color="auto"/>
            </w:tcBorders>
          </w:tcPr>
          <w:p>
            <w:pPr>
              <w:spacing w:after="0"/>
              <w:rPr>
                <w:sz w:val="2"/>
                <w:szCs w:val="2"/>
                <w:color w:val="auto"/>
              </w:rPr>
            </w:pPr>
          </w:p>
        </w:tc>
        <w:tc>
          <w:tcPr>
            <w:tcW w:w="520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180" w:type="dxa"/>
            <w:vAlign w:val="bottom"/>
            <w:tcBorders>
              <w:bottom w:val="single" w:sz="8" w:color="auto"/>
              <w:right w:val="single" w:sz="8" w:color="auto"/>
            </w:tcBorders>
          </w:tcPr>
          <w:p>
            <w:pPr>
              <w:spacing w:after="0"/>
              <w:rPr>
                <w:sz w:val="2"/>
                <w:szCs w:val="2"/>
                <w:color w:val="auto"/>
              </w:rPr>
            </w:pPr>
          </w:p>
        </w:tc>
      </w:tr>
      <w:tr>
        <w:trPr>
          <w:trHeight w:val="211"/>
        </w:trPr>
        <w:tc>
          <w:tcPr>
            <w:tcW w:w="420" w:type="dxa"/>
            <w:vAlign w:val="bottom"/>
            <w:tcBorders>
              <w:left w:val="single" w:sz="8" w:color="auto"/>
            </w:tcBorders>
          </w:tcPr>
          <w:p>
            <w:pPr>
              <w:spacing w:after="0"/>
              <w:rPr>
                <w:sz w:val="20"/>
                <w:szCs w:val="20"/>
                <w:color w:val="auto"/>
              </w:rPr>
            </w:pPr>
            <w:r>
              <w:rPr>
                <w:rFonts w:ascii="Arial" w:cs="Arial" w:eastAsia="Arial" w:hAnsi="Arial"/>
                <w:sz w:val="15"/>
                <w:szCs w:val="15"/>
                <w:b w:val="1"/>
                <w:bCs w:val="1"/>
                <w:color w:val="auto"/>
              </w:rPr>
              <w:t>IX.</w:t>
            </w:r>
          </w:p>
        </w:tc>
        <w:tc>
          <w:tcPr>
            <w:tcW w:w="5200" w:type="dxa"/>
            <w:vAlign w:val="bottom"/>
            <w:tcBorders>
              <w:right w:val="single" w:sz="8" w:color="auto"/>
            </w:tcBorders>
          </w:tcPr>
          <w:p>
            <w:pPr>
              <w:ind w:left="240"/>
              <w:spacing w:after="0"/>
              <w:rPr>
                <w:sz w:val="20"/>
                <w:szCs w:val="20"/>
                <w:color w:val="auto"/>
              </w:rPr>
            </w:pPr>
            <w:r>
              <w:rPr>
                <w:rFonts w:ascii="Arial" w:cs="Arial" w:eastAsia="Arial" w:hAnsi="Arial"/>
                <w:sz w:val="15"/>
                <w:szCs w:val="15"/>
                <w:b w:val="1"/>
                <w:bCs w:val="1"/>
                <w:color w:val="auto"/>
              </w:rPr>
              <w:t>DISSOLUTION AND LIQUIDATION</w:t>
            </w:r>
          </w:p>
        </w:tc>
        <w:tc>
          <w:tcPr>
            <w:tcW w:w="220" w:type="dxa"/>
            <w:vAlign w:val="bottom"/>
            <w:tcBorders>
              <w:right w:val="single" w:sz="8" w:color="auto"/>
            </w:tcBorders>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5"/>
                <w:szCs w:val="15"/>
                <w:b w:val="1"/>
                <w:bCs w:val="1"/>
                <w:color w:val="auto"/>
              </w:rPr>
              <w:t>IX.</w:t>
            </w:r>
          </w:p>
        </w:tc>
        <w:tc>
          <w:tcPr>
            <w:tcW w:w="5180" w:type="dxa"/>
            <w:vAlign w:val="bottom"/>
            <w:tcBorders>
              <w:right w:val="single" w:sz="8" w:color="auto"/>
            </w:tcBorders>
          </w:tcPr>
          <w:p>
            <w:pPr>
              <w:jc w:val="right"/>
              <w:ind w:right="2503"/>
              <w:spacing w:after="0"/>
              <w:rPr>
                <w:sz w:val="20"/>
                <w:szCs w:val="20"/>
                <w:color w:val="auto"/>
              </w:rPr>
            </w:pPr>
            <w:r>
              <w:rPr>
                <w:rFonts w:ascii="Arial" w:cs="Arial" w:eastAsia="Arial" w:hAnsi="Arial"/>
                <w:sz w:val="15"/>
                <w:szCs w:val="15"/>
                <w:b w:val="1"/>
                <w:bCs w:val="1"/>
                <w:color w:val="auto"/>
              </w:rPr>
              <w:t>DISSOLUTION ET LIQUIDATION</w:t>
            </w:r>
          </w:p>
        </w:tc>
      </w:tr>
      <w:tr>
        <w:trPr>
          <w:trHeight w:val="23"/>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gridSpan w:val="2"/>
          </w:tcPr>
          <w:p>
            <w:pPr>
              <w:spacing w:after="0"/>
              <w:rPr>
                <w:sz w:val="2"/>
                <w:szCs w:val="2"/>
                <w:color w:val="auto"/>
              </w:rPr>
            </w:pPr>
          </w:p>
        </w:tc>
      </w:tr>
      <w:tr>
        <w:trPr>
          <w:trHeight w:val="211"/>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Art. 45  Dissolution and Liquidation</w:t>
            </w:r>
          </w:p>
        </w:tc>
        <w:tc>
          <w:tcPr>
            <w:tcW w:w="2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Art. 45   Dissolution et Liquidation</w:t>
            </w:r>
          </w:p>
        </w:tc>
      </w:tr>
      <w:tr>
        <w:trPr>
          <w:trHeight w:val="334"/>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The dissolution and liquidation of the Company shall take place in accordance</w:t>
            </w:r>
          </w:p>
        </w:tc>
        <w:tc>
          <w:tcPr>
            <w:tcW w:w="22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La dissolution et la liquidation de la société ont lieu en conformité avec les</w:t>
            </w:r>
          </w:p>
        </w:tc>
      </w:tr>
      <w:tr>
        <w:trPr>
          <w:trHeight w:val="185"/>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with the provisions of the CO.</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dispositions du CO.</w:t>
            </w:r>
          </w:p>
        </w:tc>
      </w:tr>
      <w:tr>
        <w:trPr>
          <w:trHeight w:val="196"/>
        </w:trPr>
        <w:tc>
          <w:tcPr>
            <w:tcW w:w="420" w:type="dxa"/>
            <w:vAlign w:val="bottom"/>
            <w:tcBorders>
              <w:left w:val="single" w:sz="8" w:color="auto"/>
              <w:bottom w:val="single" w:sz="8" w:color="auto"/>
            </w:tcBorders>
          </w:tcPr>
          <w:p>
            <w:pPr>
              <w:spacing w:after="0"/>
              <w:rPr>
                <w:sz w:val="17"/>
                <w:szCs w:val="17"/>
                <w:color w:val="auto"/>
              </w:rPr>
            </w:pPr>
          </w:p>
        </w:tc>
        <w:tc>
          <w:tcPr>
            <w:tcW w:w="520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5180" w:type="dxa"/>
            <w:vAlign w:val="bottom"/>
            <w:tcBorders>
              <w:bottom w:val="single" w:sz="8" w:color="auto"/>
              <w:right w:val="single" w:sz="8" w:color="auto"/>
            </w:tcBorders>
          </w:tcPr>
          <w:p>
            <w:pPr>
              <w:spacing w:after="0"/>
              <w:rPr>
                <w:sz w:val="17"/>
                <w:szCs w:val="17"/>
                <w:color w:val="auto"/>
              </w:rPr>
            </w:pPr>
          </w:p>
        </w:tc>
      </w:tr>
      <w:tr>
        <w:trPr>
          <w:trHeight w:val="211"/>
        </w:trPr>
        <w:tc>
          <w:tcPr>
            <w:tcW w:w="420" w:type="dxa"/>
            <w:vAlign w:val="bottom"/>
            <w:tcBorders>
              <w:left w:val="single" w:sz="8" w:color="auto"/>
            </w:tcBorders>
          </w:tcPr>
          <w:p>
            <w:pPr>
              <w:spacing w:after="0"/>
              <w:rPr>
                <w:sz w:val="20"/>
                <w:szCs w:val="20"/>
                <w:color w:val="auto"/>
              </w:rPr>
            </w:pPr>
            <w:r>
              <w:rPr>
                <w:rFonts w:ascii="Arial" w:cs="Arial" w:eastAsia="Arial" w:hAnsi="Arial"/>
                <w:sz w:val="15"/>
                <w:szCs w:val="15"/>
                <w:b w:val="1"/>
                <w:bCs w:val="1"/>
                <w:color w:val="auto"/>
              </w:rPr>
              <w:t>X.</w:t>
            </w:r>
          </w:p>
        </w:tc>
        <w:tc>
          <w:tcPr>
            <w:tcW w:w="5200" w:type="dxa"/>
            <w:vAlign w:val="bottom"/>
            <w:tcBorders>
              <w:right w:val="single" w:sz="8" w:color="auto"/>
            </w:tcBorders>
          </w:tcPr>
          <w:p>
            <w:pPr>
              <w:ind w:left="240"/>
              <w:spacing w:after="0"/>
              <w:rPr>
                <w:sz w:val="20"/>
                <w:szCs w:val="20"/>
                <w:color w:val="auto"/>
              </w:rPr>
            </w:pPr>
            <w:r>
              <w:rPr>
                <w:rFonts w:ascii="Arial" w:cs="Arial" w:eastAsia="Arial" w:hAnsi="Arial"/>
                <w:sz w:val="15"/>
                <w:szCs w:val="15"/>
                <w:b w:val="1"/>
                <w:bCs w:val="1"/>
                <w:color w:val="auto"/>
              </w:rPr>
              <w:t>NOTICES AND PUBLICATIONS</w:t>
            </w:r>
          </w:p>
        </w:tc>
        <w:tc>
          <w:tcPr>
            <w:tcW w:w="220" w:type="dxa"/>
            <w:vAlign w:val="bottom"/>
            <w:tcBorders>
              <w:right w:val="single" w:sz="8" w:color="auto"/>
            </w:tcBorders>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5"/>
                <w:szCs w:val="15"/>
                <w:b w:val="1"/>
                <w:bCs w:val="1"/>
                <w:color w:val="auto"/>
              </w:rPr>
              <w:t>X.</w:t>
            </w:r>
          </w:p>
        </w:tc>
        <w:tc>
          <w:tcPr>
            <w:tcW w:w="5180" w:type="dxa"/>
            <w:vAlign w:val="bottom"/>
            <w:tcBorders>
              <w:right w:val="single" w:sz="8" w:color="auto"/>
            </w:tcBorders>
          </w:tcPr>
          <w:p>
            <w:pPr>
              <w:jc w:val="right"/>
              <w:ind w:right="3103"/>
              <w:spacing w:after="0"/>
              <w:rPr>
                <w:sz w:val="20"/>
                <w:szCs w:val="20"/>
                <w:color w:val="auto"/>
              </w:rPr>
            </w:pPr>
            <w:r>
              <w:rPr>
                <w:rFonts w:ascii="Arial" w:cs="Arial" w:eastAsia="Arial" w:hAnsi="Arial"/>
                <w:sz w:val="15"/>
                <w:szCs w:val="15"/>
                <w:b w:val="1"/>
                <w:bCs w:val="1"/>
                <w:color w:val="auto"/>
              </w:rPr>
              <w:t>AVIS ET PUBLICATIONS</w:t>
            </w:r>
          </w:p>
        </w:tc>
      </w:tr>
      <w:tr>
        <w:trPr>
          <w:trHeight w:val="23"/>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gridSpan w:val="2"/>
          </w:tcPr>
          <w:p>
            <w:pPr>
              <w:spacing w:after="0"/>
              <w:rPr>
                <w:sz w:val="2"/>
                <w:szCs w:val="2"/>
                <w:color w:val="auto"/>
              </w:rPr>
            </w:pPr>
          </w:p>
        </w:tc>
      </w:tr>
      <w:tr>
        <w:trPr>
          <w:trHeight w:val="211"/>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Art. 46  Notices and Publications</w:t>
            </w:r>
          </w:p>
        </w:tc>
        <w:tc>
          <w:tcPr>
            <w:tcW w:w="2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Art. 46   Avis et Publications</w:t>
            </w:r>
          </w:p>
        </w:tc>
      </w:tr>
      <w:tr>
        <w:trPr>
          <w:trHeight w:val="346"/>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The Swiss Official Gazette of Commerce is the official publication medium.</w:t>
            </w:r>
          </w:p>
        </w:tc>
        <w:tc>
          <w:tcPr>
            <w:tcW w:w="22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L'organe de publication légal est la Feuille officielle suisse du commerce.</w:t>
            </w:r>
          </w:p>
        </w:tc>
      </w:tr>
      <w:tr>
        <w:trPr>
          <w:trHeight w:val="196"/>
        </w:trPr>
        <w:tc>
          <w:tcPr>
            <w:tcW w:w="5620" w:type="dxa"/>
            <w:vAlign w:val="bottom"/>
            <w:tcBorders>
              <w:left w:val="single" w:sz="8" w:color="auto"/>
              <w:bottom w:val="single" w:sz="8" w:color="auto"/>
              <w:right w:val="single" w:sz="8" w:color="auto"/>
            </w:tcBorders>
            <w:gridSpan w:val="2"/>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600" w:type="dxa"/>
            <w:vAlign w:val="bottom"/>
            <w:tcBorders>
              <w:bottom w:val="single" w:sz="8" w:color="auto"/>
              <w:right w:val="single" w:sz="8" w:color="auto"/>
            </w:tcBorders>
            <w:gridSpan w:val="2"/>
          </w:tcPr>
          <w:p>
            <w:pPr>
              <w:spacing w:after="0"/>
              <w:rPr>
                <w:sz w:val="17"/>
                <w:szCs w:val="17"/>
                <w:color w:val="auto"/>
              </w:rPr>
            </w:pPr>
          </w:p>
        </w:tc>
      </w:tr>
      <w:tr>
        <w:trPr>
          <w:trHeight w:val="198"/>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Shareholder communications and notices to the shareholders shall be made by</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Les communications et avis aux actionnaires sont effectués par publication dans</w:t>
            </w: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publication in the Swiss Official Gazette of Commerce or sent by mail or e-mail to</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la Feuille officielle suisse du commerce ou envoyés par courrier ou e-mail aux</w:t>
            </w:r>
          </w:p>
        </w:tc>
      </w:tr>
      <w:tr>
        <w:trPr>
          <w:trHeight w:val="185"/>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the addresses registered in the share register.</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adresses enregistrées dans le registre des actions.</w:t>
            </w:r>
          </w:p>
        </w:tc>
      </w:tr>
      <w:tr>
        <w:trPr>
          <w:trHeight w:val="23"/>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gridSpan w:val="2"/>
          </w:tcPr>
          <w:p>
            <w:pPr>
              <w:spacing w:after="0"/>
              <w:rPr>
                <w:sz w:val="2"/>
                <w:szCs w:val="2"/>
                <w:color w:val="auto"/>
              </w:rPr>
            </w:pPr>
          </w:p>
        </w:tc>
      </w:tr>
      <w:tr>
        <w:trPr>
          <w:trHeight w:val="198"/>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Unless the law provides otherwise, notices shall be given to creditors by</w:t>
            </w:r>
          </w:p>
        </w:tc>
        <w:tc>
          <w:tcPr>
            <w:tcW w:w="2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Sauf si la loi en dispose autrement, les avis seront envoyés aux créanciers par</w:t>
            </w:r>
          </w:p>
        </w:tc>
      </w:tr>
      <w:tr>
        <w:trPr>
          <w:trHeight w:val="173"/>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publication in the Swiss Official Gazette of Commerce. The Board of Directors</w:t>
            </w:r>
          </w:p>
        </w:tc>
        <w:tc>
          <w:tcPr>
            <w:tcW w:w="2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publication  dans  la  Feuille  officielle  suisse  du  commerce.  Le  conseil</w:t>
            </w:r>
          </w:p>
        </w:tc>
      </w:tr>
      <w:tr>
        <w:trPr>
          <w:trHeight w:val="185"/>
        </w:trPr>
        <w:tc>
          <w:tcPr>
            <w:tcW w:w="5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may assign further means of communication.</w:t>
            </w:r>
          </w:p>
        </w:tc>
        <w:tc>
          <w:tcPr>
            <w:tcW w:w="2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d'administration peut prévoir d'autres moyens de communication.</w:t>
            </w:r>
          </w:p>
        </w:tc>
      </w:tr>
      <w:tr>
        <w:trPr>
          <w:trHeight w:val="23"/>
        </w:trPr>
        <w:tc>
          <w:tcPr>
            <w:tcW w:w="420" w:type="dxa"/>
            <w:vAlign w:val="bottom"/>
            <w:tcBorders>
              <w:left w:val="single" w:sz="8" w:color="auto"/>
              <w:bottom w:val="single" w:sz="8" w:color="auto"/>
            </w:tcBorders>
          </w:tcPr>
          <w:p>
            <w:pPr>
              <w:spacing w:after="0"/>
              <w:rPr>
                <w:sz w:val="2"/>
                <w:szCs w:val="2"/>
                <w:color w:val="auto"/>
              </w:rPr>
            </w:pPr>
          </w:p>
        </w:tc>
        <w:tc>
          <w:tcPr>
            <w:tcW w:w="520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180" w:type="dxa"/>
            <w:vAlign w:val="bottom"/>
            <w:tcBorders>
              <w:bottom w:val="single" w:sz="8" w:color="auto"/>
              <w:right w:val="single" w:sz="8" w:color="auto"/>
            </w:tcBorders>
          </w:tcPr>
          <w:p>
            <w:pPr>
              <w:spacing w:after="0"/>
              <w:rPr>
                <w:sz w:val="2"/>
                <w:szCs w:val="2"/>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Bâle, le 26 mars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433070</wp:posOffset>
            </wp:positionV>
            <wp:extent cx="726630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sectPr>
      <w:pgSz w:w="11900" w:h="16838" w:orient="portrait"/>
      <w:cols w:equalWidth="0" w:num="1">
        <w:col w:w="11440"/>
      </w:cols>
      <w:pgMar w:left="240" w:top="23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upperLetter"/>
      <w:start w:val="1"/>
    </w:lvl>
  </w:abstractNum>
  <w:abstractNum w:abstractNumId="1">
    <w:nsid w:val="1F16E9E8"/>
    <w:multiLevelType w:val="hybridMultilevel"/>
    <w:lvl w:ilvl="0">
      <w:lvlJc w:val="left"/>
      <w:lvlText w:val="%1."/>
      <w:numFmt w:val="upperLetter"/>
      <w:start w:val="1"/>
    </w:lvl>
    <w:lvl w:ilvl="1">
      <w:lvlJc w:val="left"/>
      <w:lvlText w:val="%2."/>
      <w:numFmt w:val="lowerLetter"/>
      <w:start w:val="1"/>
    </w:lvl>
  </w:abstractNum>
  <w:abstractNum w:abstractNumId="2">
    <w:nsid w:val="1190CDE7"/>
    <w:multiLevelType w:val="hybridMultilevel"/>
    <w:lvl w:ilvl="0">
      <w:lvlJc w:val="left"/>
      <w:lvlText w:val="%1"/>
      <w:numFmt w:val="upperLetter"/>
      <w:start w:val="1"/>
    </w:lvl>
    <w:lvl w:ilvl="1">
      <w:lvlJc w:val="left"/>
      <w:lvlText w:val="%2."/>
      <w:numFmt w:val="lowerLetter"/>
      <w:start w:val="3"/>
    </w:lvl>
  </w:abstractNum>
  <w:abstractNum w:abstractNumId="3">
    <w:nsid w:val="66EF438D"/>
    <w:multiLevelType w:val="hybridMultilevel"/>
    <w:lvl w:ilvl="0">
      <w:lvlJc w:val="left"/>
      <w:lvlText w:val="%1"/>
      <w:numFmt w:val="upperLetter"/>
      <w:start w:val="1"/>
    </w:lvl>
    <w:lvl w:ilvl="1">
      <w:lvlJc w:val="left"/>
      <w:lvlText w:val="%2."/>
      <w:numFmt w:val="lowerLetter"/>
      <w:start w:val="1"/>
    </w:lvl>
  </w:abstractNum>
  <w:abstractNum w:abstractNumId="4">
    <w:nsid w:val="140E0F76"/>
    <w:multiLevelType w:val="hybridMultilevel"/>
    <w:lvl w:ilvl="0">
      <w:lvlJc w:val="left"/>
      <w:lvlText w:val="%1)"/>
      <w:numFmt w:val="lowerLetter"/>
      <w:start w:val="1"/>
    </w:lvl>
  </w:abstractNum>
  <w:abstractNum w:abstractNumId="5">
    <w:nsid w:val="3352255A"/>
    <w:multiLevelType w:val="hybridMultilevel"/>
    <w:lvl w:ilvl="0">
      <w:lvlJc w:val="left"/>
      <w:lvlText w:val="%1)"/>
      <w:numFmt w:val="lowerLetter"/>
      <w:start w:val="1"/>
    </w:lvl>
  </w:abstractNum>
  <w:abstractNum w:abstractNumId="6">
    <w:nsid w:val="109CF92E"/>
    <w:multiLevelType w:val="hybridMultilevel"/>
    <w:lvl w:ilvl="0">
      <w:lvlJc w:val="left"/>
      <w:lvlText w:val="%1"/>
      <w:numFmt w:val="lowerLetter"/>
      <w:start w:val="1"/>
    </w:lvl>
    <w:lvl w:ilvl="1">
      <w:lvlJc w:val="left"/>
      <w:lvlText w:val="(%2)"/>
      <w:numFmt w:val="lowerLetter"/>
      <w:start w:val="61"/>
    </w:lvl>
    <w:lvl w:ilvl="2">
      <w:lvlJc w:val="left"/>
      <w:lvlText w:val="%3"/>
      <w:numFmt w:val="decimal"/>
      <w:start w:val="1"/>
    </w:lvl>
  </w:abstractNum>
  <w:abstractNum w:abstractNumId="7">
    <w:nsid w:val="DED7263"/>
    <w:multiLevelType w:val="hybridMultilevel"/>
    <w:lvl w:ilvl="0">
      <w:lvlJc w:val="left"/>
      <w:lvlText w:val="(%1)"/>
      <w:numFmt w:val="lowerLetter"/>
      <w:start w:val="2"/>
    </w:lvl>
    <w:lvl w:ilvl="1">
      <w:lvlJc w:val="left"/>
      <w:lvlText w:val="(%2)"/>
      <w:numFmt w:val="lowerLetter"/>
      <w:start w:val="9"/>
    </w:lvl>
    <w:lvl w:ilvl="2">
      <w:lvlJc w:val="left"/>
      <w:lvlText w:val="(%3)"/>
      <w:numFmt w:val="decimal"/>
      <w:start w:val="1"/>
    </w:lvl>
  </w:abstractNum>
  <w:abstractNum w:abstractNumId="8">
    <w:nsid w:val="7FDCC233"/>
    <w:multiLevelType w:val="hybridMultilevel"/>
    <w:lvl w:ilvl="0">
      <w:lvlJc w:val="left"/>
      <w:lvlText w:val="(%1)"/>
      <w:numFmt w:val="lowerRoman"/>
      <w:start w:val="2"/>
    </w:lvl>
  </w:abstractNum>
  <w:abstractNum w:abstractNumId="9">
    <w:nsid w:val="1BEFD79F"/>
    <w:multiLevelType w:val="hybridMultilevel"/>
    <w:lvl w:ilvl="0">
      <w:lvlJc w:val="left"/>
      <w:lvlText w:val="%1"/>
      <w:numFmt w:val="lowerLetter"/>
      <w:start w:val="1"/>
    </w:lvl>
    <w:lvl w:ilvl="1">
      <w:lvlJc w:val="left"/>
      <w:lvlText w:val="(%2)"/>
      <w:numFmt w:val="lowerLetter"/>
      <w:start w:val="61"/>
    </w:lvl>
    <w:lvl w:ilvl="2">
      <w:lvlJc w:val="left"/>
      <w:lvlText w:val="%3"/>
      <w:numFmt w:val="decimal"/>
      <w:start w:val="1"/>
    </w:lvl>
  </w:abstractNum>
  <w:abstractNum w:abstractNumId="10">
    <w:nsid w:val="41A7C4C9"/>
    <w:multiLevelType w:val="hybridMultilevel"/>
    <w:lvl w:ilvl="0">
      <w:lvlJc w:val="left"/>
      <w:lvlText w:val="(%1)"/>
      <w:numFmt w:val="lowerLetter"/>
      <w:start w:val="2"/>
    </w:lvl>
    <w:lvl w:ilvl="1">
      <w:lvlJc w:val="left"/>
      <w:lvlText w:val="(%2)"/>
      <w:numFmt w:val="lowerLetter"/>
      <w:start w:val="9"/>
    </w:lvl>
    <w:lvl w:ilvl="2">
      <w:lvlJc w:val="left"/>
      <w:lvlText w:val="(%3)"/>
      <w:numFmt w:val="decimal"/>
      <w:start w:val="1"/>
    </w:lvl>
  </w:abstractNum>
  <w:abstractNum w:abstractNumId="11">
    <w:nsid w:val="6B68079A"/>
    <w:multiLevelType w:val="hybridMultilevel"/>
    <w:lvl w:ilvl="0">
      <w:lvlJc w:val="left"/>
      <w:lvlText w:val="(%1)"/>
      <w:numFmt w:val="lowerRoman"/>
      <w:start w:val="2"/>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lowerLetter"/>
      <w:start w:val="5"/>
    </w:lvl>
  </w:abstractNum>
  <w:abstractNum w:abstractNumId="14">
    <w:nsid w:val="519B500D"/>
    <w:multiLevelType w:val="hybridMultilevel"/>
    <w:lvl w:ilvl="0">
      <w:lvlJc w:val="left"/>
      <w:lvlText w:val="%1)"/>
      <w:numFmt w:val="lowerLetter"/>
      <w:start w:val="4"/>
    </w:lvl>
  </w:abstractNum>
  <w:abstractNum w:abstractNumId="15">
    <w:nsid w:val="431BD7B7"/>
    <w:multiLevelType w:val="hybridMultilevel"/>
    <w:lvl w:ilvl="0">
      <w:lvlJc w:val="left"/>
      <w:lvlText w:val="%1)"/>
      <w:numFmt w:val="lowerLetter"/>
      <w:start w:val="5"/>
    </w:lvl>
  </w:abstractNum>
  <w:abstractNum w:abstractNumId="16">
    <w:nsid w:val="3F2DBA31"/>
    <w:multiLevelType w:val="hybridMultilevel"/>
    <w:lvl w:ilvl="0">
      <w:lvlJc w:val="left"/>
      <w:lvlText w:val="%1)"/>
      <w:numFmt w:val="lowerLetter"/>
      <w:start w:val="6"/>
    </w:lvl>
  </w:abstractNum>
  <w:abstractNum w:abstractNumId="17">
    <w:nsid w:val="7C83E458"/>
    <w:multiLevelType w:val="hybridMultilevel"/>
    <w:lvl w:ilvl="0">
      <w:lvlJc w:val="left"/>
      <w:lvlText w:val="%1)"/>
      <w:numFmt w:val="lowerLetter"/>
      <w:start w:val="2"/>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2019-12-08T14:21:33Z</dcterms:created>
  <dcterms:modified xsi:type="dcterms:W3CDTF">2019-12-08T14:21:33Z</dcterms:modified>
</cp:coreProperties>
</file>