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H00263105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540" w:hanging="208"/>
        <w:spacing w:after="0"/>
        <w:tabs>
          <w:tab w:leader="none" w:pos="5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H00263105</w:t>
            </w:r>
          </w:p>
        </w:tc>
        <w:tc>
          <w:tcPr>
            <w:tcW w:w="0" w:type="dxa"/>
            <w:vAlign w:val="bottom"/>
          </w:tcPr>
          <w:p>
            <w:pPr>
              <w:spacing w:after="0"/>
              <w:rPr>
                <w:sz w:val="1"/>
                <w:szCs w:val="1"/>
                <w:color w:val="auto"/>
              </w:rPr>
            </w:pPr>
          </w:p>
        </w:tc>
      </w:tr>
      <w:tr>
        <w:trPr>
          <w:trHeight w:val="432"/>
        </w:trPr>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91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w:t>
            </w:r>
          </w:p>
        </w:tc>
        <w:tc>
          <w:tcPr>
            <w:tcW w:w="220" w:type="dxa"/>
            <w:vAlign w:val="bottom"/>
          </w:tcPr>
          <w:p>
            <w:pPr>
              <w:spacing w:after="0"/>
              <w:rPr>
                <w:sz w:val="16"/>
                <w:szCs w:val="16"/>
                <w:color w:val="auto"/>
              </w:rPr>
            </w:pPr>
          </w:p>
        </w:tc>
        <w:tc>
          <w:tcPr>
            <w:tcW w:w="9800" w:type="dxa"/>
            <w:vAlign w:val="bottom"/>
            <w:tcBorders>
              <w:right w:val="single" w:sz="8" w:color="auto"/>
            </w:tcBorders>
            <w:gridSpan w:val="5"/>
          </w:tcPr>
          <w:p>
            <w:pPr>
              <w:ind w:left="40"/>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1220" w:type="dxa"/>
            <w:vAlign w:val="bottom"/>
            <w:tcBorders>
              <w:left w:val="single" w:sz="8" w:color="auto"/>
              <w:righ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Affiris AG in Liqu</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spacing w:after="0"/>
              <w:rPr>
                <w:sz w:val="18"/>
                <w:szCs w:val="18"/>
                <w:color w:val="auto"/>
              </w:rPr>
            </w:pPr>
          </w:p>
        </w:tc>
        <w:tc>
          <w:tcPr>
            <w:tcW w:w="914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2</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0"/>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(a)</w:t>
            </w:r>
          </w:p>
        </w:tc>
        <w:tc>
          <w:tcPr>
            <w:tcW w:w="540" w:type="dxa"/>
            <w:vAlign w:val="bottom"/>
            <w:gridSpan w:val="2"/>
          </w:tcPr>
          <w:p>
            <w:pPr>
              <w:ind w:left="120"/>
              <w:spacing w:after="0"/>
              <w:rPr>
                <w:sz w:val="20"/>
                <w:szCs w:val="20"/>
                <w:color w:val="auto"/>
              </w:rPr>
            </w:pPr>
            <w:r>
              <w:rPr>
                <w:rFonts w:ascii="Wingdings" w:cs="Wingdings" w:eastAsia="Wingdings" w:hAnsi="Wingdings"/>
                <w:sz w:val="18"/>
                <w:szCs w:val="18"/>
                <w:b w:val="1"/>
                <w:bCs w:val="1"/>
                <w:color w:val="auto"/>
              </w:rPr>
              <w:t>o</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bottom w:val="single" w:sz="8" w:color="auto"/>
              <w:right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5"/>
              </w:rPr>
              <w:t>(b)</w:t>
            </w:r>
          </w:p>
        </w:tc>
        <w:tc>
          <w:tcPr>
            <w:tcW w:w="540" w:type="dxa"/>
            <w:vAlign w:val="bottom"/>
            <w:tcBorders>
              <w:bottom w:val="single" w:sz="8" w:color="auto"/>
            </w:tcBorders>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3</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91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Austria</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140" w:type="dxa"/>
            <w:vAlign w:val="bottom"/>
          </w:tcPr>
          <w:p>
            <w:pPr>
              <w:spacing w:after="0"/>
              <w:rPr>
                <w:sz w:val="19"/>
                <w:szCs w:val="19"/>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82"/>
        </w:trPr>
        <w:tc>
          <w:tcPr>
            <w:tcW w:w="1440" w:type="dxa"/>
            <w:vAlign w:val="bottom"/>
            <w:tcBorders>
              <w:lef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6,428,100</w:t>
            </w:r>
          </w:p>
        </w:tc>
        <w:tc>
          <w:tcPr>
            <w:tcW w:w="0" w:type="dxa"/>
            <w:vAlign w:val="bottom"/>
          </w:tcPr>
          <w:p>
            <w:pPr>
              <w:spacing w:after="0"/>
              <w:rPr>
                <w:sz w:val="1"/>
                <w:szCs w:val="1"/>
                <w:color w:val="auto"/>
              </w:rPr>
            </w:pPr>
          </w:p>
        </w:tc>
      </w:tr>
      <w:tr>
        <w:trPr>
          <w:trHeight w:val="131"/>
        </w:trPr>
        <w:tc>
          <w:tcPr>
            <w:tcW w:w="1440" w:type="dxa"/>
            <w:vAlign w:val="bottom"/>
            <w:tcBorders>
              <w:left w:val="single" w:sz="8" w:color="auto"/>
            </w:tcBorders>
            <w:gridSpan w:val="2"/>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440" w:type="dxa"/>
            <w:vAlign w:val="bottom"/>
            <w:tcBorders>
              <w:lef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140" w:type="dxa"/>
            <w:vAlign w:val="bottom"/>
          </w:tcPr>
          <w:p>
            <w:pPr>
              <w:spacing w:after="0"/>
              <w:rPr>
                <w:sz w:val="16"/>
                <w:szCs w:val="16"/>
                <w:color w:val="auto"/>
              </w:rPr>
            </w:pPr>
          </w:p>
        </w:tc>
        <w:tc>
          <w:tcPr>
            <w:tcW w:w="90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90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144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440" w:type="dxa"/>
            <w:vAlign w:val="bottom"/>
            <w:tcBorders>
              <w:lef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EACH</w:t>
            </w:r>
          </w:p>
        </w:tc>
        <w:tc>
          <w:tcPr>
            <w:tcW w:w="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40" w:type="dxa"/>
            <w:vAlign w:val="bottom"/>
          </w:tcPr>
          <w:p>
            <w:pPr>
              <w:spacing w:after="0"/>
              <w:rPr>
                <w:sz w:val="16"/>
                <w:szCs w:val="16"/>
                <w:color w:val="auto"/>
              </w:rPr>
            </w:pPr>
          </w:p>
        </w:tc>
        <w:tc>
          <w:tcPr>
            <w:tcW w:w="90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90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6,428,100</w:t>
            </w:r>
          </w:p>
        </w:tc>
        <w:tc>
          <w:tcPr>
            <w:tcW w:w="0" w:type="dxa"/>
            <w:vAlign w:val="bottom"/>
          </w:tcPr>
          <w:p>
            <w:pPr>
              <w:spacing w:after="0"/>
              <w:rPr>
                <w:sz w:val="1"/>
                <w:szCs w:val="1"/>
                <w:color w:val="auto"/>
              </w:rPr>
            </w:pPr>
          </w:p>
        </w:tc>
      </w:tr>
      <w:tr>
        <w:trPr>
          <w:trHeight w:val="221"/>
        </w:trPr>
        <w:tc>
          <w:tcPr>
            <w:tcW w:w="144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40" w:type="dxa"/>
            <w:vAlign w:val="bottom"/>
          </w:tcPr>
          <w:p>
            <w:pPr>
              <w:spacing w:after="0"/>
              <w:rPr>
                <w:sz w:val="19"/>
                <w:szCs w:val="19"/>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right w:val="single" w:sz="8" w:color="auto"/>
            </w:tcBorders>
            <w:gridSpan w:val="2"/>
          </w:tcPr>
          <w:p>
            <w:pPr>
              <w:spacing w:after="0"/>
              <w:rPr>
                <w:sz w:val="11"/>
                <w:szCs w:val="11"/>
                <w:color w:val="auto"/>
              </w:rPr>
            </w:pPr>
          </w:p>
        </w:tc>
        <w:tc>
          <w:tcPr>
            <w:tcW w:w="91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6,428,100</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gridSpan w:val="2"/>
            <w:vMerge w:val="restart"/>
          </w:tcPr>
          <w:p>
            <w:pPr>
              <w:ind w:left="40"/>
              <w:spacing w:after="0"/>
              <w:rPr>
                <w:sz w:val="20"/>
                <w:szCs w:val="20"/>
                <w:color w:val="auto"/>
              </w:rPr>
            </w:pPr>
            <w:r>
              <w:rPr>
                <w:rFonts w:ascii="Wingdings" w:cs="Wingdings" w:eastAsia="Wingdings" w:hAnsi="Wingdings"/>
                <w:sz w:val="18"/>
                <w:szCs w:val="18"/>
                <w:b w:val="1"/>
                <w:bCs w:val="1"/>
                <w:color w:val="auto"/>
              </w:rPr>
              <w:t>o</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gridSpan w:val="2"/>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20" w:type="dxa"/>
            <w:vAlign w:val="bottom"/>
          </w:tcPr>
          <w:p>
            <w:pPr>
              <w:spacing w:after="0"/>
              <w:rPr>
                <w:sz w:val="20"/>
                <w:szCs w:val="20"/>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12</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68"/>
        </w:trPr>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Item 1.</w:t>
      </w:r>
    </w:p>
    <w:p>
      <w:pPr>
        <w:spacing w:after="0" w:line="227" w:lineRule="exact"/>
        <w:rPr>
          <w:sz w:val="20"/>
          <w:szCs w:val="20"/>
          <w:color w:val="auto"/>
        </w:rPr>
      </w:pPr>
    </w:p>
    <w:p>
      <w:pPr>
        <w:ind w:left="340" w:right="9380" w:hanging="8"/>
        <w:spacing w:after="0" w:line="530" w:lineRule="auto"/>
        <w:tabs>
          <w:tab w:leader="none" w:pos="58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AC Immune SA</w:t>
      </w: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right="8620" w:hanging="8"/>
        <w:spacing w:after="0" w:line="530" w:lineRule="auto"/>
        <w:tabs>
          <w:tab w:leader="none" w:pos="58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persons filing: Affiris AG in Liqu ("Affiris")</w:t>
      </w:r>
    </w:p>
    <w:p>
      <w:pPr>
        <w:ind w:left="660" w:right="6100" w:hanging="328"/>
        <w:spacing w:after="0" w:line="530" w:lineRule="auto"/>
        <w:tabs>
          <w:tab w:leader="none" w:pos="59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Addresses or principal business offices or, if none, residence: For Affiris, Karl-Farkas-Gasse 22, 1030 Vienna, Austria</w:t>
      </w: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8620" w:hanging="328"/>
        <w:spacing w:after="0" w:line="530" w:lineRule="auto"/>
        <w:tabs>
          <w:tab w:leader="none" w:pos="59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Ordinary shares.</w:t>
      </w: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No.: H00263105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Item 3. </w:t>
      </w:r>
      <w:r>
        <w:rPr>
          <w:rFonts w:ascii="Times New Roman" w:cs="Times New Roman" w:eastAsia="Times New Roman" w:hAnsi="Times New Roman"/>
          <w:sz w:val="18"/>
          <w:szCs w:val="18"/>
          <w:color w:val="auto"/>
        </w:rPr>
        <w:t>If this statement is filed pursuant to §§240.13d–1(b) or 240.13d–2(b) or (c), check whether the person filing is 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jc w:val="center"/>
        <w:ind w:left="660" w:right="8780" w:hanging="652"/>
        <w:spacing w:after="0" w:line="500" w:lineRule="auto"/>
        <w:tabs>
          <w:tab w:leader="none" w:pos="2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6,428,100 shares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line 11 of the cover sheet. The percentage set forth is based on 98,940,288 shares of the issuer that were reported as outstanding as of August 6, 2024 in a prospectus supplement filed by the issuer.</w:t>
      </w: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40" w:right="479" w:bottom="1440" w:gutter="0" w:footer="0" w:header="0"/>
        </w:sectPr>
      </w:pPr>
    </w:p>
    <w:bookmarkStart w:id="3" w:name="page4"/>
    <w:bookmarkEnd w:id="3"/>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660" w:right="7360" w:hanging="4"/>
        <w:spacing w:after="0" w:line="500" w:lineRule="auto"/>
        <w:tabs>
          <w:tab w:leader="none" w:pos="87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line 5 of the cover sheet.</w:t>
      </w:r>
    </w:p>
    <w:p>
      <w:pPr>
        <w:spacing w:after="0" w:line="1" w:lineRule="exact"/>
        <w:rPr>
          <w:rFonts w:ascii="Times New Roman" w:cs="Times New Roman" w:eastAsia="Times New Roman" w:hAnsi="Times New Roman"/>
          <w:sz w:val="18"/>
          <w:szCs w:val="18"/>
          <w:color w:val="auto"/>
        </w:rPr>
      </w:pPr>
    </w:p>
    <w:p>
      <w:pPr>
        <w:ind w:left="660" w:right="7120" w:hanging="4"/>
        <w:spacing w:after="0" w:line="500" w:lineRule="auto"/>
        <w:tabs>
          <w:tab w:leader="none" w:pos="92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line 6 of the cover sheet.</w:t>
      </w:r>
    </w:p>
    <w:p>
      <w:pPr>
        <w:spacing w:after="0" w:line="1" w:lineRule="exact"/>
        <w:rPr>
          <w:rFonts w:ascii="Times New Roman" w:cs="Times New Roman" w:eastAsia="Times New Roman" w:hAnsi="Times New Roman"/>
          <w:sz w:val="18"/>
          <w:szCs w:val="18"/>
          <w:color w:val="auto"/>
        </w:rPr>
      </w:pPr>
    </w:p>
    <w:p>
      <w:pPr>
        <w:ind w:left="660" w:right="6340" w:hanging="4"/>
        <w:spacing w:after="0" w:line="500" w:lineRule="auto"/>
        <w:tabs>
          <w:tab w:leader="none" w:pos="97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line 7 of the cover sheet.</w:t>
      </w:r>
    </w:p>
    <w:p>
      <w:pPr>
        <w:spacing w:after="0" w:line="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line 8 of the cover sheet.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Item 5. </w:t>
      </w:r>
      <w:r>
        <w:rPr>
          <w:rFonts w:ascii="Times New Roman" w:cs="Times New Roman" w:eastAsia="Times New Roman" w:hAnsi="Times New Roman"/>
          <w:sz w:val="18"/>
          <w:szCs w:val="18"/>
          <w:color w:val="auto"/>
        </w:rPr>
        <w:t>Ownership of 5 Percent or Less of a Class.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Item 6. </w:t>
      </w:r>
      <w:r>
        <w:rPr>
          <w:rFonts w:ascii="Times New Roman" w:cs="Times New Roman" w:eastAsia="Times New Roman" w:hAnsi="Times New Roman"/>
          <w:sz w:val="18"/>
          <w:szCs w:val="18"/>
          <w:color w:val="auto"/>
        </w:rPr>
        <w:t>Ownership of More than 5 Percent on Behalf of Another Person.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Item 7. </w:t>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8. Identification and Classification of Members of the Group</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Item 9. </w:t>
      </w:r>
      <w:r>
        <w:rPr>
          <w:rFonts w:ascii="Times New Roman" w:cs="Times New Roman" w:eastAsia="Times New Roman" w:hAnsi="Times New Roman"/>
          <w:sz w:val="18"/>
          <w:szCs w:val="18"/>
          <w:color w:val="auto"/>
        </w:rPr>
        <w:t>Notice of Dissolution of Group.</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10. Certifications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42" w:right="49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2024</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AFFIRIS AG in Liqu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008630" cy="857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8630" cy="8572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Claus Schalper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Claus Schalper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2024-12-13T16:21:27Z</dcterms:created>
  <dcterms:modified xsi:type="dcterms:W3CDTF">2024-12-13T16:21:27Z</dcterms:modified>
</cp:coreProperties>
</file>