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ind w:right="60"/>
        <w:spacing w:after="0"/>
        <w:rPr>
          <w:sz w:val="20"/>
          <w:szCs w:val="20"/>
          <w:color w:val="auto"/>
        </w:rPr>
      </w:pPr>
      <w:r>
        <w:rPr>
          <w:rFonts w:ascii="Arial" w:cs="Arial" w:eastAsia="Arial" w:hAnsi="Arial"/>
          <w:sz w:val="25"/>
          <w:szCs w:val="25"/>
          <w:color w:val="auto"/>
        </w:rPr>
        <w:t>SECURITIES AND EXCHANGE COMMISSION</w:t>
      </w:r>
    </w:p>
    <w:p>
      <w:pPr>
        <w:jc w:val="center"/>
        <w:spacing w:after="0"/>
        <w:rPr>
          <w:sz w:val="20"/>
          <w:szCs w:val="20"/>
          <w:color w:val="auto"/>
        </w:rPr>
      </w:pPr>
      <w:r>
        <w:rPr>
          <w:rFonts w:ascii="Arial" w:cs="Arial" w:eastAsia="Arial" w:hAnsi="Arial"/>
          <w:sz w:val="23"/>
          <w:szCs w:val="23"/>
          <w:color w:val="auto"/>
        </w:rPr>
        <w:t>Washington, D.C. 20549</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307"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April, 2022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 IMMUNE SA</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3160"/>
        <w:spacing w:after="0" w:line="207" w:lineRule="exact"/>
        <w:tabs>
          <w:tab w:leader="none" w:pos="6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2" w:lineRule="exact"/>
        <w:rPr>
          <w:sz w:val="24"/>
          <w:szCs w:val="24"/>
          <w:color w:val="auto"/>
        </w:rPr>
      </w:pPr>
    </w:p>
    <w:p>
      <w:pPr>
        <w:ind w:left="3420"/>
        <w:spacing w:after="0" w:line="207" w:lineRule="exact"/>
        <w:tabs>
          <w:tab w:leader="none" w:pos="7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2" w:lineRule="exact"/>
        <w:rPr>
          <w:sz w:val="24"/>
          <w:szCs w:val="24"/>
          <w:color w:val="auto"/>
        </w:rPr>
      </w:pPr>
    </w:p>
    <w:p>
      <w:pPr>
        <w:ind w:left="3420"/>
        <w:spacing w:after="0" w:line="207" w:lineRule="exact"/>
        <w:tabs>
          <w:tab w:leader="none" w:pos="7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207010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224155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490220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636" w:right="459" w:bottom="1440" w:gutter="0" w:footer="0" w:header="0"/>
        </w:sectPr>
      </w:pPr>
    </w:p>
    <w:bookmarkStart w:id="1" w:name="page2"/>
    <w:bookmarkEnd w:id="1"/>
    <w:p>
      <w:pPr>
        <w:ind w:firstLine="324"/>
        <w:spacing w:after="0" w:line="277" w:lineRule="auto"/>
        <w:rPr>
          <w:sz w:val="20"/>
          <w:szCs w:val="20"/>
          <w:color w:val="auto"/>
        </w:rPr>
      </w:pPr>
      <w:r>
        <w:rPr>
          <w:rFonts w:ascii="Arial" w:cs="Arial" w:eastAsia="Arial" w:hAnsi="Arial"/>
          <w:sz w:val="18"/>
          <w:szCs w:val="18"/>
          <w:color w:val="auto"/>
        </w:rPr>
        <w:t>This Report on Form 6-K (excluding Exhibit 99.3 herewith) is incorporated by reference into the Registrant's registration statements on Form F-3 (File Nos. 333-227016, 333-249655 and 333-255576) and Form S-8 (File No. 333-233019).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326"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Pr>
          <w:p>
            <w:pPr>
              <w:spacing w:after="0"/>
              <w:rPr>
                <w:sz w:val="20"/>
                <w:szCs w:val="20"/>
                <w:color w:val="auto"/>
              </w:rPr>
            </w:pPr>
            <w:r>
              <w:rPr>
                <w:rFonts w:ascii="Arial" w:cs="Arial" w:eastAsia="Arial" w:hAnsi="Arial"/>
                <w:sz w:val="18"/>
                <w:szCs w:val="18"/>
                <w:color w:val="auto"/>
              </w:rPr>
              <w:t>/s/ Andrea Pfeifer</w:t>
            </w:r>
          </w:p>
        </w:tc>
      </w:tr>
      <w:tr>
        <w:trPr>
          <w:trHeight w:val="27"/>
        </w:trPr>
        <w:tc>
          <w:tcPr>
            <w:tcW w:w="78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09"/>
        </w:trPr>
        <w:tc>
          <w:tcPr>
            <w:tcW w:w="7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Name: Andrea Pfeifer</w:t>
            </w:r>
          </w:p>
        </w:tc>
      </w:tr>
      <w:tr>
        <w:trPr>
          <w:trHeight w:val="230"/>
        </w:trPr>
        <w:tc>
          <w:tcPr>
            <w:tcW w:w="7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729"/>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78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Name: Joerg Hornstein</w:t>
            </w:r>
          </w:p>
        </w:tc>
      </w:tr>
      <w:tr>
        <w:trPr>
          <w:trHeight w:val="230"/>
        </w:trPr>
        <w:tc>
          <w:tcPr>
            <w:tcW w:w="7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391"/>
        </w:trPr>
        <w:tc>
          <w:tcPr>
            <w:tcW w:w="40" w:type="dxa"/>
            <w:vAlign w:val="bottom"/>
          </w:tcPr>
          <w:p>
            <w:pPr>
              <w:spacing w:after="0"/>
              <w:rPr>
                <w:sz w:val="24"/>
                <w:szCs w:val="24"/>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24"/>
                <w:szCs w:val="24"/>
                <w:color w:val="auto"/>
              </w:rPr>
            </w:pPr>
          </w:p>
        </w:tc>
        <w:tc>
          <w:tcPr>
            <w:tcW w:w="1006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40" w:type="dxa"/>
            <w:vAlign w:val="bottom"/>
          </w:tcPr>
          <w:p>
            <w:pPr>
              <w:spacing w:after="0"/>
              <w:rPr>
                <w:sz w:val="22"/>
                <w:szCs w:val="22"/>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8"/>
              </w:rPr>
              <w:t>Interim Condensed Consolidated Financial Statements (Unaudited) (IFRS) as of and for the three months ended March 31, 2022</w:t>
            </w:r>
          </w:p>
        </w:tc>
        <w:tc>
          <w:tcPr>
            <w:tcW w:w="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99.2</w:t>
            </w:r>
          </w:p>
        </w:tc>
        <w:tc>
          <w:tcPr>
            <w:tcW w:w="40" w:type="dxa"/>
            <w:vAlign w:val="bottom"/>
          </w:tcPr>
          <w:p>
            <w:pPr>
              <w:spacing w:after="0"/>
              <w:rPr>
                <w:sz w:val="23"/>
                <w:szCs w:val="23"/>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99.3</w:t>
            </w:r>
          </w:p>
        </w:tc>
        <w:tc>
          <w:tcPr>
            <w:tcW w:w="40" w:type="dxa"/>
            <w:vAlign w:val="bottom"/>
          </w:tcPr>
          <w:p>
            <w:pPr>
              <w:spacing w:after="0"/>
              <w:rPr>
                <w:sz w:val="23"/>
                <w:szCs w:val="23"/>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Press Release dated April 28, 2022</w:t>
            </w:r>
          </w:p>
        </w:tc>
        <w:tc>
          <w:tcPr>
            <w:tcW w:w="20" w:type="dxa"/>
            <w:vAlign w:val="bottom"/>
          </w:tcPr>
          <w:p>
            <w:pPr>
              <w:spacing w:after="0"/>
              <w:rPr>
                <w:sz w:val="23"/>
                <w:szCs w:val="23"/>
                <w:color w:val="auto"/>
              </w:rPr>
            </w:pPr>
          </w:p>
        </w:tc>
      </w:tr>
      <w:tr>
        <w:trPr>
          <w:trHeight w:val="1728"/>
        </w:trPr>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2"/>
                <w:szCs w:val="22"/>
                <w:b w:val="1"/>
                <w:bCs w:val="1"/>
                <w:color w:val="auto"/>
              </w:rPr>
              <w:t>Exhibit 99.1</w:t>
            </w:r>
          </w:p>
        </w:tc>
      </w:tr>
      <w:tr>
        <w:trPr>
          <w:trHeight w:val="431"/>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4"/>
        </w:trPr>
        <w:tc>
          <w:tcPr>
            <w:tcW w:w="6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475"/>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of March 31,</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89"/>
              </w:rPr>
              <w:t>As of December 31,</w:t>
            </w:r>
          </w:p>
        </w:tc>
      </w:tr>
      <w:tr>
        <w:trPr>
          <w:trHeight w:val="23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Balance Sheets</w:t>
            </w:r>
          </w:p>
        </w:tc>
        <w:tc>
          <w:tcPr>
            <w:tcW w:w="1700" w:type="dxa"/>
            <w:vAlign w:val="bottom"/>
            <w:gridSpan w:val="2"/>
          </w:tcPr>
          <w:p>
            <w:pPr>
              <w:ind w:left="580"/>
              <w:spacing w:after="0"/>
              <w:rPr>
                <w:sz w:val="20"/>
                <w:szCs w:val="20"/>
                <w:color w:val="auto"/>
              </w:rPr>
            </w:pPr>
            <w:r>
              <w:rPr>
                <w:rFonts w:ascii="Arial" w:cs="Arial" w:eastAsia="Arial" w:hAnsi="Arial"/>
                <w:sz w:val="18"/>
                <w:szCs w:val="18"/>
                <w:b w:val="1"/>
                <w:bCs w:val="1"/>
                <w:color w:val="auto"/>
              </w:rPr>
              <w:t>Notes</w:t>
            </w: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560" w:type="dxa"/>
            <w:vAlign w:val="bottom"/>
          </w:tcPr>
          <w:p>
            <w:pPr>
              <w:jc w:val="right"/>
              <w:ind w:right="509"/>
              <w:spacing w:after="0"/>
              <w:rPr>
                <w:sz w:val="20"/>
                <w:szCs w:val="20"/>
                <w:color w:val="auto"/>
              </w:rPr>
            </w:pPr>
            <w:r>
              <w:rPr>
                <w:rFonts w:ascii="Arial" w:cs="Arial" w:eastAsia="Arial" w:hAnsi="Arial"/>
                <w:sz w:val="18"/>
                <w:szCs w:val="18"/>
                <w:b w:val="1"/>
                <w:bCs w:val="1"/>
                <w:color w:val="auto"/>
              </w:rPr>
              <w:t>2021</w:t>
            </w:r>
          </w:p>
        </w:tc>
      </w:tr>
      <w:tr>
        <w:trPr>
          <w:trHeight w:val="210"/>
        </w:trPr>
        <w:tc>
          <w:tcPr>
            <w:tcW w:w="62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D5EAEA"/>
            </w:tcBorders>
            <w:shd w:val="clear" w:color="auto" w:fill="D5EAEA"/>
          </w:tcPr>
          <w:p>
            <w:pPr>
              <w:spacing w:after="0"/>
              <w:rPr>
                <w:sz w:val="18"/>
                <w:szCs w:val="18"/>
                <w:color w:val="auto"/>
              </w:rPr>
            </w:pPr>
          </w:p>
        </w:tc>
        <w:tc>
          <w:tcPr>
            <w:tcW w:w="15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5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560" w:type="dxa"/>
            <w:vAlign w:val="bottom"/>
            <w:tcBorders>
              <w:top w:val="single" w:sz="8" w:color="auto"/>
            </w:tcBorders>
            <w:shd w:val="clear" w:color="auto" w:fill="D5EAEA"/>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Property, plant and equipment</w:t>
            </w:r>
          </w:p>
        </w:tc>
        <w:tc>
          <w:tcPr>
            <w:tcW w:w="15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4,908</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9"/>
              <w:spacing w:after="0"/>
              <w:rPr>
                <w:sz w:val="20"/>
                <w:szCs w:val="20"/>
                <w:color w:val="auto"/>
              </w:rPr>
            </w:pPr>
            <w:r>
              <w:rPr>
                <w:rFonts w:ascii="Arial" w:cs="Arial" w:eastAsia="Arial" w:hAnsi="Arial"/>
                <w:sz w:val="18"/>
                <w:szCs w:val="18"/>
                <w:color w:val="auto"/>
              </w:rPr>
              <w:t>5,116</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18"/>
                <w:szCs w:val="18"/>
                <w:color w:val="auto"/>
              </w:rPr>
            </w:pPr>
          </w:p>
        </w:tc>
        <w:tc>
          <w:tcPr>
            <w:tcW w:w="1560" w:type="dxa"/>
            <w:vAlign w:val="bottom"/>
          </w:tcPr>
          <w:p>
            <w:pPr>
              <w:jc w:val="right"/>
              <w:ind w:right="9"/>
              <w:spacing w:after="0"/>
              <w:rPr>
                <w:sz w:val="20"/>
                <w:szCs w:val="20"/>
                <w:color w:val="auto"/>
              </w:rPr>
            </w:pPr>
            <w:r>
              <w:rPr>
                <w:rFonts w:ascii="Arial" w:cs="Arial" w:eastAsia="Arial" w:hAnsi="Arial"/>
                <w:sz w:val="18"/>
                <w:szCs w:val="18"/>
                <w:color w:val="auto"/>
              </w:rPr>
              <w:t>2,914</w:t>
            </w:r>
          </w:p>
        </w:tc>
      </w:tr>
      <w:tr>
        <w:trPr>
          <w:trHeight w:val="216"/>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Intangible asset</w:t>
            </w:r>
          </w:p>
        </w:tc>
        <w:tc>
          <w:tcPr>
            <w:tcW w:w="15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50,416</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9"/>
              <w:spacing w:after="0"/>
              <w:rPr>
                <w:sz w:val="20"/>
                <w:szCs w:val="20"/>
                <w:color w:val="auto"/>
              </w:rPr>
            </w:pPr>
            <w:r>
              <w:rPr>
                <w:rFonts w:ascii="Arial" w:cs="Arial" w:eastAsia="Arial" w:hAnsi="Arial"/>
                <w:sz w:val="18"/>
                <w:szCs w:val="18"/>
                <w:color w:val="auto"/>
              </w:rPr>
              <w:t>50,416</w:t>
            </w:r>
          </w:p>
        </w:tc>
      </w:tr>
      <w:tr>
        <w:trPr>
          <w:trHeight w:val="229"/>
        </w:trPr>
        <w:tc>
          <w:tcPr>
            <w:tcW w:w="63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Long-term financial assets</w:t>
            </w:r>
          </w:p>
        </w:tc>
        <w:tc>
          <w:tcPr>
            <w:tcW w:w="158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363</w:t>
            </w:r>
          </w:p>
        </w:tc>
      </w:tr>
      <w:tr>
        <w:trPr>
          <w:trHeight w:val="223"/>
        </w:trPr>
        <w:tc>
          <w:tcPr>
            <w:tcW w:w="632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158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58,461</w:t>
            </w:r>
          </w:p>
        </w:tc>
        <w:tc>
          <w:tcPr>
            <w:tcW w:w="100" w:type="dxa"/>
            <w:vAlign w:val="bottom"/>
            <w:tcBorders>
              <w:bottom w:val="single" w:sz="8" w:color="D5EAEA"/>
            </w:tcBorders>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ind w:right="9"/>
              <w:spacing w:after="0"/>
              <w:rPr>
                <w:sz w:val="20"/>
                <w:szCs w:val="20"/>
                <w:color w:val="auto"/>
              </w:rPr>
            </w:pPr>
            <w:r>
              <w:rPr>
                <w:rFonts w:ascii="Arial" w:cs="Arial" w:eastAsia="Arial" w:hAnsi="Arial"/>
                <w:sz w:val="18"/>
                <w:szCs w:val="18"/>
                <w:color w:val="auto"/>
              </w:rPr>
              <w:t>58,809</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3"/>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Current assets</w:t>
            </w:r>
          </w:p>
        </w:tc>
        <w:tc>
          <w:tcPr>
            <w:tcW w:w="158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56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560" w:type="dxa"/>
            <w:vAlign w:val="bottom"/>
            <w:shd w:val="clear" w:color="auto" w:fill="D5EAEA"/>
          </w:tcPr>
          <w:p>
            <w:pPr>
              <w:spacing w:after="0"/>
              <w:rPr>
                <w:sz w:val="21"/>
                <w:szCs w:val="2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18"/>
                <w:szCs w:val="18"/>
                <w:color w:val="auto"/>
              </w:rPr>
            </w:pPr>
          </w:p>
        </w:tc>
        <w:tc>
          <w:tcPr>
            <w:tcW w:w="1560" w:type="dxa"/>
            <w:vAlign w:val="bottom"/>
          </w:tcPr>
          <w:p>
            <w:pPr>
              <w:jc w:val="right"/>
              <w:ind w:right="9"/>
              <w:spacing w:after="0"/>
              <w:rPr>
                <w:sz w:val="20"/>
                <w:szCs w:val="20"/>
                <w:color w:val="auto"/>
              </w:rPr>
            </w:pPr>
            <w:r>
              <w:rPr>
                <w:rFonts w:ascii="Arial" w:cs="Arial" w:eastAsia="Arial" w:hAnsi="Arial"/>
                <w:sz w:val="18"/>
                <w:szCs w:val="18"/>
                <w:color w:val="auto"/>
              </w:rPr>
              <w:t>3,015</w:t>
            </w:r>
          </w:p>
        </w:tc>
      </w:tr>
      <w:tr>
        <w:trPr>
          <w:trHeight w:val="216"/>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5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9"/>
              <w:spacing w:after="0"/>
              <w:rPr>
                <w:sz w:val="20"/>
                <w:szCs w:val="20"/>
                <w:color w:val="auto"/>
              </w:rPr>
            </w:pPr>
            <w:r>
              <w:rPr>
                <w:rFonts w:ascii="Arial" w:cs="Arial" w:eastAsia="Arial" w:hAnsi="Arial"/>
                <w:sz w:val="18"/>
                <w:szCs w:val="18"/>
                <w:color w:val="auto"/>
              </w:rPr>
              <w:t>975</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Other current receivables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560" w:type="dxa"/>
            <w:vAlign w:val="bottom"/>
          </w:tcPr>
          <w:p>
            <w:pPr>
              <w:jc w:val="right"/>
              <w:ind w:right="9"/>
              <w:spacing w:after="0"/>
              <w:rPr>
                <w:sz w:val="20"/>
                <w:szCs w:val="20"/>
                <w:color w:val="auto"/>
              </w:rPr>
            </w:pPr>
            <w:r>
              <w:rPr>
                <w:rFonts w:ascii="Arial" w:cs="Arial" w:eastAsia="Arial" w:hAnsi="Arial"/>
                <w:sz w:val="18"/>
                <w:szCs w:val="18"/>
                <w:color w:val="auto"/>
              </w:rPr>
              <w:t>428</w:t>
            </w:r>
          </w:p>
        </w:tc>
      </w:tr>
      <w:tr>
        <w:trPr>
          <w:trHeight w:val="216"/>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15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116,000</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9"/>
              <w:spacing w:after="0"/>
              <w:rPr>
                <w:sz w:val="20"/>
                <w:szCs w:val="20"/>
                <w:color w:val="auto"/>
              </w:rPr>
            </w:pPr>
            <w:r>
              <w:rPr>
                <w:rFonts w:ascii="Arial" w:cs="Arial" w:eastAsia="Arial" w:hAnsi="Arial"/>
                <w:sz w:val="18"/>
                <w:szCs w:val="18"/>
                <w:color w:val="auto"/>
              </w:rPr>
              <w:t>116,000</w:t>
            </w:r>
          </w:p>
        </w:tc>
      </w:tr>
      <w:tr>
        <w:trPr>
          <w:trHeight w:val="229"/>
        </w:trPr>
        <w:tc>
          <w:tcPr>
            <w:tcW w:w="63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57,835</w:t>
            </w:r>
          </w:p>
        </w:tc>
        <w:tc>
          <w:tcPr>
            <w:tcW w:w="10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82,216</w:t>
            </w:r>
          </w:p>
        </w:tc>
      </w:tr>
      <w:tr>
        <w:trPr>
          <w:trHeight w:val="210"/>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15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177,058</w:t>
            </w:r>
          </w:p>
        </w:tc>
        <w:tc>
          <w:tcPr>
            <w:tcW w:w="100" w:type="dxa"/>
            <w:vAlign w:val="bottom"/>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9"/>
              <w:spacing w:after="0"/>
              <w:rPr>
                <w:sz w:val="20"/>
                <w:szCs w:val="20"/>
                <w:color w:val="auto"/>
              </w:rPr>
            </w:pPr>
            <w:r>
              <w:rPr>
                <w:rFonts w:ascii="Arial" w:cs="Arial" w:eastAsia="Arial" w:hAnsi="Arial"/>
                <w:sz w:val="18"/>
                <w:szCs w:val="18"/>
                <w:color w:val="auto"/>
              </w:rPr>
              <w:t>202,634</w:t>
            </w:r>
          </w:p>
        </w:tc>
      </w:tr>
      <w:tr>
        <w:trPr>
          <w:trHeight w:val="290"/>
        </w:trPr>
        <w:tc>
          <w:tcPr>
            <w:tcW w:w="63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580" w:type="dxa"/>
            <w:vAlign w:val="bottom"/>
            <w:tcBorders>
              <w:bottom w:val="single" w:sz="8" w:color="D5EAEA"/>
            </w:tcBorders>
          </w:tcPr>
          <w:p>
            <w:pPr>
              <w:spacing w:after="0"/>
              <w:rPr>
                <w:sz w:val="24"/>
                <w:szCs w:val="24"/>
                <w:color w:val="auto"/>
              </w:rPr>
            </w:pPr>
          </w:p>
        </w:tc>
        <w:tc>
          <w:tcPr>
            <w:tcW w:w="120" w:type="dxa"/>
            <w:vAlign w:val="bottom"/>
            <w:tcBorders>
              <w:bottom w:val="single" w:sz="8" w:color="D5EAEA"/>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235,519</w:t>
            </w:r>
          </w:p>
        </w:tc>
        <w:tc>
          <w:tcPr>
            <w:tcW w:w="100" w:type="dxa"/>
            <w:vAlign w:val="bottom"/>
            <w:tcBorders>
              <w:bottom w:val="single" w:sz="8" w:color="D5EAEA"/>
            </w:tcBorders>
          </w:tcPr>
          <w:p>
            <w:pPr>
              <w:spacing w:after="0"/>
              <w:rPr>
                <w:sz w:val="24"/>
                <w:szCs w:val="24"/>
                <w:color w:val="auto"/>
              </w:rPr>
            </w:pP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261,443</w:t>
            </w:r>
          </w:p>
        </w:tc>
      </w:tr>
      <w:tr>
        <w:trPr>
          <w:trHeight w:val="223"/>
        </w:trPr>
        <w:tc>
          <w:tcPr>
            <w:tcW w:w="620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58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56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560" w:type="dxa"/>
            <w:vAlign w:val="bottom"/>
            <w:shd w:val="clear" w:color="auto" w:fill="D5EAEA"/>
          </w:tcPr>
          <w:p>
            <w:pPr>
              <w:spacing w:after="0"/>
              <w:rPr>
                <w:sz w:val="19"/>
                <w:szCs w:val="19"/>
                <w:color w:val="auto"/>
              </w:rPr>
            </w:pPr>
          </w:p>
        </w:tc>
      </w:tr>
      <w:tr>
        <w:trPr>
          <w:trHeight w:val="24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620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58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56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560" w:type="dxa"/>
            <w:vAlign w:val="bottom"/>
            <w:shd w:val="clear" w:color="auto" w:fill="D5EAEA"/>
          </w:tcPr>
          <w:p>
            <w:pPr>
              <w:spacing w:after="0"/>
              <w:rPr>
                <w:sz w:val="21"/>
                <w:szCs w:val="21"/>
                <w:color w:val="auto"/>
              </w:rPr>
            </w:pPr>
          </w:p>
        </w:tc>
      </w:tr>
      <w:tr>
        <w:trPr>
          <w:trHeight w:val="24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6"/>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Share capital</w:t>
            </w:r>
          </w:p>
        </w:tc>
        <w:tc>
          <w:tcPr>
            <w:tcW w:w="15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9"/>
              <w:spacing w:after="0"/>
              <w:rPr>
                <w:sz w:val="20"/>
                <w:szCs w:val="20"/>
                <w:color w:val="auto"/>
              </w:rPr>
            </w:pPr>
            <w:r>
              <w:rPr>
                <w:rFonts w:ascii="Arial" w:cs="Arial" w:eastAsia="Arial" w:hAnsi="Arial"/>
                <w:sz w:val="18"/>
                <w:szCs w:val="18"/>
                <w:color w:val="auto"/>
              </w:rPr>
              <w:t>1,794</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Share premium</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431,253</w:t>
            </w:r>
          </w:p>
        </w:tc>
        <w:tc>
          <w:tcPr>
            <w:tcW w:w="100" w:type="dxa"/>
            <w:vAlign w:val="bottom"/>
          </w:tcPr>
          <w:p>
            <w:pPr>
              <w:spacing w:after="0"/>
              <w:rPr>
                <w:sz w:val="18"/>
                <w:szCs w:val="18"/>
                <w:color w:val="auto"/>
              </w:rPr>
            </w:pPr>
          </w:p>
        </w:tc>
        <w:tc>
          <w:tcPr>
            <w:tcW w:w="1560" w:type="dxa"/>
            <w:vAlign w:val="bottom"/>
          </w:tcPr>
          <w:p>
            <w:pPr>
              <w:jc w:val="right"/>
              <w:ind w:right="9"/>
              <w:spacing w:after="0"/>
              <w:rPr>
                <w:sz w:val="20"/>
                <w:szCs w:val="20"/>
                <w:color w:val="auto"/>
              </w:rPr>
            </w:pPr>
            <w:r>
              <w:rPr>
                <w:rFonts w:ascii="Arial" w:cs="Arial" w:eastAsia="Arial" w:hAnsi="Arial"/>
                <w:sz w:val="18"/>
                <w:szCs w:val="18"/>
                <w:color w:val="auto"/>
              </w:rPr>
              <w:t>431,251</w:t>
            </w:r>
          </w:p>
        </w:tc>
      </w:tr>
      <w:tr>
        <w:trPr>
          <w:trHeight w:val="216"/>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Treasury shares</w:t>
            </w:r>
          </w:p>
        </w:tc>
        <w:tc>
          <w:tcPr>
            <w:tcW w:w="15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63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Accumulated losses</w:t>
            </w:r>
          </w:p>
        </w:tc>
        <w:tc>
          <w:tcPr>
            <w:tcW w:w="158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(218,793)</w:t>
            </w:r>
          </w:p>
        </w:tc>
        <w:tc>
          <w:tcPr>
            <w:tcW w:w="10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(200,942)</w:t>
            </w:r>
          </w:p>
        </w:tc>
      </w:tr>
      <w:tr>
        <w:trPr>
          <w:trHeight w:val="250"/>
        </w:trPr>
        <w:tc>
          <w:tcPr>
            <w:tcW w:w="632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1580" w:type="dxa"/>
            <w:vAlign w:val="bottom"/>
            <w:tcBorders>
              <w:bottom w:val="single" w:sz="8" w:color="D5EAEA"/>
            </w:tcBorders>
            <w:shd w:val="clear" w:color="auto" w:fill="D5EAEA"/>
          </w:tcPr>
          <w:p>
            <w:pPr>
              <w:spacing w:after="0"/>
              <w:rPr>
                <w:sz w:val="21"/>
                <w:szCs w:val="21"/>
                <w:color w:val="auto"/>
              </w:rPr>
            </w:pPr>
          </w:p>
        </w:tc>
        <w:tc>
          <w:tcPr>
            <w:tcW w:w="120" w:type="dxa"/>
            <w:vAlign w:val="bottom"/>
            <w:tcBorders>
              <w:bottom w:val="single" w:sz="8" w:color="D5EAEA"/>
            </w:tcBorders>
            <w:shd w:val="clear" w:color="auto" w:fill="D5EAEA"/>
          </w:tcPr>
          <w:p>
            <w:pPr>
              <w:spacing w:after="0"/>
              <w:rPr>
                <w:sz w:val="21"/>
                <w:szCs w:val="21"/>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214,131</w:t>
            </w:r>
          </w:p>
        </w:tc>
        <w:tc>
          <w:tcPr>
            <w:tcW w:w="100" w:type="dxa"/>
            <w:vAlign w:val="bottom"/>
            <w:tcBorders>
              <w:bottom w:val="single" w:sz="8" w:color="D5EAEA"/>
            </w:tcBorders>
            <w:shd w:val="clear" w:color="auto" w:fill="D5EAEA"/>
          </w:tcPr>
          <w:p>
            <w:pPr>
              <w:spacing w:after="0"/>
              <w:rPr>
                <w:sz w:val="21"/>
                <w:szCs w:val="21"/>
                <w:color w:val="auto"/>
              </w:rPr>
            </w:pPr>
          </w:p>
        </w:tc>
        <w:tc>
          <w:tcPr>
            <w:tcW w:w="1560" w:type="dxa"/>
            <w:vAlign w:val="bottom"/>
            <w:tcBorders>
              <w:bottom w:val="single" w:sz="8" w:color="auto"/>
            </w:tcBorders>
            <w:shd w:val="clear" w:color="auto" w:fill="D5EAEA"/>
          </w:tcPr>
          <w:p>
            <w:pPr>
              <w:jc w:val="right"/>
              <w:ind w:right="9"/>
              <w:spacing w:after="0"/>
              <w:rPr>
                <w:sz w:val="20"/>
                <w:szCs w:val="20"/>
                <w:color w:val="auto"/>
              </w:rPr>
            </w:pPr>
            <w:r>
              <w:rPr>
                <w:rFonts w:ascii="Arial" w:cs="Arial" w:eastAsia="Arial" w:hAnsi="Arial"/>
                <w:sz w:val="18"/>
                <w:szCs w:val="18"/>
                <w:color w:val="auto"/>
              </w:rPr>
              <w:t>231,979</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3"/>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Non-current liabilities</w:t>
            </w:r>
          </w:p>
        </w:tc>
        <w:tc>
          <w:tcPr>
            <w:tcW w:w="158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56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560" w:type="dxa"/>
            <w:vAlign w:val="bottom"/>
            <w:shd w:val="clear" w:color="auto" w:fill="D5EAEA"/>
          </w:tcPr>
          <w:p>
            <w:pPr>
              <w:spacing w:after="0"/>
              <w:rPr>
                <w:sz w:val="21"/>
                <w:szCs w:val="2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Long-term lease liabilities</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8"/>
                <w:szCs w:val="18"/>
                <w:color w:val="auto"/>
              </w:rPr>
            </w:pPr>
          </w:p>
        </w:tc>
        <w:tc>
          <w:tcPr>
            <w:tcW w:w="1560" w:type="dxa"/>
            <w:vAlign w:val="bottom"/>
          </w:tcPr>
          <w:p>
            <w:pPr>
              <w:jc w:val="right"/>
              <w:ind w:right="9"/>
              <w:spacing w:after="0"/>
              <w:rPr>
                <w:sz w:val="20"/>
                <w:szCs w:val="20"/>
                <w:color w:val="auto"/>
              </w:rPr>
            </w:pPr>
            <w:r>
              <w:rPr>
                <w:rFonts w:ascii="Arial" w:cs="Arial" w:eastAsia="Arial" w:hAnsi="Arial"/>
                <w:sz w:val="18"/>
                <w:szCs w:val="18"/>
                <w:color w:val="auto"/>
              </w:rPr>
              <w:t>2,340</w:t>
            </w:r>
          </w:p>
        </w:tc>
      </w:tr>
      <w:tr>
        <w:trPr>
          <w:trHeight w:val="256"/>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Net employee defined benefit liabilities</w:t>
            </w:r>
          </w:p>
        </w:tc>
        <w:tc>
          <w:tcPr>
            <w:tcW w:w="1580" w:type="dxa"/>
            <w:vAlign w:val="bottom"/>
            <w:shd w:val="clear" w:color="auto" w:fill="D5EAEA"/>
          </w:tcPr>
          <w:p>
            <w:pPr>
              <w:spacing w:after="0"/>
              <w:rPr>
                <w:sz w:val="22"/>
                <w:szCs w:val="22"/>
                <w:color w:val="auto"/>
              </w:rPr>
            </w:pPr>
          </w:p>
        </w:tc>
        <w:tc>
          <w:tcPr>
            <w:tcW w:w="120" w:type="dxa"/>
            <w:vAlign w:val="bottom"/>
            <w:shd w:val="clear" w:color="auto" w:fill="D5EAEA"/>
          </w:tcPr>
          <w:p>
            <w:pPr>
              <w:spacing w:after="0"/>
              <w:rPr>
                <w:sz w:val="22"/>
                <w:szCs w:val="22"/>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7,281</w:t>
            </w:r>
          </w:p>
        </w:tc>
        <w:tc>
          <w:tcPr>
            <w:tcW w:w="100" w:type="dxa"/>
            <w:vAlign w:val="bottom"/>
            <w:shd w:val="clear" w:color="auto" w:fill="D5EAEA"/>
          </w:tcPr>
          <w:p>
            <w:pPr>
              <w:spacing w:after="0"/>
              <w:rPr>
                <w:sz w:val="22"/>
                <w:szCs w:val="22"/>
                <w:color w:val="auto"/>
              </w:rPr>
            </w:pPr>
          </w:p>
        </w:tc>
        <w:tc>
          <w:tcPr>
            <w:tcW w:w="1560" w:type="dxa"/>
            <w:vAlign w:val="bottom"/>
            <w:tcBorders>
              <w:bottom w:val="single" w:sz="8" w:color="auto"/>
            </w:tcBorders>
            <w:shd w:val="clear" w:color="auto" w:fill="D5EAEA"/>
          </w:tcPr>
          <w:p>
            <w:pPr>
              <w:jc w:val="right"/>
              <w:ind w:right="9"/>
              <w:spacing w:after="0"/>
              <w:rPr>
                <w:sz w:val="20"/>
                <w:szCs w:val="20"/>
                <w:color w:val="auto"/>
              </w:rPr>
            </w:pPr>
            <w:r>
              <w:rPr>
                <w:rFonts w:ascii="Arial" w:cs="Arial" w:eastAsia="Arial" w:hAnsi="Arial"/>
                <w:sz w:val="18"/>
                <w:szCs w:val="18"/>
                <w:color w:val="auto"/>
              </w:rPr>
              <w:t>7,098</w:t>
            </w:r>
          </w:p>
        </w:tc>
      </w:tr>
      <w:tr>
        <w:trPr>
          <w:trHeight w:val="263"/>
        </w:trPr>
        <w:tc>
          <w:tcPr>
            <w:tcW w:w="63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15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9,477</w:t>
            </w:r>
          </w:p>
        </w:tc>
        <w:tc>
          <w:tcPr>
            <w:tcW w:w="100" w:type="dxa"/>
            <w:vAlign w:val="bottom"/>
            <w:tcBorders>
              <w:bottom w:val="single" w:sz="8" w:color="D5EAEA"/>
            </w:tcBorders>
          </w:tcPr>
          <w:p>
            <w:pPr>
              <w:spacing w:after="0"/>
              <w:rPr>
                <w:sz w:val="22"/>
                <w:szCs w:val="22"/>
                <w:color w:val="auto"/>
              </w:rPr>
            </w:pP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9,438</w:t>
            </w:r>
          </w:p>
        </w:tc>
      </w:tr>
      <w:tr>
        <w:trPr>
          <w:trHeight w:val="223"/>
        </w:trPr>
        <w:tc>
          <w:tcPr>
            <w:tcW w:w="620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58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56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560" w:type="dxa"/>
            <w:vAlign w:val="bottom"/>
            <w:shd w:val="clear" w:color="auto" w:fill="D5EAEA"/>
          </w:tcPr>
          <w:p>
            <w:pPr>
              <w:spacing w:after="0"/>
              <w:rPr>
                <w:sz w:val="19"/>
                <w:szCs w:val="19"/>
                <w:color w:val="auto"/>
              </w:rPr>
            </w:pPr>
          </w:p>
        </w:tc>
      </w:tr>
      <w:tr>
        <w:trPr>
          <w:trHeight w:val="24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6"/>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15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9"/>
              <w:spacing w:after="0"/>
              <w:rPr>
                <w:sz w:val="20"/>
                <w:szCs w:val="20"/>
                <w:color w:val="auto"/>
              </w:rPr>
            </w:pPr>
            <w:r>
              <w:rPr>
                <w:rFonts w:ascii="Arial" w:cs="Arial" w:eastAsia="Arial" w:hAnsi="Arial"/>
                <w:sz w:val="18"/>
                <w:szCs w:val="18"/>
                <w:color w:val="auto"/>
              </w:rPr>
              <w:t>2,003</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10,571</w:t>
            </w:r>
          </w:p>
        </w:tc>
        <w:tc>
          <w:tcPr>
            <w:tcW w:w="100" w:type="dxa"/>
            <w:vAlign w:val="bottom"/>
          </w:tcPr>
          <w:p>
            <w:pPr>
              <w:spacing w:after="0"/>
              <w:rPr>
                <w:sz w:val="18"/>
                <w:szCs w:val="18"/>
                <w:color w:val="auto"/>
              </w:rPr>
            </w:pPr>
          </w:p>
        </w:tc>
        <w:tc>
          <w:tcPr>
            <w:tcW w:w="1560" w:type="dxa"/>
            <w:vAlign w:val="bottom"/>
          </w:tcPr>
          <w:p>
            <w:pPr>
              <w:jc w:val="right"/>
              <w:ind w:right="9"/>
              <w:spacing w:after="0"/>
              <w:rPr>
                <w:sz w:val="20"/>
                <w:szCs w:val="20"/>
                <w:color w:val="auto"/>
              </w:rPr>
            </w:pPr>
            <w:r>
              <w:rPr>
                <w:rFonts w:ascii="Arial" w:cs="Arial" w:eastAsia="Arial" w:hAnsi="Arial"/>
                <w:sz w:val="18"/>
                <w:szCs w:val="18"/>
                <w:color w:val="auto"/>
              </w:rPr>
              <w:t>16,736</w:t>
            </w:r>
          </w:p>
        </w:tc>
      </w:tr>
      <w:tr>
        <w:trPr>
          <w:trHeight w:val="216"/>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15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9"/>
              <w:spacing w:after="0"/>
              <w:rPr>
                <w:sz w:val="20"/>
                <w:szCs w:val="20"/>
                <w:color w:val="auto"/>
              </w:rPr>
            </w:pPr>
            <w:r>
              <w:rPr>
                <w:rFonts w:ascii="Arial" w:cs="Arial" w:eastAsia="Arial" w:hAnsi="Arial"/>
                <w:sz w:val="18"/>
                <w:szCs w:val="18"/>
                <w:color w:val="auto"/>
              </w:rPr>
              <w:t>717</w:t>
            </w:r>
          </w:p>
        </w:tc>
      </w:tr>
      <w:tr>
        <w:trPr>
          <w:trHeight w:val="230"/>
        </w:trPr>
        <w:tc>
          <w:tcPr>
            <w:tcW w:w="63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Short-term lease liabilities</w:t>
            </w:r>
          </w:p>
        </w:tc>
        <w:tc>
          <w:tcPr>
            <w:tcW w:w="158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570</w:t>
            </w:r>
          </w:p>
        </w:tc>
      </w:tr>
      <w:tr>
        <w:trPr>
          <w:trHeight w:val="210"/>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Total current liabilities</w:t>
            </w:r>
          </w:p>
        </w:tc>
        <w:tc>
          <w:tcPr>
            <w:tcW w:w="15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11,911</w:t>
            </w:r>
          </w:p>
        </w:tc>
        <w:tc>
          <w:tcPr>
            <w:tcW w:w="100" w:type="dxa"/>
            <w:vAlign w:val="bottom"/>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9"/>
              <w:spacing w:after="0"/>
              <w:rPr>
                <w:sz w:val="20"/>
                <w:szCs w:val="20"/>
                <w:color w:val="auto"/>
              </w:rPr>
            </w:pPr>
            <w:r>
              <w:rPr>
                <w:rFonts w:ascii="Arial" w:cs="Arial" w:eastAsia="Arial" w:hAnsi="Arial"/>
                <w:sz w:val="18"/>
                <w:szCs w:val="18"/>
                <w:color w:val="auto"/>
              </w:rPr>
              <w:t>20,026</w:t>
            </w:r>
          </w:p>
        </w:tc>
      </w:tr>
      <w:tr>
        <w:trPr>
          <w:trHeight w:val="209"/>
        </w:trPr>
        <w:tc>
          <w:tcPr>
            <w:tcW w:w="63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58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21,388</w:t>
            </w:r>
          </w:p>
        </w:tc>
        <w:tc>
          <w:tcPr>
            <w:tcW w:w="100" w:type="dxa"/>
            <w:vAlign w:val="bottom"/>
            <w:tcBorders>
              <w:bottom w:val="single" w:sz="8" w:color="D5EAEA"/>
            </w:tcBorders>
          </w:tcPr>
          <w:p>
            <w:pPr>
              <w:spacing w:after="0"/>
              <w:rPr>
                <w:sz w:val="18"/>
                <w:szCs w:val="18"/>
                <w:color w:val="auto"/>
              </w:rPr>
            </w:pP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29,464</w:t>
            </w:r>
          </w:p>
        </w:tc>
      </w:tr>
      <w:tr>
        <w:trPr>
          <w:trHeight w:val="223"/>
        </w:trPr>
        <w:tc>
          <w:tcPr>
            <w:tcW w:w="632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58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235,519</w:t>
            </w:r>
          </w:p>
        </w:tc>
        <w:tc>
          <w:tcPr>
            <w:tcW w:w="100" w:type="dxa"/>
            <w:vAlign w:val="bottom"/>
            <w:tcBorders>
              <w:bottom w:val="single" w:sz="8" w:color="D5EAEA"/>
            </w:tcBorders>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ind w:right="9"/>
              <w:spacing w:after="0"/>
              <w:rPr>
                <w:sz w:val="20"/>
                <w:szCs w:val="20"/>
                <w:color w:val="auto"/>
              </w:rPr>
            </w:pPr>
            <w:r>
              <w:rPr>
                <w:rFonts w:ascii="Arial" w:cs="Arial" w:eastAsia="Arial" w:hAnsi="Arial"/>
                <w:sz w:val="18"/>
                <w:szCs w:val="18"/>
                <w:color w:val="auto"/>
              </w:rPr>
              <w:t>261,443</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 (Unaudited).</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Condensed Consolidated Statements of Income/(Loss)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Notes</w:t>
            </w:r>
          </w:p>
        </w:tc>
        <w:tc>
          <w:tcPr>
            <w:tcW w:w="322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09"/>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632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280" w:type="dxa"/>
            <w:vAlign w:val="bottom"/>
            <w:shd w:val="clear" w:color="auto" w:fill="D5EAEA"/>
          </w:tcPr>
          <w:p>
            <w:pPr>
              <w:jc w:val="center"/>
              <w:ind w:right="230"/>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D5EAEA"/>
          </w:tcPr>
          <w:p>
            <w:pPr>
              <w:spacing w:after="0"/>
              <w:rPr>
                <w:sz w:val="19"/>
                <w:szCs w:val="19"/>
                <w:color w:val="auto"/>
              </w:rPr>
            </w:pPr>
          </w:p>
        </w:tc>
        <w:tc>
          <w:tcPr>
            <w:tcW w:w="166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6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6320" w:type="dxa"/>
            <w:vAlign w:val="bottom"/>
            <w:shd w:val="clear" w:color="auto" w:fill="D5EAEA"/>
          </w:tcPr>
          <w:p>
            <w:pPr>
              <w:spacing w:after="0"/>
              <w:rPr>
                <w:sz w:val="11"/>
                <w:szCs w:val="11"/>
                <w:color w:val="auto"/>
              </w:rPr>
            </w:pPr>
          </w:p>
        </w:tc>
        <w:tc>
          <w:tcPr>
            <w:tcW w:w="300" w:type="dxa"/>
            <w:vAlign w:val="bottom"/>
            <w:shd w:val="clear" w:color="auto" w:fill="D5EAEA"/>
          </w:tcPr>
          <w:p>
            <w:pPr>
              <w:spacing w:after="0"/>
              <w:rPr>
                <w:sz w:val="11"/>
                <w:szCs w:val="11"/>
                <w:color w:val="auto"/>
              </w:rPr>
            </w:pPr>
          </w:p>
        </w:tc>
        <w:tc>
          <w:tcPr>
            <w:tcW w:w="12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1560" w:type="dxa"/>
            <w:vAlign w:val="bottom"/>
            <w:shd w:val="clear" w:color="auto" w:fill="D5EAEA"/>
          </w:tcPr>
          <w:p>
            <w:pPr>
              <w:spacing w:after="0"/>
              <w:rPr>
                <w:sz w:val="11"/>
                <w:szCs w:val="11"/>
                <w:color w:val="auto"/>
              </w:rPr>
            </w:pPr>
          </w:p>
        </w:tc>
        <w:tc>
          <w:tcPr>
            <w:tcW w:w="100" w:type="dxa"/>
            <w:vAlign w:val="bottom"/>
            <w:shd w:val="clear" w:color="auto" w:fill="D5EAEA"/>
          </w:tcPr>
          <w:p>
            <w:pPr>
              <w:spacing w:after="0"/>
              <w:rPr>
                <w:sz w:val="11"/>
                <w:szCs w:val="11"/>
                <w:color w:val="auto"/>
              </w:rPr>
            </w:pPr>
          </w:p>
        </w:tc>
        <w:tc>
          <w:tcPr>
            <w:tcW w:w="156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Research &amp; development expenses</w:t>
            </w:r>
          </w:p>
        </w:tc>
        <w:tc>
          <w:tcPr>
            <w:tcW w:w="12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(15,123)</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(13,329)</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General &amp; administrative expenses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29"/>
        </w:trPr>
        <w:tc>
          <w:tcPr>
            <w:tcW w:w="6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operating income/(expense)</w:t>
            </w:r>
          </w:p>
        </w:tc>
        <w:tc>
          <w:tcPr>
            <w:tcW w:w="1280" w:type="dxa"/>
            <w:vAlign w:val="bottom"/>
            <w:shd w:val="clear" w:color="auto" w:fill="D5EAEA"/>
          </w:tcPr>
          <w:p>
            <w:pPr>
              <w:jc w:val="center"/>
              <w:ind w:right="230"/>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63"/>
        </w:trPr>
        <w:tc>
          <w:tcPr>
            <w:tcW w:w="66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2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(18,830)</w:t>
            </w:r>
          </w:p>
        </w:tc>
        <w:tc>
          <w:tcPr>
            <w:tcW w:w="100" w:type="dxa"/>
            <w:vAlign w:val="bottom"/>
            <w:tcBorders>
              <w:bottom w:val="single" w:sz="8" w:color="D5EAEA"/>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(17,251)</w:t>
            </w:r>
          </w:p>
        </w:tc>
        <w:tc>
          <w:tcPr>
            <w:tcW w:w="0" w:type="dxa"/>
            <w:vAlign w:val="bottom"/>
          </w:tcPr>
          <w:p>
            <w:pPr>
              <w:spacing w:after="0"/>
              <w:rPr>
                <w:sz w:val="1"/>
                <w:szCs w:val="1"/>
                <w:color w:val="auto"/>
              </w:rPr>
            </w:pPr>
          </w:p>
        </w:tc>
      </w:tr>
      <w:tr>
        <w:trPr>
          <w:trHeight w:val="197"/>
        </w:trPr>
        <w:tc>
          <w:tcPr>
            <w:tcW w:w="6620" w:type="dxa"/>
            <w:vAlign w:val="bottom"/>
            <w:gridSpan w:val="2"/>
            <w:shd w:val="clear" w:color="auto" w:fill="D5EAEA"/>
          </w:tcPr>
          <w:p>
            <w:pPr>
              <w:spacing w:after="0" w:line="195" w:lineRule="exact"/>
              <w:rPr>
                <w:sz w:val="20"/>
                <w:szCs w:val="20"/>
                <w:color w:val="auto"/>
              </w:rPr>
            </w:pPr>
            <w:r>
              <w:rPr>
                <w:rFonts w:ascii="Arial" w:cs="Arial" w:eastAsia="Arial" w:hAnsi="Arial"/>
                <w:sz w:val="18"/>
                <w:szCs w:val="18"/>
                <w:b w:val="1"/>
                <w:bCs w:val="1"/>
                <w:color w:val="auto"/>
              </w:rPr>
              <w:t>Operating loss</w:t>
            </w:r>
          </w:p>
        </w:tc>
        <w:tc>
          <w:tcPr>
            <w:tcW w:w="12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5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(18,830)</w:t>
            </w:r>
          </w:p>
        </w:tc>
        <w:tc>
          <w:tcPr>
            <w:tcW w:w="100" w:type="dxa"/>
            <w:vAlign w:val="bottom"/>
            <w:shd w:val="clear" w:color="auto" w:fill="D5EAEA"/>
          </w:tcPr>
          <w:p>
            <w:pPr>
              <w:spacing w:after="0"/>
              <w:rPr>
                <w:sz w:val="17"/>
                <w:szCs w:val="17"/>
                <w:color w:val="auto"/>
              </w:rPr>
            </w:pPr>
          </w:p>
        </w:tc>
        <w:tc>
          <w:tcPr>
            <w:tcW w:w="15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(17,251)</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1280" w:type="dxa"/>
            <w:vAlign w:val="bottom"/>
            <w:shd w:val="clear" w:color="auto" w:fill="D5EAEA"/>
          </w:tcPr>
          <w:p>
            <w:pPr>
              <w:jc w:val="center"/>
              <w:ind w:right="210"/>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D5EAEA"/>
          </w:tcPr>
          <w:p>
            <w:pPr>
              <w:spacing w:after="0"/>
              <w:rPr>
                <w:sz w:val="18"/>
                <w:szCs w:val="18"/>
                <w:color w:val="auto"/>
              </w:rPr>
            </w:pPr>
          </w:p>
        </w:tc>
        <w:tc>
          <w:tcPr>
            <w:tcW w:w="166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280" w:type="dxa"/>
            <w:vAlign w:val="bottom"/>
          </w:tcPr>
          <w:p>
            <w:pPr>
              <w:jc w:val="center"/>
              <w:ind w:right="210"/>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Exchange differences</w:t>
            </w:r>
          </w:p>
        </w:tc>
        <w:tc>
          <w:tcPr>
            <w:tcW w:w="1280" w:type="dxa"/>
            <w:vAlign w:val="bottom"/>
            <w:shd w:val="clear" w:color="auto" w:fill="D5EAEA"/>
          </w:tcPr>
          <w:p>
            <w:pPr>
              <w:jc w:val="center"/>
              <w:ind w:right="210"/>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9"/>
        </w:trPr>
        <w:tc>
          <w:tcPr>
            <w:tcW w:w="66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1280" w:type="dxa"/>
            <w:vAlign w:val="bottom"/>
            <w:tcBorders>
              <w:bottom w:val="single" w:sz="8" w:color="D5EAEA"/>
            </w:tcBorders>
          </w:tcPr>
          <w:p>
            <w:pPr>
              <w:jc w:val="center"/>
              <w:ind w:right="210"/>
              <w:spacing w:after="0"/>
              <w:rPr>
                <w:sz w:val="20"/>
                <w:szCs w:val="20"/>
                <w:color w:val="auto"/>
              </w:rPr>
            </w:pPr>
            <w:r>
              <w:rPr>
                <w:rFonts w:ascii="Arial" w:cs="Arial" w:eastAsia="Arial" w:hAnsi="Arial"/>
                <w:sz w:val="18"/>
                <w:szCs w:val="18"/>
                <w:color w:val="auto"/>
                <w:w w:val="89"/>
              </w:rPr>
              <w:t>12</w:t>
            </w:r>
          </w:p>
        </w:tc>
        <w:tc>
          <w:tcPr>
            <w:tcW w:w="120" w:type="dxa"/>
            <w:vAlign w:val="bottom"/>
            <w:tcBorders>
              <w:bottom w:val="single" w:sz="8" w:color="D5EAEA"/>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D5EAEA"/>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142"/>
        </w:trPr>
        <w:tc>
          <w:tcPr>
            <w:tcW w:w="6320" w:type="dxa"/>
            <w:vAlign w:val="bottom"/>
            <w:shd w:val="clear" w:color="auto" w:fill="D5EAEA"/>
          </w:tcPr>
          <w:p>
            <w:pPr>
              <w:spacing w:after="0"/>
              <w:rPr>
                <w:sz w:val="12"/>
                <w:szCs w:val="12"/>
                <w:color w:val="auto"/>
              </w:rPr>
            </w:pPr>
          </w:p>
        </w:tc>
        <w:tc>
          <w:tcPr>
            <w:tcW w:w="300" w:type="dxa"/>
            <w:vAlign w:val="bottom"/>
            <w:shd w:val="clear" w:color="auto" w:fill="D5EAEA"/>
          </w:tcPr>
          <w:p>
            <w:pPr>
              <w:spacing w:after="0"/>
              <w:rPr>
                <w:sz w:val="12"/>
                <w:szCs w:val="12"/>
                <w:color w:val="auto"/>
              </w:rPr>
            </w:pPr>
          </w:p>
        </w:tc>
        <w:tc>
          <w:tcPr>
            <w:tcW w:w="1280" w:type="dxa"/>
            <w:vAlign w:val="bottom"/>
            <w:shd w:val="clear" w:color="auto" w:fill="D5EAEA"/>
          </w:tcPr>
          <w:p>
            <w:pPr>
              <w:spacing w:after="0"/>
              <w:rPr>
                <w:sz w:val="12"/>
                <w:szCs w:val="12"/>
                <w:color w:val="auto"/>
              </w:rPr>
            </w:pPr>
          </w:p>
        </w:tc>
        <w:tc>
          <w:tcPr>
            <w:tcW w:w="120" w:type="dxa"/>
            <w:vAlign w:val="bottom"/>
            <w:shd w:val="clear" w:color="auto" w:fill="D5EAEA"/>
          </w:tcPr>
          <w:p>
            <w:pPr>
              <w:spacing w:after="0"/>
              <w:rPr>
                <w:sz w:val="12"/>
                <w:szCs w:val="12"/>
                <w:color w:val="auto"/>
              </w:rPr>
            </w:pPr>
          </w:p>
        </w:tc>
        <w:tc>
          <w:tcPr>
            <w:tcW w:w="1560" w:type="dxa"/>
            <w:vAlign w:val="bottom"/>
            <w:shd w:val="clear" w:color="auto" w:fill="D5EAEA"/>
          </w:tcPr>
          <w:p>
            <w:pPr>
              <w:spacing w:after="0"/>
              <w:rPr>
                <w:sz w:val="12"/>
                <w:szCs w:val="12"/>
                <w:color w:val="auto"/>
              </w:rPr>
            </w:pPr>
          </w:p>
        </w:tc>
        <w:tc>
          <w:tcPr>
            <w:tcW w:w="100" w:type="dxa"/>
            <w:vAlign w:val="bottom"/>
            <w:shd w:val="clear" w:color="auto" w:fill="D5EAEA"/>
          </w:tcPr>
          <w:p>
            <w:pPr>
              <w:spacing w:after="0"/>
              <w:rPr>
                <w:sz w:val="12"/>
                <w:szCs w:val="12"/>
                <w:color w:val="auto"/>
              </w:rPr>
            </w:pPr>
          </w:p>
        </w:tc>
        <w:tc>
          <w:tcPr>
            <w:tcW w:w="1560" w:type="dxa"/>
            <w:vAlign w:val="bottom"/>
            <w:shd w:val="clear" w:color="auto" w:fill="D5EAEA"/>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6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Loss before tax</w:t>
            </w:r>
          </w:p>
        </w:tc>
        <w:tc>
          <w:tcPr>
            <w:tcW w:w="128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(18,844)</w:t>
            </w:r>
          </w:p>
        </w:tc>
        <w:tc>
          <w:tcPr>
            <w:tcW w:w="10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0" w:type="dxa"/>
            <w:vAlign w:val="bottom"/>
          </w:tcPr>
          <w:p>
            <w:pPr>
              <w:spacing w:after="0"/>
              <w:rPr>
                <w:sz w:val="1"/>
                <w:szCs w:val="1"/>
                <w:color w:val="auto"/>
              </w:rPr>
            </w:pPr>
          </w:p>
        </w:tc>
      </w:tr>
      <w:tr>
        <w:trPr>
          <w:trHeight w:val="209"/>
        </w:trPr>
        <w:tc>
          <w:tcPr>
            <w:tcW w:w="6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128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(18,848)</w:t>
            </w:r>
          </w:p>
        </w:tc>
        <w:tc>
          <w:tcPr>
            <w:tcW w:w="100" w:type="dxa"/>
            <w:vAlign w:val="bottom"/>
            <w:tcBorders>
              <w:bottom w:val="single" w:sz="8" w:color="D5EAEA"/>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0" w:type="dxa"/>
            <w:vAlign w:val="bottom"/>
          </w:tcPr>
          <w:p>
            <w:pPr>
              <w:spacing w:after="0"/>
              <w:rPr>
                <w:sz w:val="1"/>
                <w:szCs w:val="1"/>
                <w:color w:val="auto"/>
              </w:rPr>
            </w:pPr>
          </w:p>
        </w:tc>
      </w:tr>
      <w:tr>
        <w:trPr>
          <w:trHeight w:val="142"/>
        </w:trPr>
        <w:tc>
          <w:tcPr>
            <w:tcW w:w="6320" w:type="dxa"/>
            <w:vAlign w:val="bottom"/>
            <w:shd w:val="clear" w:color="auto" w:fill="D5EAEA"/>
          </w:tcPr>
          <w:p>
            <w:pPr>
              <w:spacing w:after="0"/>
              <w:rPr>
                <w:sz w:val="12"/>
                <w:szCs w:val="12"/>
                <w:color w:val="auto"/>
              </w:rPr>
            </w:pPr>
          </w:p>
        </w:tc>
        <w:tc>
          <w:tcPr>
            <w:tcW w:w="300" w:type="dxa"/>
            <w:vAlign w:val="bottom"/>
            <w:shd w:val="clear" w:color="auto" w:fill="D5EAEA"/>
          </w:tcPr>
          <w:p>
            <w:pPr>
              <w:spacing w:after="0"/>
              <w:rPr>
                <w:sz w:val="12"/>
                <w:szCs w:val="12"/>
                <w:color w:val="auto"/>
              </w:rPr>
            </w:pPr>
          </w:p>
        </w:tc>
        <w:tc>
          <w:tcPr>
            <w:tcW w:w="1280" w:type="dxa"/>
            <w:vAlign w:val="bottom"/>
            <w:shd w:val="clear" w:color="auto" w:fill="D5EAEA"/>
          </w:tcPr>
          <w:p>
            <w:pPr>
              <w:spacing w:after="0"/>
              <w:rPr>
                <w:sz w:val="12"/>
                <w:szCs w:val="12"/>
                <w:color w:val="auto"/>
              </w:rPr>
            </w:pPr>
          </w:p>
        </w:tc>
        <w:tc>
          <w:tcPr>
            <w:tcW w:w="120" w:type="dxa"/>
            <w:vAlign w:val="bottom"/>
            <w:shd w:val="clear" w:color="auto" w:fill="D5EAEA"/>
          </w:tcPr>
          <w:p>
            <w:pPr>
              <w:spacing w:after="0"/>
              <w:rPr>
                <w:sz w:val="12"/>
                <w:szCs w:val="12"/>
                <w:color w:val="auto"/>
              </w:rPr>
            </w:pPr>
          </w:p>
        </w:tc>
        <w:tc>
          <w:tcPr>
            <w:tcW w:w="1560" w:type="dxa"/>
            <w:vAlign w:val="bottom"/>
            <w:shd w:val="clear" w:color="auto" w:fill="D5EAEA"/>
          </w:tcPr>
          <w:p>
            <w:pPr>
              <w:spacing w:after="0"/>
              <w:rPr>
                <w:sz w:val="12"/>
                <w:szCs w:val="12"/>
                <w:color w:val="auto"/>
              </w:rPr>
            </w:pPr>
          </w:p>
        </w:tc>
        <w:tc>
          <w:tcPr>
            <w:tcW w:w="100" w:type="dxa"/>
            <w:vAlign w:val="bottom"/>
            <w:shd w:val="clear" w:color="auto" w:fill="D5EAEA"/>
          </w:tcPr>
          <w:p>
            <w:pPr>
              <w:spacing w:after="0"/>
              <w:rPr>
                <w:sz w:val="12"/>
                <w:szCs w:val="12"/>
                <w:color w:val="auto"/>
              </w:rPr>
            </w:pPr>
          </w:p>
        </w:tc>
        <w:tc>
          <w:tcPr>
            <w:tcW w:w="1560" w:type="dxa"/>
            <w:vAlign w:val="bottom"/>
            <w:shd w:val="clear" w:color="auto" w:fill="D5EAEA"/>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Loss per share:</w:t>
            </w:r>
          </w:p>
        </w:tc>
        <w:tc>
          <w:tcPr>
            <w:tcW w:w="1280" w:type="dxa"/>
            <w:vAlign w:val="bottom"/>
          </w:tcPr>
          <w:p>
            <w:pPr>
              <w:jc w:val="center"/>
              <w:ind w:right="230"/>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Basic and diluted loss per share for the period attributable to equity holders</w:t>
            </w:r>
          </w:p>
        </w:tc>
        <w:tc>
          <w:tcPr>
            <w:tcW w:w="12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608"/>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w w:val="92"/>
              </w:rPr>
              <w:t>Condensed Consolidated Statements of Comprehensive Income/(Loss) (Unaudited)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0"/>
              </w:rPr>
              <w:t>ended March 31,</w:t>
            </w:r>
          </w:p>
        </w:tc>
        <w:tc>
          <w:tcPr>
            <w:tcW w:w="960" w:type="dxa"/>
            <w:vAlign w:val="bottom"/>
            <w:tcBorders>
              <w:bottom w:val="single" w:sz="8" w:color="auto"/>
            </w:tcBorders>
          </w:tcPr>
          <w:p>
            <w:pPr>
              <w:spacing w:after="0"/>
              <w:rPr>
                <w:sz w:val="20"/>
                <w:szCs w:val="20"/>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700" w:type="dxa"/>
            <w:vAlign w:val="bottom"/>
            <w:gridSpan w:val="2"/>
          </w:tcPr>
          <w:p>
            <w:pPr>
              <w:ind w:left="600"/>
              <w:spacing w:after="0"/>
              <w:rPr>
                <w:sz w:val="20"/>
                <w:szCs w:val="20"/>
                <w:color w:val="auto"/>
              </w:rPr>
            </w:pPr>
            <w:r>
              <w:rPr>
                <w:rFonts w:ascii="Arial" w:cs="Arial" w:eastAsia="Arial" w:hAnsi="Arial"/>
                <w:sz w:val="18"/>
                <w:szCs w:val="18"/>
                <w:b w:val="1"/>
                <w:bCs w:val="1"/>
                <w:color w:val="auto"/>
              </w:rPr>
              <w:t>Note</w:t>
            </w: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510"/>
              <w:spacing w:after="0"/>
              <w:rPr>
                <w:sz w:val="20"/>
                <w:szCs w:val="20"/>
                <w:color w:val="auto"/>
              </w:rPr>
            </w:pPr>
            <w:r>
              <w:rPr>
                <w:rFonts w:ascii="Arial" w:cs="Arial" w:eastAsia="Arial" w:hAnsi="Arial"/>
                <w:sz w:val="18"/>
                <w:szCs w:val="18"/>
                <w:b w:val="1"/>
                <w:bCs w:val="1"/>
                <w:color w:val="auto"/>
                <w:w w:val="84"/>
              </w:rPr>
              <w:t>2021</w:t>
            </w:r>
          </w:p>
        </w:tc>
      </w:tr>
      <w:tr>
        <w:trPr>
          <w:trHeight w:val="142"/>
        </w:trPr>
        <w:tc>
          <w:tcPr>
            <w:tcW w:w="6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r>
      <w:tr>
        <w:trPr>
          <w:trHeight w:val="216"/>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Loss for the period</w:t>
            </w:r>
          </w:p>
        </w:tc>
        <w:tc>
          <w:tcPr>
            <w:tcW w:w="15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(18,848)</w:t>
            </w:r>
          </w:p>
        </w:tc>
        <w:tc>
          <w:tcPr>
            <w:tcW w:w="100" w:type="dxa"/>
            <w:vAlign w:val="bottom"/>
            <w:shd w:val="clear" w:color="auto" w:fill="D5EAEA"/>
          </w:tcPr>
          <w:p>
            <w:pPr>
              <w:spacing w:after="0"/>
              <w:rPr>
                <w:sz w:val="18"/>
                <w:szCs w:val="18"/>
                <w:color w:val="auto"/>
              </w:rPr>
            </w:pPr>
          </w:p>
        </w:tc>
        <w:tc>
          <w:tcPr>
            <w:tcW w:w="600" w:type="dxa"/>
            <w:vAlign w:val="bottom"/>
            <w:shd w:val="clear" w:color="auto" w:fill="D5EAEA"/>
          </w:tcPr>
          <w:p>
            <w:pPr>
              <w:spacing w:after="0"/>
              <w:rPr>
                <w:sz w:val="18"/>
                <w:szCs w:val="18"/>
                <w:color w:val="auto"/>
              </w:rPr>
            </w:pPr>
          </w:p>
        </w:tc>
        <w:tc>
          <w:tcPr>
            <w:tcW w:w="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(16,734)</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w w:val="95"/>
              </w:rPr>
              <w:t>Items that may be reclassified to income or loss in subsequent periods (net of tax):</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Currency translation differences</w:t>
            </w:r>
          </w:p>
        </w:tc>
        <w:tc>
          <w:tcPr>
            <w:tcW w:w="15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5EAEA"/>
          </w:tcPr>
          <w:p>
            <w:pPr>
              <w:spacing w:after="0"/>
              <w:rPr>
                <w:sz w:val="18"/>
                <w:szCs w:val="18"/>
                <w:color w:val="auto"/>
              </w:rPr>
            </w:pPr>
          </w:p>
        </w:tc>
        <w:tc>
          <w:tcPr>
            <w:tcW w:w="600" w:type="dxa"/>
            <w:vAlign w:val="bottom"/>
            <w:shd w:val="clear" w:color="auto" w:fill="D5EAEA"/>
          </w:tcPr>
          <w:p>
            <w:pPr>
              <w:spacing w:after="0"/>
              <w:rPr>
                <w:sz w:val="18"/>
                <w:szCs w:val="18"/>
                <w:color w:val="auto"/>
              </w:rPr>
            </w:pPr>
          </w:p>
        </w:tc>
        <w:tc>
          <w:tcPr>
            <w:tcW w:w="9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w w:val="93"/>
              </w:rPr>
              <w:t>Items that will not be reclassified to income or loss in subsequent periods (net of tax):</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6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Re-measurement losses on defined-benefit plans</w:t>
            </w:r>
          </w:p>
        </w:tc>
        <w:tc>
          <w:tcPr>
            <w:tcW w:w="158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2260" w:type="dxa"/>
            <w:vAlign w:val="bottom"/>
            <w:gridSpan w:val="3"/>
            <w:shd w:val="clear" w:color="auto" w:fill="D5EAEA"/>
          </w:tcPr>
          <w:p>
            <w:pPr>
              <w:jc w:val="right"/>
              <w:ind w:right="800"/>
              <w:spacing w:after="0"/>
              <w:rPr>
                <w:sz w:val="20"/>
                <w:szCs w:val="20"/>
                <w:color w:val="auto"/>
              </w:rPr>
            </w:pPr>
            <w:r>
              <w:rPr>
                <w:rFonts w:ascii="Arial" w:cs="Arial" w:eastAsia="Arial" w:hAnsi="Arial"/>
                <w:sz w:val="18"/>
                <w:szCs w:val="18"/>
                <w:color w:val="auto"/>
              </w:rPr>
              <w:t>—</w:t>
            </w:r>
          </w:p>
        </w:tc>
        <w:tc>
          <w:tcPr>
            <w:tcW w:w="9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63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Other comprehensive income/(loss)</w:t>
            </w:r>
          </w:p>
        </w:tc>
        <w:tc>
          <w:tcPr>
            <w:tcW w:w="15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D5EAEA"/>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6320" w:type="dxa"/>
            <w:vAlign w:val="bottom"/>
            <w:tcBorders>
              <w:bottom w:val="single" w:sz="8" w:color="D5EAEA"/>
            </w:tcBorders>
            <w:gridSpan w:val="2"/>
            <w:shd w:val="clear" w:color="auto" w:fill="D5EAEA"/>
          </w:tcPr>
          <w:p>
            <w:pPr>
              <w:spacing w:after="0" w:line="190" w:lineRule="exact"/>
              <w:rPr>
                <w:sz w:val="20"/>
                <w:szCs w:val="20"/>
                <w:color w:val="auto"/>
              </w:rPr>
            </w:pPr>
            <w:r>
              <w:rPr>
                <w:rFonts w:ascii="Arial" w:cs="Arial" w:eastAsia="Arial" w:hAnsi="Arial"/>
                <w:sz w:val="18"/>
                <w:szCs w:val="18"/>
                <w:color w:val="auto"/>
              </w:rPr>
              <w:t>Total comprehensive loss, net of tax</w:t>
            </w:r>
          </w:p>
        </w:tc>
        <w:tc>
          <w:tcPr>
            <w:tcW w:w="1580" w:type="dxa"/>
            <w:vAlign w:val="bottom"/>
            <w:tcBorders>
              <w:bottom w:val="single" w:sz="8" w:color="D5EAEA"/>
            </w:tcBorders>
            <w:shd w:val="clear" w:color="auto" w:fill="D5EAEA"/>
          </w:tcPr>
          <w:p>
            <w:pPr>
              <w:spacing w:after="0"/>
              <w:rPr>
                <w:sz w:val="17"/>
                <w:szCs w:val="17"/>
                <w:color w:val="auto"/>
              </w:rPr>
            </w:pPr>
          </w:p>
        </w:tc>
        <w:tc>
          <w:tcPr>
            <w:tcW w:w="120" w:type="dxa"/>
            <w:vAlign w:val="bottom"/>
            <w:tcBorders>
              <w:bottom w:val="single" w:sz="8" w:color="D5EAEA"/>
            </w:tcBorders>
            <w:shd w:val="clear" w:color="auto" w:fill="D5EAEA"/>
          </w:tcPr>
          <w:p>
            <w:pPr>
              <w:spacing w:after="0"/>
              <w:rPr>
                <w:sz w:val="17"/>
                <w:szCs w:val="17"/>
                <w:color w:val="auto"/>
              </w:rPr>
            </w:pPr>
          </w:p>
        </w:tc>
        <w:tc>
          <w:tcPr>
            <w:tcW w:w="15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(18,838)</w:t>
            </w:r>
          </w:p>
        </w:tc>
        <w:tc>
          <w:tcPr>
            <w:tcW w:w="100" w:type="dxa"/>
            <w:vAlign w:val="bottom"/>
            <w:tcBorders>
              <w:bottom w:val="single" w:sz="8" w:color="D5EAEA"/>
            </w:tcBorders>
            <w:shd w:val="clear" w:color="auto" w:fill="D5EAEA"/>
          </w:tcPr>
          <w:p>
            <w:pPr>
              <w:spacing w:after="0"/>
              <w:rPr>
                <w:sz w:val="17"/>
                <w:szCs w:val="17"/>
                <w:color w:val="auto"/>
              </w:rPr>
            </w:pPr>
          </w:p>
        </w:tc>
        <w:tc>
          <w:tcPr>
            <w:tcW w:w="600" w:type="dxa"/>
            <w:vAlign w:val="bottom"/>
            <w:tcBorders>
              <w:bottom w:val="single" w:sz="8" w:color="auto"/>
            </w:tcBorders>
            <w:shd w:val="clear" w:color="auto" w:fill="D5EAEA"/>
          </w:tcPr>
          <w:p>
            <w:pPr>
              <w:spacing w:after="0"/>
              <w:rPr>
                <w:sz w:val="17"/>
                <w:szCs w:val="17"/>
                <w:color w:val="auto"/>
              </w:rPr>
            </w:pPr>
          </w:p>
        </w:tc>
        <w:tc>
          <w:tcPr>
            <w:tcW w:w="9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(16,734)</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 (Unaudited).</w:t>
      </w: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Treasury</w:t>
            </w: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0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Notes</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capital</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premium</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2021</w:t>
            </w:r>
          </w:p>
        </w:tc>
        <w:tc>
          <w:tcPr>
            <w:tcW w:w="102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0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1,538</w:t>
            </w:r>
          </w:p>
        </w:tc>
        <w:tc>
          <w:tcPr>
            <w:tcW w:w="10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346,890</w:t>
            </w:r>
          </w:p>
        </w:tc>
        <w:tc>
          <w:tcPr>
            <w:tcW w:w="12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D5EAEA"/>
            </w:tcBorders>
            <w:shd w:val="clear" w:color="auto" w:fill="D5EAEA"/>
          </w:tcPr>
          <w:p>
            <w:pPr>
              <w:spacing w:after="0"/>
              <w:rPr>
                <w:sz w:val="18"/>
                <w:szCs w:val="18"/>
                <w:color w:val="auto"/>
              </w:rPr>
            </w:pP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(132,850)</w:t>
            </w:r>
          </w:p>
        </w:tc>
        <w:tc>
          <w:tcPr>
            <w:tcW w:w="10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215,478</w:t>
            </w: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Loss for the period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(16,734)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(16,734)</w:t>
            </w:r>
          </w:p>
        </w:tc>
      </w:tr>
      <w:tr>
        <w:trPr>
          <w:trHeight w:val="229"/>
        </w:trPr>
        <w:tc>
          <w:tcPr>
            <w:tcW w:w="462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10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1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46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loss</w:t>
            </w:r>
          </w:p>
        </w:tc>
        <w:tc>
          <w:tcPr>
            <w:tcW w:w="102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100" w:type="dxa"/>
            <w:vAlign w:val="bottom"/>
            <w:tcBorders>
              <w:bottom w:val="single" w:sz="8" w:color="D5EAEA"/>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(16,734)</w:t>
            </w:r>
          </w:p>
        </w:tc>
      </w:tr>
      <w:tr>
        <w:trPr>
          <w:trHeight w:val="210"/>
        </w:trPr>
        <w:tc>
          <w:tcPr>
            <w:tcW w:w="46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Share-based payments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857</w:t>
            </w:r>
          </w:p>
        </w:tc>
      </w:tr>
      <w:tr>
        <w:trPr>
          <w:trHeight w:val="202"/>
        </w:trPr>
        <w:tc>
          <w:tcPr>
            <w:tcW w:w="462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w w:val="94"/>
              </w:rPr>
              <w:t>Proceeds from sale of treasury shares in public offerings, net</w:t>
            </w:r>
          </w:p>
        </w:tc>
        <w:tc>
          <w:tcPr>
            <w:tcW w:w="10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r>
      <w:tr>
        <w:trPr>
          <w:trHeight w:val="230"/>
        </w:trPr>
        <w:tc>
          <w:tcPr>
            <w:tcW w:w="4620" w:type="dxa"/>
            <w:vAlign w:val="bottom"/>
            <w:shd w:val="clear" w:color="auto" w:fill="D5EAEA"/>
          </w:tcPr>
          <w:p>
            <w:pPr>
              <w:spacing w:after="0"/>
              <w:rPr>
                <w:sz w:val="20"/>
                <w:szCs w:val="20"/>
                <w:color w:val="auto"/>
              </w:rPr>
            </w:pPr>
            <w:r>
              <w:rPr>
                <w:rFonts w:ascii="Arial" w:cs="Arial" w:eastAsia="Arial" w:hAnsi="Arial"/>
                <w:sz w:val="18"/>
                <w:szCs w:val="18"/>
                <w:color w:val="auto"/>
              </w:rPr>
              <w:t>of underwriting fees</w:t>
            </w:r>
          </w:p>
        </w:tc>
        <w:tc>
          <w:tcPr>
            <w:tcW w:w="10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D5EAEA"/>
          </w:tcPr>
          <w:p>
            <w:pPr>
              <w:spacing w:after="0"/>
              <w:rPr>
                <w:sz w:val="20"/>
                <w:szCs w:val="20"/>
                <w:color w:val="auto"/>
              </w:rPr>
            </w:pPr>
          </w:p>
        </w:tc>
        <w:tc>
          <w:tcPr>
            <w:tcW w:w="11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7,937</w:t>
            </w:r>
          </w:p>
        </w:tc>
        <w:tc>
          <w:tcPr>
            <w:tcW w:w="120" w:type="dxa"/>
            <w:vAlign w:val="bottom"/>
            <w:shd w:val="clear" w:color="auto" w:fill="D5EAEA"/>
          </w:tcPr>
          <w:p>
            <w:pPr>
              <w:spacing w:after="0"/>
              <w:rPr>
                <w:sz w:val="20"/>
                <w:szCs w:val="20"/>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5EAEA"/>
          </w:tcPr>
          <w:p>
            <w:pPr>
              <w:spacing w:after="0"/>
              <w:rPr>
                <w:sz w:val="20"/>
                <w:szCs w:val="20"/>
                <w:color w:val="auto"/>
              </w:rPr>
            </w:pPr>
          </w:p>
        </w:tc>
        <w:tc>
          <w:tcPr>
            <w:tcW w:w="11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7,952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Transaction offering costs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462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 net of transaction costs:</w:t>
            </w:r>
          </w:p>
        </w:tc>
        <w:tc>
          <w:tcPr>
            <w:tcW w:w="10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restricted share awards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620" w:type="dxa"/>
            <w:vAlign w:val="bottom"/>
            <w:shd w:val="clear" w:color="auto" w:fill="D5EAEA"/>
          </w:tcPr>
          <w:p>
            <w:pPr>
              <w:ind w:left="140"/>
              <w:spacing w:after="0"/>
              <w:rPr>
                <w:sz w:val="20"/>
                <w:szCs w:val="20"/>
                <w:color w:val="auto"/>
              </w:rPr>
            </w:pPr>
            <w:r>
              <w:rPr>
                <w:rFonts w:ascii="Arial" w:cs="Arial" w:eastAsia="Arial" w:hAnsi="Arial"/>
                <w:sz w:val="18"/>
                <w:szCs w:val="18"/>
                <w:color w:val="auto"/>
              </w:rPr>
              <w:t>exercise of options</w:t>
            </w:r>
          </w:p>
        </w:tc>
        <w:tc>
          <w:tcPr>
            <w:tcW w:w="10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5EAEA"/>
          </w:tcPr>
          <w:p>
            <w:pPr>
              <w:spacing w:after="0"/>
              <w:rPr>
                <w:sz w:val="19"/>
                <w:szCs w:val="19"/>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1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as of March 31, 2021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354,736</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(148,774)</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207,416</w:t>
            </w:r>
          </w:p>
        </w:tc>
      </w:tr>
      <w:tr>
        <w:trPr>
          <w:trHeight w:val="20"/>
        </w:trPr>
        <w:tc>
          <w:tcPr>
            <w:tcW w:w="4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94"/>
        </w:trPr>
        <w:tc>
          <w:tcPr>
            <w:tcW w:w="4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Treasury</w:t>
            </w: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000" w:type="dxa"/>
            <w:vAlign w:val="bottom"/>
          </w:tcPr>
          <w:p>
            <w:pPr>
              <w:spacing w:after="0"/>
              <w:rPr>
                <w:sz w:val="24"/>
                <w:szCs w:val="24"/>
                <w:color w:val="auto"/>
              </w:rPr>
            </w:pPr>
          </w:p>
        </w:tc>
      </w:tr>
      <w:tr>
        <w:trPr>
          <w:trHeight w:val="234"/>
        </w:trPr>
        <w:tc>
          <w:tcPr>
            <w:tcW w:w="46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Notes</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capital</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premium</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2022</w:t>
            </w:r>
          </w:p>
        </w:tc>
        <w:tc>
          <w:tcPr>
            <w:tcW w:w="102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0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1,794</w:t>
            </w:r>
          </w:p>
        </w:tc>
        <w:tc>
          <w:tcPr>
            <w:tcW w:w="10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431,251</w:t>
            </w:r>
          </w:p>
        </w:tc>
        <w:tc>
          <w:tcPr>
            <w:tcW w:w="12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D5EAEA"/>
            </w:tcBorders>
            <w:shd w:val="clear" w:color="auto" w:fill="D5EAEA"/>
          </w:tcPr>
          <w:p>
            <w:pPr>
              <w:spacing w:after="0"/>
              <w:rPr>
                <w:sz w:val="18"/>
                <w:szCs w:val="18"/>
                <w:color w:val="auto"/>
              </w:rPr>
            </w:pP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(200,942)</w:t>
            </w:r>
          </w:p>
        </w:tc>
        <w:tc>
          <w:tcPr>
            <w:tcW w:w="10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231,979</w:t>
            </w: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Loss for the period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(18,848)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(18,848)</w:t>
            </w:r>
          </w:p>
        </w:tc>
      </w:tr>
      <w:tr>
        <w:trPr>
          <w:trHeight w:val="229"/>
        </w:trPr>
        <w:tc>
          <w:tcPr>
            <w:tcW w:w="462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10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5EAEA"/>
          </w:tcPr>
          <w:p>
            <w:pPr>
              <w:spacing w:after="0"/>
              <w:rPr>
                <w:sz w:val="19"/>
                <w:szCs w:val="19"/>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w:t>
            </w:r>
          </w:p>
        </w:tc>
      </w:tr>
      <w:tr>
        <w:trPr>
          <w:trHeight w:val="210"/>
        </w:trPr>
        <w:tc>
          <w:tcPr>
            <w:tcW w:w="46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loss</w:t>
            </w:r>
          </w:p>
        </w:tc>
        <w:tc>
          <w:tcPr>
            <w:tcW w:w="102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(18,838)</w:t>
            </w:r>
          </w:p>
        </w:tc>
        <w:tc>
          <w:tcPr>
            <w:tcW w:w="100" w:type="dxa"/>
            <w:vAlign w:val="bottom"/>
            <w:tcBorders>
              <w:bottom w:val="single" w:sz="8" w:color="D5EAEA"/>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(18,838)</w:t>
            </w:r>
          </w:p>
        </w:tc>
      </w:tr>
      <w:tr>
        <w:trPr>
          <w:trHeight w:val="142"/>
        </w:trPr>
        <w:tc>
          <w:tcPr>
            <w:tcW w:w="4620" w:type="dxa"/>
            <w:vAlign w:val="bottom"/>
            <w:shd w:val="clear" w:color="auto" w:fill="D5EAEA"/>
          </w:tcPr>
          <w:p>
            <w:pPr>
              <w:spacing w:after="0"/>
              <w:rPr>
                <w:sz w:val="12"/>
                <w:szCs w:val="12"/>
                <w:color w:val="auto"/>
              </w:rPr>
            </w:pPr>
          </w:p>
        </w:tc>
        <w:tc>
          <w:tcPr>
            <w:tcW w:w="1020" w:type="dxa"/>
            <w:vAlign w:val="bottom"/>
            <w:shd w:val="clear" w:color="auto" w:fill="D5EAEA"/>
          </w:tcPr>
          <w:p>
            <w:pPr>
              <w:spacing w:after="0"/>
              <w:rPr>
                <w:sz w:val="12"/>
                <w:szCs w:val="12"/>
                <w:color w:val="auto"/>
              </w:rPr>
            </w:pPr>
          </w:p>
        </w:tc>
        <w:tc>
          <w:tcPr>
            <w:tcW w:w="120" w:type="dxa"/>
            <w:vAlign w:val="bottom"/>
            <w:shd w:val="clear" w:color="auto" w:fill="D5EAEA"/>
          </w:tcPr>
          <w:p>
            <w:pPr>
              <w:spacing w:after="0"/>
              <w:rPr>
                <w:sz w:val="12"/>
                <w:szCs w:val="12"/>
                <w:color w:val="auto"/>
              </w:rPr>
            </w:pPr>
          </w:p>
        </w:tc>
        <w:tc>
          <w:tcPr>
            <w:tcW w:w="1040" w:type="dxa"/>
            <w:vAlign w:val="bottom"/>
            <w:shd w:val="clear" w:color="auto" w:fill="D5EAEA"/>
          </w:tcPr>
          <w:p>
            <w:pPr>
              <w:spacing w:after="0"/>
              <w:rPr>
                <w:sz w:val="12"/>
                <w:szCs w:val="12"/>
                <w:color w:val="auto"/>
              </w:rPr>
            </w:pPr>
          </w:p>
        </w:tc>
        <w:tc>
          <w:tcPr>
            <w:tcW w:w="100" w:type="dxa"/>
            <w:vAlign w:val="bottom"/>
            <w:shd w:val="clear" w:color="auto" w:fill="D5EAEA"/>
          </w:tcPr>
          <w:p>
            <w:pPr>
              <w:spacing w:after="0"/>
              <w:rPr>
                <w:sz w:val="12"/>
                <w:szCs w:val="12"/>
                <w:color w:val="auto"/>
              </w:rPr>
            </w:pPr>
          </w:p>
        </w:tc>
        <w:tc>
          <w:tcPr>
            <w:tcW w:w="1000" w:type="dxa"/>
            <w:vAlign w:val="bottom"/>
            <w:shd w:val="clear" w:color="auto" w:fill="D5EAEA"/>
          </w:tcPr>
          <w:p>
            <w:pPr>
              <w:spacing w:after="0"/>
              <w:rPr>
                <w:sz w:val="12"/>
                <w:szCs w:val="12"/>
                <w:color w:val="auto"/>
              </w:rPr>
            </w:pPr>
          </w:p>
        </w:tc>
        <w:tc>
          <w:tcPr>
            <w:tcW w:w="120" w:type="dxa"/>
            <w:vAlign w:val="bottom"/>
            <w:shd w:val="clear" w:color="auto" w:fill="D5EAEA"/>
          </w:tcPr>
          <w:p>
            <w:pPr>
              <w:spacing w:after="0"/>
              <w:rPr>
                <w:sz w:val="12"/>
                <w:szCs w:val="12"/>
                <w:color w:val="auto"/>
              </w:rPr>
            </w:pPr>
          </w:p>
        </w:tc>
        <w:tc>
          <w:tcPr>
            <w:tcW w:w="1000" w:type="dxa"/>
            <w:vAlign w:val="bottom"/>
            <w:shd w:val="clear" w:color="auto" w:fill="D5EAEA"/>
          </w:tcPr>
          <w:p>
            <w:pPr>
              <w:spacing w:after="0"/>
              <w:rPr>
                <w:sz w:val="12"/>
                <w:szCs w:val="12"/>
                <w:color w:val="auto"/>
              </w:rPr>
            </w:pPr>
          </w:p>
        </w:tc>
        <w:tc>
          <w:tcPr>
            <w:tcW w:w="100" w:type="dxa"/>
            <w:vAlign w:val="bottom"/>
            <w:shd w:val="clear" w:color="auto" w:fill="D5EAEA"/>
          </w:tcPr>
          <w:p>
            <w:pPr>
              <w:spacing w:after="0"/>
              <w:rPr>
                <w:sz w:val="12"/>
                <w:szCs w:val="12"/>
                <w:color w:val="auto"/>
              </w:rPr>
            </w:pPr>
          </w:p>
        </w:tc>
        <w:tc>
          <w:tcPr>
            <w:tcW w:w="1020" w:type="dxa"/>
            <w:vAlign w:val="bottom"/>
            <w:shd w:val="clear" w:color="auto" w:fill="D5EAEA"/>
          </w:tcPr>
          <w:p>
            <w:pPr>
              <w:spacing w:after="0"/>
              <w:rPr>
                <w:sz w:val="12"/>
                <w:szCs w:val="12"/>
                <w:color w:val="auto"/>
              </w:rPr>
            </w:pPr>
          </w:p>
        </w:tc>
        <w:tc>
          <w:tcPr>
            <w:tcW w:w="100" w:type="dxa"/>
            <w:vAlign w:val="bottom"/>
            <w:shd w:val="clear" w:color="auto" w:fill="D5EAEA"/>
          </w:tcPr>
          <w:p>
            <w:pPr>
              <w:spacing w:after="0"/>
              <w:rPr>
                <w:sz w:val="12"/>
                <w:szCs w:val="12"/>
                <w:color w:val="auto"/>
              </w:rPr>
            </w:pPr>
          </w:p>
        </w:tc>
        <w:tc>
          <w:tcPr>
            <w:tcW w:w="1000" w:type="dxa"/>
            <w:vAlign w:val="bottom"/>
            <w:shd w:val="clear" w:color="auto" w:fill="D5EAEA"/>
          </w:tcPr>
          <w:p>
            <w:pPr>
              <w:spacing w:after="0"/>
              <w:rPr>
                <w:sz w:val="12"/>
                <w:szCs w:val="1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Share-based payments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989</w:t>
            </w:r>
          </w:p>
        </w:tc>
      </w:tr>
      <w:tr>
        <w:trPr>
          <w:trHeight w:val="216"/>
        </w:trPr>
        <w:tc>
          <w:tcPr>
            <w:tcW w:w="4620" w:type="dxa"/>
            <w:vAlign w:val="bottom"/>
            <w:shd w:val="clear" w:color="auto" w:fill="D5EAEA"/>
          </w:tcPr>
          <w:p>
            <w:pPr>
              <w:spacing w:after="0"/>
              <w:rPr>
                <w:sz w:val="20"/>
                <w:szCs w:val="20"/>
                <w:color w:val="auto"/>
              </w:rPr>
            </w:pPr>
            <w:r>
              <w:rPr>
                <w:rFonts w:ascii="Arial" w:cs="Arial" w:eastAsia="Arial" w:hAnsi="Arial"/>
                <w:sz w:val="18"/>
                <w:szCs w:val="18"/>
                <w:color w:val="auto"/>
              </w:rPr>
              <w:t>Transaction offering costs</w:t>
            </w:r>
          </w:p>
        </w:tc>
        <w:tc>
          <w:tcPr>
            <w:tcW w:w="10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shares, net of transaction costs: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620" w:type="dxa"/>
            <w:vAlign w:val="bottom"/>
            <w:shd w:val="clear" w:color="auto" w:fill="D5EAEA"/>
          </w:tcPr>
          <w:p>
            <w:pPr>
              <w:ind w:left="140"/>
              <w:spacing w:after="0"/>
              <w:rPr>
                <w:sz w:val="20"/>
                <w:szCs w:val="20"/>
                <w:color w:val="auto"/>
              </w:rPr>
            </w:pPr>
            <w:r>
              <w:rPr>
                <w:rFonts w:ascii="Arial" w:cs="Arial" w:eastAsia="Arial" w:hAnsi="Arial"/>
                <w:sz w:val="18"/>
                <w:szCs w:val="18"/>
                <w:color w:val="auto"/>
              </w:rPr>
              <w:t>restricted share awards</w:t>
            </w:r>
          </w:p>
        </w:tc>
        <w:tc>
          <w:tcPr>
            <w:tcW w:w="10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exercise of options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46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March 31, 2022</w:t>
            </w:r>
          </w:p>
        </w:tc>
        <w:tc>
          <w:tcPr>
            <w:tcW w:w="10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1,795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431,253</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(218,793)</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214,131</w:t>
            </w:r>
          </w:p>
        </w:tc>
      </w:tr>
      <w:tr>
        <w:trPr>
          <w:trHeight w:val="20"/>
        </w:trPr>
        <w:tc>
          <w:tcPr>
            <w:tcW w:w="4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 (Unaudited).</w:t>
      </w: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23"/>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Notes</w:t>
            </w: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6980" w:type="dxa"/>
            <w:vAlign w:val="bottom"/>
            <w:vMerge w:val="continue"/>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Loss for the period</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(18,848)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(16,734)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Adjustments to reconcile net loss for the period to net cash flows: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Depreciation of property, plant and equipment</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Finance (income)/expense, net</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Change in net employee defined benefit liability</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Changes in working capital:</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Decrease in prepaid expenses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income</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Decrease/(increase) in other current receivables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expenses</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(5,128)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(Decrease)/increase in deferred income</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(Decrease) in trade and other payables</w:t>
            </w:r>
          </w:p>
        </w:tc>
        <w:tc>
          <w:tcPr>
            <w:tcW w:w="136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(23,008)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(17,322)</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paid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Finance costs</w:t>
            </w:r>
          </w:p>
        </w:tc>
        <w:tc>
          <w:tcPr>
            <w:tcW w:w="136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3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(23,143)</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(17,339)</w:t>
            </w:r>
          </w:p>
        </w:tc>
        <w:tc>
          <w:tcPr>
            <w:tcW w:w="0" w:type="dxa"/>
            <w:vAlign w:val="bottom"/>
          </w:tcPr>
          <w:p>
            <w:pPr>
              <w:spacing w:after="0"/>
              <w:rPr>
                <w:sz w:val="1"/>
                <w:szCs w:val="1"/>
                <w:color w:val="auto"/>
              </w:rPr>
            </w:pPr>
          </w:p>
        </w:tc>
      </w:tr>
      <w:tr>
        <w:trPr>
          <w:trHeight w:val="129"/>
        </w:trPr>
        <w:tc>
          <w:tcPr>
            <w:tcW w:w="6980" w:type="dxa"/>
            <w:vAlign w:val="bottom"/>
            <w:shd w:val="clear" w:color="auto" w:fill="D5EAEA"/>
          </w:tcPr>
          <w:p>
            <w:pPr>
              <w:spacing w:after="0"/>
              <w:rPr>
                <w:sz w:val="11"/>
                <w:szCs w:val="11"/>
                <w:color w:val="auto"/>
              </w:rPr>
            </w:pPr>
          </w:p>
        </w:tc>
        <w:tc>
          <w:tcPr>
            <w:tcW w:w="136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1340" w:type="dxa"/>
            <w:vAlign w:val="bottom"/>
            <w:shd w:val="clear" w:color="auto" w:fill="D5EAEA"/>
          </w:tcPr>
          <w:p>
            <w:pPr>
              <w:spacing w:after="0"/>
              <w:rPr>
                <w:sz w:val="11"/>
                <w:szCs w:val="11"/>
                <w:color w:val="auto"/>
              </w:rPr>
            </w:pPr>
          </w:p>
        </w:tc>
        <w:tc>
          <w:tcPr>
            <w:tcW w:w="100" w:type="dxa"/>
            <w:vAlign w:val="bottom"/>
            <w:shd w:val="clear" w:color="auto" w:fill="D5EAEA"/>
          </w:tcPr>
          <w:p>
            <w:pPr>
              <w:spacing w:after="0"/>
              <w:rPr>
                <w:sz w:val="11"/>
                <w:szCs w:val="11"/>
                <w:color w:val="auto"/>
              </w:rPr>
            </w:pPr>
          </w:p>
        </w:tc>
        <w:tc>
          <w:tcPr>
            <w:tcW w:w="134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Purchases of property, plant and equipment</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63"/>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3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129"/>
        </w:trPr>
        <w:tc>
          <w:tcPr>
            <w:tcW w:w="6980" w:type="dxa"/>
            <w:vAlign w:val="bottom"/>
            <w:shd w:val="clear" w:color="auto" w:fill="D5EAEA"/>
          </w:tcPr>
          <w:p>
            <w:pPr>
              <w:spacing w:after="0"/>
              <w:rPr>
                <w:sz w:val="11"/>
                <w:szCs w:val="11"/>
                <w:color w:val="auto"/>
              </w:rPr>
            </w:pPr>
          </w:p>
        </w:tc>
        <w:tc>
          <w:tcPr>
            <w:tcW w:w="136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1340" w:type="dxa"/>
            <w:vAlign w:val="bottom"/>
            <w:shd w:val="clear" w:color="auto" w:fill="D5EAEA"/>
          </w:tcPr>
          <w:p>
            <w:pPr>
              <w:spacing w:after="0"/>
              <w:rPr>
                <w:sz w:val="11"/>
                <w:szCs w:val="11"/>
                <w:color w:val="auto"/>
              </w:rPr>
            </w:pPr>
          </w:p>
        </w:tc>
        <w:tc>
          <w:tcPr>
            <w:tcW w:w="100" w:type="dxa"/>
            <w:vAlign w:val="bottom"/>
            <w:shd w:val="clear" w:color="auto" w:fill="D5EAEA"/>
          </w:tcPr>
          <w:p>
            <w:pPr>
              <w:spacing w:after="0"/>
              <w:rPr>
                <w:sz w:val="11"/>
                <w:szCs w:val="11"/>
                <w:color w:val="auto"/>
              </w:rPr>
            </w:pPr>
          </w:p>
        </w:tc>
        <w:tc>
          <w:tcPr>
            <w:tcW w:w="134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Principal payments of lease obligations</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Proceeds from sale of treasury shares in public offerings, net of underwriting fees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7,952</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Transaction costs on public offerings</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Transaction costs associated with issuance of shares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common shares</w:t>
            </w:r>
          </w:p>
        </w:tc>
        <w:tc>
          <w:tcPr>
            <w:tcW w:w="136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(used in)/provided by financing activities</w:t>
            </w:r>
          </w:p>
        </w:tc>
        <w:tc>
          <w:tcPr>
            <w:tcW w:w="13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7,707</w:t>
            </w:r>
          </w:p>
        </w:tc>
        <w:tc>
          <w:tcPr>
            <w:tcW w:w="0" w:type="dxa"/>
            <w:vAlign w:val="bottom"/>
          </w:tcPr>
          <w:p>
            <w:pPr>
              <w:spacing w:after="0"/>
              <w:rPr>
                <w:sz w:val="1"/>
                <w:szCs w:val="1"/>
                <w:color w:val="auto"/>
              </w:rPr>
            </w:pPr>
          </w:p>
        </w:tc>
      </w:tr>
      <w:tr>
        <w:trPr>
          <w:trHeight w:val="129"/>
        </w:trPr>
        <w:tc>
          <w:tcPr>
            <w:tcW w:w="6980" w:type="dxa"/>
            <w:vAlign w:val="bottom"/>
            <w:shd w:val="clear" w:color="auto" w:fill="D5EAEA"/>
          </w:tcPr>
          <w:p>
            <w:pPr>
              <w:spacing w:after="0"/>
              <w:rPr>
                <w:sz w:val="11"/>
                <w:szCs w:val="11"/>
                <w:color w:val="auto"/>
              </w:rPr>
            </w:pPr>
          </w:p>
        </w:tc>
        <w:tc>
          <w:tcPr>
            <w:tcW w:w="136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1340" w:type="dxa"/>
            <w:vAlign w:val="bottom"/>
            <w:shd w:val="clear" w:color="auto" w:fill="D5EAEA"/>
          </w:tcPr>
          <w:p>
            <w:pPr>
              <w:spacing w:after="0"/>
              <w:rPr>
                <w:sz w:val="11"/>
                <w:szCs w:val="11"/>
                <w:color w:val="auto"/>
              </w:rPr>
            </w:pPr>
          </w:p>
        </w:tc>
        <w:tc>
          <w:tcPr>
            <w:tcW w:w="100" w:type="dxa"/>
            <w:vAlign w:val="bottom"/>
            <w:shd w:val="clear" w:color="auto" w:fill="D5EAEA"/>
          </w:tcPr>
          <w:p>
            <w:pPr>
              <w:spacing w:after="0"/>
              <w:rPr>
                <w:sz w:val="11"/>
                <w:szCs w:val="11"/>
                <w:color w:val="auto"/>
              </w:rPr>
            </w:pPr>
          </w:p>
        </w:tc>
        <w:tc>
          <w:tcPr>
            <w:tcW w:w="134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360" w:type="dxa"/>
            <w:vAlign w:val="bottom"/>
            <w:tcBorders>
              <w:bottom w:val="single" w:sz="8" w:color="D5EAEA"/>
            </w:tcBorders>
          </w:tcPr>
          <w:p>
            <w:pPr>
              <w:spacing w:after="0"/>
              <w:rPr>
                <w:sz w:val="24"/>
                <w:szCs w:val="24"/>
                <w:color w:val="auto"/>
              </w:rPr>
            </w:pPr>
          </w:p>
        </w:tc>
        <w:tc>
          <w:tcPr>
            <w:tcW w:w="120" w:type="dxa"/>
            <w:vAlign w:val="bottom"/>
            <w:tcBorders>
              <w:bottom w:val="single" w:sz="8" w:color="D5EAEA"/>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(24,599)</w:t>
            </w:r>
          </w:p>
        </w:tc>
        <w:tc>
          <w:tcPr>
            <w:tcW w:w="100" w:type="dxa"/>
            <w:vAlign w:val="bottom"/>
            <w:tcBorders>
              <w:bottom w:val="single" w:sz="8" w:color="D5EAEA"/>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w:t>
            </w:r>
          </w:p>
        </w:tc>
        <w:tc>
          <w:tcPr>
            <w:tcW w:w="0" w:type="dxa"/>
            <w:vAlign w:val="bottom"/>
          </w:tcPr>
          <w:p>
            <w:pPr>
              <w:spacing w:after="0"/>
              <w:rPr>
                <w:sz w:val="1"/>
                <w:szCs w:val="1"/>
                <w:color w:val="auto"/>
              </w:rPr>
            </w:pPr>
          </w:p>
        </w:tc>
      </w:tr>
      <w:tr>
        <w:trPr>
          <w:trHeight w:val="129"/>
        </w:trPr>
        <w:tc>
          <w:tcPr>
            <w:tcW w:w="6980" w:type="dxa"/>
            <w:vAlign w:val="bottom"/>
            <w:shd w:val="clear" w:color="auto" w:fill="D5EAEA"/>
          </w:tcPr>
          <w:p>
            <w:pPr>
              <w:spacing w:after="0"/>
              <w:rPr>
                <w:sz w:val="11"/>
                <w:szCs w:val="11"/>
                <w:color w:val="auto"/>
              </w:rPr>
            </w:pPr>
          </w:p>
        </w:tc>
        <w:tc>
          <w:tcPr>
            <w:tcW w:w="136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1340" w:type="dxa"/>
            <w:vAlign w:val="bottom"/>
            <w:shd w:val="clear" w:color="auto" w:fill="D5EAEA"/>
          </w:tcPr>
          <w:p>
            <w:pPr>
              <w:spacing w:after="0"/>
              <w:rPr>
                <w:sz w:val="11"/>
                <w:szCs w:val="11"/>
                <w:color w:val="auto"/>
              </w:rPr>
            </w:pPr>
          </w:p>
        </w:tc>
        <w:tc>
          <w:tcPr>
            <w:tcW w:w="100" w:type="dxa"/>
            <w:vAlign w:val="bottom"/>
            <w:shd w:val="clear" w:color="auto" w:fill="D5EAEA"/>
          </w:tcPr>
          <w:p>
            <w:pPr>
              <w:spacing w:after="0"/>
              <w:rPr>
                <w:sz w:val="11"/>
                <w:szCs w:val="11"/>
                <w:color w:val="auto"/>
              </w:rPr>
            </w:pPr>
          </w:p>
        </w:tc>
        <w:tc>
          <w:tcPr>
            <w:tcW w:w="134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82,216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160,893</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Exchange gain/(loss) on cash and cash equivalents</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Cash and cash equivalents at March 31</w:t>
            </w:r>
          </w:p>
        </w:tc>
        <w:tc>
          <w:tcPr>
            <w:tcW w:w="136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57,835</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151,092</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36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(24,599)</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(10,422)</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Supplemental non-cash activity</w:t>
            </w: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80"/>
              <w:spacing w:after="0"/>
              <w:rPr>
                <w:sz w:val="20"/>
                <w:szCs w:val="20"/>
                <w:color w:val="auto"/>
              </w:rPr>
            </w:pPr>
            <w:r>
              <w:rPr>
                <w:rFonts w:ascii="Arial" w:cs="Arial" w:eastAsia="Arial" w:hAnsi="Arial"/>
                <w:sz w:val="18"/>
                <w:szCs w:val="18"/>
                <w:color w:val="auto"/>
              </w:rPr>
              <w:t>Capital expenditures in Trade and other payables or Accrued expenses</w:t>
            </w:r>
          </w:p>
        </w:tc>
        <w:tc>
          <w:tcPr>
            <w:tcW w:w="1360" w:type="dxa"/>
            <w:vAlign w:val="bottom"/>
            <w:shd w:val="clear" w:color="auto" w:fill="D5EAEA"/>
          </w:tcPr>
          <w:p>
            <w:pPr>
              <w:jc w:val="right"/>
              <w:ind w:right="5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 (Unaudited).</w:t>
      </w: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share and per share amounts)</w:t>
      </w:r>
    </w:p>
    <w:p>
      <w:pPr>
        <w:spacing w:after="0" w:line="207"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AC Immune SA was founded in 2003. The Company controls a fully-owned subsidiary, AC Immune USA, Inc. (“AC Immune USA” or “Subsidiary” and, together with AC Immune SA, “AC Immune,” “ACIU,” “Company,” “we,” “our,” “ours,” “us”), which was registered and organized under the laws of Delaware, USA in June 2021. The Company and its Subsidiary form the Group (See “Note 2. Basis of Preparation”).</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7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Interim Condensed Consolidated Financial Statements of AC Immune SA as of and for the three months ended March 31, 2022 were authorized for issuance by the Company’s Audit and Finance Committee on April 26, 2022.</w:t>
      </w:r>
    </w:p>
    <w:p>
      <w:pPr>
        <w:spacing w:after="0" w:line="166" w:lineRule="exact"/>
        <w:rPr>
          <w:sz w:val="20"/>
          <w:szCs w:val="20"/>
          <w:color w:val="auto"/>
        </w:rPr>
      </w:pPr>
    </w:p>
    <w:p>
      <w:pPr>
        <w:ind w:right="5460" w:firstLine="8"/>
        <w:spacing w:after="0" w:line="503" w:lineRule="auto"/>
        <w:tabs>
          <w:tab w:leader="none" w:pos="3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ind w:right="120" w:firstLine="324"/>
        <w:spacing w:after="0" w:line="259" w:lineRule="auto"/>
        <w:rPr>
          <w:sz w:val="20"/>
          <w:szCs w:val="20"/>
          <w:color w:val="auto"/>
        </w:rPr>
      </w:pPr>
      <w:r>
        <w:rPr>
          <w:rFonts w:ascii="Arial" w:cs="Arial" w:eastAsia="Arial" w:hAnsi="Arial"/>
          <w:sz w:val="18"/>
          <w:szCs w:val="18"/>
          <w:color w:val="auto"/>
        </w:rPr>
        <w:t xml:space="preserve">These Interim Condensed Consolidated Financial Statements as of March 31, 2022 and for the three months ended March 31, 2022 and 2021, have been prepared in accordance with International Accounting Standard 34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xml:space="preserve"> as issued by the International Accounting Standards Board (IASB), and such financial information should be read in conjunction with the audited consolidated financial statements in AC Immune’s Annual Report on Form 20-F for the year ended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These Interim Condensed Consolidated Financial Statements have been prepared under the historical cost convention except for items that are required to be accounted for at fair value.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Functional and reporting currency</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p>
      <w:pPr>
        <w:spacing w:after="0" w:line="180"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CHF/USD</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90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Closing rate, USD 1</w:t>
            </w:r>
          </w:p>
        </w:tc>
        <w:tc>
          <w:tcPr>
            <w:tcW w:w="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w w:val="97"/>
              </w:rPr>
              <w:t>0.932</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ind w:left="1280"/>
              <w:spacing w:after="0"/>
              <w:rPr>
                <w:sz w:val="20"/>
                <w:szCs w:val="20"/>
                <w:color w:val="auto"/>
              </w:rPr>
            </w:pPr>
            <w:r>
              <w:rPr>
                <w:rFonts w:ascii="Arial" w:cs="Arial" w:eastAsia="Arial" w:hAnsi="Arial"/>
                <w:sz w:val="18"/>
                <w:szCs w:val="18"/>
                <w:color w:val="auto"/>
              </w:rPr>
              <w:t>—</w:t>
            </w: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Weighted average exchange rate, USD 1</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0.933</w:t>
            </w:r>
          </w:p>
        </w:tc>
        <w:tc>
          <w:tcPr>
            <w:tcW w:w="100" w:type="dxa"/>
            <w:vAlign w:val="bottom"/>
          </w:tcPr>
          <w:p>
            <w:pPr>
              <w:spacing w:after="0"/>
              <w:rPr>
                <w:sz w:val="20"/>
                <w:szCs w:val="20"/>
                <w:color w:val="auto"/>
              </w:rPr>
            </w:pP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Company wholly owns its Subsidiary and fully consolidates its financial statements into these Interim Condensed Consolidated Financial Statements.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jc w:val="both"/>
        <w:ind w:firstLine="321"/>
        <w:spacing w:after="0" w:line="311" w:lineRule="auto"/>
        <w:rPr>
          <w:sz w:val="20"/>
          <w:szCs w:val="20"/>
          <w:color w:val="auto"/>
        </w:rPr>
      </w:pPr>
      <w:r>
        <w:rPr>
          <w:rFonts w:ascii="Arial" w:cs="Arial" w:eastAsia="Arial" w:hAnsi="Arial"/>
          <w:sz w:val="16"/>
          <w:szCs w:val="16"/>
          <w:color w:val="auto"/>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spacing w:after="0" w:line="14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Licensing and Collaboration Agreements, (ii) clinical development accruals, (iii) net employee defined benefit liability, (iv) income taxes, (v) share-based compensation, (vi) right-of-use assets and lease liabilities and (vii) our IPR&amp;D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jc w:val="both"/>
        <w:ind w:right="40" w:firstLine="321"/>
        <w:spacing w:after="0" w:line="311" w:lineRule="auto"/>
        <w:rPr>
          <w:sz w:val="20"/>
          <w:szCs w:val="20"/>
          <w:color w:val="auto"/>
        </w:rPr>
      </w:pPr>
      <w:r>
        <w:rPr>
          <w:rFonts w:ascii="Arial" w:cs="Arial" w:eastAsia="Arial" w:hAnsi="Arial"/>
          <w:sz w:val="16"/>
          <w:szCs w:val="16"/>
          <w:color w:val="auto"/>
        </w:rPr>
        <w:t>The Company’s financial assets and liabilities are composed of receivables, short-term and long-term financial assets, cash and cash equivalents, trade and other payables, accrued expenses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accounting policies adopted in the preparation of the Interim Condensed Consolidated Financial Statements are consistent with those followed in the preparation of the Company’s annual consolidated financial statements for the year ended December 31, 2021.</w:t>
      </w:r>
    </w:p>
    <w:p>
      <w:pPr>
        <w:spacing w:after="0" w:line="170"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Company has not adopted any other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believes that it will be able to meet all of its obligations as they fall due for at least 12 months from March 31, 2022, after considering the Company’s cash position of CHF 57.8 million and short-term financial assets of CHF 116.0 million as of March 31, 2022. Hence, the unaudited Interim Condensed Consolidated Financial Statements have been prepared on a going-concern basis.</w:t>
      </w:r>
    </w:p>
    <w:p>
      <w:pPr>
        <w:spacing w:after="0" w:line="184"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To date, the Company has financed its cash requirements primarily from its public offerings, share issuances, contract revenues from license and collaboration agreements and grants.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to the foregoing, based on the Company’s current assessment, the Company does not expect any material impact on its long-term development timeline, its liquidity or ability to remain a going concern due to the worldwide spread of the Covid-19 virus. The Company continues to assess the effect on its operations by carefully monitoring the spread of Covid-19 and taking appropriate steps intended to offset any negative impacts from the Covid-19 virus.</w:t>
      </w:r>
    </w:p>
    <w:p>
      <w:pPr>
        <w:spacing w:after="0" w:line="18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Contract revenues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2022 and 2021, AC Immune generated no contract revenues. This represents no change.</w:t>
      </w: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left="340"/>
        <w:spacing w:after="0"/>
        <w:rPr>
          <w:sz w:val="20"/>
          <w:szCs w:val="20"/>
          <w:color w:val="auto"/>
        </w:rPr>
      </w:pPr>
      <w:r>
        <w:rPr>
          <w:rFonts w:ascii="Arial" w:cs="Arial" w:eastAsia="Arial" w:hAnsi="Arial"/>
          <w:sz w:val="17"/>
          <w:szCs w:val="17"/>
          <w:color w:val="auto"/>
        </w:rPr>
        <w:t>The following table presents changes in the Company’s contract assets and liabilities during the three months ended March 31, 2022 and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Balance at the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Balance at the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beginning of the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end of the</w:t>
            </w:r>
          </w:p>
        </w:tc>
      </w:tr>
      <w:tr>
        <w:trPr>
          <w:trHeight w:val="234"/>
        </w:trPr>
        <w:tc>
          <w:tcPr>
            <w:tcW w:w="5520" w:type="dxa"/>
            <w:vAlign w:val="bottom"/>
            <w:gridSpan w:val="2"/>
          </w:tcPr>
          <w:p>
            <w:pPr>
              <w:ind w:left="2000"/>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reporting period</w:t>
            </w: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Additions</w:t>
            </w: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Deductions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reporting period</w:t>
            </w:r>
          </w:p>
        </w:tc>
      </w:tr>
      <w:tr>
        <w:trPr>
          <w:trHeight w:val="209"/>
        </w:trPr>
        <w:tc>
          <w:tcPr>
            <w:tcW w:w="5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152</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781</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673</w:t>
            </w:r>
          </w:p>
        </w:tc>
      </w:tr>
    </w:tbl>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During the three months ended March 31, 2022 and 2021, the Company did not recognize contract revenues as a result of changes in the contract asset and the contract liability balances in the respective periods nor from performance obligations satisfied in previous periods.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3.1 Licensing and collaboration agreements</w:t>
      </w:r>
    </w:p>
    <w:p>
      <w:pPr>
        <w:spacing w:after="0" w:line="229"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For a discussion of our licensing and collaboration agreements for the fiscal year ended December 31, 2021, please refer to Note 13.1 “Licensing and Collaboration agreements” of our Annual Report on Form 20-F for the year ended December 31, 2021 filed on March 22, 2022.</w:t>
      </w:r>
    </w:p>
    <w:p>
      <w:pPr>
        <w:spacing w:after="0" w:line="14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it relates to revenue recognition, there have been no significant events or transactions associated with our license and collaboration agreements that have occurred for the three months ended March 31, 2022.</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3.2 Grant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from the Michael J. Fox Foundation</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For a discussion of our Grants from the Michael J. Fox Foundation (“MJFF”) for the fiscal year ended December 31, 2021, please refer to Note 13.2 “Grant Income” of our Annual Report on Form 20-F for the year ended December 31, 2021 filed on March 22, 2022.</w:t>
      </w:r>
    </w:p>
    <w:p>
      <w:pPr>
        <w:spacing w:after="0" w:line="170"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For the three months ended March 31, 2022 and 2021, the Company has recognized CHF 0.4 million and CHF 0.4 million in grant income, respectively. As of March 31, 2022, the Company has recorded CHF 0.2 million as deferred income.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from the Target ALS Foundation</w:t>
      </w:r>
    </w:p>
    <w:p>
      <w:pPr>
        <w:spacing w:after="0" w:line="225" w:lineRule="exact"/>
        <w:rPr>
          <w:sz w:val="20"/>
          <w:szCs w:val="20"/>
          <w:color w:val="auto"/>
        </w:rPr>
      </w:pPr>
    </w:p>
    <w:p>
      <w:pPr>
        <w:ind w:right="440" w:firstLine="324"/>
        <w:spacing w:after="0" w:line="311" w:lineRule="auto"/>
        <w:rPr>
          <w:sz w:val="20"/>
          <w:szCs w:val="20"/>
          <w:color w:val="auto"/>
        </w:rPr>
      </w:pPr>
      <w:r>
        <w:rPr>
          <w:rFonts w:ascii="Arial" w:cs="Arial" w:eastAsia="Arial" w:hAnsi="Arial"/>
          <w:sz w:val="16"/>
          <w:szCs w:val="16"/>
          <w:color w:val="auto"/>
        </w:rPr>
        <w:t>In Q1 2021, AC Immune was awarded a USD 0.3 (CHF 0.2) million grant from the Target ALS Foundation (“Target ALS”). This grant funds a collaboration between the Company and the Investigators at the Healey Center for ALS at Massachusetts General Hospital (“MGH”) to accelerate the development of the Company’s proprietary immunoassays to detect disease-associated forms of TDP-43 in CSF and blood samples.</w:t>
      </w:r>
    </w:p>
    <w:p>
      <w:pPr>
        <w:spacing w:after="0" w:line="14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For the three months ended March 31, 2022 and 2021, the Company recognized less than CHF 0.1 million, respectively. As of March 31, 2022, the Company recorded CHF 0.1 million in accrued income and CHF 0.1 million in deferred income, respectively.</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280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(EPS)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 attributable to equity holders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ind w:right="300"/>
        <w:spacing w:after="0" w:line="250" w:lineRule="auto"/>
        <w:rPr>
          <w:sz w:val="20"/>
          <w:szCs w:val="20"/>
          <w:color w:val="auto"/>
        </w:rPr>
      </w:pPr>
      <w:r>
        <w:rPr>
          <w:rFonts w:ascii="Arial" w:cs="Arial" w:eastAsia="Arial" w:hAnsi="Arial"/>
          <w:sz w:val="18"/>
          <w:szCs w:val="18"/>
          <w:color w:val="auto"/>
        </w:rPr>
        <w:t>Weighted-average number of shares outstanding used to compute EPS basic and diluted attributable to equity 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for the period attributable to equity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5715</wp:posOffset>
            </wp:positionV>
            <wp:extent cx="1774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ind w:left="60"/>
        <w:spacing w:after="0"/>
        <w:tabs>
          <w:tab w:leader="none" w:pos="15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17145</wp:posOffset>
            </wp:positionV>
            <wp:extent cx="17741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260"/>
        <w:spacing w:after="0"/>
        <w:tabs>
          <w:tab w:leader="none" w:pos="1680" w:val="left"/>
        </w:tabs>
        <w:rPr>
          <w:sz w:val="20"/>
          <w:szCs w:val="20"/>
          <w:color w:val="auto"/>
        </w:rPr>
      </w:pPr>
      <w:r>
        <w:rPr>
          <w:rFonts w:ascii="Arial" w:cs="Arial" w:eastAsia="Arial" w:hAnsi="Arial"/>
          <w:sz w:val="18"/>
          <w:szCs w:val="18"/>
          <w:color w:val="auto"/>
        </w:rPr>
        <w:t>(18,848)</w:t>
      </w:r>
      <w:r>
        <w:rPr>
          <w:sz w:val="20"/>
          <w:szCs w:val="20"/>
          <w:color w:val="auto"/>
        </w:rPr>
        <w:tab/>
      </w:r>
      <w:r>
        <w:rPr>
          <w:rFonts w:ascii="Arial" w:cs="Arial" w:eastAsia="Arial" w:hAnsi="Arial"/>
          <w:sz w:val="18"/>
          <w:szCs w:val="18"/>
          <w:color w:val="auto"/>
        </w:rPr>
        <w:t>(16,734)</w:t>
      </w:r>
    </w:p>
    <w:p>
      <w:pPr>
        <w:spacing w:after="0" w:line="200" w:lineRule="exact"/>
        <w:rPr>
          <w:sz w:val="20"/>
          <w:szCs w:val="20"/>
          <w:color w:val="auto"/>
        </w:rPr>
      </w:pPr>
    </w:p>
    <w:p>
      <w:pPr>
        <w:spacing w:after="0" w:line="255" w:lineRule="exact"/>
        <w:rPr>
          <w:sz w:val="20"/>
          <w:szCs w:val="20"/>
          <w:color w:val="auto"/>
        </w:rPr>
      </w:pPr>
    </w:p>
    <w:p>
      <w:pPr>
        <w:spacing w:after="0"/>
        <w:tabs>
          <w:tab w:leader="none" w:pos="1420" w:val="left"/>
        </w:tabs>
        <w:rPr>
          <w:sz w:val="20"/>
          <w:szCs w:val="20"/>
          <w:color w:val="auto"/>
        </w:rPr>
      </w:pPr>
      <w:r>
        <w:rPr>
          <w:rFonts w:ascii="Arial" w:cs="Arial" w:eastAsia="Arial" w:hAnsi="Arial"/>
          <w:sz w:val="17"/>
          <w:szCs w:val="17"/>
          <w:color w:val="auto"/>
        </w:rPr>
        <w:t>83,486,354</w:t>
      </w:r>
      <w:r>
        <w:rPr>
          <w:sz w:val="20"/>
          <w:szCs w:val="20"/>
          <w:color w:val="auto"/>
        </w:rPr>
        <w:tab/>
      </w:r>
      <w:r>
        <w:rPr>
          <w:rFonts w:ascii="Arial" w:cs="Arial" w:eastAsia="Arial" w:hAnsi="Arial"/>
          <w:sz w:val="17"/>
          <w:szCs w:val="17"/>
          <w:color w:val="auto"/>
        </w:rPr>
        <w:t>72,305,949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22225</wp:posOffset>
            </wp:positionV>
            <wp:extent cx="17741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8" w:lineRule="exact"/>
        <w:rPr>
          <w:sz w:val="20"/>
          <w:szCs w:val="20"/>
          <w:color w:val="auto"/>
        </w:rPr>
      </w:pPr>
    </w:p>
    <w:p>
      <w:pPr>
        <w:jc w:val="right"/>
        <w:ind w:right="40"/>
        <w:spacing w:after="0"/>
        <w:tabs>
          <w:tab w:leader="none" w:pos="420" w:val="left"/>
        </w:tabs>
        <w:rPr>
          <w:sz w:val="20"/>
          <w:szCs w:val="20"/>
          <w:color w:val="auto"/>
        </w:rPr>
      </w:pPr>
      <w:r>
        <w:rPr>
          <w:rFonts w:ascii="Arial" w:cs="Arial" w:eastAsia="Arial" w:hAnsi="Arial"/>
          <w:sz w:val="18"/>
          <w:szCs w:val="18"/>
          <w:color w:val="auto"/>
        </w:rPr>
        <w:t>(0.23)</w:t>
      </w:r>
      <w:r>
        <w:rPr>
          <w:sz w:val="20"/>
          <w:szCs w:val="20"/>
          <w:color w:val="auto"/>
        </w:rPr>
        <w:tab/>
      </w:r>
      <w:r>
        <w:rPr>
          <w:rFonts w:ascii="Arial" w:cs="Arial" w:eastAsia="Arial" w:hAnsi="Arial"/>
          <w:sz w:val="16"/>
          <w:szCs w:val="16"/>
          <w:color w:val="auto"/>
        </w:rPr>
        <w:t>(0.23)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14605</wp:posOffset>
            </wp:positionV>
            <wp:extent cx="177419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7419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60" w:space="720"/>
            <w:col w:w="2360"/>
          </w:cols>
          <w:pgMar w:left="320" w:top="553" w:right="339" w:bottom="1440" w:gutter="0" w:footer="0" w:header="0"/>
        </w:sectPr>
      </w:pPr>
    </w:p>
    <w:p>
      <w:pPr>
        <w:spacing w:after="0" w:line="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Potentially dilutive securities that were not included in the diluted per share calculations because they would be anti-dilutive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8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844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Ended March 31,</w:t>
            </w:r>
          </w:p>
        </w:tc>
      </w:tr>
      <w:tr>
        <w:trPr>
          <w:trHeight w:val="223"/>
        </w:trPr>
        <w:tc>
          <w:tcPr>
            <w:tcW w:w="844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10"/>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199,636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1,180,778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14,711</w:t>
            </w:r>
          </w:p>
        </w:tc>
      </w:tr>
    </w:tbl>
    <w:p>
      <w:pPr>
        <w:spacing w:after="0" w:line="18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shows the movement in the net book values of property, plant and equipment for the three months ended March 31,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As of March 31, 2022</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60"/>
              <w:spacing w:after="0" w:line="191" w:lineRule="exact"/>
              <w:rPr>
                <w:sz w:val="20"/>
                <w:szCs w:val="20"/>
                <w:color w:val="auto"/>
              </w:rPr>
            </w:pPr>
            <w:r>
              <w:rPr>
                <w:rFonts w:ascii="Arial" w:cs="Arial" w:eastAsia="Arial" w:hAnsi="Arial"/>
                <w:sz w:val="18"/>
                <w:szCs w:val="18"/>
                <w:b w:val="1"/>
                <w:bCs w:val="1"/>
                <w:color w:val="auto"/>
              </w:rPr>
              <w:t>Assets</w:t>
            </w:r>
          </w:p>
        </w:tc>
        <w:tc>
          <w:tcPr>
            <w:tcW w:w="1000" w:type="dxa"/>
            <w:vAlign w:val="bottom"/>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IT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Lab</w:t>
            </w: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Leasehold</w:t>
            </w:r>
          </w:p>
        </w:tc>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Under</w:t>
            </w:r>
          </w:p>
        </w:tc>
        <w:tc>
          <w:tcPr>
            <w:tcW w:w="1000" w:type="dxa"/>
            <w:vAlign w:val="bottom"/>
          </w:tcPr>
          <w:p>
            <w:pPr>
              <w:spacing w:after="0"/>
              <w:rPr>
                <w:sz w:val="18"/>
                <w:szCs w:val="18"/>
                <w:color w:val="auto"/>
              </w:rPr>
            </w:pPr>
          </w:p>
        </w:tc>
      </w:tr>
      <w:tr>
        <w:trPr>
          <w:trHeight w:val="234"/>
        </w:trPr>
        <w:tc>
          <w:tcPr>
            <w:tcW w:w="4600" w:type="dxa"/>
            <w:vAlign w:val="bottom"/>
            <w:gridSpan w:val="2"/>
          </w:tcPr>
          <w:p>
            <w:pPr>
              <w:ind w:left="1540"/>
              <w:spacing w:after="0"/>
              <w:rPr>
                <w:sz w:val="20"/>
                <w:szCs w:val="20"/>
                <w:color w:val="auto"/>
              </w:rPr>
            </w:pPr>
            <w:r>
              <w:rPr>
                <w:rFonts w:ascii="Arial" w:cs="Arial" w:eastAsia="Arial" w:hAnsi="Arial"/>
                <w:sz w:val="18"/>
                <w:szCs w:val="18"/>
                <w:b w:val="1"/>
                <w:bCs w:val="1"/>
                <w:color w:val="auto"/>
              </w:rPr>
              <w:t>in CHF thousands</w:t>
            </w: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Furniture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Equipment</w:t>
            </w:r>
          </w:p>
        </w:tc>
        <w:tc>
          <w:tcPr>
            <w:tcW w:w="2320" w:type="dxa"/>
            <w:vAlign w:val="bottom"/>
            <w:gridSpan w:val="4"/>
          </w:tcPr>
          <w:p>
            <w:pPr>
              <w:spacing w:after="0"/>
              <w:rPr>
                <w:sz w:val="20"/>
                <w:szCs w:val="20"/>
                <w:color w:val="auto"/>
              </w:rPr>
            </w:pPr>
            <w:r>
              <w:rPr>
                <w:rFonts w:ascii="Arial" w:cs="Arial" w:eastAsia="Arial" w:hAnsi="Arial"/>
                <w:sz w:val="18"/>
                <w:szCs w:val="18"/>
                <w:b w:val="1"/>
                <w:bCs w:val="1"/>
                <w:color w:val="auto"/>
                <w:w w:val="95"/>
              </w:rPr>
              <w:t>Improvements Construction</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09"/>
        </w:trPr>
        <w:tc>
          <w:tcPr>
            <w:tcW w:w="44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Acquisition Cost</w:t>
            </w:r>
          </w:p>
        </w:tc>
        <w:tc>
          <w:tcPr>
            <w:tcW w:w="12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tcBorders>
            <w:shd w:val="clear" w:color="auto" w:fill="D5EAEA"/>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2021</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12,666</w:t>
            </w:r>
          </w:p>
        </w:tc>
      </w:tr>
      <w:tr>
        <w:trPr>
          <w:trHeight w:val="216"/>
        </w:trPr>
        <w:tc>
          <w:tcPr>
            <w:tcW w:w="46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Additions</w:t>
            </w: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252</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Transfers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at March 31, 2022</w:t>
            </w:r>
          </w:p>
        </w:tc>
        <w:tc>
          <w:tcPr>
            <w:tcW w:w="100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1,798</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9,332</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820</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12,918</w:t>
            </w: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9"/>
        </w:trPr>
        <w:tc>
          <w:tcPr>
            <w:tcW w:w="4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16"/>
        </w:trPr>
        <w:tc>
          <w:tcPr>
            <w:tcW w:w="460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Accumulated depreciation</w:t>
            </w: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2021</w:t>
            </w: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(7,550)</w:t>
            </w:r>
          </w:p>
        </w:tc>
      </w:tr>
      <w:tr>
        <w:trPr>
          <w:trHeight w:val="229"/>
        </w:trPr>
        <w:tc>
          <w:tcPr>
            <w:tcW w:w="46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5EAEA"/>
          </w:tcPr>
          <w:p>
            <w:pPr>
              <w:spacing w:after="0"/>
              <w:rPr>
                <w:sz w:val="19"/>
                <w:szCs w:val="19"/>
                <w:color w:val="auto"/>
              </w:rPr>
            </w:pP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D5EAEA"/>
          </w:tcPr>
          <w:p>
            <w:pPr>
              <w:spacing w:after="0"/>
              <w:rPr>
                <w:sz w:val="19"/>
                <w:szCs w:val="19"/>
                <w:color w:val="auto"/>
              </w:rPr>
            </w:pP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D5EAEA"/>
          </w:tcPr>
          <w:p>
            <w:pPr>
              <w:spacing w:after="0"/>
              <w:rPr>
                <w:sz w:val="19"/>
                <w:szCs w:val="19"/>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(460)</w:t>
            </w:r>
          </w:p>
        </w:tc>
      </w:tr>
      <w:tr>
        <w:trPr>
          <w:trHeight w:val="263"/>
        </w:trPr>
        <w:tc>
          <w:tcPr>
            <w:tcW w:w="46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Balance at March 31, 2022</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Borders>
              <w:bottom w:val="single" w:sz="8" w:color="D5EAEA"/>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(8,010)</w:t>
            </w:r>
          </w:p>
        </w:tc>
      </w:tr>
      <w:tr>
        <w:trPr>
          <w:trHeight w:val="129"/>
        </w:trPr>
        <w:tc>
          <w:tcPr>
            <w:tcW w:w="44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1000" w:type="dxa"/>
            <w:vAlign w:val="bottom"/>
            <w:shd w:val="clear" w:color="auto" w:fill="D5EAEA"/>
          </w:tcPr>
          <w:p>
            <w:pPr>
              <w:spacing w:after="0"/>
              <w:rPr>
                <w:sz w:val="11"/>
                <w:szCs w:val="11"/>
                <w:color w:val="auto"/>
              </w:rPr>
            </w:pPr>
          </w:p>
        </w:tc>
        <w:tc>
          <w:tcPr>
            <w:tcW w:w="100" w:type="dxa"/>
            <w:vAlign w:val="bottom"/>
            <w:shd w:val="clear" w:color="auto" w:fill="D5EAEA"/>
          </w:tcPr>
          <w:p>
            <w:pPr>
              <w:spacing w:after="0"/>
              <w:rPr>
                <w:sz w:val="11"/>
                <w:szCs w:val="11"/>
                <w:color w:val="auto"/>
              </w:rPr>
            </w:pPr>
          </w:p>
        </w:tc>
        <w:tc>
          <w:tcPr>
            <w:tcW w:w="100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1000" w:type="dxa"/>
            <w:vAlign w:val="bottom"/>
            <w:shd w:val="clear" w:color="auto" w:fill="D5EAEA"/>
          </w:tcPr>
          <w:p>
            <w:pPr>
              <w:spacing w:after="0"/>
              <w:rPr>
                <w:sz w:val="11"/>
                <w:szCs w:val="11"/>
                <w:color w:val="auto"/>
              </w:rPr>
            </w:pPr>
          </w:p>
        </w:tc>
        <w:tc>
          <w:tcPr>
            <w:tcW w:w="100" w:type="dxa"/>
            <w:vAlign w:val="bottom"/>
            <w:shd w:val="clear" w:color="auto" w:fill="D5EAEA"/>
          </w:tcPr>
          <w:p>
            <w:pPr>
              <w:spacing w:after="0"/>
              <w:rPr>
                <w:sz w:val="11"/>
                <w:szCs w:val="11"/>
                <w:color w:val="auto"/>
              </w:rPr>
            </w:pPr>
          </w:p>
        </w:tc>
        <w:tc>
          <w:tcPr>
            <w:tcW w:w="110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1000" w:type="dxa"/>
            <w:vAlign w:val="bottom"/>
            <w:shd w:val="clear" w:color="auto" w:fill="D5EAEA"/>
          </w:tcPr>
          <w:p>
            <w:pPr>
              <w:spacing w:after="0"/>
              <w:rPr>
                <w:sz w:val="11"/>
                <w:szCs w:val="11"/>
                <w:color w:val="auto"/>
              </w:rPr>
            </w:pPr>
          </w:p>
        </w:tc>
        <w:tc>
          <w:tcPr>
            <w:tcW w:w="100" w:type="dxa"/>
            <w:vAlign w:val="bottom"/>
            <w:shd w:val="clear" w:color="auto" w:fill="D5EAEA"/>
          </w:tcPr>
          <w:p>
            <w:pPr>
              <w:spacing w:after="0"/>
              <w:rPr>
                <w:sz w:val="11"/>
                <w:szCs w:val="11"/>
                <w:color w:val="auto"/>
              </w:rPr>
            </w:pPr>
          </w:p>
        </w:tc>
        <w:tc>
          <w:tcPr>
            <w:tcW w:w="1000" w:type="dxa"/>
            <w:vAlign w:val="bottom"/>
            <w:shd w:val="clear" w:color="auto" w:fill="D5EAEA"/>
          </w:tcPr>
          <w:p>
            <w:pPr>
              <w:spacing w:after="0"/>
              <w:rPr>
                <w:sz w:val="11"/>
                <w:szCs w:val="1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Carrying Amount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6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December 31, 2021</w:t>
            </w: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5,116</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March 31, 2022</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4,908</w:t>
            </w:r>
          </w:p>
        </w:tc>
      </w:tr>
    </w:tbl>
    <w:p>
      <w:pPr>
        <w:spacing w:after="0" w:line="18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AC Immune continues to enhance its laboratory equipment to support its R&amp;D functions and IT equipment. This effort has continued since the year ended December 31, 2021, with CHF 0.2 million invested in lab equipment, including the expansion of our leased lab space, and IT equipment, representing an increase of 1.9% from the beginning of the year in these categories.</w:t>
      </w:r>
    </w:p>
    <w:p>
      <w:pPr>
        <w:spacing w:after="0" w:line="18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 Immune recognized no additions for its right-of-use of leased assets for the three months ended March 31, 2022.</w:t>
      </w:r>
    </w:p>
    <w:p>
      <w:pPr>
        <w:spacing w:after="0" w:line="225"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Regarding lease liabilities, the amortization depends on the rate implicit in the contract or the incremental borrowing rate for the respective lease component. The weighted averages of the incremental borrowing rates are 2.5% for buildings, 5.3% for office equipment and 2.6% for IT equipment,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movements in the net book values of right-of-use of leased assets for the three months ended March 31, 2022:</w:t>
      </w: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Office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IT</w:t>
            </w:r>
          </w:p>
        </w:tc>
        <w:tc>
          <w:tcPr>
            <w:tcW w:w="1340" w:type="dxa"/>
            <w:vAlign w:val="bottom"/>
          </w:tcPr>
          <w:p>
            <w:pPr>
              <w:spacing w:after="0"/>
              <w:rPr>
                <w:sz w:val="18"/>
                <w:szCs w:val="18"/>
                <w:color w:val="auto"/>
              </w:rPr>
            </w:pPr>
          </w:p>
        </w:tc>
      </w:tr>
      <w:tr>
        <w:trPr>
          <w:trHeight w:val="234"/>
        </w:trPr>
        <w:tc>
          <w:tcPr>
            <w:tcW w:w="5520" w:type="dxa"/>
            <w:vAlign w:val="bottom"/>
            <w:gridSpan w:val="2"/>
          </w:tcPr>
          <w:p>
            <w:pPr>
              <w:ind w:left="2000"/>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gridSpan w:val="2"/>
          </w:tcPr>
          <w:p>
            <w:pPr>
              <w:ind w:left="340"/>
              <w:spacing w:after="0"/>
              <w:rPr>
                <w:sz w:val="20"/>
                <w:szCs w:val="20"/>
                <w:color w:val="auto"/>
              </w:rPr>
            </w:pPr>
            <w:r>
              <w:rPr>
                <w:rFonts w:ascii="Arial" w:cs="Arial" w:eastAsia="Arial" w:hAnsi="Arial"/>
                <w:sz w:val="18"/>
                <w:szCs w:val="18"/>
                <w:b w:val="1"/>
                <w:bCs w:val="1"/>
                <w:color w:val="auto"/>
              </w:rPr>
              <w:t>Buildings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December 31, 2021</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2,776</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2,914</w:t>
            </w:r>
          </w:p>
        </w:tc>
      </w:tr>
      <w:tr>
        <w:trPr>
          <w:trHeight w:val="229"/>
        </w:trPr>
        <w:tc>
          <w:tcPr>
            <w:tcW w:w="55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Depreciation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552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as of March 31, 2022</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2,645</w:t>
            </w:r>
          </w:p>
        </w:tc>
        <w:tc>
          <w:tcPr>
            <w:tcW w:w="12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2,774</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There are no variable lease payments that are not included in the measurement of lease obligations. All extension options have been included in the measurement of lease obligations.</w:t>
      </w:r>
    </w:p>
    <w:p>
      <w:pPr>
        <w:spacing w:after="0" w:line="17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For the three months ended March 31, 2022, and 2021, the impact on the Company’s consolidated statements of income/(loss) and consolidated statements of cash flows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Ended March 31,</w:t>
            </w: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10"/>
        </w:trPr>
        <w:tc>
          <w:tcPr>
            <w:tcW w:w="83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Consolidated statements of income/(loss)</w:t>
            </w: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Depreciation of right-of-use assets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107</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Interest expense on lease liabilities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29"/>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187</w:t>
            </w:r>
          </w:p>
        </w:tc>
      </w:tr>
      <w:tr>
        <w:trPr>
          <w:trHeight w:val="263"/>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w:t>
            </w:r>
          </w:p>
        </w:tc>
      </w:tr>
      <w:tr>
        <w:trPr>
          <w:trHeight w:val="129"/>
        </w:trPr>
        <w:tc>
          <w:tcPr>
            <w:tcW w:w="83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1360" w:type="dxa"/>
            <w:vAlign w:val="bottom"/>
            <w:tcBorders>
              <w:bottom w:val="single" w:sz="8" w:color="auto"/>
            </w:tcBorders>
            <w:shd w:val="clear" w:color="auto" w:fill="D5EAEA"/>
          </w:tcPr>
          <w:p>
            <w:pPr>
              <w:spacing w:after="0"/>
              <w:rPr>
                <w:sz w:val="11"/>
                <w:szCs w:val="11"/>
                <w:color w:val="auto"/>
              </w:rPr>
            </w:pPr>
          </w:p>
        </w:tc>
        <w:tc>
          <w:tcPr>
            <w:tcW w:w="100" w:type="dxa"/>
            <w:vAlign w:val="bottom"/>
            <w:shd w:val="clear" w:color="auto" w:fill="D5EAEA"/>
          </w:tcPr>
          <w:p>
            <w:pPr>
              <w:spacing w:after="0"/>
              <w:rPr>
                <w:sz w:val="11"/>
                <w:szCs w:val="11"/>
                <w:color w:val="auto"/>
              </w:rPr>
            </w:pPr>
          </w:p>
        </w:tc>
        <w:tc>
          <w:tcPr>
            <w:tcW w:w="1340" w:type="dxa"/>
            <w:vAlign w:val="bottom"/>
            <w:tcBorders>
              <w:bottom w:val="single" w:sz="8" w:color="auto"/>
            </w:tcBorders>
            <w:shd w:val="clear" w:color="auto" w:fill="D5EAEA"/>
          </w:tcPr>
          <w:p>
            <w:pPr>
              <w:spacing w:after="0"/>
              <w:rPr>
                <w:sz w:val="11"/>
                <w:szCs w:val="11"/>
                <w:color w:val="auto"/>
              </w:rPr>
            </w:pPr>
          </w:p>
        </w:tc>
      </w:tr>
      <w:tr>
        <w:trPr>
          <w:trHeight w:val="196"/>
        </w:trPr>
        <w:tc>
          <w:tcPr>
            <w:tcW w:w="8440" w:type="dxa"/>
            <w:vAlign w:val="bottom"/>
            <w:gridSpan w:val="2"/>
          </w:tcPr>
          <w:p>
            <w:pPr>
              <w:spacing w:after="0" w:line="196" w:lineRule="exact"/>
              <w:rPr>
                <w:sz w:val="20"/>
                <w:szCs w:val="20"/>
                <w:color w:val="auto"/>
              </w:rPr>
            </w:pPr>
            <w:r>
              <w:rPr>
                <w:rFonts w:ascii="Arial" w:cs="Arial" w:eastAsia="Arial" w:hAnsi="Arial"/>
                <w:sz w:val="18"/>
                <w:szCs w:val="18"/>
                <w:i w:val="1"/>
                <w:iCs w:val="1"/>
                <w:color w:val="auto"/>
              </w:rPr>
              <w:t>Consolidated statements of cash flows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3"/>
        </w:trPr>
        <w:tc>
          <w:tcPr>
            <w:tcW w:w="84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 cash outflow for leases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D5EAEA"/>
            </w:tcBorders>
            <w:shd w:val="clear" w:color="auto" w:fill="D5EAEA"/>
          </w:tcPr>
          <w:p>
            <w:pPr>
              <w:spacing w:after="0"/>
              <w:rPr>
                <w:sz w:val="21"/>
                <w:szCs w:val="21"/>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308</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contractual undiscounted cash flows for lease obligations as of March 31, 2022: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Less than one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u w:val="single" w:color="auto"/>
          <w:color w:val="auto"/>
        </w:rPr>
        <w:t>March 31, 2022</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638</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1,253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14605</wp:posOffset>
            </wp:positionV>
            <wp:extent cx="8483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7"/>
          <w:szCs w:val="17"/>
          <w:color w:val="auto"/>
        </w:rPr>
        <w:t>2,943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22225</wp:posOffset>
            </wp:positionV>
            <wp:extent cx="8483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39370</wp:posOffset>
            </wp:positionV>
            <wp:extent cx="8483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60" w:space="720"/>
            <w:col w:w="1260"/>
          </w:cols>
          <w:pgMar w:left="320" w:top="553" w:right="339" w:bottom="1440" w:gutter="0" w:footer="0" w:header="0"/>
          <w:type w:val="continuous"/>
        </w:sectPr>
      </w:pPr>
    </w:p>
    <w:p>
      <w:pPr>
        <w:spacing w:after="0" w:line="77"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Company also has deposits in escrow accounts totaling CHF 0.4 million for leases of the Company’s premises as of March 31, 2022 and December 31, 2021, respectively. These deposits are presented in Long-term financial assets on the Company’s condensed consolidated balance sheets.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7.</w:t>
            </w: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Accrued expenses</w:t>
            </w:r>
          </w:p>
        </w:tc>
        <w:tc>
          <w:tcPr>
            <w:tcW w:w="3160" w:type="dxa"/>
            <w:vAlign w:val="bottom"/>
            <w:gridSpan w:val="4"/>
            <w:vMerge w:val="restart"/>
          </w:tcPr>
          <w:p>
            <w:pPr>
              <w:ind w:left="138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60" w:type="dxa"/>
            <w:vAlign w:val="bottom"/>
            <w:vMerge w:val="restart"/>
          </w:tcPr>
          <w:p>
            <w:pPr>
              <w:ind w:left="2920"/>
              <w:spacing w:after="0"/>
              <w:rPr>
                <w:sz w:val="20"/>
                <w:szCs w:val="20"/>
                <w:color w:val="auto"/>
              </w:rPr>
            </w:pPr>
            <w:r>
              <w:rPr>
                <w:rFonts w:ascii="Arial" w:cs="Arial" w:eastAsia="Arial" w:hAnsi="Arial"/>
                <w:sz w:val="18"/>
                <w:szCs w:val="18"/>
                <w:b w:val="1"/>
                <w:bCs w:val="1"/>
                <w:color w:val="auto"/>
              </w:rPr>
              <w:t>in CHF thousands</w:t>
            </w:r>
          </w:p>
        </w:tc>
        <w:tc>
          <w:tcPr>
            <w:tcW w:w="31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660" w:type="dxa"/>
            <w:vAlign w:val="bottom"/>
            <w:vMerge w:val="continue"/>
          </w:tcPr>
          <w:p>
            <w:pPr>
              <w:spacing w:after="0"/>
              <w:rPr>
                <w:sz w:val="18"/>
                <w:szCs w:val="18"/>
                <w:color w:val="auto"/>
              </w:rPr>
            </w:pPr>
          </w:p>
        </w:tc>
        <w:tc>
          <w:tcPr>
            <w:tcW w:w="16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March 31, 2022</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December 31,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tcBorders>
              <w:top w:val="single" w:sz="8" w:color="auto"/>
              <w:bottom w:val="single" w:sz="8" w:color="D5EAEA"/>
            </w:tcBorders>
            <w:gridSpan w:val="2"/>
          </w:tcPr>
          <w:p>
            <w:pPr>
              <w:spacing w:after="0"/>
              <w:rPr>
                <w:sz w:val="20"/>
                <w:szCs w:val="20"/>
                <w:color w:val="auto"/>
              </w:rPr>
            </w:pPr>
            <w:r>
              <w:rPr>
                <w:rFonts w:ascii="Arial" w:cs="Arial" w:eastAsia="Arial" w:hAnsi="Arial"/>
                <w:sz w:val="18"/>
                <w:szCs w:val="18"/>
                <w:color w:val="auto"/>
              </w:rPr>
              <w:t>Accrued Expenses</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10,571</w:t>
            </w:r>
          </w:p>
        </w:tc>
        <w:tc>
          <w:tcPr>
            <w:tcW w:w="100" w:type="dxa"/>
            <w:vAlign w:val="bottom"/>
            <w:tcBorders>
              <w:bottom w:val="single" w:sz="8" w:color="D5EAEA"/>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w w:val="97"/>
              </w:rPr>
              <w:t>Total</w:t>
            </w:r>
          </w:p>
        </w:tc>
        <w:tc>
          <w:tcPr>
            <w:tcW w:w="7660" w:type="dxa"/>
            <w:vAlign w:val="bottom"/>
            <w:tcBorders>
              <w:bottom w:val="single" w:sz="8" w:color="D5EAEA"/>
            </w:tcBorders>
            <w:shd w:val="clear" w:color="auto" w:fill="D5EAEA"/>
          </w:tcPr>
          <w:p>
            <w:pPr>
              <w:spacing w:after="0"/>
              <w:rPr>
                <w:sz w:val="18"/>
                <w:szCs w:val="18"/>
                <w:color w:val="auto"/>
              </w:rPr>
            </w:pPr>
          </w:p>
        </w:tc>
        <w:tc>
          <w:tcPr>
            <w:tcW w:w="15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10,571</w:t>
            </w:r>
          </w:p>
        </w:tc>
        <w:tc>
          <w:tcPr>
            <w:tcW w:w="100" w:type="dxa"/>
            <w:vAlign w:val="bottom"/>
            <w:tcBorders>
              <w:bottom w:val="single" w:sz="8" w:color="D5EAEA"/>
            </w:tcBorders>
            <w:shd w:val="clear" w:color="auto" w:fill="D5EAEA"/>
          </w:tcPr>
          <w:p>
            <w:pPr>
              <w:spacing w:after="0"/>
              <w:rPr>
                <w:sz w:val="18"/>
                <w:szCs w:val="18"/>
                <w:color w:val="auto"/>
              </w:rPr>
            </w:pPr>
          </w:p>
        </w:tc>
        <w:tc>
          <w:tcPr>
            <w:tcW w:w="14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Company paid CHF 3.7 million in the period for a previous accrual associated with our cost sharing arrangement with Janssen and CHF 2.3 million related to performance-related remuneration for the three months ended March 31, 2022.</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3" w:name="page14"/>
    <w:bookmarkEnd w:id="13"/>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AC Immune’s acquired IPR&amp;D asset is a clinically-validated active vaccine candidate for the treatment of Parkinson’s disease. The asset is not yet ready for use until the asset obtains market approval and is therefore not currently being amortized. The carrying amount and net book value are detailed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5"/>
              </w:rPr>
              <w:t>As of March 31, 2022</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Borders>
              <w:bottom w:val="single" w:sz="8" w:color="auto"/>
            </w:tcBorders>
            <w:gridSpan w:val="5"/>
          </w:tcPr>
          <w:p>
            <w:pPr>
              <w:jc w:val="center"/>
              <w:ind w:left="1078"/>
              <w:spacing w:after="0"/>
              <w:rPr>
                <w:sz w:val="20"/>
                <w:szCs w:val="20"/>
                <w:color w:val="auto"/>
              </w:rPr>
            </w:pPr>
            <w:r>
              <w:rPr>
                <w:rFonts w:ascii="Arial" w:cs="Arial" w:eastAsia="Arial" w:hAnsi="Arial"/>
                <w:sz w:val="18"/>
                <w:szCs w:val="18"/>
                <w:b w:val="1"/>
                <w:bCs w:val="1"/>
                <w:color w:val="auto"/>
                <w:w w:val="89"/>
              </w:rPr>
              <w:t>As of December 31, 2021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62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In CHF thousands</w:t>
            </w:r>
          </w:p>
        </w:tc>
        <w:tc>
          <w:tcPr>
            <w:tcW w:w="1280" w:type="dxa"/>
            <w:vAlign w:val="bottom"/>
          </w:tcPr>
          <w:p>
            <w:pPr>
              <w:jc w:val="right"/>
              <w:ind w:right="40"/>
              <w:spacing w:after="0" w:line="119" w:lineRule="exact"/>
              <w:rPr>
                <w:sz w:val="20"/>
                <w:szCs w:val="20"/>
                <w:color w:val="auto"/>
              </w:rPr>
            </w:pPr>
            <w:r>
              <w:rPr>
                <w:rFonts w:ascii="Arial" w:cs="Arial" w:eastAsia="Arial" w:hAnsi="Arial"/>
                <w:sz w:val="13"/>
                <w:szCs w:val="13"/>
                <w:b w:val="1"/>
                <w:bCs w:val="1"/>
                <w:color w:val="auto"/>
              </w:rPr>
              <w:t>Gross Carrying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rPr>
              <w:t>Accumulated</w:t>
            </w: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 Book Value</w:t>
            </w:r>
          </w:p>
        </w:tc>
        <w:tc>
          <w:tcPr>
            <w:tcW w:w="14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Gross Carrying</w:t>
            </w:r>
          </w:p>
        </w:tc>
        <w:tc>
          <w:tcPr>
            <w:tcW w:w="162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11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1280" w:type="dxa"/>
            <w:vAlign w:val="bottom"/>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ind w:left="260"/>
              <w:spacing w:after="0"/>
              <w:rPr>
                <w:sz w:val="20"/>
                <w:szCs w:val="20"/>
                <w:color w:val="auto"/>
              </w:rPr>
            </w:pPr>
            <w:r>
              <w:rPr>
                <w:rFonts w:ascii="Arial" w:cs="Arial" w:eastAsia="Arial" w:hAnsi="Arial"/>
                <w:sz w:val="14"/>
                <w:szCs w:val="14"/>
                <w:b w:val="1"/>
                <w:bCs w:val="1"/>
                <w:color w:val="auto"/>
              </w:rPr>
              <w:t>Amortization</w:t>
            </w:r>
          </w:p>
        </w:tc>
        <w:tc>
          <w:tcPr>
            <w:tcW w:w="1360" w:type="dxa"/>
            <w:vAlign w:val="bottom"/>
            <w:gridSpan w:val="2"/>
            <w:vMerge w:val="continue"/>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Acquired IPR&amp;D Asset</w:t>
            </w:r>
          </w:p>
        </w:tc>
        <w:tc>
          <w:tcPr>
            <w:tcW w:w="120" w:type="dxa"/>
            <w:vAlign w:val="bottom"/>
            <w:tcBorders>
              <w:top w:val="single" w:sz="8" w:color="D5EAEA"/>
            </w:tcBorders>
            <w:shd w:val="clear" w:color="auto" w:fill="D5EAEA"/>
          </w:tcPr>
          <w:p>
            <w:pPr>
              <w:spacing w:after="0"/>
              <w:rPr>
                <w:sz w:val="19"/>
                <w:szCs w:val="19"/>
                <w:color w:val="auto"/>
              </w:rPr>
            </w:pPr>
          </w:p>
        </w:tc>
        <w:tc>
          <w:tcPr>
            <w:tcW w:w="12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50,416</w:t>
            </w:r>
          </w:p>
        </w:tc>
        <w:tc>
          <w:tcPr>
            <w:tcW w:w="100" w:type="dxa"/>
            <w:vAlign w:val="bottom"/>
            <w:tcBorders>
              <w:top w:val="single" w:sz="8" w:color="auto"/>
              <w:bottom w:val="single" w:sz="8" w:color="auto"/>
            </w:tcBorders>
            <w:shd w:val="clear" w:color="auto" w:fill="D5EAEA"/>
          </w:tcPr>
          <w:p>
            <w:pPr>
              <w:spacing w:after="0"/>
              <w:rPr>
                <w:sz w:val="19"/>
                <w:szCs w:val="19"/>
                <w:color w:val="auto"/>
              </w:rPr>
            </w:pPr>
          </w:p>
        </w:tc>
        <w:tc>
          <w:tcPr>
            <w:tcW w:w="12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9"/>
                <w:szCs w:val="19"/>
                <w:color w:val="auto"/>
              </w:rPr>
            </w:pPr>
          </w:p>
        </w:tc>
        <w:tc>
          <w:tcPr>
            <w:tcW w:w="100" w:type="dxa"/>
            <w:vAlign w:val="bottom"/>
            <w:tcBorders>
              <w:top w:val="single" w:sz="8" w:color="auto"/>
              <w:bottom w:val="single" w:sz="8" w:color="auto"/>
            </w:tcBorders>
            <w:shd w:val="clear" w:color="auto" w:fill="D5EAEA"/>
          </w:tcPr>
          <w:p>
            <w:pPr>
              <w:spacing w:after="0"/>
              <w:rPr>
                <w:sz w:val="19"/>
                <w:szCs w:val="19"/>
                <w:color w:val="auto"/>
              </w:rPr>
            </w:pPr>
          </w:p>
        </w:tc>
        <w:tc>
          <w:tcPr>
            <w:tcW w:w="1240" w:type="dxa"/>
            <w:vAlign w:val="bottom"/>
            <w:tcBorders>
              <w:top w:val="single" w:sz="8" w:color="auto"/>
              <w:bottom w:val="single" w:sz="8" w:color="auto"/>
            </w:tcBorders>
            <w:shd w:val="clear" w:color="auto" w:fill="D5EAEA"/>
          </w:tcPr>
          <w:p>
            <w:pPr>
              <w:jc w:val="right"/>
              <w:ind w:right="16"/>
              <w:spacing w:after="0"/>
              <w:rPr>
                <w:sz w:val="20"/>
                <w:szCs w:val="20"/>
                <w:color w:val="auto"/>
              </w:rPr>
            </w:pPr>
            <w:r>
              <w:rPr>
                <w:rFonts w:ascii="Arial" w:cs="Arial" w:eastAsia="Arial" w:hAnsi="Arial"/>
                <w:sz w:val="18"/>
                <w:szCs w:val="18"/>
                <w:color w:val="auto"/>
              </w:rPr>
              <w:t>50,416</w:t>
            </w:r>
          </w:p>
        </w:tc>
        <w:tc>
          <w:tcPr>
            <w:tcW w:w="12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8"/>
              <w:spacing w:after="0"/>
              <w:rPr>
                <w:sz w:val="20"/>
                <w:szCs w:val="20"/>
                <w:color w:val="auto"/>
              </w:rPr>
            </w:pPr>
            <w:r>
              <w:rPr>
                <w:rFonts w:ascii="Arial" w:cs="Arial" w:eastAsia="Arial" w:hAnsi="Arial"/>
                <w:sz w:val="18"/>
                <w:szCs w:val="18"/>
                <w:color w:val="auto"/>
              </w:rPr>
              <w:t>50,416</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9"/>
                <w:szCs w:val="19"/>
                <w:color w:val="auto"/>
              </w:rPr>
            </w:pPr>
          </w:p>
        </w:tc>
        <w:tc>
          <w:tcPr>
            <w:tcW w:w="180" w:type="dxa"/>
            <w:vAlign w:val="bottom"/>
            <w:tcBorders>
              <w:top w:val="single" w:sz="8" w:color="auto"/>
              <w:bottom w:val="single" w:sz="8" w:color="auto"/>
            </w:tcBorders>
            <w:shd w:val="clear" w:color="auto" w:fill="D5EAEA"/>
          </w:tcPr>
          <w:p>
            <w:pPr>
              <w:spacing w:after="0"/>
              <w:rPr>
                <w:sz w:val="19"/>
                <w:szCs w:val="19"/>
                <w:color w:val="auto"/>
              </w:rPr>
            </w:pPr>
          </w:p>
        </w:tc>
        <w:tc>
          <w:tcPr>
            <w:tcW w:w="1160" w:type="dxa"/>
            <w:vAlign w:val="bottom"/>
            <w:tcBorders>
              <w:top w:val="single" w:sz="8" w:color="auto"/>
              <w:bottom w:val="single" w:sz="8" w:color="auto"/>
            </w:tcBorders>
            <w:shd w:val="clear" w:color="auto" w:fill="D5EAEA"/>
          </w:tcPr>
          <w:p>
            <w:pPr>
              <w:jc w:val="right"/>
              <w:ind w:right="16"/>
              <w:spacing w:after="0"/>
              <w:rPr>
                <w:sz w:val="20"/>
                <w:szCs w:val="20"/>
                <w:color w:val="auto"/>
              </w:rPr>
            </w:pPr>
            <w:r>
              <w:rPr>
                <w:rFonts w:ascii="Arial" w:cs="Arial" w:eastAsia="Arial" w:hAnsi="Arial"/>
                <w:sz w:val="18"/>
                <w:szCs w:val="18"/>
                <w:color w:val="auto"/>
              </w:rPr>
              <w:t>50,416</w:t>
            </w: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Total Intangible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50,416</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50,416</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50,416</w:t>
            </w:r>
          </w:p>
        </w:tc>
        <w:tc>
          <w:tcPr>
            <w:tcW w:w="100" w:type="dxa"/>
            <w:vAlign w:val="bottom"/>
          </w:tcPr>
          <w:p>
            <w:pPr>
              <w:spacing w:after="0"/>
              <w:rPr>
                <w:sz w:val="19"/>
                <w:szCs w:val="19"/>
                <w:color w:val="auto"/>
              </w:rPr>
            </w:pPr>
          </w:p>
        </w:tc>
        <w:tc>
          <w:tcPr>
            <w:tcW w:w="13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50,416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60" w:firstLine="321"/>
        <w:spacing w:after="0" w:line="259" w:lineRule="auto"/>
        <w:rPr>
          <w:sz w:val="20"/>
          <w:szCs w:val="20"/>
          <w:color w:val="auto"/>
        </w:rPr>
      </w:pPr>
      <w:r>
        <w:rPr>
          <w:rFonts w:ascii="Arial" w:cs="Arial" w:eastAsia="Arial" w:hAnsi="Arial"/>
          <w:sz w:val="18"/>
          <w:szCs w:val="18"/>
          <w:color w:val="auto"/>
        </w:rPr>
        <w:t xml:space="preserve">In accordance with IAS 36 </w:t>
      </w:r>
      <w:r>
        <w:rPr>
          <w:rFonts w:ascii="Arial" w:cs="Arial" w:eastAsia="Arial" w:hAnsi="Arial"/>
          <w:sz w:val="18"/>
          <w:szCs w:val="18"/>
          <w:i w:val="1"/>
          <w:iCs w:val="1"/>
          <w:color w:val="auto"/>
        </w:rPr>
        <w:t>Impairment of Assets</w:t>
      </w:r>
      <w:r>
        <w:rPr>
          <w:rFonts w:ascii="Arial" w:cs="Arial" w:eastAsia="Arial" w:hAnsi="Arial"/>
          <w:sz w:val="18"/>
          <w:szCs w:val="18"/>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due to unobservable inputs used in the valuation. The Company has not determined the IPR&amp;D asset to be impaired as of March 31, 2022.</w:t>
      </w:r>
    </w:p>
    <w:p>
      <w:pPr>
        <w:spacing w:after="0" w:line="18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Prepaid expenses include prepaid R&amp;D costs, administrative and insurance costs totaled CHF 2.8 million and CHF 3.0 million as of March 31, 2022 and December 31, 2021, respectively.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10. Cash and cash equivalents and short-term financial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AC Immune’s cash and cash equivalents and short-term financial assets as of March 31, 2022 and December 31, 2021: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w w:val="84"/>
              </w:rPr>
              <w:t>As of</w:t>
            </w:r>
          </w:p>
        </w:tc>
        <w:tc>
          <w:tcPr>
            <w:tcW w:w="1200" w:type="dxa"/>
            <w:vAlign w:val="bottom"/>
            <w:tcBorders>
              <w:bottom w:val="single" w:sz="8" w:color="auto"/>
            </w:tcBorders>
          </w:tcPr>
          <w:p>
            <w:pPr>
              <w:spacing w:after="0"/>
              <w:rPr>
                <w:sz w:val="20"/>
                <w:szCs w:val="20"/>
                <w:color w:val="auto"/>
              </w:rPr>
            </w:pPr>
          </w:p>
        </w:tc>
      </w:tr>
      <w:tr>
        <w:trPr>
          <w:trHeight w:val="191"/>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December 31,</w:t>
            </w:r>
          </w:p>
        </w:tc>
      </w:tr>
      <w:tr>
        <w:trPr>
          <w:trHeight w:val="234"/>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60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 2022</w:t>
            </w: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57,835</w:t>
            </w:r>
          </w:p>
        </w:tc>
        <w:tc>
          <w:tcPr>
            <w:tcW w:w="100" w:type="dxa"/>
            <w:vAlign w:val="bottom"/>
            <w:tcBorders>
              <w:top w:val="single" w:sz="8" w:color="D5EAEA"/>
            </w:tcBorders>
            <w:shd w:val="clear" w:color="auto" w:fill="D5EAEA"/>
          </w:tcPr>
          <w:p>
            <w:pPr>
              <w:spacing w:after="0"/>
              <w:rPr>
                <w:sz w:val="19"/>
                <w:szCs w:val="19"/>
                <w:color w:val="auto"/>
              </w:rPr>
            </w:pPr>
          </w:p>
        </w:tc>
        <w:tc>
          <w:tcPr>
            <w:tcW w:w="140" w:type="dxa"/>
            <w:vAlign w:val="bottom"/>
            <w:tcBorders>
              <w:top w:val="single" w:sz="8" w:color="auto"/>
              <w:bottom w:val="single" w:sz="8" w:color="auto"/>
            </w:tcBorders>
            <w:shd w:val="clear" w:color="auto" w:fill="D5EAEA"/>
          </w:tcPr>
          <w:p>
            <w:pPr>
              <w:spacing w:after="0"/>
              <w:rPr>
                <w:sz w:val="19"/>
                <w:szCs w:val="19"/>
                <w:color w:val="auto"/>
              </w:rPr>
            </w:pPr>
          </w:p>
        </w:tc>
        <w:tc>
          <w:tcPr>
            <w:tcW w:w="12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82,216</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57,835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82,216</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42"/>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w w:val="84"/>
              </w:rPr>
              <w:t>As of</w:t>
            </w:r>
          </w:p>
        </w:tc>
        <w:tc>
          <w:tcPr>
            <w:tcW w:w="1200" w:type="dxa"/>
            <w:vAlign w:val="bottom"/>
            <w:tcBorders>
              <w:bottom w:val="single" w:sz="8" w:color="auto"/>
            </w:tcBorders>
          </w:tcPr>
          <w:p>
            <w:pPr>
              <w:spacing w:after="0"/>
              <w:rPr>
                <w:sz w:val="24"/>
                <w:szCs w:val="24"/>
                <w:color w:val="auto"/>
              </w:rPr>
            </w:pPr>
          </w:p>
        </w:tc>
      </w:tr>
      <w:tr>
        <w:trPr>
          <w:trHeight w:val="191"/>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December 31,</w:t>
            </w:r>
          </w:p>
        </w:tc>
      </w:tr>
      <w:tr>
        <w:trPr>
          <w:trHeight w:val="234"/>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60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 2022</w:t>
            </w: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Short-term financial assets due in one year or less</w:t>
            </w:r>
          </w:p>
        </w:tc>
        <w:tc>
          <w:tcPr>
            <w:tcW w:w="12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116,000</w:t>
            </w:r>
          </w:p>
        </w:tc>
        <w:tc>
          <w:tcPr>
            <w:tcW w:w="100" w:type="dxa"/>
            <w:vAlign w:val="bottom"/>
            <w:tcBorders>
              <w:top w:val="single" w:sz="8" w:color="D5EAEA"/>
            </w:tcBorders>
            <w:shd w:val="clear" w:color="auto" w:fill="D5EAEA"/>
          </w:tcPr>
          <w:p>
            <w:pPr>
              <w:spacing w:after="0"/>
              <w:rPr>
                <w:sz w:val="19"/>
                <w:szCs w:val="19"/>
                <w:color w:val="auto"/>
              </w:rPr>
            </w:pPr>
          </w:p>
        </w:tc>
        <w:tc>
          <w:tcPr>
            <w:tcW w:w="140" w:type="dxa"/>
            <w:vAlign w:val="bottom"/>
            <w:tcBorders>
              <w:top w:val="single" w:sz="8" w:color="auto"/>
              <w:bottom w:val="single" w:sz="8" w:color="auto"/>
            </w:tcBorders>
            <w:shd w:val="clear" w:color="auto" w:fill="D5EAEA"/>
          </w:tcPr>
          <w:p>
            <w:pPr>
              <w:spacing w:after="0"/>
              <w:rPr>
                <w:sz w:val="19"/>
                <w:szCs w:val="19"/>
                <w:color w:val="auto"/>
              </w:rPr>
            </w:pPr>
          </w:p>
        </w:tc>
        <w:tc>
          <w:tcPr>
            <w:tcW w:w="12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116,000</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116,000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116,000</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shares</w:t>
      </w:r>
    </w:p>
    <w:p>
      <w:pPr>
        <w:spacing w:after="0" w:line="229"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For a discussion of our at the market offering program with Jefferies LLC for the fiscal year ended December 31, 2021, please refer to Note 11 “Share capital” of our Annual Report on Form 20-F for the year ended December 31, 2021 filed on March 22, 2022.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2022, the Company has 6,221,617 treasury shares remaining.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Finance result, net</w:t>
      </w:r>
    </w:p>
    <w:p>
      <w:pPr>
        <w:spacing w:after="0" w:line="229"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For the three months ended March 31, 2022 and 2021, AC Immune recorded less than CHF 0.1 million in net financial losses and CHF 0.5 million in net financial gains, respectively. The Company recorded CHF 0.1 million and CHF 0.5 million in foreign currency gains in the respective periods. Finally, the Company recorded CHF 0.2 million and less than CHF 0.1 million in interest expense in the respective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Management has evaluated subsequent events after the balance sheet date, through the issuance of these Interim Condensed Consolidated Financial Statements, for appropriate accounting and disclosures. The</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Company has determined that there were no other such events that warrant disclosure or recognition in these Interim Condensed Consolidated Financial Statements.</w:t>
      </w: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557" w:right="61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months ended March 31, 2022, included as Exhibit 99.1 to this Report on Form 6-K. We also recommend that you read our management’s discussion and analysis and our audited consolidated financial statements and the notes thereto, which appear in our Annual Report on Form 20-F for the year ended December 31, 2021 on file with the U.S. Securities and Exchange Commission (the “SEC”).</w:t>
      </w:r>
    </w:p>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“Company,” “AC Immune,” “ACIU,” “we,” “our,” “ours,” or “us” refer to AC Immune SA together with its fully-owned subsidiary, AC Immune USA, Inc.</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We prepare and report our consolidated financial statements and financial information in accordance with International Financial Reporting Standards (“IFRS”) as issued by the International Accounting Standards Board (the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April 28,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goal is to continue leveraging our proprietary discovery platforms, SupraAntigen and Morphomer, to become a global leader in precision medicine for the diagnosis and treatment of neurodegenerative diseases. We are executing a clear business strategy built on three pillars: (i) accelerate development of novel therapeutics in AD with our partners; (ii) expand our strategic focus in Parkinson’ disease (PD) and non-AD neurodegenerative diseases, including NeuroOrphan indications and limbic-predominant age-related TDP-43 encephalopathy (LATE); and (iii) a continued focus on diagnostics enabling precision medicine to be an ultimate differentiator for the Company.</w:t>
      </w:r>
    </w:p>
    <w:p>
      <w:pPr>
        <w:spacing w:after="0" w:line="18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concert in order to slow or stop the disease course. Ultimately, it is our belief that precision medicine will increase the chance of treatment success by enabling clinical trial participants to be better defined by their various proteinopathies, affording treatment with the right therapies at the right time.</w:t>
      </w:r>
    </w:p>
    <w:p>
      <w:pPr>
        <w:spacing w:after="0" w:line="17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Leveraging our dual proprietary technology platforms, we have built a comprehensive pipeline of first-in-class or best-in-class candidates spanning multiple treatment modalities and targeting both established and emerging neurodegenerative pathologies. We are currently advancing eleven therapeutic and three diagnostic programs, with seven currently in clinical trials, targeting five different types of misfolded pathological proteins related to AD, PD and other neurodegenerative disorders. Our pipeline assets are further validated by the multiple partnerships we have established with leading global pharmaceutical companies. We believe our validated technology platforms and personalized medicine approach position AC Immune to revolutionize the treatment of neurodegenerative disease in the way precision diagnostics and targeted therapies are revolutionizing the treatment of cancer.</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clinical stage product candidates include:</w:t>
      </w:r>
    </w:p>
    <w:p>
      <w:pPr>
        <w:spacing w:after="0" w:line="221" w:lineRule="exact"/>
        <w:rPr>
          <w:sz w:val="20"/>
          <w:szCs w:val="20"/>
          <w:color w:val="auto"/>
        </w:rPr>
      </w:pPr>
    </w:p>
    <w:p>
      <w:pPr>
        <w:ind w:left="660" w:right="40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ACI-35.030</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Janssen and AC Immune are evaluating the anti-phosphorylated-Tau (anti-pTau) vaccine candidate ACI-35.030 in a Phase 1b/2a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study in subjects with early AD. Interim results show that ACI-</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328" w:right="140"/>
        <w:spacing w:after="0" w:line="273" w:lineRule="auto"/>
        <w:rPr>
          <w:sz w:val="20"/>
          <w:szCs w:val="20"/>
          <w:color w:val="auto"/>
        </w:rPr>
      </w:pPr>
      <w:r>
        <w:rPr>
          <w:rFonts w:ascii="Arial" w:cs="Arial" w:eastAsia="Arial" w:hAnsi="Arial"/>
          <w:sz w:val="17"/>
          <w:szCs w:val="17"/>
          <w:color w:val="auto"/>
        </w:rPr>
        <w:t>35.030 vaccination generated a strong antigen-specific antibody response against pTau in 100% of participants, achieving anti-pTau antibody levels of about two orders of magnitude higher than pre-vaccination levels, whereas anti-ePHF (enriched paired helical filaments) antibody titers increased by one order of magnitude from baseline as early as two weeks after the second injection at week 8 of the mid-dose of ACI-35.030. No clinically relevant safety concerns related to the vaccine candidate were observed. Based on these results, the second highest dose cohort was expanded in Q2 2021 to facilitate plans for further late-stage development. ACI-35.030 specifically targets pathological pTau species and is eventually intended as a disease-modifying treatment for AD and other Tauopathies.</w:t>
      </w:r>
    </w:p>
    <w:p>
      <w:pPr>
        <w:spacing w:after="0" w:line="178" w:lineRule="exact"/>
        <w:rPr>
          <w:sz w:val="20"/>
          <w:szCs w:val="20"/>
          <w:color w:val="auto"/>
        </w:rPr>
      </w:pPr>
    </w:p>
    <w:p>
      <w:pPr>
        <w:ind w:left="328" w:hanging="328"/>
        <w:spacing w:after="0" w:line="272" w:lineRule="auto"/>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for AD. </w:t>
      </w:r>
      <w:r>
        <w:rPr>
          <w:rFonts w:ascii="Arial" w:cs="Arial" w:eastAsia="Arial" w:hAnsi="Arial"/>
          <w:sz w:val="17"/>
          <w:szCs w:val="17"/>
          <w:color w:val="auto"/>
        </w:rPr>
        <w:t>A first Phase 1/2 study was completed and finalized in 2019. The subsequent Phase 2 study in AD assessed the safety, tolerability,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immunogenicity and target engagement of ACI-24 using intramuscular immunizations and analyzed the effects of ACI-24 on brain amyloid as assessed by PET imaging. This trial was completed and finalized in November 2021. ACI-24 was safe and well tolerated and triggered a clear IgM response with lower Abeta-specific IgG titers. While no apparent effect in amyloid-PET was observed in this limited study population, there was evidence of a pharmacodynamic effect observed by an increase of CSF Aβ1-40 and Aβ1-42 levels compared to the placebo, thus suggesting target engagement. These results support the clinical development of the optimized formulation of ACI-24 (i.e. ACI-24.060) with Abeta unrelated T-helper cell epitopes to increase the magnitude and the boost-ability of the antibody response.</w:t>
      </w:r>
    </w:p>
    <w:p>
      <w:pPr>
        <w:spacing w:after="0" w:line="177" w:lineRule="exact"/>
        <w:rPr>
          <w:rFonts w:ascii="Arial" w:cs="Arial" w:eastAsia="Arial" w:hAnsi="Arial"/>
          <w:sz w:val="17"/>
          <w:szCs w:val="17"/>
          <w:color w:val="auto"/>
        </w:rPr>
      </w:pPr>
    </w:p>
    <w:p>
      <w:pPr>
        <w:ind w:left="328" w:right="100" w:hanging="328"/>
        <w:spacing w:after="0" w:line="275" w:lineRule="auto"/>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for DS. </w:t>
      </w:r>
      <w:r>
        <w:rPr>
          <w:rFonts w:ascii="Arial" w:cs="Arial" w:eastAsia="Arial" w:hAnsi="Arial"/>
          <w:sz w:val="17"/>
          <w:szCs w:val="17"/>
          <w:color w:val="auto"/>
        </w:rPr>
        <w:t>Our Phase 1b clinical study of ACI-24 for individuals with DS, intended to assess safety, tolerability and immunogenicity at two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doses, was completed and results reported in Q1 2021. The results support a favorable safety and tolerability profile of ACI-24 and show a pharmacodynamic response in this vulnerable patient population and the advancement of this program with the optimized formulation of ACI-24. The Clinical Trial Application (CTA) for the next study evaluating the optimized formulation of ACI-24 in AD and Down syndrome populations was submitted in Q4 2021. The trial initiation is planned in H1 2022.</w:t>
      </w:r>
    </w:p>
    <w:p>
      <w:pPr>
        <w:spacing w:after="0" w:line="176" w:lineRule="exact"/>
        <w:rPr>
          <w:rFonts w:ascii="Arial" w:cs="Arial" w:eastAsia="Arial" w:hAnsi="Arial"/>
          <w:sz w:val="17"/>
          <w:szCs w:val="17"/>
          <w:color w:val="auto"/>
        </w:rPr>
      </w:pPr>
    </w:p>
    <w:p>
      <w:pPr>
        <w:ind w:left="328" w:right="20" w:hanging="328"/>
        <w:spacing w:after="0" w:line="25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ACI-7104. </w:t>
      </w:r>
      <w:r>
        <w:rPr>
          <w:rFonts w:ascii="Arial" w:cs="Arial" w:eastAsia="Arial" w:hAnsi="Arial"/>
          <w:sz w:val="18"/>
          <w:szCs w:val="18"/>
          <w:color w:val="auto"/>
        </w:rPr>
        <w:t>ACI-7104, the optimized formulation of the clinically-validated PD vaccine candidate PD01, will advance into an adaptive, biomarker-based Phase 2 study. This trial will evaluate an initial dose-response of the optimized formulation focusing on immunogenicity against a-syn and pathological a-syn species. Additionally, the identification or verification of disease-specific biomarkers and progression of motor and non-motor symptoms of Parkinson’s disease will be monitored, together with digital, imaging and fluid biomarkers, in the second part of the study. The trial initiation is planned in H2 2022.</w:t>
      </w:r>
    </w:p>
    <w:p>
      <w:pPr>
        <w:spacing w:after="0" w:line="183" w:lineRule="exact"/>
        <w:rPr>
          <w:rFonts w:ascii="Arial" w:cs="Arial" w:eastAsia="Arial" w:hAnsi="Arial"/>
          <w:sz w:val="18"/>
          <w:szCs w:val="18"/>
          <w:color w:val="auto"/>
        </w:rPr>
      </w:pPr>
    </w:p>
    <w:p>
      <w:pPr>
        <w:ind w:left="328" w:right="60" w:hanging="328"/>
        <w:spacing w:after="0" w:line="272" w:lineRule="auto"/>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Semorinemab</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collaboration partner, Genentech, a member of the Roche Group, completed a first Phase 2 study (Tauriel) conducted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patients with prodromal-to-mild AD in Q3 2020. This trial did not meet its primary efficacy endpoint of reducing decline on Clinical Dementia Rating-Sum of Boxes (CDR-SB) compared to placebo; the primary safety endpoint was met. A second Phase 2 study (Lauriet) conducted in patients with mild-to-moderate AD was completed in Q3 2021 and top-line data showed a statistically significant reduction on one of two co-primary endpoints, ADAS-Cog11. The second co-primary endpoint, ADCS-ADL, and secondary endpoints were not met. Safety data showed that semorinemab is well tolerated with no unanticipated safety signals. Genentech reported that the open label portion of the study will continue as planned and that further analyses are ongoing. Semorinemab is designed to slow the prion-like propagation of Tau pathology, which coincides with both clinical symptoms and disease progression in AD.</w:t>
      </w:r>
    </w:p>
    <w:p>
      <w:pPr>
        <w:spacing w:after="0" w:line="175" w:lineRule="exact"/>
        <w:rPr>
          <w:rFonts w:ascii="Arial" w:cs="Arial" w:eastAsia="Arial" w:hAnsi="Arial"/>
          <w:sz w:val="17"/>
          <w:szCs w:val="17"/>
          <w:color w:val="auto"/>
        </w:rPr>
      </w:pPr>
    </w:p>
    <w:p>
      <w:pPr>
        <w:ind w:left="328" w:right="40" w:hanging="328"/>
        <w:spacing w:after="0" w:line="259"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Roche announced in 2019 the discontinuation of the Phase 3 clinical trials in AD but is continuing in a landmark prevention trial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Colombia, in a population of genetically predisposed people at risk of developing familial AD. The overall beneficial safety profile was confirmed in the CREAD studies, supporting use of crenezumab in healthy individuals with risk of developing AD. Top-line results from this Phase 2 Prevention trial are expected in H1 2022.</w:t>
      </w:r>
    </w:p>
    <w:p>
      <w:pPr>
        <w:spacing w:after="0" w:line="186" w:lineRule="exact"/>
        <w:rPr>
          <w:rFonts w:ascii="Arial" w:cs="Arial" w:eastAsia="Arial" w:hAnsi="Arial"/>
          <w:sz w:val="18"/>
          <w:szCs w:val="18"/>
          <w:color w:val="auto"/>
        </w:rPr>
      </w:pPr>
    </w:p>
    <w:p>
      <w:pPr>
        <w:ind w:left="328" w:right="60" w:hanging="328"/>
        <w:spacing w:after="0" w:line="25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Morphomer Tau aggregation inhibitors. </w:t>
      </w:r>
      <w:r>
        <w:rPr>
          <w:rFonts w:ascii="Arial" w:cs="Arial" w:eastAsia="Arial" w:hAnsi="Arial"/>
          <w:sz w:val="18"/>
          <w:szCs w:val="18"/>
          <w:color w:val="auto"/>
        </w:rPr>
        <w:t>In collaboration with our partner, Lilly, we are researching and developing small molecule 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aggregation inhibitors with plans to evaluate candidates in AD and NeuroOrphan indications. We completed a Phase 1 clinical study in healthy volunteers with ACI-3024, in Q2 2020, which showed a dose-dependent exposure and brain penetration, achieving the desired levels of ACI-3024 in the CSF. In addition to AD, the program was expanded to NeuroOrphan indications and ACI-3024 will be further evaluated for efficacy in models of rare Tauopathies.</w:t>
      </w:r>
    </w:p>
    <w:p>
      <w:pPr>
        <w:spacing w:after="0" w:line="292" w:lineRule="exact"/>
        <w:rPr>
          <w:sz w:val="20"/>
          <w:szCs w:val="20"/>
          <w:color w:val="auto"/>
        </w:rPr>
      </w:pPr>
    </w:p>
    <w:p>
      <w:pPr>
        <w:jc w:val="center"/>
        <w:ind w:right="352"/>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557" w:right="339" w:bottom="1440" w:gutter="0" w:footer="0" w:header="0"/>
        </w:sectPr>
      </w:pPr>
    </w:p>
    <w:bookmarkStart w:id="17" w:name="page18"/>
    <w:bookmarkEnd w:id="17"/>
    <w:p>
      <w:pPr>
        <w:ind w:left="660"/>
        <w:spacing w:after="0" w:line="263" w:lineRule="auto"/>
        <w:rPr>
          <w:sz w:val="20"/>
          <w:szCs w:val="20"/>
          <w:color w:val="auto"/>
        </w:rPr>
      </w:pPr>
      <w:r>
        <w:rPr>
          <w:rFonts w:ascii="Arial" w:cs="Arial" w:eastAsia="Arial" w:hAnsi="Arial"/>
          <w:sz w:val="18"/>
          <w:szCs w:val="18"/>
          <w:color w:val="auto"/>
        </w:rPr>
        <w:t>Continued candidate characterization across the research program has also identified new and highly differentiated candidates with excellent cerebrospinal fluid exposure and selectivity for pathological aggregated Tau. These will be broadly developed in Tau-dependent neurodegenerative diseases.</w:t>
      </w:r>
    </w:p>
    <w:p>
      <w:pPr>
        <w:spacing w:after="0" w:line="180" w:lineRule="exact"/>
        <w:rPr>
          <w:sz w:val="20"/>
          <w:szCs w:val="20"/>
          <w:color w:val="auto"/>
        </w:rPr>
      </w:pPr>
    </w:p>
    <w:p>
      <w:pPr>
        <w:ind w:left="660" w:right="24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Tau-PET tracer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PI-2620 is our Tau-PET imaging agent. We are working with our partner, LMI, to advance PI-2620 as a highly differentiated,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best-in-class Tau diagnostic for AD as well as non-AD Tauopathies such as progressive supranuclear palsy (PSP) and corticobasal degeneration (CBD). Results have demonstrated PI-2620’s differentiated characteristics as a diagnostic tool for studying Tau-related diseases. PI-2620 completed a Phase 2 clinical trial in AD in Q4 2021.</w:t>
      </w:r>
    </w:p>
    <w:p>
      <w:pPr>
        <w:spacing w:after="0" w:line="183" w:lineRule="exact"/>
        <w:rPr>
          <w:rFonts w:ascii="Arial" w:cs="Arial" w:eastAsia="Arial" w:hAnsi="Arial"/>
          <w:sz w:val="18"/>
          <w:szCs w:val="18"/>
          <w:color w:val="auto"/>
        </w:rPr>
      </w:pPr>
    </w:p>
    <w:p>
      <w:pPr>
        <w:ind w:left="660" w:right="40"/>
        <w:spacing w:after="0" w:line="255" w:lineRule="auto"/>
        <w:rPr>
          <w:rFonts w:ascii="Arial" w:cs="Arial" w:eastAsia="Arial" w:hAnsi="Arial"/>
          <w:sz w:val="18"/>
          <w:szCs w:val="18"/>
          <w:color w:val="auto"/>
        </w:rPr>
      </w:pPr>
      <w:r>
        <w:rPr>
          <w:rFonts w:ascii="Arial" w:cs="Arial" w:eastAsia="Arial" w:hAnsi="Arial"/>
          <w:sz w:val="18"/>
          <w:szCs w:val="18"/>
          <w:color w:val="auto"/>
        </w:rPr>
        <w:t>A study published in Movement Disorders indicated a value of PI-2620 for evaluating corticobasal syndrome, providing quantitatively and regionally distinct signals in beta-amyloid-positive as well as beta-amyloid-negative corticobasal syndrome. Further, results demonstrated PI-2620’s excellent characteristics as a diagnostic tool for studying Tau-related diseases following a recent publication (J Cereb Blood Flow Metab) that PI-2620 binding characteristics in cortical regions differentiated between 3/4R- and 4R-tauopathies and might serve as a supportive readout in the diagnostic workup of neurodegenerative disorders. Two test-retest studies in PSP (Phase 1) are open and recruiting with results anticipated in H2 2022.</w:t>
      </w:r>
    </w:p>
    <w:p>
      <w:pPr>
        <w:spacing w:after="0" w:line="192"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A-syn-PET tracer. </w:t>
      </w:r>
      <w:r>
        <w:rPr>
          <w:rFonts w:ascii="Arial" w:cs="Arial" w:eastAsia="Arial" w:hAnsi="Arial"/>
          <w:sz w:val="18"/>
          <w:szCs w:val="18"/>
          <w:color w:val="auto"/>
        </w:rPr>
        <w:t>Our next-generation PET imaging tracer, derived from our Morphomer platform, has shown significant potential to reliably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detect and map deposits of pathological alpha-synuclein protein in the brain. Supported by the Michael J. Fox Foundation for Parkinson’s Research (MJFF), a first-in-human study and an investigator-initiated study of our latest diagnostic agent targeting a-syn were initiated in Q1 and Q3 2021, respectively. The readouts of these trials in patients with PD, multiple system atrophy (MSA) and other synucleinopathies were reported at the AD/PD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2022 Conference.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2022 Company Highlights</w:t>
      </w:r>
    </w:p>
    <w:p>
      <w:pPr>
        <w:spacing w:after="0" w:line="229" w:lineRule="exact"/>
        <w:rPr>
          <w:sz w:val="20"/>
          <w:szCs w:val="20"/>
          <w:color w:val="auto"/>
        </w:rPr>
      </w:pPr>
    </w:p>
    <w:p>
      <w:pPr>
        <w:ind w:left="660" w:right="140" w:hanging="328"/>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Reported the first live images of alpha-synuclein (a-syn) in the human brain with ACI-12589, AC Immune’s wholly-owned alpha-synuclein (a-syn) positron emission tomography (PET) tracer, at the AD/PD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2022 Conference. Clinical PET image analyses showed enhanced contrast and a-syn target specificity in patients with multiple system atrophy (MSA), as well as increased tracer retention in brain areas affected by MSA disease processes. Together with preclinical data also presented at AD/PD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2022, these analyses demonstrate ACI-12589’s potential to be the first non-invasive diagnostic for alpha-synucleinopathies (e.g. MSA).</w:t>
      </w:r>
    </w:p>
    <w:p>
      <w:pPr>
        <w:spacing w:after="0" w:line="20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Hosted a key opinion leader webinar on a-syn as a target in neurodegenerative diseases featuring Oskar Hansson, MD, PhD, of Skåne University Hospital and Lund University. To view the presentation and a replay of the webinar, click here.</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Announced interim Phase 1b/2a trial data confirming the consistent safety and potent immunogenicity of ACI-35.030, a first-in-class phosphorylated-Tau (pTau) vaccine candidate. Data from the high-dose cohort showed the strong induction of antibodies selective for pTau and its aggregated form, enriched paired helical filaments (ePHF). The data also support ACI-35.030’s favorable safety profile and plans for its continued late-stage development.</w:t>
      </w:r>
    </w:p>
    <w:p>
      <w:pPr>
        <w:spacing w:after="0" w:line="186" w:lineRule="exact"/>
        <w:rPr>
          <w:rFonts w:ascii="Arial" w:cs="Arial" w:eastAsia="Arial" w:hAnsi="Arial"/>
          <w:sz w:val="18"/>
          <w:szCs w:val="18"/>
          <w:color w:val="auto"/>
        </w:rPr>
      </w:pPr>
    </w:p>
    <w:p>
      <w:pPr>
        <w:ind w:left="660" w:right="40" w:hanging="328"/>
        <w:spacing w:after="0" w:line="30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Published new data on the optimized formulation of ACI-24 in the peer-reviewed journal </w:t>
      </w:r>
      <w:r>
        <w:rPr>
          <w:rFonts w:ascii="Arial" w:cs="Arial" w:eastAsia="Arial" w:hAnsi="Arial"/>
          <w:sz w:val="16"/>
          <w:szCs w:val="16"/>
          <w:i w:val="1"/>
          <w:iCs w:val="1"/>
          <w:color w:val="auto"/>
        </w:rPr>
        <w:t>Brain Communications</w:t>
      </w:r>
      <w:r>
        <w:rPr>
          <w:rFonts w:ascii="Arial" w:cs="Arial" w:eastAsia="Arial" w:hAnsi="Arial"/>
          <w:sz w:val="16"/>
          <w:szCs w:val="16"/>
          <w:color w:val="auto"/>
        </w:rPr>
        <w:t>, showing that the anti-Abeta vaccine was well tolerated in preclinical models and generated a broad polyclonal anti-Abeta response with high titers of antibodies against neurotoxic pyroglutamate Abeta (pyroGlu-Abeta), a major component of Abeta plaques. Optimized ACI-24 was also shown to have enhanced and sustained immunogenicity against another key pathological Abeta species, oligomeric Abeta, in preclinical studies presented at AD/PD™ 2022.</w:t>
      </w:r>
    </w:p>
    <w:p>
      <w:pPr>
        <w:spacing w:after="0" w:line="157" w:lineRule="exact"/>
        <w:rPr>
          <w:rFonts w:ascii="Arial" w:cs="Arial" w:eastAsia="Arial" w:hAnsi="Arial"/>
          <w:sz w:val="16"/>
          <w:szCs w:val="16"/>
          <w:color w:val="auto"/>
        </w:rPr>
      </w:pPr>
    </w:p>
    <w:p>
      <w:pPr>
        <w:ind w:left="660" w:right="8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Announced a peer-reviewed publication in </w:t>
      </w:r>
      <w:r>
        <w:rPr>
          <w:rFonts w:ascii="Arial" w:cs="Arial" w:eastAsia="Arial" w:hAnsi="Arial"/>
          <w:sz w:val="18"/>
          <w:szCs w:val="18"/>
          <w:i w:val="1"/>
          <w:iCs w:val="1"/>
          <w:color w:val="auto"/>
        </w:rPr>
        <w:t>JAMA Neurology</w:t>
      </w:r>
      <w:r>
        <w:rPr>
          <w:rFonts w:ascii="Arial" w:cs="Arial" w:eastAsia="Arial" w:hAnsi="Arial"/>
          <w:sz w:val="18"/>
          <w:szCs w:val="18"/>
          <w:color w:val="auto"/>
        </w:rPr>
        <w:t xml:space="preserve"> featuring data from a Phase 1b clinical trial of ACI-24 (first-generation formulation) in individuals with DS. Data from the study, which was the first clinical trial of an anti-Abeta vaccine in people living with DS, indicate that ACI-24 was safe and elicited an immune response. This was accompanied by evidence of target engagement as measured by a greater increase in plasma Abeta40 and Abeta42 in treated groups compared to placebo.</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left="660" w:right="2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Expanded leadership with the appointment of Howard Donovan as Chief HR Officer and member to the Executive Committee. Mr. Donovan is an internationally experienced, commercially focused leader. He joins from the World Economic Forum, where he led People Services since 2015.</w:t>
      </w:r>
    </w:p>
    <w:p>
      <w:pPr>
        <w:spacing w:after="0" w:line="123"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Joerg Hornstein, Chief Financial Officer, will leave in the second half of 2022 to pursue a new opportunity. Ensuring a seamless transition, two members of AC Immune’s proven Finance Leadership Team will transition to new roles. Christopher Roberts is appointed Vice President, Finance and interim CFO. Julian Snow is appointed Vice President, U.S. Finance &amp; Corporate Development.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Covid-19 global pandemic has impacted various countries in which AC Immune currently operates clinical trials and business operations. The extent to which Covid-19 may impact us will depend on future developments, which are currently uncertain and cannot be predicted with confidence, such as the duration of the outbreak, the severity of Covid-19, or the effectiveness of actions to contain and treat Covid-19.</w:t>
      </w:r>
    </w:p>
    <w:p>
      <w:pPr>
        <w:spacing w:after="0" w:line="16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Company continues to effect its business continuity plan and adapt as the situation evolves. Currently, we have resumed normal operations at full capacity, with minimal disruption to our business. We are continuously assessing and adapting our working practices and business operations to ensure compliance with official guidance and orders related to the pandemic and are working proactively with our partners and other stakeholders to take steps intended to mitigate and minimize any negative impact to our research, clinical programs and other business operations.</w:t>
      </w:r>
    </w:p>
    <w:p>
      <w:pPr>
        <w:spacing w:after="0" w:line="171"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Company does not currently have or project material impacts to the ongoing key trials. Additionally, the Company has drug supplies that are expected to be sufficient to complete ongoing trials as well as additional drug substance supplies expected to be sufficient to support ongoing cohorts of clinical trials for a period of at least three to six months. The Company will refrain from starting new clinical trials if a minimum of a six-month supply on hand cannot be secured. Finally, the Company currently does not expect delays to its clinical trials due to manufacturing or supply-chain issues.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generated no contract revenues for the three months ended March 31, 2022 and 2021,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have different arrangements to share costs for the development of our product candidates.</w:t>
      </w:r>
    </w:p>
    <w:p>
      <w:pPr>
        <w:spacing w:after="0" w:line="14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have completed our R&amp;D spending in both of our Genentech collaborations. We and Janssen are co-developing second-generation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vaccines. We also expect to incur additional R&amp;D expenditures associated with the expansion of our Morphomer Tau program into AD and NeuroOrphan indications.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also intend to increase our R&amp;D costs associated with the advancement of ACI-7104 in Parkinson’s disease and our ACI-24 vaccine program (i.e.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ACI-24 AD and ACI-24 DS) through mid- and late-stage clinical development.</w:t>
      </w:r>
    </w:p>
    <w:p>
      <w:pPr>
        <w:spacing w:after="0" w:line="21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Finally, we intend to further characterize our other clinical and preclinical candidates. In addition to these arrangements and proprietarily held assets, we expect that our total future R&amp;D costs will increase over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9" w:name="page20"/>
    <w:bookmarkEnd w:id="19"/>
    <w:p>
      <w:pPr>
        <w:ind w:right="40"/>
        <w:spacing w:after="0" w:line="277" w:lineRule="auto"/>
        <w:rPr>
          <w:sz w:val="20"/>
          <w:szCs w:val="20"/>
          <w:color w:val="auto"/>
        </w:rPr>
      </w:pPr>
      <w:r>
        <w:rPr>
          <w:rFonts w:ascii="Arial" w:cs="Arial" w:eastAsia="Arial" w:hAnsi="Arial"/>
          <w:sz w:val="18"/>
          <w:szCs w:val="18"/>
          <w:color w:val="auto"/>
        </w:rPr>
        <w:t>current levels, in line with our three-pillar strategy that focuses on (i) AD, (ii) focused non-AD NDD including Parkinson’s disease, ALS and NeuroOrphan indications and (iii) diagnostics.</w:t>
      </w:r>
    </w:p>
    <w:p>
      <w:pPr>
        <w:spacing w:after="0" w:line="170"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manufacturing costs related to research and development and other research and development costs not allocated directly to programs for the periods covered by these Interim Condensed Consolidated Financial Statements. The research and development costs not allocated to specific programs include employment costs, regulatory, QA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research and development programs.</w:t>
      </w:r>
    </w:p>
    <w:p>
      <w:pPr>
        <w:spacing w:after="0" w:line="17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For the three months ended March 31, 2022, research and development expenses totaled CHF 15.1 million compared with CHF 13.3 million for the comparable period in 2021. This represents an increase of CHF 1.8 million. The following table presents the research and development expenses during the three months ended March 31,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Ended March 31,</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Discovery and preclinical expenses</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4,301</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4,940</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(639)</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Clinical expenses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927</w:t>
            </w:r>
          </w:p>
        </w:tc>
      </w:tr>
      <w:tr>
        <w:trPr>
          <w:trHeight w:val="22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Group function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114</w:t>
            </w:r>
          </w:p>
        </w:tc>
      </w:tr>
      <w:tr>
        <w:trPr>
          <w:trHeight w:val="263"/>
        </w:trPr>
        <w:tc>
          <w:tcPr>
            <w:tcW w:w="6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Direct R&amp;D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7,770</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7,368</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r>
      <w:tr>
        <w:trPr>
          <w:trHeight w:val="197"/>
        </w:trPr>
        <w:tc>
          <w:tcPr>
            <w:tcW w:w="698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color w:val="auto"/>
              </w:rPr>
              <w:t>Payroll expenses</w:t>
            </w:r>
          </w:p>
        </w:tc>
        <w:tc>
          <w:tcPr>
            <w:tcW w:w="138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4,341</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4,500</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2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non-allocated</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1,474</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R&amp;D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15,123</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13,329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1,794</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Ended March 31,</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50"/>
        </w:trPr>
        <w:tc>
          <w:tcPr>
            <w:tcW w:w="6860" w:type="dxa"/>
            <w:vAlign w:val="bottom"/>
            <w:tcBorders>
              <w:top w:val="single" w:sz="8" w:color="auto"/>
            </w:tcBorders>
            <w:shd w:val="clear" w:color="auto" w:fill="D5EAEA"/>
          </w:tcPr>
          <w:p>
            <w:pPr>
              <w:spacing w:after="0" w:line="25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8"/>
                <w:szCs w:val="28"/>
                <w:color w:val="auto"/>
                <w:vertAlign w:val="superscript"/>
              </w:rPr>
              <w:t>1</w:t>
            </w:r>
          </w:p>
        </w:tc>
        <w:tc>
          <w:tcPr>
            <w:tcW w:w="120" w:type="dxa"/>
            <w:vAlign w:val="bottom"/>
            <w:tcBorders>
              <w:top w:val="single" w:sz="8" w:color="D5EAEA"/>
            </w:tcBorders>
            <w:shd w:val="clear" w:color="auto" w:fill="D5EAEA"/>
          </w:tcPr>
          <w:p>
            <w:pPr>
              <w:spacing w:after="0"/>
              <w:rPr>
                <w:sz w:val="21"/>
                <w:szCs w:val="21"/>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10,388</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8,513</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1,875</w:t>
            </w:r>
          </w:p>
        </w:tc>
      </w:tr>
      <w:tr>
        <w:trPr>
          <w:trHeight w:val="270"/>
        </w:trPr>
        <w:tc>
          <w:tcPr>
            <w:tcW w:w="6980" w:type="dxa"/>
            <w:vAlign w:val="bottom"/>
            <w:tcBorders>
              <w:bottom w:val="single" w:sz="8" w:color="D5EAEA"/>
            </w:tcBorders>
            <w:gridSpan w:val="2"/>
          </w:tcPr>
          <w:p>
            <w:pPr>
              <w:spacing w:after="0" w:line="270" w:lineRule="exact"/>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4,735</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69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R&amp;D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15,123</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13,329</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1,794</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hanging="211"/>
        <w:spacing w:after="0"/>
        <w:tabs>
          <w:tab w:leader="none" w:pos="340" w:val="left"/>
        </w:tabs>
        <w:numPr>
          <w:ilvl w:val="0"/>
          <w:numId w:val="14"/>
        </w:numPr>
        <w:rPr>
          <w:rFonts w:ascii="Arial" w:cs="Arial" w:eastAsia="Arial" w:hAnsi="Arial"/>
          <w:sz w:val="12"/>
          <w:szCs w:val="12"/>
          <w:color w:val="auto"/>
        </w:rPr>
      </w:pPr>
      <w:r>
        <w:rPr>
          <w:rFonts w:ascii="Arial" w:cs="Arial" w:eastAsia="Arial" w:hAnsi="Arial"/>
          <w:sz w:val="14"/>
          <w:szCs w:val="14"/>
          <w:color w:val="auto"/>
        </w:rPr>
        <w:t>Includes depreciation expense</w:t>
      </w:r>
    </w:p>
    <w:p>
      <w:pPr>
        <w:spacing w:after="0" w:line="13" w:lineRule="exact"/>
        <w:rPr>
          <w:sz w:val="20"/>
          <w:szCs w:val="20"/>
          <w:color w:val="auto"/>
        </w:rPr>
      </w:pPr>
    </w:p>
    <w:p>
      <w:pPr>
        <w:ind w:left="340" w:hanging="211"/>
        <w:spacing w:after="0"/>
        <w:tabs>
          <w:tab w:leader="none" w:pos="340" w:val="left"/>
        </w:tabs>
        <w:numPr>
          <w:ilvl w:val="0"/>
          <w:numId w:val="15"/>
        </w:numPr>
        <w:rPr>
          <w:rFonts w:ascii="Arial" w:cs="Arial" w:eastAsia="Arial" w:hAnsi="Arial"/>
          <w:sz w:val="12"/>
          <w:szCs w:val="12"/>
          <w:color w:val="auto"/>
        </w:rPr>
      </w:pPr>
      <w:r>
        <w:rPr>
          <w:rFonts w:ascii="Arial" w:cs="Arial" w:eastAsia="Arial" w:hAnsi="Arial"/>
          <w:sz w:val="14"/>
          <w:szCs w:val="14"/>
          <w:color w:val="auto"/>
        </w:rPr>
        <w:t>Includes share-based compensation expense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Discovery and preclinical expenses decreased by CHF 0.6 million, primarily due to:</w:t>
      </w:r>
    </w:p>
    <w:p>
      <w:pPr>
        <w:spacing w:after="0" w:line="225" w:lineRule="exact"/>
        <w:rPr>
          <w:sz w:val="20"/>
          <w:szCs w:val="20"/>
          <w:color w:val="auto"/>
        </w:rPr>
      </w:pPr>
    </w:p>
    <w:p>
      <w:pPr>
        <w:ind w:left="660" w:right="2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CHF 0.6 million in ACI-24 for DS for the development costs associated with the vaccine formulation, CHF 0.2 million for certain neuroinflammation investments and CHF 0.1 million for other discovery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340" w:right="2480" w:hanging="8"/>
        <w:spacing w:after="0" w:line="500" w:lineRule="auto"/>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CHF 0.3 million for the expansion of our Morphomer Tau program into NeuroOrphan indications. Clinical expenses increased by CHF 0.9 million, primarily due to:</w:t>
      </w:r>
    </w:p>
    <w:p>
      <w:pPr>
        <w:spacing w:after="0" w:line="1"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CHF 0.8 million for the clinical development of ACI-24 for DS, CHF 0.3 million for the clinical development of ACI-7104, our alpha-synuclein vaccine for Parkinson’s disease acquired in Q4 2021 and CHF 0.1 million for ACI-35.030 driven by R&amp;D cost sharing, increased patient enrollment into the Phase 1b/2a study and increased frequency of interim analyses testing,</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340" w:right="2400" w:hanging="8"/>
        <w:spacing w:after="0" w:line="500" w:lineRule="auto"/>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CHF 0.1 million for our diagnostic imaging agents and CHF 0.2 million for other clinical programs. The variances in Group function expenses relate to regulatory, quality assurance and IP.</w:t>
      </w:r>
    </w:p>
    <w:p>
      <w:pPr>
        <w:spacing w:after="0" w:line="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CHF 1.5 million increase in other non-allocated expenses relate to administrative R&amp;D and certain non-allocated functional expenses, primarily due to:</w:t>
      </w:r>
    </w:p>
    <w:p>
      <w:pPr>
        <w:spacing w:after="0" w:line="170" w:lineRule="exact"/>
        <w:rPr>
          <w:sz w:val="20"/>
          <w:szCs w:val="20"/>
          <w:color w:val="auto"/>
        </w:rPr>
      </w:pPr>
    </w:p>
    <w:p>
      <w:pPr>
        <w:ind w:left="660" w:right="4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CHF 0.7 million associated with the reallocation of certain IT and facilities expenditures made in Q1 2022 that were not reclassified in the prior period, CHF 0.2 million in certain IT related investments and CHF 0.6 million across various cost centers particularly in clinical and technical operations.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General and administrative expenses consist of salaries and related costs, including share-based compensation, professional fees such as legal and accounting related services, infrastructure expenses, and other operating expenses.</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For the three months ended March 31, 2022, general and administrative expenses totaled CHF 4.2 million compared with CHF 4.3 million for the comparable period in 2021. This represents a decrease of CHF 0.1 million. The following table presents the general and administrative expenses during the three months ended March 31, 2022 and 2021:</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4" w:lineRule="auto"/>
        <w:rPr>
          <w:sz w:val="20"/>
          <w:szCs w:val="20"/>
          <w:color w:val="auto"/>
        </w:rPr>
      </w:pPr>
      <w:r>
        <w:rPr>
          <w:rFonts w:ascii="Arial" w:cs="Arial" w:eastAsia="Arial" w:hAnsi="Arial"/>
          <w:sz w:val="18"/>
          <w:szCs w:val="18"/>
          <w:color w:val="auto"/>
        </w:rPr>
        <w:t>Operating expenses</w:t>
      </w:r>
      <w:r>
        <w:rPr>
          <w:rFonts w:ascii="Arial" w:cs="Arial" w:eastAsia="Arial" w:hAnsi="Arial"/>
          <w:sz w:val="29"/>
          <w:szCs w:val="29"/>
          <w:color w:val="auto"/>
          <w:vertAlign w:val="superscript"/>
        </w:rPr>
        <w:t>1</w:t>
      </w:r>
    </w:p>
    <w:p>
      <w:pPr>
        <w:spacing w:after="0" w:line="195" w:lineRule="auto"/>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general and administrative expenses</w:t>
      </w:r>
    </w:p>
    <w:p>
      <w:pPr>
        <w:spacing w:after="0" w:line="56" w:lineRule="exact"/>
        <w:rPr>
          <w:sz w:val="20"/>
          <w:szCs w:val="20"/>
          <w:color w:val="auto"/>
        </w:rPr>
      </w:pPr>
    </w:p>
    <w:p>
      <w:pPr>
        <w:ind w:left="340" w:hanging="211"/>
        <w:spacing w:after="0"/>
        <w:tabs>
          <w:tab w:leader="none" w:pos="340" w:val="left"/>
        </w:tabs>
        <w:numPr>
          <w:ilvl w:val="0"/>
          <w:numId w:val="20"/>
        </w:numPr>
        <w:rPr>
          <w:rFonts w:ascii="Arial" w:cs="Arial" w:eastAsia="Arial" w:hAnsi="Arial"/>
          <w:sz w:val="12"/>
          <w:szCs w:val="12"/>
          <w:color w:val="auto"/>
        </w:rPr>
      </w:pPr>
      <w:r>
        <w:rPr>
          <w:rFonts w:ascii="Arial" w:cs="Arial" w:eastAsia="Arial" w:hAnsi="Arial"/>
          <w:sz w:val="14"/>
          <w:szCs w:val="14"/>
          <w:color w:val="auto"/>
        </w:rPr>
        <w:t>Includes depreciation expense</w:t>
      </w:r>
    </w:p>
    <w:p>
      <w:pPr>
        <w:spacing w:after="0" w:line="13" w:lineRule="exact"/>
        <w:rPr>
          <w:sz w:val="20"/>
          <w:szCs w:val="20"/>
          <w:color w:val="auto"/>
        </w:rPr>
      </w:pPr>
    </w:p>
    <w:p>
      <w:pPr>
        <w:ind w:left="340" w:hanging="211"/>
        <w:spacing w:after="0"/>
        <w:tabs>
          <w:tab w:leader="none" w:pos="340" w:val="left"/>
        </w:tabs>
        <w:numPr>
          <w:ilvl w:val="0"/>
          <w:numId w:val="21"/>
        </w:numPr>
        <w:rPr>
          <w:rFonts w:ascii="Arial" w:cs="Arial" w:eastAsia="Arial" w:hAnsi="Arial"/>
          <w:sz w:val="12"/>
          <w:szCs w:val="12"/>
          <w:color w:val="auto"/>
        </w:rPr>
      </w:pPr>
      <w:r>
        <w:rPr>
          <w:rFonts w:ascii="Arial" w:cs="Arial" w:eastAsia="Arial" w:hAnsi="Arial"/>
          <w:sz w:val="14"/>
          <w:szCs w:val="14"/>
          <w:color w:val="auto"/>
        </w:rPr>
        <w:t>Includes share-based compensation expense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2022, this decrease is primarily due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Ended March 31,</w:t>
            </w:r>
          </w:p>
        </w:tc>
        <w:tc>
          <w:tcPr>
            <w:tcW w:w="1340" w:type="dxa"/>
            <w:vAlign w:val="bottom"/>
          </w:tcPr>
          <w:p>
            <w:pPr>
              <w:spacing w:after="0"/>
              <w:rPr>
                <w:sz w:val="20"/>
                <w:szCs w:val="20"/>
                <w:color w:val="auto"/>
              </w:rPr>
            </w:pPr>
          </w:p>
        </w:tc>
      </w:t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5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7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74" w:lineRule="exact"/>
        <w:rPr>
          <w:sz w:val="20"/>
          <w:szCs w:val="20"/>
          <w:color w:val="auto"/>
        </w:rPr>
      </w:pPr>
    </w:p>
    <w:p>
      <w:pPr>
        <w:sectPr>
          <w:pgSz w:w="11900" w:h="16838" w:orient="portrait"/>
          <w:cols w:equalWidth="0" w:num="2">
            <w:col w:w="6260" w:space="720"/>
            <w:col w:w="4260"/>
          </w:cols>
          <w:pgMar w:left="320" w:top="557" w:right="339" w:bottom="1440" w:gutter="0" w:footer="0" w:header="0"/>
          <w:type w:val="continuous"/>
        </w:sectPr>
      </w:pPr>
    </w:p>
    <w:p>
      <w:pPr>
        <w:spacing w:after="0" w:line="48" w:lineRule="exact"/>
        <w:rPr>
          <w:sz w:val="20"/>
          <w:szCs w:val="20"/>
          <w:color w:val="auto"/>
        </w:rPr>
      </w:pPr>
    </w:p>
    <w:p>
      <w:pPr>
        <w:ind w:left="660" w:right="2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CHF 0.7 million associated with the reallocation of certain IT and facilities expenditures made in Q1 2022 that were not reclassified in the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ind w:left="660" w:right="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salary and benefit related costs of CHF 0.3 million related to an increase in full time employees and annualization of 2021 hires and board appointments.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operating income/(expense)</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Other operating income/(expense) consists primarily of income associated with foundation grants such as those from the Michael J. Fox Foundation (“MJFF”) or Target ALS.</w:t>
      </w:r>
    </w:p>
    <w:p>
      <w:pPr>
        <w:spacing w:after="0" w:line="170"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For the three months ended March 31, 2022, other operating income/(expense) totaled CHF 0.5 million compared with CHF 0.4 million for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comparable period in 2021. This represents an increase of less than CHF 0.1 million. The following table presents the other operating income/(expense)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and 2021:</w:t>
      </w:r>
    </w:p>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Ended March 31,</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Other operating income/(expense)</w:t>
            </w: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43</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other operating income/(expense)</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2022, this increase is primarily due to:</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less than CHF 0.1 million in grant income related to activities for two MJFF awards awarded in Q4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result, net</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For the three months ended March 31, 2022, finance result was less than a CHF 0.1 million loss compared with a CHF 0.5 million gain for the comparable period in 2021. This represents a decrease of CHF 0.5 million. The following table presents the finance result during the three months ended March 31,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Ended March 31,</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3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Exchange differences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2022, net finance result was a loss, primarily related to:</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CHF 0.2 million in interest expense for the Company’s cash and cash equivalents and short-term financial assets; and</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CHF 0.4 million decrease in foreign currency exchange differences related to movement in the CHF versus foreign currencies, predominantly the US Dollar and Euro.</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To date, AC Immune has financed its cash requirements primarily from its public offerings, share issuances, contract revenues from license and collaboration agreements and grants.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 As of March 31, 2022, we had cash and cash equivalents of CHF 57.8 million and short-term financial assets of CHF 116.0 million for a total liquidity balance of CHF 173.8 million.</w:t>
      </w:r>
    </w:p>
    <w:p>
      <w:pPr>
        <w:spacing w:after="0" w:line="166"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accounts payable and accrued expenses. We expect to incur substantial expenses in connection with a number of our product candidates in various stages of clinical development. We and Janssen are co-developing second-generation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vaccines. We expect to incur additional R&amp;D expenditures associated with the expansion of our Morphomer Tau program into AD and NeuroOrphan indications. We intend to increase our R&amp;D costs associated with the advancement of ACI-7104 in Parkinson’s disease and our ACI-24 vaccine program (i.e. ACI-24 AD and ACI-24 DS) through mid-stage clinical development. We also intend to further characterize our preclinical candidates.</w:t>
      </w:r>
    </w:p>
    <w:p>
      <w:pPr>
        <w:spacing w:after="0" w:line="185"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licensing and collaboration agreements (LCAs) and through equity or other forms of financing. For example, in Q3 2020 we entered into the Open Market Sale Agreement (“Sale Agreement”) with Jefferies LLC (“Jefferies”), which provides that, upon the terms and subject to the conditions and limitations set forth in the Sale</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ind w:right="100"/>
        <w:spacing w:after="0" w:line="271" w:lineRule="auto"/>
        <w:rPr>
          <w:sz w:val="20"/>
          <w:szCs w:val="20"/>
          <w:color w:val="auto"/>
        </w:rPr>
      </w:pPr>
      <w:r>
        <w:rPr>
          <w:rFonts w:ascii="Arial" w:cs="Arial" w:eastAsia="Arial" w:hAnsi="Arial"/>
          <w:sz w:val="17"/>
          <w:szCs w:val="17"/>
          <w:color w:val="auto"/>
        </w:rPr>
        <w:t>Agreement, we may elect to issue and sell, from time to time, shares of our common shares having an aggregate offering price of up to USD 80.0 (CHF 74.6) million through Jefferies acting as our sales agent. We replaced this Sale Agreement in Q2 2021 to continue the ATM program. Under the new Sale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 We will pay Jefferies a commission of up to 3.0% of the gross sales proceeds of any common shares sold through Jefferies under the new Sales Agreement. We are not obligated to make any sales of common shares under the new Sales Agreement, and we have not yet sold any common shares pursuant to the new Sales Agreement.</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may also consider entering into additional LCAs and selectively partnering for clinical development and commercialization.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6980" w:type="dxa"/>
            <w:vAlign w:val="bottom"/>
            <w:gridSpan w:val="2"/>
          </w:tcPr>
          <w:p>
            <w:pPr>
              <w:ind w:left="340"/>
              <w:spacing w:after="0"/>
              <w:rPr>
                <w:sz w:val="20"/>
                <w:szCs w:val="20"/>
                <w:color w:val="auto"/>
              </w:rPr>
            </w:pPr>
            <w:r>
              <w:rPr>
                <w:rFonts w:ascii="Arial" w:cs="Arial" w:eastAsia="Arial" w:hAnsi="Arial"/>
                <w:sz w:val="18"/>
                <w:szCs w:val="18"/>
                <w:color w:val="auto"/>
              </w:rPr>
              <w:t>The following table summarizes AC Immune’s cash flows for the periods indicated: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24"/>
                <w:szCs w:val="24"/>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Ended March 31,</w:t>
            </w:r>
          </w:p>
        </w:tc>
        <w:tc>
          <w:tcPr>
            <w:tcW w:w="1340" w:type="dxa"/>
            <w:vAlign w:val="bottom"/>
          </w:tcPr>
          <w:p>
            <w:pPr>
              <w:spacing w:after="0"/>
              <w:rPr>
                <w:sz w:val="20"/>
                <w:szCs w:val="20"/>
                <w:color w:val="auto"/>
              </w:rPr>
            </w:pPr>
          </w:p>
        </w:tc>
      </w:tr>
      <w:tr>
        <w:trPr>
          <w:trHeight w:val="223"/>
        </w:trPr>
        <w:tc>
          <w:tcPr>
            <w:tcW w:w="686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37"/>
        </w:trPr>
        <w:tc>
          <w:tcPr>
            <w:tcW w:w="6980" w:type="dxa"/>
            <w:vAlign w:val="bottom"/>
            <w:gridSpan w:val="2"/>
          </w:tcPr>
          <w:p>
            <w:pPr>
              <w:spacing w:after="0"/>
              <w:rPr>
                <w:sz w:val="20"/>
                <w:szCs w:val="20"/>
                <w:color w:val="auto"/>
              </w:rPr>
            </w:pPr>
            <w:r>
              <w:rPr>
                <w:rFonts w:ascii="Arial" w:cs="Arial" w:eastAsia="Arial" w:hAnsi="Arial"/>
                <w:sz w:val="18"/>
                <w:szCs w:val="18"/>
                <w:color w:val="auto"/>
              </w:rPr>
              <w:t>Net cash provided by/(used in):</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Operating activities</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(23,143)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(17,339)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(5,804)</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38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2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Financing activities</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7,707</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(8,623)</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(14,157)</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Net cash used in operating activities was CHF 23.1 million for the three months ended March 31, 2022, compared with net cash used in operating activities of CHF 17.3 million for the three months ended March 31, 2021. The change in cash used in operating activities for the three months ended March 31, 2022 was due to the Company’s reporting a net loss of CHF 18.8 million for the period, compared with a net loss of CHF 16.7 million for the same period in 2021, driven by (i) an increase of CHF 1.8 million in R&amp;D expenditures for the three months ended March 31, 2022.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Net cash used in investing activities was CHF 0.5 million for the three months ended March 31, 2022, compared with net cash used in investing activities of CHF 0.8 million for the three months ended March 31, 2021 due to investments in the Company’s property, plant and equipment.</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Net cash used in financing activities was CHF 0.9 million for the three months ended March 31, 2022, compared with net cash provided by financing activities of CHF 7.7 million for the three months ended March 31, 2021. The decrease of CHF 8.6 million is predominantly related to CHF 8.0 million received from proceeds from the sale of treasury shares in public offerings, net of underwriting fees and transaction costs from our at the market offering that occurred in the prior period but did not repeat in the current period. Additionally, in the three months ended March 31, 2022, the Company paid CHF 0.8 million in stamp duty associated with issuance of shares in relation to the asset acquisition that were previously accrued.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successfully commercialize, our current or any future product candidates. As of March 31, 2022, we had cash and cash equivalents of CHF 57.8 million and short-term financial assets of CHF 116.0 million, resulting in CHF 173.8 million of liquidity. The decrease relative to December 31, 2021 was</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40"/>
        <w:spacing w:after="0" w:line="257" w:lineRule="auto"/>
        <w:rPr>
          <w:sz w:val="20"/>
          <w:szCs w:val="20"/>
          <w:color w:val="auto"/>
        </w:rPr>
      </w:pPr>
      <w:r>
        <w:rPr>
          <w:rFonts w:ascii="Arial" w:cs="Arial" w:eastAsia="Arial" w:hAnsi="Arial"/>
          <w:sz w:val="18"/>
          <w:szCs w:val="18"/>
          <w:color w:val="auto"/>
        </w:rPr>
        <w:t>predominantly related to R&amp;D spending on our major discovery and R&amp;D programs, and the strengthening of the Company’s infrastructure, systems and organization. There can be no certainty as to the exact timing of future milestone payments, or in fact, whether any of these will ever be made, given that they are contingent on clear milestones being reached. Accordingly, assuming that we do not receive potential milestone payments and based upon our currently contemplated R&amp;D strategy, we believe that our existing capital resources will be sufficient to meet our projected operating requirements through at least Q1 2024.</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1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During the three months ended March 31, 2022,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 except as it relates to the Company’s derivative financial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 addition to AC Immune’s operating results, as calculated in accordance with International Financial Reporting Standards (“IFRS”), as issued by the International Accounting Standards Board, we use adjusted loss and adjusted loss per share when monitoring and evaluating our operational performance. Adjusted loss is defined as loss for the relevant period, as adjusted for certain items that we believe are not indicative of our ongoing operating performance. Adjusted loss per share is defined as adjusted loss for the relevant period divided by the weighted-average number of shares for such period.</w:t>
      </w:r>
    </w:p>
    <w:p>
      <w:pPr>
        <w:spacing w:after="0" w:line="15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believe that these measures assist our shareholders because they enhance the comparability of our results each period and provide more useful insight into operational results for the period. The Company’s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60"/>
        <w:spacing w:after="0" w:line="259" w:lineRule="auto"/>
        <w:rPr>
          <w:sz w:val="20"/>
          <w:szCs w:val="20"/>
          <w:color w:val="auto"/>
        </w:rPr>
      </w:pPr>
      <w:r>
        <w:rPr>
          <w:rFonts w:ascii="Arial" w:cs="Arial" w:eastAsia="Arial" w:hAnsi="Arial"/>
          <w:sz w:val="18"/>
          <w:szCs w:val="18"/>
          <w:color w:val="auto"/>
        </w:rPr>
        <w:t>executive management uses these non-IFRS measures to evaluate our operational performance. These non-IFRS financial measures are not meant to be considered alone or as substitutes for our IFRS financial measures and should be read in conjunction with the Company’s consolidated financial statements prepared in accordance with IFRS. The most directly comparable IFRS measure to these non-IFRS measures is net loss. The following table reconciles net loss to adjusted loss and adjusted loss per share for the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Loss to Adjusted Loss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to Adjusted Loss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Ended March 31,</w:t>
            </w:r>
          </w:p>
        </w:tc>
      </w:tr>
      <w:tr>
        <w:trPr>
          <w:trHeight w:val="223"/>
        </w:trPr>
        <w:tc>
          <w:tcPr>
            <w:tcW w:w="8440" w:type="dxa"/>
            <w:vAlign w:val="bottom"/>
            <w:gridSpan w:val="2"/>
          </w:tcPr>
          <w:p>
            <w:pPr>
              <w:ind w:left="2160"/>
              <w:spacing w:after="0"/>
              <w:rPr>
                <w:sz w:val="20"/>
                <w:szCs w:val="20"/>
                <w:color w:val="auto"/>
              </w:rPr>
            </w:pPr>
            <w:r>
              <w:rPr>
                <w:rFonts w:ascii="Arial" w:cs="Arial" w:eastAsia="Arial" w:hAnsi="Arial"/>
                <w:sz w:val="14"/>
                <w:szCs w:val="14"/>
                <w:b w:val="1"/>
                <w:bCs w:val="1"/>
                <w:color w:val="auto"/>
              </w:rPr>
              <w:t>in CHF thousands except for share and per share data, unaudited</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Loss</w:t>
            </w:r>
          </w:p>
        </w:tc>
        <w:tc>
          <w:tcPr>
            <w:tcW w:w="12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(18,848)</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(16,734)</w:t>
            </w:r>
          </w:p>
        </w:tc>
      </w:tr>
      <w:tr>
        <w:trPr>
          <w:trHeight w:val="21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Adjustments: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6"/>
        </w:trPr>
        <w:tc>
          <w:tcPr>
            <w:tcW w:w="84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Non-cash share-based payments</w:t>
            </w:r>
            <w:r>
              <w:rPr>
                <w:rFonts w:ascii="Arial" w:cs="Arial" w:eastAsia="Arial" w:hAnsi="Arial"/>
                <w:sz w:val="29"/>
                <w:szCs w:val="29"/>
                <w:color w:val="auto"/>
                <w:vertAlign w:val="superscript"/>
              </w:rPr>
              <w:t>1</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857</w:t>
            </w:r>
          </w:p>
        </w:tc>
      </w:tr>
      <w:tr>
        <w:trPr>
          <w:trHeight w:val="270"/>
        </w:trPr>
        <w:tc>
          <w:tcPr>
            <w:tcW w:w="8440" w:type="dxa"/>
            <w:vAlign w:val="bottom"/>
            <w:tcBorders>
              <w:bottom w:val="single" w:sz="8" w:color="D5EAEA"/>
            </w:tcBorders>
            <w:gridSpan w:val="2"/>
          </w:tcPr>
          <w:p>
            <w:pPr>
              <w:spacing w:after="0" w:line="270" w:lineRule="exact"/>
              <w:rPr>
                <w:sz w:val="20"/>
                <w:szCs w:val="20"/>
                <w:color w:val="auto"/>
              </w:rPr>
            </w:pPr>
            <w:r>
              <w:rPr>
                <w:rFonts w:ascii="Arial" w:cs="Arial" w:eastAsia="Arial" w:hAnsi="Arial"/>
                <w:sz w:val="18"/>
                <w:szCs w:val="18"/>
                <w:color w:val="auto"/>
              </w:rPr>
              <w:t>Foreign currency (gains)/losses</w:t>
            </w:r>
            <w:r>
              <w:rPr>
                <w:rFonts w:ascii="Arial" w:cs="Arial" w:eastAsia="Arial" w:hAnsi="Arial"/>
                <w:sz w:val="29"/>
                <w:szCs w:val="29"/>
                <w:color w:val="auto"/>
                <w:vertAlign w:val="superscript"/>
              </w:rPr>
              <w:t>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r>
      <w:tr>
        <w:trPr>
          <w:trHeight w:val="223"/>
        </w:trPr>
        <w:tc>
          <w:tcPr>
            <w:tcW w:w="84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Adjusted Loss</w:t>
            </w: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(18,077)</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(16,498)</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8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Loss per share – basic and diluted</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(0.23)</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Adjustment to loss per share – basic and diluted</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Adjusted loss per share – basic and diluted</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(0.23)</w:t>
            </w:r>
          </w:p>
        </w:tc>
      </w:tr>
      <w:tr>
        <w:trPr>
          <w:trHeight w:val="209"/>
        </w:trPr>
        <w:tc>
          <w:tcPr>
            <w:tcW w:w="8440" w:type="dxa"/>
            <w:vAlign w:val="bottom"/>
            <w:gridSpan w:val="2"/>
          </w:tcPr>
          <w:p>
            <w:pPr>
              <w:spacing w:after="0"/>
              <w:rPr>
                <w:sz w:val="20"/>
                <w:szCs w:val="20"/>
                <w:color w:val="auto"/>
              </w:rPr>
            </w:pPr>
            <w:r>
              <w:rPr>
                <w:rFonts w:ascii="Arial" w:cs="Arial" w:eastAsia="Arial" w:hAnsi="Arial"/>
                <w:sz w:val="18"/>
                <w:szCs w:val="18"/>
                <w:color w:val="auto"/>
              </w:rPr>
              <w:t>Weighted-average number of shares outstanding Adjusted loss – basic and diluted</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83,486,354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72,305,949</w:t>
            </w:r>
          </w:p>
        </w:tc>
      </w:tr>
    </w:tbl>
    <w:p>
      <w:pPr>
        <w:ind w:left="240" w:right="140" w:hanging="111"/>
        <w:spacing w:after="0" w:line="221" w:lineRule="auto"/>
        <w:tabs>
          <w:tab w:leader="none" w:pos="240" w:val="left"/>
        </w:tabs>
        <w:numPr>
          <w:ilvl w:val="0"/>
          <w:numId w:val="27"/>
        </w:numPr>
        <w:rPr>
          <w:rFonts w:ascii="Arial" w:cs="Arial" w:eastAsia="Arial" w:hAnsi="Arial"/>
          <w:sz w:val="12"/>
          <w:szCs w:val="12"/>
          <w:color w:val="auto"/>
        </w:rPr>
      </w:pPr>
      <w:r>
        <w:rPr>
          <w:rFonts w:ascii="Arial" w:cs="Arial" w:eastAsia="Arial" w:hAnsi="Arial"/>
          <w:sz w:val="14"/>
          <w:szCs w:val="14"/>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 w:lineRule="exact"/>
        <w:rPr>
          <w:sz w:val="20"/>
          <w:szCs w:val="20"/>
          <w:color w:val="auto"/>
        </w:rPr>
      </w:pPr>
    </w:p>
    <w:p>
      <w:pPr>
        <w:ind w:left="240" w:hanging="111"/>
        <w:spacing w:after="0"/>
        <w:tabs>
          <w:tab w:leader="none" w:pos="240" w:val="left"/>
        </w:tabs>
        <w:numPr>
          <w:ilvl w:val="0"/>
          <w:numId w:val="28"/>
        </w:numPr>
        <w:rPr>
          <w:rFonts w:ascii="Arial" w:cs="Arial" w:eastAsia="Arial" w:hAnsi="Arial"/>
          <w:sz w:val="11"/>
          <w:szCs w:val="11"/>
          <w:color w:val="auto"/>
        </w:rPr>
      </w:pPr>
      <w:r>
        <w:rPr>
          <w:rFonts w:ascii="Arial" w:cs="Arial" w:eastAsia="Arial" w:hAnsi="Arial"/>
          <w:sz w:val="13"/>
          <w:szCs w:val="13"/>
          <w:color w:val="auto"/>
        </w:rPr>
        <w:t>Reflects foreign currency re-measurement gains and losses for the period, predominantly impacted by the change in the exchange rate between the US Dollar and Euro with the Swiss Franc.</w:t>
      </w:r>
    </w:p>
    <w:p>
      <w:pPr>
        <w:spacing w:after="0" w:line="140" w:lineRule="exact"/>
        <w:rPr>
          <w:sz w:val="20"/>
          <w:szCs w:val="20"/>
          <w:color w:val="auto"/>
        </w:rPr>
      </w:pPr>
    </w:p>
    <w:p>
      <w:pPr>
        <w:ind w:left="180" w:right="280" w:firstLine="324"/>
        <w:spacing w:after="0" w:line="279" w:lineRule="auto"/>
        <w:rPr>
          <w:sz w:val="20"/>
          <w:szCs w:val="20"/>
          <w:color w:val="auto"/>
        </w:rPr>
      </w:pPr>
      <w:r>
        <w:rPr>
          <w:rFonts w:ascii="Arial" w:cs="Arial" w:eastAsia="Arial" w:hAnsi="Arial"/>
          <w:sz w:val="17"/>
          <w:szCs w:val="17"/>
          <w:color w:val="auto"/>
        </w:rPr>
        <w:t>Adjustments for the three months ended March 31, 2022, decreased net loss by CHF 0.8 million compared with a decrease to net loss of CHF 0.2 million for the comparable period in 2021, respectively. The Company recorded CHF 1.0 million and CHF 0.9 million for share-based compensation expenses, respectively, in each of these periods. There were foreign currency re-measurement gains of CHF 0.2 million and CHF 0.6 million, respectively, primarily related to movement in the USD-CHF exchange rate during the respective periods.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including the impact of Covid-19 on our business, suppliers, patients and employees, and any other impact of Covid-19.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t>projected in the forward-looking statements. Moreover, we operate in an evolving environment. New risk factors and uncertainties may emerge from time to time such as the global pandemic originating with Covid-19,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774190" cy="557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First Quarter 2022 Financial Results and Provides Corporate Update</w:t>
      </w:r>
    </w:p>
    <w:p>
      <w:pPr>
        <w:spacing w:after="0" w:line="224"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Two clinical readouts delivered in Q1; five more expected by year-end</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Interim data from the Phase 1b/2a trial of ACI-35.030 confirm the favorable safety and potent immunogenicity of this first-in-class anti-pTau</w:t>
      </w:r>
    </w:p>
    <w:p>
      <w:pPr>
        <w:spacing w:after="0" w:line="14"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vaccine</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First images of alpha-synuclein in patients’ brains presented at AD/PD</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Conference provide clinical proof-of-concept for ACI-12589 as a</w:t>
      </w:r>
    </w:p>
    <w:p>
      <w:pPr>
        <w:jc w:val="center"/>
        <w:spacing w:after="0"/>
        <w:rPr>
          <w:sz w:val="20"/>
          <w:szCs w:val="20"/>
          <w:color w:val="auto"/>
        </w:rPr>
      </w:pPr>
      <w:r>
        <w:rPr>
          <w:rFonts w:ascii="Arial" w:cs="Arial" w:eastAsia="Arial" w:hAnsi="Arial"/>
          <w:sz w:val="18"/>
          <w:szCs w:val="18"/>
          <w:i w:val="1"/>
          <w:iCs w:val="1"/>
          <w:color w:val="auto"/>
        </w:rPr>
        <w:t>PET tracer for alpha-synucleinopathies (e.g. MSA)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financial position of CHF 173.8 million ensures the Company is fully financed through at least Q1 2024</w:t>
      </w:r>
    </w:p>
    <w:p>
      <w:pPr>
        <w:spacing w:after="0" w:line="19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Lausanne, Switzerland, April 28, 2022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reported results for the quarter ended March 31, 2022, and provided a corporate update.</w:t>
      </w:r>
    </w:p>
    <w:p>
      <w:pPr>
        <w:spacing w:after="0" w:line="15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b w:val="1"/>
          <w:bCs w:val="1"/>
          <w:color w:val="auto"/>
        </w:rPr>
        <w:t xml:space="preserve">Prof. Andrea Pfeifer, CEO of AC Immune SA, commented: </w:t>
      </w:r>
      <w:r>
        <w:rPr>
          <w:rFonts w:ascii="Arial" w:cs="Arial" w:eastAsia="Arial" w:hAnsi="Arial"/>
          <w:sz w:val="18"/>
          <w:szCs w:val="18"/>
          <w:color w:val="auto"/>
        </w:rPr>
        <w:t>“We continue to make strong progress in pursuit of our mission to enable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diagnosis, treatment, and ultimately prevention, of neurodegenerative diseases. Our recent AD/PD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presentations exemplified the breadth and innovative excellence of our approaches, including ACI-12589 generating the first live images of alpha-synuclein in human brains. This critical breakthrough lays the groundwork for precision medicine, including a pathway for biomarker-based development for NeuroOrphan indications.”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Prof. Pfeifer continued: </w:t>
      </w:r>
      <w:r>
        <w:rPr>
          <w:rFonts w:ascii="Arial" w:cs="Arial" w:eastAsia="Arial" w:hAnsi="Arial"/>
          <w:sz w:val="18"/>
          <w:szCs w:val="18"/>
          <w:color w:val="auto"/>
        </w:rPr>
        <w:t>“Throughout the remainder of 2022, we expect to report five additional clinical data readouts from vaccine,</w:t>
      </w:r>
      <w:r>
        <w:rPr>
          <w:rFonts w:ascii="Arial" w:cs="Arial" w:eastAsia="Arial" w:hAnsi="Arial"/>
          <w:sz w:val="18"/>
          <w:szCs w:val="18"/>
          <w:b w:val="1"/>
          <w:bCs w:val="1"/>
          <w:color w:val="auto"/>
        </w:rPr>
        <w:t xml:space="preserve"> </w:t>
      </w:r>
      <w:r>
        <w:rPr>
          <w:rFonts w:ascii="Arial" w:cs="Arial" w:eastAsia="Arial" w:hAnsi="Arial"/>
          <w:sz w:val="18"/>
          <w:szCs w:val="18"/>
          <w:color w:val="auto"/>
        </w:rPr>
        <w:t>antibody, and diagnostic programs targeting Abeta and Tau, including top line results from the landmark Alzheimer’s prevention trial of anti-Abeta antibody crenezumab expected in the coming months. Each of the anticipated milestones represents an important opportunity for value creation and an affirmation of AC Immune’s position as a global leader in addressing neurodegenerative diseases. We look forward to executing on our plan in the year ahead and are pleased to be well financed through at least Q1 2024.”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2022 and Subsequent Highlights</w:t>
      </w:r>
    </w:p>
    <w:p>
      <w:pPr>
        <w:spacing w:after="0" w:line="220" w:lineRule="exact"/>
        <w:rPr>
          <w:sz w:val="20"/>
          <w:szCs w:val="20"/>
          <w:color w:val="auto"/>
        </w:rPr>
      </w:pPr>
    </w:p>
    <w:p>
      <w:pPr>
        <w:jc w:val="both"/>
        <w:ind w:left="660" w:hanging="328"/>
        <w:spacing w:after="0" w:line="199" w:lineRule="auto"/>
        <w:tabs>
          <w:tab w:leader="none" w:pos="660" w:val="left"/>
        </w:tabs>
        <w:numPr>
          <w:ilvl w:val="0"/>
          <w:numId w:val="29"/>
        </w:numPr>
        <w:rPr>
          <w:rFonts w:ascii="Arial" w:cs="Arial" w:eastAsia="Arial" w:hAnsi="Arial"/>
          <w:sz w:val="22"/>
          <w:szCs w:val="22"/>
          <w:color w:val="C00000"/>
        </w:rPr>
      </w:pPr>
      <w:r>
        <w:rPr>
          <w:rFonts w:ascii="Arial" w:cs="Arial" w:eastAsia="Arial" w:hAnsi="Arial"/>
          <w:sz w:val="18"/>
          <w:szCs w:val="18"/>
          <w:color w:val="auto"/>
        </w:rPr>
        <w:t xml:space="preserve">Reported the </w:t>
      </w:r>
      <w:r>
        <w:rPr>
          <w:rFonts w:ascii="Arial" w:cs="Arial" w:eastAsia="Arial" w:hAnsi="Arial"/>
          <w:sz w:val="18"/>
          <w:szCs w:val="18"/>
          <w:u w:val="single" w:color="auto"/>
          <w:color w:val="0000E1"/>
        </w:rPr>
        <w:t>first live images of alpha-synuclein in the human brain</w:t>
      </w:r>
      <w:r>
        <w:rPr>
          <w:rFonts w:ascii="Arial" w:cs="Arial" w:eastAsia="Arial" w:hAnsi="Arial"/>
          <w:sz w:val="18"/>
          <w:szCs w:val="18"/>
          <w:color w:val="auto"/>
        </w:rPr>
        <w:t xml:space="preserve"> with ACI-12589, AC Immune’s wholly-owned alpha-synuclein (a-syn) positron emission tomography (PET) tracer, at the AD/PD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2022 Conference. Clinical PET image analyses showed enhanced contrast and a-syn target specificity in patients with multiple system atrophy (MSA), as well as increased tracer retention in brain areas affected by MSA disease processes. Together with preclinical data also presented at AD/PD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2022, these analyses demonstrate ACI-12589’s potential to be the first non-invasive diagnostic for alpha-synucleinopathies (e.g. MSA).</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ind w:left="660" w:hanging="328"/>
        <w:spacing w:after="0" w:line="218" w:lineRule="auto"/>
        <w:tabs>
          <w:tab w:leader="none" w:pos="660" w:val="left"/>
        </w:tabs>
        <w:numPr>
          <w:ilvl w:val="0"/>
          <w:numId w:val="30"/>
        </w:numPr>
        <w:rPr>
          <w:rFonts w:ascii="Arial" w:cs="Arial" w:eastAsia="Arial" w:hAnsi="Arial"/>
          <w:sz w:val="22"/>
          <w:szCs w:val="22"/>
          <w:color w:val="C00000"/>
        </w:rPr>
      </w:pPr>
      <w:r>
        <w:rPr>
          <w:rFonts w:ascii="Arial" w:cs="Arial" w:eastAsia="Arial" w:hAnsi="Arial"/>
          <w:sz w:val="18"/>
          <w:szCs w:val="18"/>
          <w:color w:val="auto"/>
        </w:rPr>
        <w:t xml:space="preserve">Hosted a </w:t>
      </w:r>
      <w:r>
        <w:rPr>
          <w:rFonts w:ascii="Arial" w:cs="Arial" w:eastAsia="Arial" w:hAnsi="Arial"/>
          <w:sz w:val="18"/>
          <w:szCs w:val="18"/>
          <w:u w:val="single" w:color="auto"/>
          <w:color w:val="0000E1"/>
        </w:rPr>
        <w:t>key opinion leader webinar</w:t>
      </w:r>
      <w:r>
        <w:rPr>
          <w:rFonts w:ascii="Arial" w:cs="Arial" w:eastAsia="Arial" w:hAnsi="Arial"/>
          <w:sz w:val="18"/>
          <w:szCs w:val="18"/>
          <w:color w:val="auto"/>
        </w:rPr>
        <w:t xml:space="preserve"> on a-syn as a target in neurodegenerative diseases featuring Oskar Hansson, MD, PhD, of Skåne University Hospital and Lund University. To view the presentation and a replay of the webinar, click </w:t>
      </w:r>
      <w:r>
        <w:rPr>
          <w:rFonts w:ascii="Arial" w:cs="Arial" w:eastAsia="Arial" w:hAnsi="Arial"/>
          <w:sz w:val="18"/>
          <w:szCs w:val="18"/>
          <w:u w:val="single" w:color="auto"/>
          <w:color w:val="0000E1"/>
        </w:rPr>
        <w:t>here</w:t>
      </w:r>
      <w:r>
        <w:rPr>
          <w:rFonts w:ascii="Arial" w:cs="Arial" w:eastAsia="Arial" w:hAnsi="Arial"/>
          <w:sz w:val="18"/>
          <w:szCs w:val="18"/>
          <w:color w:val="auto"/>
        </w:rPr>
        <w:t>.</w:t>
      </w:r>
    </w:p>
    <w:p>
      <w:pPr>
        <w:spacing w:after="0" w:line="230" w:lineRule="exact"/>
        <w:rPr>
          <w:rFonts w:ascii="Arial" w:cs="Arial" w:eastAsia="Arial" w:hAnsi="Arial"/>
          <w:sz w:val="22"/>
          <w:szCs w:val="22"/>
          <w:color w:val="C00000"/>
        </w:rPr>
      </w:pPr>
    </w:p>
    <w:p>
      <w:pPr>
        <w:jc w:val="both"/>
        <w:ind w:left="660" w:hanging="328"/>
        <w:spacing w:after="0" w:line="226" w:lineRule="auto"/>
        <w:tabs>
          <w:tab w:leader="none" w:pos="660" w:val="left"/>
        </w:tabs>
        <w:numPr>
          <w:ilvl w:val="0"/>
          <w:numId w:val="30"/>
        </w:numPr>
        <w:rPr>
          <w:rFonts w:ascii="Arial" w:cs="Arial" w:eastAsia="Arial" w:hAnsi="Arial"/>
          <w:sz w:val="22"/>
          <w:szCs w:val="22"/>
          <w:color w:val="C00000"/>
        </w:rPr>
      </w:pPr>
      <w:r>
        <w:rPr>
          <w:rFonts w:ascii="Arial" w:cs="Arial" w:eastAsia="Arial" w:hAnsi="Arial"/>
          <w:sz w:val="18"/>
          <w:szCs w:val="18"/>
          <w:color w:val="auto"/>
        </w:rPr>
        <w:t xml:space="preserve">Announced </w:t>
      </w:r>
      <w:r>
        <w:rPr>
          <w:rFonts w:ascii="Arial" w:cs="Arial" w:eastAsia="Arial" w:hAnsi="Arial"/>
          <w:sz w:val="18"/>
          <w:szCs w:val="18"/>
          <w:u w:val="single" w:color="auto"/>
          <w:color w:val="0000E1"/>
        </w:rPr>
        <w:t>interim Phase 1b/2a trial data</w:t>
      </w:r>
      <w:r>
        <w:rPr>
          <w:rFonts w:ascii="Arial" w:cs="Arial" w:eastAsia="Arial" w:hAnsi="Arial"/>
          <w:sz w:val="18"/>
          <w:szCs w:val="18"/>
          <w:color w:val="auto"/>
        </w:rPr>
        <w:t xml:space="preserve"> confirming the consistent safety and potent immunogenicity of ACI-35.030, a first-in-class phosphorylated-Tau (pTau) vaccine candidate. Data from the high-dose cohort showed the strong induction of antibodies selective for pTau and its aggregated form, enriched paired helical filaments (ePHF). The data also support ACI-35.030’s favorable safety profile and plans for its continued late-stage development.</w:t>
      </w:r>
    </w:p>
    <w:p>
      <w:pPr>
        <w:spacing w:after="0" w:line="212" w:lineRule="exact"/>
        <w:rPr>
          <w:rFonts w:ascii="Arial" w:cs="Arial" w:eastAsia="Arial" w:hAnsi="Arial"/>
          <w:sz w:val="22"/>
          <w:szCs w:val="22"/>
          <w:color w:val="C00000"/>
        </w:rPr>
      </w:pPr>
    </w:p>
    <w:p>
      <w:pPr>
        <w:jc w:val="both"/>
        <w:ind w:left="660" w:hanging="328"/>
        <w:spacing w:after="0"/>
        <w:tabs>
          <w:tab w:leader="none" w:pos="660" w:val="left"/>
        </w:tabs>
        <w:numPr>
          <w:ilvl w:val="0"/>
          <w:numId w:val="30"/>
        </w:numPr>
        <w:rPr>
          <w:rFonts w:ascii="Arial" w:cs="Arial" w:eastAsia="Arial" w:hAnsi="Arial"/>
          <w:sz w:val="22"/>
          <w:szCs w:val="22"/>
          <w:color w:val="C00000"/>
        </w:rPr>
      </w:pPr>
      <w:r>
        <w:rPr>
          <w:rFonts w:ascii="Arial" w:cs="Arial" w:eastAsia="Arial" w:hAnsi="Arial"/>
          <w:sz w:val="18"/>
          <w:szCs w:val="18"/>
          <w:color w:val="auto"/>
        </w:rPr>
        <w:t xml:space="preserve">Published new data on the </w:t>
      </w:r>
      <w:r>
        <w:rPr>
          <w:rFonts w:ascii="Arial" w:cs="Arial" w:eastAsia="Arial" w:hAnsi="Arial"/>
          <w:sz w:val="18"/>
          <w:szCs w:val="18"/>
          <w:u w:val="single" w:color="auto"/>
          <w:color w:val="0000E1"/>
        </w:rPr>
        <w:t>optimized formulation of ACI-24</w:t>
      </w:r>
      <w:r>
        <w:rPr>
          <w:rFonts w:ascii="Arial" w:cs="Arial" w:eastAsia="Arial" w:hAnsi="Arial"/>
          <w:sz w:val="18"/>
          <w:szCs w:val="18"/>
          <w:color w:val="auto"/>
        </w:rPr>
        <w:t xml:space="preserve"> in the peer-reviewed journal </w:t>
      </w:r>
      <w:r>
        <w:rPr>
          <w:rFonts w:ascii="Arial" w:cs="Arial" w:eastAsia="Arial" w:hAnsi="Arial"/>
          <w:sz w:val="18"/>
          <w:szCs w:val="18"/>
          <w:i w:val="1"/>
          <w:iCs w:val="1"/>
          <w:u w:val="single" w:color="auto"/>
          <w:color w:val="0000E1"/>
        </w:rPr>
        <w:t>Brain Communications</w:t>
      </w:r>
      <w:r>
        <w:rPr>
          <w:rFonts w:ascii="Arial" w:cs="Arial" w:eastAsia="Arial" w:hAnsi="Arial"/>
          <w:sz w:val="18"/>
          <w:szCs w:val="18"/>
          <w:color w:val="auto"/>
        </w:rPr>
        <w:t>, showing that the anti-Abeta vaccine was well tolerated in preclinical models and generated a broad polyclonal anti-Abeta response with high titers of antibodies against neurotoxic pyroglutamate Abeta (pyroGlu-Abeta), a major component of Abeta plaques. Optimized ACI-24 was also shown to have enhanced and sustained immunogenicity against another key pathological Abeta species, oligomeric Abeta, in preclinical studies presented at AD/PD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2022.</w:t>
      </w:r>
    </w:p>
    <w:p>
      <w:pPr>
        <w:spacing w:after="0" w:line="106" w:lineRule="exact"/>
        <w:rPr>
          <w:rFonts w:ascii="Arial" w:cs="Arial" w:eastAsia="Arial" w:hAnsi="Arial"/>
          <w:sz w:val="22"/>
          <w:szCs w:val="22"/>
          <w:color w:val="C00000"/>
        </w:rPr>
      </w:pPr>
    </w:p>
    <w:p>
      <w:pPr>
        <w:jc w:val="both"/>
        <w:ind w:left="660" w:hanging="328"/>
        <w:spacing w:after="0" w:line="223" w:lineRule="auto"/>
        <w:tabs>
          <w:tab w:leader="none" w:pos="660" w:val="left"/>
        </w:tabs>
        <w:numPr>
          <w:ilvl w:val="0"/>
          <w:numId w:val="30"/>
        </w:numPr>
        <w:rPr>
          <w:rFonts w:ascii="Arial" w:cs="Arial" w:eastAsia="Arial" w:hAnsi="Arial"/>
          <w:sz w:val="22"/>
          <w:szCs w:val="22"/>
          <w:color w:val="C00000"/>
        </w:rPr>
      </w:pPr>
      <w:r>
        <w:rPr>
          <w:rFonts w:ascii="Arial" w:cs="Arial" w:eastAsia="Arial" w:hAnsi="Arial"/>
          <w:sz w:val="18"/>
          <w:szCs w:val="18"/>
          <w:color w:val="auto"/>
        </w:rPr>
        <w:t>Expanded leadership with the appointment of Howard Donovan as Chief HR Officer and member to the Executive Committee. Mr. Donovan is an internationally experienced, commercially focused leader. He joins from the World Economic Forum, where he led People Services since 2015.</w:t>
      </w:r>
    </w:p>
    <w:p>
      <w:pPr>
        <w:spacing w:after="0" w:line="230" w:lineRule="exact"/>
        <w:rPr>
          <w:rFonts w:ascii="Arial" w:cs="Arial" w:eastAsia="Arial" w:hAnsi="Arial"/>
          <w:sz w:val="22"/>
          <w:szCs w:val="22"/>
          <w:color w:val="C00000"/>
        </w:rPr>
      </w:pPr>
    </w:p>
    <w:p>
      <w:pPr>
        <w:jc w:val="both"/>
        <w:ind w:left="660" w:hanging="328"/>
        <w:spacing w:after="0" w:line="226" w:lineRule="auto"/>
        <w:tabs>
          <w:tab w:leader="none" w:pos="660" w:val="left"/>
        </w:tabs>
        <w:numPr>
          <w:ilvl w:val="0"/>
          <w:numId w:val="30"/>
        </w:numPr>
        <w:rPr>
          <w:rFonts w:ascii="Arial" w:cs="Arial" w:eastAsia="Arial" w:hAnsi="Arial"/>
          <w:sz w:val="22"/>
          <w:szCs w:val="22"/>
          <w:color w:val="C00000"/>
        </w:rPr>
      </w:pPr>
      <w:r>
        <w:rPr>
          <w:rFonts w:ascii="Arial" w:cs="Arial" w:eastAsia="Arial" w:hAnsi="Arial"/>
          <w:sz w:val="18"/>
          <w:szCs w:val="18"/>
          <w:color w:val="auto"/>
        </w:rPr>
        <w:t>Joerg Hornstein, Chief Financial Officer, will leave in the second half of 2022 to pursue a new opportunity. AC Immune is well positioned with two members of the company’s proven Finance Leadership Team who will transition to new roles. Christopher Roberts is appointed Vice President, Finance and interim CFO. Julian Snow is appointed Vice President, U.S. Finance &amp; Corporate Development.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Achieved and Anticipated 2022 Clinical Milestones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5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ACI-12589</w:t>
            </w:r>
          </w:p>
        </w:tc>
        <w:tc>
          <w:tcPr>
            <w:tcW w:w="8740" w:type="dxa"/>
            <w:vAlign w:val="bottom"/>
            <w:tcBorders>
              <w:top w:val="single" w:sz="8" w:color="auto"/>
              <w:right w:val="single" w:sz="8" w:color="auto"/>
            </w:tcBorders>
            <w:gridSpan w:val="4"/>
            <w:vMerge w:val="restart"/>
          </w:tcPr>
          <w:p>
            <w:pPr>
              <w:ind w:left="100"/>
              <w:spacing w:after="0"/>
              <w:rPr>
                <w:sz w:val="20"/>
                <w:szCs w:val="20"/>
                <w:color w:val="auto"/>
              </w:rPr>
            </w:pPr>
            <w:r>
              <w:rPr>
                <w:rFonts w:ascii="Arial" w:cs="Arial" w:eastAsia="Arial" w:hAnsi="Arial"/>
                <w:sz w:val="18"/>
                <w:szCs w:val="18"/>
                <w:color w:val="auto"/>
              </w:rPr>
              <w:t xml:space="preserve">Reported </w:t>
            </w:r>
            <w:r>
              <w:rPr>
                <w:rFonts w:ascii="Arial" w:cs="Arial" w:eastAsia="Arial" w:hAnsi="Arial"/>
                <w:sz w:val="18"/>
                <w:szCs w:val="18"/>
                <w:color w:val="0000E1"/>
              </w:rPr>
              <w:t>results from first-in-human study at AD/PD™ 2022 conference</w:t>
            </w:r>
          </w:p>
        </w:tc>
        <w:tc>
          <w:tcPr>
            <w:tcW w:w="0" w:type="dxa"/>
            <w:vAlign w:val="bottom"/>
          </w:tcPr>
          <w:p>
            <w:pPr>
              <w:spacing w:after="0"/>
              <w:rPr>
                <w:sz w:val="1"/>
                <w:szCs w:val="1"/>
                <w:color w:val="auto"/>
              </w:rPr>
            </w:pPr>
          </w:p>
        </w:tc>
      </w:tr>
      <w:tr>
        <w:trPr>
          <w:trHeight w:val="68"/>
        </w:trPr>
        <w:tc>
          <w:tcPr>
            <w:tcW w:w="2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a-syn-PET tracer</w:t>
            </w:r>
          </w:p>
        </w:tc>
        <w:tc>
          <w:tcPr>
            <w:tcW w:w="874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280" w:type="dxa"/>
            <w:vAlign w:val="bottom"/>
            <w:tcBorders>
              <w:top w:val="single" w:sz="8" w:color="0000E1"/>
              <w:bottom w:val="single" w:sz="8" w:color="auto"/>
            </w:tcBorders>
          </w:tcPr>
          <w:p>
            <w:pPr>
              <w:spacing w:after="0"/>
              <w:rPr>
                <w:sz w:val="11"/>
                <w:szCs w:val="11"/>
                <w:color w:val="auto"/>
              </w:rPr>
            </w:pPr>
          </w:p>
        </w:tc>
        <w:tc>
          <w:tcPr>
            <w:tcW w:w="660" w:type="dxa"/>
            <w:vAlign w:val="bottom"/>
            <w:tcBorders>
              <w:top w:val="single" w:sz="8" w:color="0000E1"/>
              <w:bottom w:val="single" w:sz="8" w:color="auto"/>
            </w:tcBorders>
          </w:tcPr>
          <w:p>
            <w:pPr>
              <w:spacing w:after="0"/>
              <w:rPr>
                <w:sz w:val="11"/>
                <w:szCs w:val="11"/>
                <w:color w:val="auto"/>
              </w:rPr>
            </w:pPr>
          </w:p>
        </w:tc>
        <w:tc>
          <w:tcPr>
            <w:tcW w:w="2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5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ACI-35.030</w:t>
            </w:r>
          </w:p>
        </w:tc>
        <w:tc>
          <w:tcPr>
            <w:tcW w:w="874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 xml:space="preserve">Reported </w:t>
            </w:r>
            <w:r>
              <w:rPr>
                <w:rFonts w:ascii="Arial" w:cs="Arial" w:eastAsia="Arial" w:hAnsi="Arial"/>
                <w:sz w:val="18"/>
                <w:szCs w:val="18"/>
                <w:color w:val="0000E1"/>
              </w:rPr>
              <w:t>Phase 1b/2a interim analysis from highest dose group</w:t>
            </w:r>
            <w:r>
              <w:rPr>
                <w:rFonts w:ascii="Arial" w:cs="Arial" w:eastAsia="Arial" w:hAnsi="Arial"/>
                <w:sz w:val="18"/>
                <w:szCs w:val="18"/>
                <w:color w:val="auto"/>
              </w:rPr>
              <w:t xml:space="preserve"> in Q1; Expect to disclose future late-stage</w:t>
            </w:r>
          </w:p>
        </w:tc>
        <w:tc>
          <w:tcPr>
            <w:tcW w:w="0" w:type="dxa"/>
            <w:vAlign w:val="bottom"/>
          </w:tcPr>
          <w:p>
            <w:pPr>
              <w:spacing w:after="0"/>
              <w:rPr>
                <w:sz w:val="1"/>
                <w:szCs w:val="1"/>
                <w:color w:val="auto"/>
              </w:rPr>
            </w:pPr>
          </w:p>
        </w:tc>
      </w:tr>
      <w:tr>
        <w:trPr>
          <w:trHeight w:val="20"/>
        </w:trPr>
        <w:tc>
          <w:tcPr>
            <w:tcW w:w="2500" w:type="dxa"/>
            <w:vAlign w:val="bottom"/>
            <w:tcBorders>
              <w:left w:val="single" w:sz="8" w:color="auto"/>
              <w:righ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80" w:type="dxa"/>
            <w:vAlign w:val="bottom"/>
            <w:shd w:val="clear" w:color="auto" w:fill="0000E1"/>
          </w:tcPr>
          <w:p>
            <w:pPr>
              <w:spacing w:after="0" w:line="20" w:lineRule="exact"/>
              <w:rPr>
                <w:sz w:val="1"/>
                <w:szCs w:val="1"/>
                <w:color w:val="auto"/>
              </w:rPr>
            </w:pPr>
          </w:p>
        </w:tc>
        <w:tc>
          <w:tcPr>
            <w:tcW w:w="356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anti-pTau vaccine</w:t>
            </w:r>
          </w:p>
        </w:tc>
        <w:tc>
          <w:tcPr>
            <w:tcW w:w="874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development plans in H2 2022</w:t>
            </w:r>
          </w:p>
        </w:tc>
        <w:tc>
          <w:tcPr>
            <w:tcW w:w="0" w:type="dxa"/>
            <w:vAlign w:val="bottom"/>
          </w:tcPr>
          <w:p>
            <w:pPr>
              <w:spacing w:after="0"/>
              <w:rPr>
                <w:sz w:val="1"/>
                <w:szCs w:val="1"/>
                <w:color w:val="auto"/>
              </w:rPr>
            </w:pPr>
          </w:p>
        </w:tc>
      </w:tr>
      <w:tr>
        <w:trPr>
          <w:trHeight w:val="243"/>
        </w:trPr>
        <w:tc>
          <w:tcPr>
            <w:tcW w:w="2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ACI-24 (optimized)</w:t>
            </w:r>
          </w:p>
        </w:tc>
        <w:tc>
          <w:tcPr>
            <w:tcW w:w="87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ACI-24 (optimized vaccine formulation) Phase 1b/2a first-patient-in (AD) in H1 2022</w:t>
            </w:r>
          </w:p>
        </w:tc>
        <w:tc>
          <w:tcPr>
            <w:tcW w:w="0" w:type="dxa"/>
            <w:vAlign w:val="bottom"/>
          </w:tcPr>
          <w:p>
            <w:pPr>
              <w:spacing w:after="0"/>
              <w:rPr>
                <w:sz w:val="1"/>
                <w:szCs w:val="1"/>
                <w:color w:val="auto"/>
              </w:rPr>
            </w:pPr>
          </w:p>
        </w:tc>
      </w:tr>
      <w:tr>
        <w:trPr>
          <w:trHeight w:val="188"/>
        </w:trPr>
        <w:tc>
          <w:tcPr>
            <w:tcW w:w="2500" w:type="dxa"/>
            <w:vAlign w:val="bottom"/>
            <w:tcBorders>
              <w:left w:val="single" w:sz="8" w:color="auto"/>
              <w:right w:val="single" w:sz="8" w:color="auto"/>
            </w:tcBorders>
            <w:vMerge w:val="continue"/>
          </w:tcPr>
          <w:p>
            <w:pPr>
              <w:spacing w:after="0"/>
              <w:rPr>
                <w:sz w:val="16"/>
                <w:szCs w:val="16"/>
                <w:color w:val="auto"/>
              </w:rPr>
            </w:pPr>
          </w:p>
        </w:tc>
        <w:tc>
          <w:tcPr>
            <w:tcW w:w="9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anti-Abeta vaccine</w:t>
            </w:r>
          </w:p>
        </w:tc>
        <w:tc>
          <w:tcPr>
            <w:tcW w:w="87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Phase 1b in AD readout and decision to move into DS expected in H2 2022</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Crenezumab</w:t>
            </w:r>
          </w:p>
        </w:tc>
        <w:tc>
          <w:tcPr>
            <w:tcW w:w="87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Top line Phase 2 results from AD prevention trial in patients with autosomal dominant AD expected in H1</w:t>
            </w:r>
          </w:p>
        </w:tc>
        <w:tc>
          <w:tcPr>
            <w:tcW w:w="0" w:type="dxa"/>
            <w:vAlign w:val="bottom"/>
          </w:tcPr>
          <w:p>
            <w:pPr>
              <w:spacing w:after="0"/>
              <w:rPr>
                <w:sz w:val="1"/>
                <w:szCs w:val="1"/>
                <w:color w:val="auto"/>
              </w:rPr>
            </w:pPr>
          </w:p>
        </w:tc>
      </w:tr>
      <w:tr>
        <w:trPr>
          <w:trHeight w:val="224"/>
        </w:trPr>
        <w:tc>
          <w:tcPr>
            <w:tcW w:w="2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anti-Abeta antibody</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2022</w:t>
            </w:r>
          </w:p>
        </w:tc>
        <w:tc>
          <w:tcPr>
            <w:tcW w:w="4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Semorinemab</w:t>
            </w:r>
          </w:p>
        </w:tc>
        <w:tc>
          <w:tcPr>
            <w:tcW w:w="87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Additional fluid biomarker data from the Phase 2 Lauriet study in mild-to-moderate AD expected in H2</w:t>
            </w:r>
          </w:p>
        </w:tc>
        <w:tc>
          <w:tcPr>
            <w:tcW w:w="0" w:type="dxa"/>
            <w:vAlign w:val="bottom"/>
          </w:tcPr>
          <w:p>
            <w:pPr>
              <w:spacing w:after="0"/>
              <w:rPr>
                <w:sz w:val="1"/>
                <w:szCs w:val="1"/>
                <w:color w:val="auto"/>
              </w:rPr>
            </w:pPr>
          </w:p>
        </w:tc>
      </w:tr>
      <w:tr>
        <w:trPr>
          <w:trHeight w:val="224"/>
        </w:trPr>
        <w:tc>
          <w:tcPr>
            <w:tcW w:w="2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anti-Tau antibody</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2022</w:t>
            </w:r>
          </w:p>
        </w:tc>
        <w:tc>
          <w:tcPr>
            <w:tcW w:w="4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PI-2620</w:t>
            </w:r>
          </w:p>
        </w:tc>
        <w:tc>
          <w:tcPr>
            <w:tcW w:w="87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Phase 2 and Phase 1 results in AD and progressive supranuclear palsy (PSP) respectively, expected in H2</w:t>
            </w:r>
          </w:p>
        </w:tc>
        <w:tc>
          <w:tcPr>
            <w:tcW w:w="0" w:type="dxa"/>
            <w:vAlign w:val="bottom"/>
          </w:tcPr>
          <w:p>
            <w:pPr>
              <w:spacing w:after="0"/>
              <w:rPr>
                <w:sz w:val="1"/>
                <w:szCs w:val="1"/>
                <w:color w:val="auto"/>
              </w:rPr>
            </w:pPr>
          </w:p>
        </w:tc>
      </w:tr>
      <w:tr>
        <w:trPr>
          <w:trHeight w:val="224"/>
        </w:trPr>
        <w:tc>
          <w:tcPr>
            <w:tcW w:w="2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Tau-PET tracer</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2022</w:t>
            </w:r>
          </w:p>
        </w:tc>
        <w:tc>
          <w:tcPr>
            <w:tcW w:w="4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ACI-7104</w:t>
            </w:r>
          </w:p>
        </w:tc>
        <w:tc>
          <w:tcPr>
            <w:tcW w:w="874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18"/>
                <w:szCs w:val="18"/>
                <w:color w:val="auto"/>
              </w:rPr>
              <w:t>Initiation of Phase 2 trial in early PD expected in H2 2022</w:t>
            </w:r>
          </w:p>
        </w:tc>
        <w:tc>
          <w:tcPr>
            <w:tcW w:w="0" w:type="dxa"/>
            <w:vAlign w:val="bottom"/>
          </w:tcPr>
          <w:p>
            <w:pPr>
              <w:spacing w:after="0"/>
              <w:rPr>
                <w:sz w:val="1"/>
                <w:szCs w:val="1"/>
                <w:color w:val="auto"/>
              </w:rPr>
            </w:pPr>
          </w:p>
        </w:tc>
      </w:tr>
      <w:tr>
        <w:trPr>
          <w:trHeight w:val="109"/>
        </w:trPr>
        <w:tc>
          <w:tcPr>
            <w:tcW w:w="2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anti-a-syn vaccine</w:t>
            </w:r>
          </w:p>
        </w:tc>
        <w:tc>
          <w:tcPr>
            <w:tcW w:w="874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5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gridSpan w:val="4"/>
          </w:tcPr>
          <w:p>
            <w:pPr>
              <w:ind w:left="8400"/>
              <w:spacing w:after="0"/>
              <w:rPr>
                <w:sz w:val="20"/>
                <w:szCs w:val="20"/>
                <w:color w:val="auto"/>
              </w:rPr>
            </w:pPr>
            <w:r>
              <w:rPr>
                <w:rFonts w:ascii="Arial" w:cs="Arial" w:eastAsia="Arial" w:hAnsi="Arial"/>
                <w:sz w:val="18"/>
                <w:szCs w:val="18"/>
                <w:color w:val="auto"/>
                <w:w w:val="85"/>
              </w:rPr>
              <w:t>2 / 7</w:t>
            </w:r>
          </w:p>
        </w:tc>
        <w:tc>
          <w:tcPr>
            <w:tcW w:w="0" w:type="dxa"/>
            <w:vAlign w:val="bottom"/>
          </w:tcPr>
          <w:p>
            <w:pPr>
              <w:spacing w:after="0"/>
              <w:rPr>
                <w:sz w:val="1"/>
                <w:szCs w:val="1"/>
                <w:color w:val="auto"/>
              </w:rPr>
            </w:pPr>
          </w:p>
        </w:tc>
      </w:tr>
    </w:tbl>
    <w:p>
      <w:pPr>
        <w:sectPr>
          <w:pgSz w:w="11900" w:h="16838" w:orient="portrait"/>
          <w:cols w:equalWidth="0" w:num="1">
            <w:col w:w="11240"/>
          </w:cols>
          <w:pgMar w:left="320" w:top="81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Analysis of Financial Statements for the Quarter Ended March 31, 2022</w:t>
      </w:r>
    </w:p>
    <w:p>
      <w:pPr>
        <w:spacing w:after="0" w:line="198" w:lineRule="exact"/>
        <w:rPr>
          <w:sz w:val="20"/>
          <w:szCs w:val="20"/>
          <w:color w:val="auto"/>
        </w:rPr>
      </w:pPr>
    </w:p>
    <w:p>
      <w:pPr>
        <w:jc w:val="both"/>
        <w:ind w:left="660" w:hanging="328"/>
        <w:spacing w:after="0" w:line="232"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a total cash balance of CHF 173.8 million, composed of CHF 57.8 million in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CHF 116.0 million in short-term financial assets. This compares to a total cash balance of CHF 198.2 million as of December 31, 2021. The Company’s cash balance provides enough capital resources to progress through at least Q1 2024 without consideration of potential incoming milestone payments.</w:t>
      </w:r>
    </w:p>
    <w:p>
      <w:pPr>
        <w:spacing w:after="0" w:line="194"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increased by CHF 1.8 million for the three months ended March 31, 2022, to CHF 15.1 million.</w:t>
      </w:r>
    </w:p>
    <w:p>
      <w:pPr>
        <w:spacing w:after="0" w:line="247" w:lineRule="exact"/>
        <w:rPr>
          <w:sz w:val="20"/>
          <w:szCs w:val="20"/>
          <w:color w:val="auto"/>
        </w:rPr>
      </w:pPr>
    </w:p>
    <w:p>
      <w:pPr>
        <w:ind w:left="1300" w:hanging="320"/>
        <w:spacing w:after="0" w:line="271" w:lineRule="auto"/>
        <w:tabs>
          <w:tab w:leader="none" w:pos="1300" w:val="left"/>
        </w:tabs>
        <w:numPr>
          <w:ilvl w:val="2"/>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Discovery and preclinical expenses (- CHF 0.6 million): </w:t>
      </w:r>
      <w:r>
        <w:rPr>
          <w:rFonts w:ascii="Arial" w:cs="Arial" w:eastAsia="Arial" w:hAnsi="Arial"/>
          <w:sz w:val="18"/>
          <w:szCs w:val="18"/>
          <w:color w:val="auto"/>
        </w:rPr>
        <w:t>The Company decreased expenditures across a variety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and preclinical programs, led by ACI-24 for DS as this program advances into clinical development.</w:t>
      </w:r>
    </w:p>
    <w:p>
      <w:pPr>
        <w:spacing w:after="0" w:line="140"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2"/>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Clinical expenses (+ CHF 0.9 million): </w:t>
      </w:r>
      <w:r>
        <w:rPr>
          <w:rFonts w:ascii="Arial" w:cs="Arial" w:eastAsia="Arial" w:hAnsi="Arial"/>
          <w:sz w:val="18"/>
          <w:szCs w:val="18"/>
          <w:color w:val="auto"/>
        </w:rPr>
        <w:t>The Company increased expenditures across multiple clinical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predominantly for ACI-24 for DS and ACI-7104 as the program prepares to enter Phase 2 testing in early PD patients in H2 2022.</w:t>
      </w:r>
    </w:p>
    <w:p>
      <w:pPr>
        <w:spacing w:after="0" w:line="155"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2"/>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Other non-allocated (+ CHF 1.5 million): </w:t>
      </w:r>
      <w:r>
        <w:rPr>
          <w:rFonts w:ascii="Arial" w:cs="Arial" w:eastAsia="Arial" w:hAnsi="Arial"/>
          <w:sz w:val="18"/>
          <w:szCs w:val="18"/>
          <w:color w:val="auto"/>
        </w:rPr>
        <w:t>The Company’s other non-allocated R&amp;D expenditure increased by CHF 0.9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related to the reallocation of certain IT and facilities costs and IT related investments as well as CHF 0.6 million across various other cost centers.</w:t>
      </w:r>
    </w:p>
    <w:p>
      <w:pPr>
        <w:spacing w:after="0" w:line="155" w:lineRule="exact"/>
        <w:rPr>
          <w:rFonts w:ascii="Arial" w:cs="Arial" w:eastAsia="Arial" w:hAnsi="Arial"/>
          <w:sz w:val="18"/>
          <w:szCs w:val="18"/>
          <w:color w:val="auto"/>
        </w:rPr>
      </w:pPr>
    </w:p>
    <w:p>
      <w:pPr>
        <w:jc w:val="both"/>
        <w:ind w:left="660" w:hanging="328"/>
        <w:spacing w:after="0" w:line="231"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b w:val="1"/>
          <w:bCs w:val="1"/>
          <w:color w:val="auto"/>
        </w:rPr>
        <w:t xml:space="preserve">G&amp;A Expenditures: </w:t>
      </w:r>
      <w:r>
        <w:rPr>
          <w:rFonts w:ascii="Arial" w:cs="Arial" w:eastAsia="Arial" w:hAnsi="Arial"/>
          <w:sz w:val="18"/>
          <w:szCs w:val="18"/>
          <w:color w:val="auto"/>
        </w:rPr>
        <w:t>For the three months ended March 31, 2022, G&amp;A decreased by CHF 0.2 million to CHF 4.2 million. This</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is predominantly related to a CHF 0.7 million reallocation of certain IT and facilities expenditures made in Q1 2022 that were not reclassified in the prior period.</w:t>
      </w:r>
    </w:p>
    <w:p>
      <w:pPr>
        <w:spacing w:after="0" w:line="208" w:lineRule="exact"/>
        <w:rPr>
          <w:rFonts w:ascii="Arial" w:cs="Arial" w:eastAsia="Arial" w:hAnsi="Arial"/>
          <w:sz w:val="22"/>
          <w:szCs w:val="22"/>
          <w:color w:val="auto"/>
        </w:rPr>
      </w:pPr>
    </w:p>
    <w:p>
      <w:pPr>
        <w:jc w:val="both"/>
        <w:ind w:left="660" w:hanging="328"/>
        <w:spacing w:after="0" w:line="231"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b w:val="1"/>
          <w:bCs w:val="1"/>
          <w:color w:val="auto"/>
        </w:rPr>
        <w:t xml:space="preserve">Other Operating Income: </w:t>
      </w:r>
      <w:r>
        <w:rPr>
          <w:rFonts w:ascii="Arial" w:cs="Arial" w:eastAsia="Arial" w:hAnsi="Arial"/>
          <w:sz w:val="18"/>
          <w:szCs w:val="18"/>
          <w:color w:val="auto"/>
        </w:rPr>
        <w:t>The Company recognized CHF 0.5 million in grant income for R&amp;D activities performed under our Michael</w:t>
      </w:r>
      <w:r>
        <w:rPr>
          <w:rFonts w:ascii="Arial" w:cs="Arial" w:eastAsia="Arial" w:hAnsi="Arial"/>
          <w:sz w:val="18"/>
          <w:szCs w:val="18"/>
          <w:b w:val="1"/>
          <w:bCs w:val="1"/>
          <w:color w:val="auto"/>
        </w:rPr>
        <w:t xml:space="preserve"> </w:t>
      </w:r>
      <w:r>
        <w:rPr>
          <w:rFonts w:ascii="Arial" w:cs="Arial" w:eastAsia="Arial" w:hAnsi="Arial"/>
          <w:sz w:val="18"/>
          <w:szCs w:val="18"/>
          <w:color w:val="auto"/>
        </w:rPr>
        <w:t>J. Fox Foundation for Parkinson’s Research (MJFF) and Target ALS grants, an increase of less than CHF 0.1 million compared to the prior period.</w:t>
      </w:r>
    </w:p>
    <w:p>
      <w:pPr>
        <w:spacing w:after="0" w:line="208" w:lineRule="exact"/>
        <w:rPr>
          <w:rFonts w:ascii="Arial" w:cs="Arial" w:eastAsia="Arial" w:hAnsi="Arial"/>
          <w:sz w:val="22"/>
          <w:szCs w:val="22"/>
          <w:color w:val="auto"/>
        </w:rPr>
      </w:pPr>
    </w:p>
    <w:p>
      <w:pPr>
        <w:ind w:left="660" w:right="20" w:hanging="328"/>
        <w:spacing w:after="0" w:line="230"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b w:val="1"/>
          <w:bCs w:val="1"/>
          <w:color w:val="auto"/>
        </w:rPr>
        <w:t xml:space="preserve">IFRS Loss for the Period: </w:t>
      </w:r>
      <w:r>
        <w:rPr>
          <w:rFonts w:ascii="Arial" w:cs="Arial" w:eastAsia="Arial" w:hAnsi="Arial"/>
          <w:sz w:val="18"/>
          <w:szCs w:val="18"/>
          <w:color w:val="auto"/>
        </w:rPr>
        <w:t>The Company reported a net loss after taxes of CHF 18.8 million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2022, compared with a net loss of CHF 16.7 million for the comparable period in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Financial Guidance</w:t>
      </w:r>
    </w:p>
    <w:p>
      <w:pPr>
        <w:spacing w:after="0" w:line="220" w:lineRule="exact"/>
        <w:rPr>
          <w:sz w:val="20"/>
          <w:szCs w:val="20"/>
          <w:color w:val="auto"/>
        </w:rPr>
      </w:pPr>
    </w:p>
    <w:p>
      <w:pPr>
        <w:jc w:val="both"/>
        <w:ind w:left="660" w:hanging="328"/>
        <w:spacing w:after="0" w:line="223" w:lineRule="auto"/>
        <w:tabs>
          <w:tab w:leader="none" w:pos="660" w:val="left"/>
        </w:tabs>
        <w:numPr>
          <w:ilvl w:val="0"/>
          <w:numId w:val="33"/>
        </w:numPr>
        <w:rPr>
          <w:rFonts w:ascii="Arial" w:cs="Arial" w:eastAsia="Arial" w:hAnsi="Arial"/>
          <w:sz w:val="22"/>
          <w:szCs w:val="22"/>
          <w:color w:val="C00000"/>
        </w:rPr>
      </w:pPr>
      <w:r>
        <w:rPr>
          <w:rFonts w:ascii="Arial" w:cs="Arial" w:eastAsia="Arial" w:hAnsi="Arial"/>
          <w:sz w:val="18"/>
          <w:szCs w:val="18"/>
          <w:color w:val="auto"/>
        </w:rPr>
        <w:t>For the full year 2022, the Company expects its total cash burn to be in the range, CHF 75 million to CHF 80 million. The Company defines cash burn as operating expenditures adjusted to include capital expenditures and offset by significant non-cash items (including share-based compensation and depreciation expense).</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About AC Immune SA</w:t>
      </w:r>
    </w:p>
    <w:p>
      <w:pPr>
        <w:spacing w:after="0" w:line="2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ten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&gt;$3 billion in potential milestone payments.</w:t>
      </w:r>
    </w:p>
    <w:p>
      <w:pPr>
        <w:spacing w:after="0" w:line="19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and SG.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NO and RU.</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7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91"/>
        </w:trPr>
        <w:tc>
          <w:tcPr>
            <w:tcW w:w="4560" w:type="dxa"/>
            <w:vAlign w:val="bottom"/>
            <w:gridSpan w:val="3"/>
          </w:tcPr>
          <w:p>
            <w:pPr>
              <w:ind w:left="120"/>
              <w:spacing w:after="0"/>
              <w:rPr>
                <w:sz w:val="20"/>
                <w:szCs w:val="20"/>
                <w:color w:val="auto"/>
              </w:rPr>
            </w:pPr>
            <w:r>
              <w:rPr>
                <w:rFonts w:ascii="Arial" w:cs="Arial" w:eastAsia="Arial" w:hAnsi="Arial"/>
                <w:sz w:val="18"/>
                <w:szCs w:val="18"/>
                <w:b w:val="1"/>
                <w:bCs w:val="1"/>
                <w:color w:val="auto"/>
              </w:rPr>
              <w:t>Media Relations</w:t>
            </w:r>
          </w:p>
        </w:tc>
        <w:tc>
          <w:tcPr>
            <w:tcW w:w="4300" w:type="dxa"/>
            <w:vAlign w:val="bottom"/>
            <w:gridSpan w:val="2"/>
          </w:tcPr>
          <w:p>
            <w:pPr>
              <w:ind w:left="118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45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Saoyuth Nidh</w:t>
            </w:r>
          </w:p>
        </w:tc>
        <w:tc>
          <w:tcPr>
            <w:tcW w:w="43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Gary Waanders, Ph.D., MBA</w:t>
            </w:r>
          </w:p>
        </w:tc>
      </w:tr>
      <w:tr>
        <w:trPr>
          <w:trHeight w:val="203"/>
        </w:trPr>
        <w:tc>
          <w:tcPr>
            <w:tcW w:w="45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AC Immune</w:t>
            </w:r>
          </w:p>
        </w:tc>
        <w:tc>
          <w:tcPr>
            <w:tcW w:w="43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AC Immune</w:t>
            </w:r>
          </w:p>
        </w:tc>
      </w:tr>
      <w:tr>
        <w:trPr>
          <w:trHeight w:val="203"/>
        </w:trPr>
        <w:tc>
          <w:tcPr>
            <w:tcW w:w="45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Phone: +41 21 345 91 34</w:t>
            </w:r>
          </w:p>
        </w:tc>
        <w:tc>
          <w:tcPr>
            <w:tcW w:w="43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Phone: +41 21 345 91 91</w:t>
            </w:r>
          </w:p>
        </w:tc>
      </w:tr>
      <w:tr>
        <w:trPr>
          <w:trHeight w:val="176"/>
        </w:trPr>
        <w:tc>
          <w:tcPr>
            <w:tcW w:w="456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E1"/>
              </w:rPr>
              <w:t>saoyuth.nidh@acimmune.com</w:t>
            </w:r>
          </w:p>
        </w:tc>
        <w:tc>
          <w:tcPr>
            <w:tcW w:w="4300" w:type="dxa"/>
            <w:vAlign w:val="bottom"/>
            <w:gridSpan w:val="2"/>
          </w:tcPr>
          <w:p>
            <w:pPr>
              <w:ind w:left="1180"/>
              <w:spacing w:after="0" w:line="176" w:lineRule="exact"/>
              <w:rPr>
                <w:sz w:val="20"/>
                <w:szCs w:val="20"/>
                <w:color w:val="auto"/>
              </w:rPr>
            </w:pPr>
            <w:r>
              <w:rPr>
                <w:rFonts w:ascii="Arial" w:cs="Arial" w:eastAsia="Arial" w:hAnsi="Arial"/>
                <w:sz w:val="18"/>
                <w:szCs w:val="18"/>
                <w:color w:val="auto"/>
                <w:w w:val="98"/>
              </w:rPr>
              <w:t xml:space="preserve">Email: </w:t>
            </w:r>
            <w:r>
              <w:rPr>
                <w:rFonts w:ascii="Arial" w:cs="Arial" w:eastAsia="Arial" w:hAnsi="Arial"/>
                <w:sz w:val="18"/>
                <w:szCs w:val="18"/>
                <w:color w:val="0000E1"/>
                <w:w w:val="98"/>
              </w:rPr>
              <w:t>gary.waanders@acimmune.com</w:t>
            </w:r>
          </w:p>
        </w:tc>
      </w:tr>
      <w:tr>
        <w:trPr>
          <w:trHeight w:val="20"/>
        </w:trPr>
        <w:tc>
          <w:tcPr>
            <w:tcW w:w="660" w:type="dxa"/>
            <w:vAlign w:val="bottom"/>
          </w:tcPr>
          <w:p>
            <w:pPr>
              <w:spacing w:after="0" w:line="20" w:lineRule="exact"/>
              <w:rPr>
                <w:sz w:val="1"/>
                <w:szCs w:val="1"/>
                <w:color w:val="auto"/>
              </w:rPr>
            </w:pPr>
          </w:p>
        </w:tc>
        <w:tc>
          <w:tcPr>
            <w:tcW w:w="2420" w:type="dxa"/>
            <w:vAlign w:val="bottom"/>
            <w:shd w:val="clear" w:color="auto" w:fill="0000E1"/>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80" w:type="dxa"/>
            <w:vAlign w:val="bottom"/>
            <w:shd w:val="clear" w:color="auto" w:fill="0000E1"/>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20" w:type="dxa"/>
            <w:vAlign w:val="bottom"/>
            <w:gridSpan w:val="3"/>
          </w:tcPr>
          <w:p>
            <w:pPr>
              <w:ind w:left="120"/>
              <w:spacing w:after="0"/>
              <w:rPr>
                <w:sz w:val="20"/>
                <w:szCs w:val="20"/>
                <w:color w:val="auto"/>
              </w:rPr>
            </w:pPr>
            <w:r>
              <w:rPr>
                <w:rFonts w:ascii="Arial" w:cs="Arial" w:eastAsia="Arial" w:hAnsi="Arial"/>
                <w:sz w:val="18"/>
                <w:szCs w:val="18"/>
                <w:b w:val="1"/>
                <w:bCs w:val="1"/>
                <w:color w:val="auto"/>
              </w:rPr>
              <w:t>U.S. Media</w:t>
            </w:r>
          </w:p>
        </w:tc>
        <w:tc>
          <w:tcPr>
            <w:tcW w:w="3960" w:type="dxa"/>
            <w:vAlign w:val="bottom"/>
            <w:gridSpan w:val="2"/>
          </w:tcPr>
          <w:p>
            <w:pPr>
              <w:ind w:left="122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45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Shani Lewis</w:t>
            </w:r>
          </w:p>
        </w:tc>
        <w:tc>
          <w:tcPr>
            <w:tcW w:w="3960" w:type="dxa"/>
            <w:vAlign w:val="bottom"/>
            <w:gridSpan w:val="2"/>
          </w:tcPr>
          <w:p>
            <w:pPr>
              <w:ind w:left="122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45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LaVoieHealthScience</w:t>
            </w:r>
          </w:p>
        </w:tc>
        <w:tc>
          <w:tcPr>
            <w:tcW w:w="3960" w:type="dxa"/>
            <w:vAlign w:val="bottom"/>
            <w:gridSpan w:val="2"/>
          </w:tcPr>
          <w:p>
            <w:pPr>
              <w:ind w:left="122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45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Phone: +1 609 516 5761</w:t>
            </w:r>
          </w:p>
        </w:tc>
        <w:tc>
          <w:tcPr>
            <w:tcW w:w="3960" w:type="dxa"/>
            <w:vAlign w:val="bottom"/>
            <w:gridSpan w:val="2"/>
          </w:tcPr>
          <w:p>
            <w:pPr>
              <w:ind w:left="1220"/>
              <w:spacing w:after="0" w:line="202" w:lineRule="exact"/>
              <w:rPr>
                <w:sz w:val="20"/>
                <w:szCs w:val="20"/>
                <w:color w:val="auto"/>
              </w:rPr>
            </w:pPr>
            <w:r>
              <w:rPr>
                <w:rFonts w:ascii="Arial" w:cs="Arial" w:eastAsia="Arial" w:hAnsi="Arial"/>
                <w:sz w:val="18"/>
                <w:szCs w:val="18"/>
                <w:color w:val="auto"/>
              </w:rPr>
              <w:t>Phone: +1 212 915 2577</w:t>
            </w:r>
          </w:p>
        </w:tc>
      </w:tr>
      <w:tr>
        <w:trPr>
          <w:trHeight w:val="176"/>
        </w:trPr>
        <w:tc>
          <w:tcPr>
            <w:tcW w:w="452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E1"/>
              </w:rPr>
              <w:t>slewis@lavoiehealthscience.com</w:t>
            </w:r>
          </w:p>
        </w:tc>
        <w:tc>
          <w:tcPr>
            <w:tcW w:w="3960" w:type="dxa"/>
            <w:vAlign w:val="bottom"/>
            <w:gridSpan w:val="2"/>
          </w:tcPr>
          <w:p>
            <w:pPr>
              <w:ind w:left="1220"/>
              <w:spacing w:after="0" w:line="176" w:lineRule="exact"/>
              <w:rPr>
                <w:sz w:val="20"/>
                <w:szCs w:val="20"/>
                <w:color w:val="auto"/>
              </w:rPr>
            </w:pPr>
            <w:r>
              <w:rPr>
                <w:rFonts w:ascii="Arial" w:cs="Arial" w:eastAsia="Arial" w:hAnsi="Arial"/>
                <w:sz w:val="18"/>
                <w:szCs w:val="18"/>
                <w:color w:val="auto"/>
                <w:w w:val="98"/>
              </w:rPr>
              <w:t xml:space="preserve">Email: </w:t>
            </w:r>
            <w:r>
              <w:rPr>
                <w:rFonts w:ascii="Arial" w:cs="Arial" w:eastAsia="Arial" w:hAnsi="Arial"/>
                <w:sz w:val="18"/>
                <w:szCs w:val="18"/>
                <w:color w:val="0000E1"/>
                <w:w w:val="98"/>
              </w:rPr>
              <w:t>cdavis@lifesciadvisors.com</w:t>
            </w:r>
          </w:p>
        </w:tc>
      </w:tr>
      <w:tr>
        <w:trPr>
          <w:trHeight w:val="20"/>
        </w:trPr>
        <w:tc>
          <w:tcPr>
            <w:tcW w:w="660" w:type="dxa"/>
            <w:vAlign w:val="bottom"/>
          </w:tcPr>
          <w:p>
            <w:pPr>
              <w:spacing w:after="0" w:line="20" w:lineRule="exact"/>
              <w:rPr>
                <w:sz w:val="1"/>
                <w:szCs w:val="1"/>
                <w:color w:val="auto"/>
              </w:rPr>
            </w:pPr>
          </w:p>
        </w:tc>
        <w:tc>
          <w:tcPr>
            <w:tcW w:w="2640" w:type="dxa"/>
            <w:vAlign w:val="bottom"/>
            <w:shd w:val="clear" w:color="auto" w:fill="0000E1"/>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shd w:val="clear" w:color="auto" w:fill="0000E1"/>
          </w:tcPr>
          <w:p>
            <w:pPr>
              <w:spacing w:after="0" w:line="20" w:lineRule="exact"/>
              <w:rPr>
                <w:sz w:val="1"/>
                <w:szCs w:val="1"/>
                <w:color w:val="auto"/>
              </w:rPr>
            </w:pPr>
          </w:p>
        </w:tc>
      </w:tr>
      <w:tr>
        <w:trPr>
          <w:trHeight w:val="425"/>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Forward looking statements</w:t>
            </w:r>
          </w:p>
        </w:tc>
        <w:tc>
          <w:tcPr>
            <w:tcW w:w="176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168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7"/>
              </w:rPr>
              <w:t>As of</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March 31, 2022</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73"/>
        </w:trPr>
        <w:tc>
          <w:tcPr>
            <w:tcW w:w="8000" w:type="dxa"/>
            <w:vAlign w:val="bottom"/>
            <w:vMerge w:val="continue"/>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0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58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4,908</w:t>
            </w:r>
          </w:p>
        </w:tc>
        <w:tc>
          <w:tcPr>
            <w:tcW w:w="100" w:type="dxa"/>
            <w:vAlign w:val="bottom"/>
            <w:shd w:val="clear" w:color="auto" w:fill="D5EAEA"/>
          </w:tcPr>
          <w:p>
            <w:pPr>
              <w:spacing w:after="0"/>
              <w:rPr>
                <w:sz w:val="17"/>
                <w:szCs w:val="17"/>
                <w:color w:val="auto"/>
              </w:rPr>
            </w:pPr>
          </w:p>
        </w:tc>
        <w:tc>
          <w:tcPr>
            <w:tcW w:w="156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2,774</w:t>
            </w:r>
          </w:p>
        </w:tc>
        <w:tc>
          <w:tcPr>
            <w:tcW w:w="100" w:type="dxa"/>
            <w:vAlign w:val="bottom"/>
          </w:tcPr>
          <w:p>
            <w:pPr>
              <w:spacing w:after="0"/>
              <w:rPr>
                <w:sz w:val="17"/>
                <w:szCs w:val="17"/>
                <w:color w:val="auto"/>
              </w:rPr>
            </w:pP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03"/>
        </w:trPr>
        <w:tc>
          <w:tcPr>
            <w:tcW w:w="8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Intangible asset</w:t>
            </w:r>
          </w:p>
        </w:tc>
        <w:tc>
          <w:tcPr>
            <w:tcW w:w="158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50,416</w:t>
            </w:r>
          </w:p>
        </w:tc>
        <w:tc>
          <w:tcPr>
            <w:tcW w:w="100" w:type="dxa"/>
            <w:vAlign w:val="bottom"/>
            <w:shd w:val="clear" w:color="auto" w:fill="D5EAEA"/>
          </w:tcPr>
          <w:p>
            <w:pPr>
              <w:spacing w:after="0"/>
              <w:rPr>
                <w:sz w:val="17"/>
                <w:szCs w:val="17"/>
                <w:color w:val="auto"/>
              </w:rPr>
            </w:pPr>
          </w:p>
        </w:tc>
        <w:tc>
          <w:tcPr>
            <w:tcW w:w="156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50,416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Long-term financial assets</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D5EAEA"/>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15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58,461</w:t>
            </w:r>
          </w:p>
        </w:tc>
        <w:tc>
          <w:tcPr>
            <w:tcW w:w="100" w:type="dxa"/>
            <w:vAlign w:val="bottom"/>
            <w:tcBorders>
              <w:bottom w:val="single" w:sz="8" w:color="D5EAEA"/>
            </w:tcBorders>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58,809</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Prepaid expenses</w:t>
            </w:r>
          </w:p>
        </w:tc>
        <w:tc>
          <w:tcPr>
            <w:tcW w:w="158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2,805</w:t>
            </w:r>
          </w:p>
        </w:tc>
        <w:tc>
          <w:tcPr>
            <w:tcW w:w="100" w:type="dxa"/>
            <w:vAlign w:val="bottom"/>
            <w:shd w:val="clear" w:color="auto" w:fill="D5EAEA"/>
          </w:tcPr>
          <w:p>
            <w:pPr>
              <w:spacing w:after="0"/>
              <w:rPr>
                <w:sz w:val="17"/>
                <w:szCs w:val="17"/>
                <w:color w:val="auto"/>
              </w:rPr>
            </w:pPr>
          </w:p>
        </w:tc>
        <w:tc>
          <w:tcPr>
            <w:tcW w:w="156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02"/>
        </w:trPr>
        <w:tc>
          <w:tcPr>
            <w:tcW w:w="8000" w:type="dxa"/>
            <w:vAlign w:val="bottom"/>
          </w:tcPr>
          <w:p>
            <w:pPr>
              <w:spacing w:after="0" w:line="202" w:lineRule="exact"/>
              <w:rPr>
                <w:sz w:val="20"/>
                <w:szCs w:val="20"/>
                <w:color w:val="auto"/>
              </w:rPr>
            </w:pPr>
            <w:r>
              <w:rPr>
                <w:rFonts w:ascii="Arial" w:cs="Arial" w:eastAsia="Arial" w:hAnsi="Arial"/>
                <w:sz w:val="18"/>
                <w:szCs w:val="18"/>
                <w:color w:val="auto"/>
              </w:rPr>
              <w:t>Accrued income</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152</w:t>
            </w:r>
          </w:p>
        </w:tc>
        <w:tc>
          <w:tcPr>
            <w:tcW w:w="100" w:type="dxa"/>
            <w:vAlign w:val="bottom"/>
          </w:tcPr>
          <w:p>
            <w:pPr>
              <w:spacing w:after="0"/>
              <w:rPr>
                <w:sz w:val="17"/>
                <w:szCs w:val="17"/>
                <w:color w:val="auto"/>
              </w:rPr>
            </w:pP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3"/>
        </w:trPr>
        <w:tc>
          <w:tcPr>
            <w:tcW w:w="8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Other current receivables</w:t>
            </w:r>
          </w:p>
        </w:tc>
        <w:tc>
          <w:tcPr>
            <w:tcW w:w="158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266</w:t>
            </w:r>
          </w:p>
        </w:tc>
        <w:tc>
          <w:tcPr>
            <w:tcW w:w="100" w:type="dxa"/>
            <w:vAlign w:val="bottom"/>
            <w:shd w:val="clear" w:color="auto" w:fill="D5EAEA"/>
          </w:tcPr>
          <w:p>
            <w:pPr>
              <w:spacing w:after="0"/>
              <w:rPr>
                <w:sz w:val="17"/>
                <w:szCs w:val="17"/>
                <w:color w:val="auto"/>
              </w:rPr>
            </w:pPr>
          </w:p>
        </w:tc>
        <w:tc>
          <w:tcPr>
            <w:tcW w:w="156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Short-term financial assets</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116,000</w:t>
            </w:r>
          </w:p>
        </w:tc>
        <w:tc>
          <w:tcPr>
            <w:tcW w:w="100" w:type="dxa"/>
            <w:vAlign w:val="bottom"/>
          </w:tcPr>
          <w:p>
            <w:pPr>
              <w:spacing w:after="0"/>
              <w:rPr>
                <w:sz w:val="17"/>
                <w:szCs w:val="17"/>
                <w:color w:val="auto"/>
              </w:rPr>
            </w:pP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116,000</w:t>
            </w:r>
          </w:p>
        </w:tc>
        <w:tc>
          <w:tcPr>
            <w:tcW w:w="0" w:type="dxa"/>
            <w:vAlign w:val="bottom"/>
          </w:tcPr>
          <w:p>
            <w:pPr>
              <w:spacing w:after="0"/>
              <w:rPr>
                <w:sz w:val="1"/>
                <w:szCs w:val="1"/>
                <w:color w:val="auto"/>
              </w:rPr>
            </w:pPr>
          </w:p>
        </w:tc>
      </w:tr>
      <w:tr>
        <w:trPr>
          <w:trHeight w:val="216"/>
        </w:trPr>
        <w:tc>
          <w:tcPr>
            <w:tcW w:w="800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57,835</w:t>
            </w:r>
          </w:p>
        </w:tc>
        <w:tc>
          <w:tcPr>
            <w:tcW w:w="100" w:type="dxa"/>
            <w:vAlign w:val="bottom"/>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82,216</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177,058</w:t>
            </w:r>
          </w:p>
        </w:tc>
        <w:tc>
          <w:tcPr>
            <w:tcW w:w="100" w:type="dxa"/>
            <w:vAlign w:val="bottom"/>
            <w:tcBorders>
              <w:bottom w:val="single" w:sz="8" w:color="D5EAEA"/>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202,634</w:t>
            </w:r>
          </w:p>
        </w:tc>
        <w:tc>
          <w:tcPr>
            <w:tcW w:w="0" w:type="dxa"/>
            <w:vAlign w:val="bottom"/>
          </w:tcPr>
          <w:p>
            <w:pPr>
              <w:spacing w:after="0"/>
              <w:rPr>
                <w:sz w:val="1"/>
                <w:szCs w:val="1"/>
                <w:color w:val="auto"/>
              </w:rPr>
            </w:pPr>
          </w:p>
        </w:tc>
      </w:tr>
      <w:tr>
        <w:trPr>
          <w:trHeight w:val="183"/>
        </w:trPr>
        <w:tc>
          <w:tcPr>
            <w:tcW w:w="800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Total assets</w:t>
            </w:r>
          </w:p>
        </w:tc>
        <w:tc>
          <w:tcPr>
            <w:tcW w:w="1580" w:type="dxa"/>
            <w:vAlign w:val="bottom"/>
            <w:tcBorders>
              <w:bottom w:val="single" w:sz="8" w:color="auto"/>
            </w:tcBorders>
            <w:shd w:val="clear" w:color="auto" w:fill="D5EAEA"/>
          </w:tcPr>
          <w:p>
            <w:pPr>
              <w:jc w:val="right"/>
              <w:ind w:right="10"/>
              <w:spacing w:after="0" w:line="183" w:lineRule="exact"/>
              <w:rPr>
                <w:sz w:val="20"/>
                <w:szCs w:val="20"/>
                <w:color w:val="auto"/>
              </w:rPr>
            </w:pPr>
            <w:r>
              <w:rPr>
                <w:rFonts w:ascii="Arial" w:cs="Arial" w:eastAsia="Arial" w:hAnsi="Arial"/>
                <w:sz w:val="18"/>
                <w:szCs w:val="18"/>
                <w:color w:val="auto"/>
              </w:rPr>
              <w:t>235,519</w:t>
            </w:r>
          </w:p>
        </w:tc>
        <w:tc>
          <w:tcPr>
            <w:tcW w:w="100" w:type="dxa"/>
            <w:vAlign w:val="bottom"/>
            <w:tcBorders>
              <w:bottom w:val="single" w:sz="8" w:color="D5EAEA"/>
            </w:tcBorders>
            <w:shd w:val="clear" w:color="auto" w:fill="D5EAEA"/>
          </w:tcPr>
          <w:p>
            <w:pPr>
              <w:spacing w:after="0"/>
              <w:rPr>
                <w:sz w:val="15"/>
                <w:szCs w:val="15"/>
                <w:color w:val="auto"/>
              </w:rPr>
            </w:pPr>
          </w:p>
        </w:tc>
        <w:tc>
          <w:tcPr>
            <w:tcW w:w="1560" w:type="dxa"/>
            <w:vAlign w:val="bottom"/>
            <w:tcBorders>
              <w:bottom w:val="single" w:sz="8" w:color="auto"/>
            </w:tcBorders>
            <w:shd w:val="clear" w:color="auto" w:fill="D5EAEA"/>
          </w:tcPr>
          <w:p>
            <w:pPr>
              <w:jc w:val="right"/>
              <w:ind w:right="10"/>
              <w:spacing w:after="0" w:line="183" w:lineRule="exact"/>
              <w:rPr>
                <w:sz w:val="20"/>
                <w:szCs w:val="20"/>
                <w:color w:val="auto"/>
              </w:rPr>
            </w:pPr>
            <w:r>
              <w:rPr>
                <w:rFonts w:ascii="Arial" w:cs="Arial" w:eastAsia="Arial" w:hAnsi="Arial"/>
                <w:sz w:val="18"/>
                <w:szCs w:val="18"/>
                <w:color w:val="auto"/>
              </w:rPr>
              <w:t>261,443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SHAREHOLDERS’ EQUITY AND LIABILITIES</w:t>
            </w:r>
          </w:p>
        </w:tc>
        <w:tc>
          <w:tcPr>
            <w:tcW w:w="15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5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Share capital</w:t>
            </w:r>
          </w:p>
        </w:tc>
        <w:tc>
          <w:tcPr>
            <w:tcW w:w="158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1,795</w:t>
            </w:r>
          </w:p>
        </w:tc>
        <w:tc>
          <w:tcPr>
            <w:tcW w:w="100" w:type="dxa"/>
            <w:vAlign w:val="bottom"/>
            <w:shd w:val="clear" w:color="auto" w:fill="D5EAEA"/>
          </w:tcPr>
          <w:p>
            <w:pPr>
              <w:spacing w:after="0"/>
              <w:rPr>
                <w:sz w:val="17"/>
                <w:szCs w:val="17"/>
                <w:color w:val="auto"/>
              </w:rPr>
            </w:pPr>
          </w:p>
        </w:tc>
        <w:tc>
          <w:tcPr>
            <w:tcW w:w="156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Share premium</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431,253</w:t>
            </w:r>
          </w:p>
        </w:tc>
        <w:tc>
          <w:tcPr>
            <w:tcW w:w="100" w:type="dxa"/>
            <w:vAlign w:val="bottom"/>
          </w:tcPr>
          <w:p>
            <w:pPr>
              <w:spacing w:after="0"/>
              <w:rPr>
                <w:sz w:val="17"/>
                <w:szCs w:val="17"/>
                <w:color w:val="auto"/>
              </w:rPr>
            </w:pP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431,251</w:t>
            </w:r>
          </w:p>
        </w:tc>
        <w:tc>
          <w:tcPr>
            <w:tcW w:w="0" w:type="dxa"/>
            <w:vAlign w:val="bottom"/>
          </w:tcPr>
          <w:p>
            <w:pPr>
              <w:spacing w:after="0"/>
              <w:rPr>
                <w:sz w:val="1"/>
                <w:szCs w:val="1"/>
                <w:color w:val="auto"/>
              </w:rPr>
            </w:pPr>
          </w:p>
        </w:tc>
      </w:tr>
      <w:tr>
        <w:trPr>
          <w:trHeight w:val="203"/>
        </w:trPr>
        <w:tc>
          <w:tcPr>
            <w:tcW w:w="8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Treasury shares</w:t>
            </w:r>
          </w:p>
        </w:tc>
        <w:tc>
          <w:tcPr>
            <w:tcW w:w="15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shd w:val="clear" w:color="auto" w:fill="D5EAEA"/>
          </w:tcPr>
          <w:p>
            <w:pPr>
              <w:spacing w:after="0"/>
              <w:rPr>
                <w:sz w:val="17"/>
                <w:szCs w:val="17"/>
                <w:color w:val="auto"/>
              </w:rPr>
            </w:pPr>
          </w:p>
        </w:tc>
        <w:tc>
          <w:tcPr>
            <w:tcW w:w="15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Accumulated losses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(218,793)</w:t>
            </w:r>
          </w:p>
        </w:tc>
        <w:tc>
          <w:tcPr>
            <w:tcW w:w="100" w:type="dxa"/>
            <w:vAlign w:val="bottom"/>
            <w:tcBorders>
              <w:bottom w:val="single" w:sz="8" w:color="D5EAEA"/>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(200,942)</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15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214,131</w:t>
            </w:r>
          </w:p>
        </w:tc>
        <w:tc>
          <w:tcPr>
            <w:tcW w:w="100" w:type="dxa"/>
            <w:vAlign w:val="bottom"/>
            <w:tcBorders>
              <w:bottom w:val="single" w:sz="8" w:color="D5EAEA"/>
            </w:tcBorders>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231,979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5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5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Long-term lease liabilities</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2,196</w:t>
            </w:r>
          </w:p>
        </w:tc>
        <w:tc>
          <w:tcPr>
            <w:tcW w:w="100" w:type="dxa"/>
            <w:vAlign w:val="bottom"/>
          </w:tcPr>
          <w:p>
            <w:pPr>
              <w:spacing w:after="0"/>
              <w:rPr>
                <w:sz w:val="17"/>
                <w:szCs w:val="17"/>
                <w:color w:val="auto"/>
              </w:rPr>
            </w:pP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8000" w:type="dxa"/>
            <w:vAlign w:val="bottom"/>
            <w:shd w:val="clear" w:color="auto" w:fill="D5EAEA"/>
          </w:tcPr>
          <w:p>
            <w:pPr>
              <w:spacing w:after="0"/>
              <w:rPr>
                <w:sz w:val="20"/>
                <w:szCs w:val="20"/>
                <w:color w:val="auto"/>
              </w:rPr>
            </w:pPr>
            <w:r>
              <w:rPr>
                <w:rFonts w:ascii="Arial" w:cs="Arial" w:eastAsia="Arial" w:hAnsi="Arial"/>
                <w:sz w:val="18"/>
                <w:szCs w:val="18"/>
                <w:color w:val="auto"/>
              </w:rPr>
              <w:t>Net employee defined-benefit liabilities</w:t>
            </w:r>
          </w:p>
        </w:tc>
        <w:tc>
          <w:tcPr>
            <w:tcW w:w="15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7,281</w:t>
            </w:r>
          </w:p>
        </w:tc>
        <w:tc>
          <w:tcPr>
            <w:tcW w:w="100" w:type="dxa"/>
            <w:vAlign w:val="bottom"/>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7,098</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9,477</w:t>
            </w:r>
          </w:p>
        </w:tc>
        <w:tc>
          <w:tcPr>
            <w:tcW w:w="100" w:type="dxa"/>
            <w:vAlign w:val="bottom"/>
            <w:tcBorders>
              <w:bottom w:val="single" w:sz="8" w:color="D5EAEA"/>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9,438</w:t>
            </w:r>
          </w:p>
        </w:tc>
        <w:tc>
          <w:tcPr>
            <w:tcW w:w="0" w:type="dxa"/>
            <w:vAlign w:val="bottom"/>
          </w:tcPr>
          <w:p>
            <w:pPr>
              <w:spacing w:after="0"/>
              <w:rPr>
                <w:sz w:val="1"/>
                <w:szCs w:val="1"/>
                <w:color w:val="auto"/>
              </w:rPr>
            </w:pPr>
          </w:p>
        </w:tc>
      </w:tr>
      <w:tr>
        <w:trPr>
          <w:trHeight w:val="183"/>
        </w:trPr>
        <w:tc>
          <w:tcPr>
            <w:tcW w:w="8000" w:type="dxa"/>
            <w:vAlign w:val="bottom"/>
            <w:shd w:val="clear" w:color="auto" w:fill="D5EAEA"/>
          </w:tcPr>
          <w:p>
            <w:pPr>
              <w:spacing w:after="0"/>
              <w:rPr>
                <w:sz w:val="15"/>
                <w:szCs w:val="15"/>
                <w:color w:val="auto"/>
              </w:rPr>
            </w:pPr>
          </w:p>
        </w:tc>
        <w:tc>
          <w:tcPr>
            <w:tcW w:w="158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56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Trade and other payables</w:t>
            </w:r>
          </w:p>
        </w:tc>
        <w:tc>
          <w:tcPr>
            <w:tcW w:w="158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501</w:t>
            </w:r>
          </w:p>
        </w:tc>
        <w:tc>
          <w:tcPr>
            <w:tcW w:w="100" w:type="dxa"/>
            <w:vAlign w:val="bottom"/>
            <w:shd w:val="clear" w:color="auto" w:fill="D5EAEA"/>
          </w:tcPr>
          <w:p>
            <w:pPr>
              <w:spacing w:after="0"/>
              <w:rPr>
                <w:sz w:val="17"/>
                <w:szCs w:val="17"/>
                <w:color w:val="auto"/>
              </w:rPr>
            </w:pPr>
          </w:p>
        </w:tc>
        <w:tc>
          <w:tcPr>
            <w:tcW w:w="156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10,571</w:t>
            </w:r>
          </w:p>
        </w:tc>
        <w:tc>
          <w:tcPr>
            <w:tcW w:w="100" w:type="dxa"/>
            <w:vAlign w:val="bottom"/>
          </w:tcPr>
          <w:p>
            <w:pPr>
              <w:spacing w:after="0"/>
              <w:rPr>
                <w:sz w:val="17"/>
                <w:szCs w:val="17"/>
                <w:color w:val="auto"/>
              </w:rPr>
            </w:pP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16,736</w:t>
            </w:r>
          </w:p>
        </w:tc>
        <w:tc>
          <w:tcPr>
            <w:tcW w:w="0" w:type="dxa"/>
            <w:vAlign w:val="bottom"/>
          </w:tcPr>
          <w:p>
            <w:pPr>
              <w:spacing w:after="0"/>
              <w:rPr>
                <w:sz w:val="1"/>
                <w:szCs w:val="1"/>
                <w:color w:val="auto"/>
              </w:rPr>
            </w:pPr>
          </w:p>
        </w:tc>
      </w:tr>
      <w:tr>
        <w:trPr>
          <w:trHeight w:val="202"/>
        </w:trPr>
        <w:tc>
          <w:tcPr>
            <w:tcW w:w="80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Deferred income</w:t>
            </w:r>
          </w:p>
        </w:tc>
        <w:tc>
          <w:tcPr>
            <w:tcW w:w="158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266</w:t>
            </w:r>
          </w:p>
        </w:tc>
        <w:tc>
          <w:tcPr>
            <w:tcW w:w="100" w:type="dxa"/>
            <w:vAlign w:val="bottom"/>
            <w:shd w:val="clear" w:color="auto" w:fill="D5EAEA"/>
          </w:tcPr>
          <w:p>
            <w:pPr>
              <w:spacing w:after="0"/>
              <w:rPr>
                <w:sz w:val="17"/>
                <w:szCs w:val="17"/>
                <w:color w:val="auto"/>
              </w:rPr>
            </w:pPr>
          </w:p>
        </w:tc>
        <w:tc>
          <w:tcPr>
            <w:tcW w:w="156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Short-term lease liabilities</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D5EAEA"/>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liabilities</w:t>
            </w:r>
          </w:p>
        </w:tc>
        <w:tc>
          <w:tcPr>
            <w:tcW w:w="15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11,911</w:t>
            </w:r>
          </w:p>
        </w:tc>
        <w:tc>
          <w:tcPr>
            <w:tcW w:w="100" w:type="dxa"/>
            <w:vAlign w:val="bottom"/>
            <w:tcBorders>
              <w:bottom w:val="single" w:sz="8" w:color="D5EAEA"/>
            </w:tcBorders>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20,026</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0" w:type="dxa"/>
            <w:vAlign w:val="bottom"/>
            <w:tcBorders>
              <w:bottom w:val="single" w:sz="8" w:color="D5EAEA"/>
            </w:tcBorders>
            <w:vMerge w:val="continue"/>
          </w:tcPr>
          <w:p>
            <w:pPr>
              <w:spacing w:after="0"/>
              <w:rPr>
                <w:sz w:val="19"/>
                <w:szCs w:val="19"/>
                <w:color w:val="auto"/>
              </w:rPr>
            </w:pPr>
          </w:p>
        </w:tc>
        <w:tc>
          <w:tcPr>
            <w:tcW w:w="158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21,388</w:t>
            </w:r>
          </w:p>
        </w:tc>
        <w:tc>
          <w:tcPr>
            <w:tcW w:w="10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29,464</w:t>
            </w:r>
          </w:p>
        </w:tc>
        <w:tc>
          <w:tcPr>
            <w:tcW w:w="0" w:type="dxa"/>
            <w:vAlign w:val="bottom"/>
          </w:tcPr>
          <w:p>
            <w:pPr>
              <w:spacing w:after="0"/>
              <w:rPr>
                <w:sz w:val="1"/>
                <w:szCs w:val="1"/>
                <w:color w:val="auto"/>
              </w:rPr>
            </w:pPr>
          </w:p>
        </w:tc>
      </w:tr>
      <w:tr>
        <w:trPr>
          <w:trHeight w:val="183"/>
        </w:trPr>
        <w:tc>
          <w:tcPr>
            <w:tcW w:w="800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Total shareholders’ equity and liabilities</w:t>
            </w:r>
          </w:p>
        </w:tc>
        <w:tc>
          <w:tcPr>
            <w:tcW w:w="1580" w:type="dxa"/>
            <w:vAlign w:val="bottom"/>
            <w:tcBorders>
              <w:bottom w:val="single" w:sz="8" w:color="auto"/>
            </w:tcBorders>
            <w:shd w:val="clear" w:color="auto" w:fill="D5EAEA"/>
          </w:tcPr>
          <w:p>
            <w:pPr>
              <w:jc w:val="right"/>
              <w:ind w:right="10"/>
              <w:spacing w:after="0" w:line="183" w:lineRule="exact"/>
              <w:rPr>
                <w:sz w:val="20"/>
                <w:szCs w:val="20"/>
                <w:color w:val="auto"/>
              </w:rPr>
            </w:pPr>
            <w:r>
              <w:rPr>
                <w:rFonts w:ascii="Arial" w:cs="Arial" w:eastAsia="Arial" w:hAnsi="Arial"/>
                <w:sz w:val="18"/>
                <w:szCs w:val="18"/>
                <w:color w:val="auto"/>
              </w:rPr>
              <w:t>235,519</w:t>
            </w:r>
          </w:p>
        </w:tc>
        <w:tc>
          <w:tcPr>
            <w:tcW w:w="100" w:type="dxa"/>
            <w:vAlign w:val="bottom"/>
            <w:tcBorders>
              <w:bottom w:val="single" w:sz="8" w:color="D5EAEA"/>
            </w:tcBorders>
            <w:shd w:val="clear" w:color="auto" w:fill="D5EAEA"/>
          </w:tcPr>
          <w:p>
            <w:pPr>
              <w:spacing w:after="0"/>
              <w:rPr>
                <w:sz w:val="15"/>
                <w:szCs w:val="15"/>
                <w:color w:val="auto"/>
              </w:rPr>
            </w:pPr>
          </w:p>
        </w:tc>
        <w:tc>
          <w:tcPr>
            <w:tcW w:w="1560" w:type="dxa"/>
            <w:vAlign w:val="bottom"/>
            <w:tcBorders>
              <w:bottom w:val="single" w:sz="8" w:color="auto"/>
            </w:tcBorders>
            <w:shd w:val="clear" w:color="auto" w:fill="D5EAEA"/>
          </w:tcPr>
          <w:p>
            <w:pPr>
              <w:jc w:val="right"/>
              <w:ind w:right="10"/>
              <w:spacing w:after="0" w:line="183" w:lineRule="exact"/>
              <w:rPr>
                <w:sz w:val="20"/>
                <w:szCs w:val="20"/>
                <w:color w:val="auto"/>
              </w:rPr>
            </w:pPr>
            <w:r>
              <w:rPr>
                <w:rFonts w:ascii="Arial" w:cs="Arial" w:eastAsia="Arial" w:hAnsi="Arial"/>
                <w:sz w:val="18"/>
                <w:szCs w:val="18"/>
                <w:color w:val="auto"/>
              </w:rPr>
              <w:t>261,443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 7</w:t>
            </w: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Consolidated Statements of Income/(Loss)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CHF thousands, except for per-share data)</w:t>
      </w:r>
    </w:p>
    <w:p>
      <w:pPr>
        <w:spacing w:after="0" w:line="176"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For the Three Months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28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1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3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4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8440" w:type="dxa"/>
            <w:vAlign w:val="bottom"/>
            <w:tcBorders>
              <w:top w:val="single" w:sz="8" w:color="D5EAEA"/>
            </w:tcBorders>
            <w:shd w:val="clear" w:color="auto" w:fill="D5EAEA"/>
          </w:tcPr>
          <w:p>
            <w:pPr>
              <w:spacing w:after="0"/>
              <w:rPr>
                <w:sz w:val="15"/>
                <w:szCs w:val="15"/>
                <w:color w:val="auto"/>
              </w:rPr>
            </w:pPr>
          </w:p>
        </w:tc>
        <w:tc>
          <w:tcPr>
            <w:tcW w:w="1360" w:type="dxa"/>
            <w:vAlign w:val="bottom"/>
            <w:tcBorders>
              <w:top w:val="single" w:sz="8" w:color="auto"/>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340" w:type="dxa"/>
            <w:vAlign w:val="bottom"/>
            <w:tcBorders>
              <w:top w:val="single" w:sz="8" w:color="auto"/>
            </w:tcBorders>
            <w:shd w:val="clear" w:color="auto" w:fill="D5EAEA"/>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Research &amp; development expenses</w:t>
            </w:r>
          </w:p>
        </w:tc>
        <w:tc>
          <w:tcPr>
            <w:tcW w:w="13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(15,123)</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(13,329)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General &amp; administrative expenses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(4,166)</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Other operating income/(expense)</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D5EAEA"/>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operating expenses</w:t>
            </w: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(18,830)</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D5EAEA"/>
            </w:tcBorders>
            <w:vMerge w:val="continue"/>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(18,830)</w:t>
            </w:r>
          </w:p>
        </w:tc>
        <w:tc>
          <w:tcPr>
            <w:tcW w:w="100" w:type="dxa"/>
            <w:vAlign w:val="bottom"/>
            <w:tcBorders>
              <w:bottom w:val="single" w:sz="8" w:color="D5EAEA"/>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(17,251)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Financial income</w:t>
            </w:r>
          </w:p>
        </w:tc>
        <w:tc>
          <w:tcPr>
            <w:tcW w:w="1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Financial expense</w:t>
            </w:r>
          </w:p>
        </w:tc>
        <w:tc>
          <w:tcPr>
            <w:tcW w:w="13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(154)</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Exchange differences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Finance result, net</w:t>
            </w: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Loss before tax</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vMerge w:val="continue"/>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8"/>
                <w:szCs w:val="18"/>
                <w:color w:val="auto"/>
              </w:rPr>
              <w:t>(18,844)</w:t>
            </w:r>
          </w:p>
        </w:tc>
        <w:tc>
          <w:tcPr>
            <w:tcW w:w="10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Arial" w:cs="Arial" w:eastAsia="Arial" w:hAnsi="Arial"/>
                <w:sz w:val="18"/>
                <w:szCs w:val="18"/>
                <w:color w:val="auto"/>
              </w:rPr>
              <w:t>(16,734)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Loss for the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(16,848)</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D5EAEA"/>
          </w:tcPr>
          <w:p>
            <w:pPr>
              <w:spacing w:after="0" w:line="183" w:lineRule="exact"/>
              <w:rPr>
                <w:sz w:val="20"/>
                <w:szCs w:val="20"/>
                <w:color w:val="auto"/>
              </w:rPr>
            </w:pPr>
            <w:r>
              <w:rPr>
                <w:rFonts w:ascii="Arial" w:cs="Arial" w:eastAsia="Arial" w:hAnsi="Arial"/>
                <w:sz w:val="18"/>
                <w:szCs w:val="18"/>
                <w:color w:val="auto"/>
              </w:rPr>
              <w:t>Loss per share:</w:t>
            </w:r>
          </w:p>
        </w:tc>
        <w:tc>
          <w:tcPr>
            <w:tcW w:w="136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40" w:type="dxa"/>
            <w:vAlign w:val="bottom"/>
          </w:tcPr>
          <w:p>
            <w:pPr>
              <w:spacing w:after="0"/>
              <w:rPr>
                <w:sz w:val="20"/>
                <w:szCs w:val="20"/>
                <w:color w:val="auto"/>
              </w:rPr>
            </w:pPr>
            <w:r>
              <w:rPr>
                <w:rFonts w:ascii="Arial" w:cs="Arial" w:eastAsia="Arial" w:hAnsi="Arial"/>
                <w:sz w:val="18"/>
                <w:szCs w:val="18"/>
                <w:color w:val="auto"/>
              </w:rPr>
              <w:t>Basic and diluted loss for the period attributable to equity 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8440" w:type="dxa"/>
            <w:vAlign w:val="bottom"/>
          </w:tcPr>
          <w:p>
            <w:pPr>
              <w:ind w:left="3100"/>
              <w:spacing w:after="0"/>
              <w:rPr>
                <w:sz w:val="20"/>
                <w:szCs w:val="20"/>
                <w:color w:val="auto"/>
              </w:rPr>
            </w:pPr>
            <w:r>
              <w:rPr>
                <w:rFonts w:ascii="Arial" w:cs="Arial" w:eastAsia="Arial" w:hAnsi="Arial"/>
                <w:sz w:val="18"/>
                <w:szCs w:val="18"/>
                <w:b w:val="1"/>
                <w:bCs w:val="1"/>
                <w:color w:val="auto"/>
              </w:rPr>
              <w:t>Consolidated Statements of Comprehensive Income/(Loss)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440" w:type="dxa"/>
            <w:vAlign w:val="bottom"/>
          </w:tcPr>
          <w:p>
            <w:pPr>
              <w:ind w:left="480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40" w:type="dxa"/>
            <w:vAlign w:val="bottom"/>
          </w:tcPr>
          <w:p>
            <w:pPr>
              <w:spacing w:after="0"/>
              <w:rPr>
                <w:sz w:val="24"/>
                <w:szCs w:val="24"/>
                <w:color w:val="auto"/>
              </w:rPr>
            </w:pPr>
          </w:p>
        </w:tc>
        <w:tc>
          <w:tcPr>
            <w:tcW w:w="28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9"/>
              </w:rPr>
              <w:t>For the Three Months</w:t>
            </w:r>
          </w:p>
        </w:tc>
        <w:tc>
          <w:tcPr>
            <w:tcW w:w="0" w:type="dxa"/>
            <w:vAlign w:val="bottom"/>
          </w:tcPr>
          <w:p>
            <w:pPr>
              <w:spacing w:after="0"/>
              <w:rPr>
                <w:sz w:val="1"/>
                <w:szCs w:val="1"/>
                <w:color w:val="auto"/>
              </w:rPr>
            </w:pPr>
          </w:p>
        </w:tc>
      </w:tr>
      <w:tr>
        <w:trPr>
          <w:trHeight w:val="225"/>
        </w:trPr>
        <w:tc>
          <w:tcPr>
            <w:tcW w:w="8440" w:type="dxa"/>
            <w:vAlign w:val="bottom"/>
          </w:tcPr>
          <w:p>
            <w:pPr>
              <w:spacing w:after="0"/>
              <w:rPr>
                <w:sz w:val="19"/>
                <w:szCs w:val="19"/>
                <w:color w:val="auto"/>
              </w:rPr>
            </w:pPr>
          </w:p>
        </w:tc>
        <w:tc>
          <w:tcPr>
            <w:tcW w:w="28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Loss for the period</w:t>
            </w:r>
          </w:p>
        </w:tc>
        <w:tc>
          <w:tcPr>
            <w:tcW w:w="136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(18,848)</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(16,734)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Items that may be reclassified to income or loss in subsequent periods (net of tax):</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Currency translation differences</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Items that will not be reclassified to income or loss in subsequent periods (net of tax):</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Re-measurement losses on defined-benefit plans</w:t>
            </w:r>
          </w:p>
        </w:tc>
        <w:tc>
          <w:tcPr>
            <w:tcW w:w="146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4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comprehensive loss, net of tax</w:t>
            </w: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(18,838)</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8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 / 7</w:t>
            </w: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32" w:name="page33"/>
    <w:bookmarkEnd w:id="32"/>
    <w:p>
      <w:pPr>
        <w:ind w:left="3000"/>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18"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earnings/(loss) per share to adjusted earnings/(loss) per share</w:t>
      </w:r>
    </w:p>
    <w:p>
      <w:pPr>
        <w:spacing w:after="0" w:line="176"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For the Three Months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gridSpan w:val="2"/>
            <w:vMerge w:val="restart"/>
          </w:tcPr>
          <w:p>
            <w:pPr>
              <w:ind w:left="182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28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Loss</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(18,848)</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(16,734)</w:t>
            </w:r>
          </w:p>
        </w:tc>
        <w:tc>
          <w:tcPr>
            <w:tcW w:w="0" w:type="dxa"/>
            <w:vAlign w:val="bottom"/>
          </w:tcPr>
          <w:p>
            <w:pPr>
              <w:spacing w:after="0"/>
              <w:rPr>
                <w:sz w:val="1"/>
                <w:szCs w:val="1"/>
                <w:color w:val="auto"/>
              </w:rPr>
            </w:pPr>
          </w:p>
        </w:tc>
      </w:tr>
      <w:tr>
        <w:trPr>
          <w:trHeight w:val="196"/>
        </w:trPr>
        <w:tc>
          <w:tcPr>
            <w:tcW w:w="84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Adjustments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40" w:type="dxa"/>
            <w:vAlign w:val="bottom"/>
            <w:gridSpan w:val="2"/>
            <w:shd w:val="clear" w:color="auto" w:fill="D5EAEA"/>
          </w:tcPr>
          <w:p>
            <w:pPr>
              <w:ind w:left="160"/>
              <w:spacing w:after="0" w:line="243" w:lineRule="exact"/>
              <w:rPr>
                <w:sz w:val="20"/>
                <w:szCs w:val="20"/>
                <w:color w:val="auto"/>
              </w:rPr>
            </w:pPr>
            <w:r>
              <w:rPr>
                <w:rFonts w:ascii="Arial" w:cs="Arial" w:eastAsia="Arial" w:hAnsi="Arial"/>
                <w:sz w:val="17"/>
                <w:szCs w:val="17"/>
                <w:color w:val="auto"/>
              </w:rPr>
              <w:t>Non-cash share-based payments</w:t>
            </w:r>
            <w:r>
              <w:rPr>
                <w:rFonts w:ascii="Arial" w:cs="Arial" w:eastAsia="Arial" w:hAnsi="Arial"/>
                <w:sz w:val="28"/>
                <w:szCs w:val="28"/>
                <w:color w:val="auto"/>
                <w:vertAlign w:val="superscript"/>
              </w:rPr>
              <w:t>1</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D5EAEA"/>
          </w:tcPr>
          <w:p>
            <w:pPr>
              <w:spacing w:after="0"/>
              <w:rPr>
                <w:sz w:val="21"/>
                <w:szCs w:val="21"/>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57"/>
        </w:trPr>
        <w:tc>
          <w:tcPr>
            <w:tcW w:w="8440" w:type="dxa"/>
            <w:vAlign w:val="bottom"/>
            <w:tcBorders>
              <w:bottom w:val="single" w:sz="8" w:color="D5EAEA"/>
            </w:tcBorders>
            <w:gridSpan w:val="2"/>
          </w:tcPr>
          <w:p>
            <w:pPr>
              <w:ind w:left="160"/>
              <w:spacing w:after="0" w:line="256" w:lineRule="exact"/>
              <w:rPr>
                <w:sz w:val="20"/>
                <w:szCs w:val="20"/>
                <w:color w:val="auto"/>
              </w:rPr>
            </w:pPr>
            <w:r>
              <w:rPr>
                <w:rFonts w:ascii="Arial" w:cs="Arial" w:eastAsia="Arial" w:hAnsi="Arial"/>
                <w:sz w:val="18"/>
                <w:szCs w:val="18"/>
                <w:color w:val="auto"/>
              </w:rPr>
              <w:t>Foreign currency (gains)/losses</w:t>
            </w:r>
            <w:r>
              <w:rPr>
                <w:rFonts w:ascii="Arial" w:cs="Arial" w:eastAsia="Arial" w:hAnsi="Arial"/>
                <w:sz w:val="29"/>
                <w:szCs w:val="29"/>
                <w:color w:val="auto"/>
                <w:vertAlign w:val="superscript"/>
              </w:rPr>
              <w:t>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196"/>
        </w:trPr>
        <w:tc>
          <w:tcPr>
            <w:tcW w:w="844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Adjusted Loss</w:t>
            </w:r>
          </w:p>
        </w:tc>
        <w:tc>
          <w:tcPr>
            <w:tcW w:w="13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(18,077)</w:t>
            </w: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(16,498)</w:t>
            </w:r>
          </w:p>
        </w:tc>
        <w:tc>
          <w:tcPr>
            <w:tcW w:w="0" w:type="dxa"/>
            <w:vAlign w:val="bottom"/>
          </w:tcPr>
          <w:p>
            <w:pPr>
              <w:spacing w:after="0"/>
              <w:rPr>
                <w:sz w:val="1"/>
                <w:szCs w:val="1"/>
                <w:color w:val="auto"/>
              </w:rPr>
            </w:pPr>
          </w:p>
        </w:tc>
      </w:tr>
      <w:tr>
        <w:trPr>
          <w:trHeight w:val="18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Adjustment to loss per share – basic and diluted</w:t>
            </w: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0.01</w:t>
            </w:r>
          </w:p>
        </w:tc>
        <w:tc>
          <w:tcPr>
            <w:tcW w:w="100" w:type="dxa"/>
            <w:vAlign w:val="bottom"/>
            <w:tcBorders>
              <w:bottom w:val="single" w:sz="8" w:color="D5EAEA"/>
            </w:tcBorders>
          </w:tcPr>
          <w:p>
            <w:pPr>
              <w:spacing w:after="0"/>
              <w:rPr>
                <w:sz w:val="17"/>
                <w:szCs w:val="17"/>
                <w:color w:val="auto"/>
              </w:rPr>
            </w:pP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6"/>
        </w:trPr>
        <w:tc>
          <w:tcPr>
            <w:tcW w:w="844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Adjusted loss per share – basic and diluted</w:t>
            </w:r>
          </w:p>
        </w:tc>
        <w:tc>
          <w:tcPr>
            <w:tcW w:w="13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(0.22)</w:t>
            </w: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0"/>
        </w:trPr>
        <w:tc>
          <w:tcPr>
            <w:tcW w:w="8440" w:type="dxa"/>
            <w:vAlign w:val="bottom"/>
            <w:gridSpan w:val="2"/>
          </w:tcPr>
          <w:p>
            <w:pPr>
              <w:spacing w:after="0"/>
              <w:rPr>
                <w:sz w:val="20"/>
                <w:szCs w:val="20"/>
                <w:color w:val="auto"/>
              </w:rPr>
            </w:pPr>
            <w:r>
              <w:rPr>
                <w:rFonts w:ascii="Arial" w:cs="Arial" w:eastAsia="Arial" w:hAnsi="Arial"/>
                <w:sz w:val="18"/>
                <w:szCs w:val="18"/>
                <w:color w:val="auto"/>
              </w:rPr>
              <w:t>Weighted-average number of shares outstanding Adjusted loss –basic and diluted</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83,486,354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72,305,949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200" w:hanging="332"/>
        <w:spacing w:after="0" w:line="234" w:lineRule="auto"/>
        <w:tabs>
          <w:tab w:leader="none" w:pos="340" w:val="left"/>
        </w:tabs>
        <w:numPr>
          <w:ilvl w:val="0"/>
          <w:numId w:val="34"/>
        </w:numPr>
        <w:rPr>
          <w:rFonts w:ascii="Arial" w:cs="Arial" w:eastAsia="Arial" w:hAnsi="Arial"/>
          <w:sz w:val="15"/>
          <w:szCs w:val="15"/>
          <w:color w:val="auto"/>
        </w:rPr>
      </w:pP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2" w:lineRule="exact"/>
        <w:rPr>
          <w:sz w:val="20"/>
          <w:szCs w:val="20"/>
          <w:color w:val="auto"/>
        </w:rPr>
      </w:pPr>
    </w:p>
    <w:p>
      <w:pPr>
        <w:ind w:left="340" w:right="180" w:hanging="332"/>
        <w:spacing w:after="0" w:line="246" w:lineRule="auto"/>
        <w:tabs>
          <w:tab w:leader="none" w:pos="340" w:val="left"/>
        </w:tabs>
        <w:numPr>
          <w:ilvl w:val="0"/>
          <w:numId w:val="35"/>
        </w:numPr>
        <w:rPr>
          <w:rFonts w:ascii="Arial" w:cs="Arial" w:eastAsia="Arial" w:hAnsi="Arial"/>
          <w:sz w:val="15"/>
          <w:szCs w:val="15"/>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Euro with the Swiss Franc.</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Adjustments for the three months ended March 31, 2022, decreased net loss by CHF 0.8 million compared with a decrease to net loss of CHF 0.2 million for the comparable period in 2021, respectively. The Company recorded CHF 1.0 million and CHF 0.9 million for share-based compensation expenses, respectively, in each of these periods. There were foreign currency re-measurement gains of CHF 0.2 million and CHF 0.6 million, respectively, primarily related to movement in the USD-CHF exchange rate during the respective periods.</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decimal"/>
      <w:start w:val="2"/>
    </w:lvl>
  </w:abstractNum>
  <w:abstractNum w:abstractNumId="2">
    <w:nsid w:val="7C83E458"/>
    <w:multiLevelType w:val="hybridMultilevel"/>
    <w:lvl w:ilvl="0">
      <w:lvlJc w:val="left"/>
      <w:lvlText w:val="%1."/>
      <w:numFmt w:val="decimal"/>
      <w:start w:val="3"/>
    </w:lvl>
  </w:abstractNum>
  <w:abstractNum w:abstractNumId="3">
    <w:nsid w:val="257130A3"/>
    <w:multiLevelType w:val="hybridMultilevel"/>
    <w:lvl w:ilvl="0">
      <w:lvlJc w:val="left"/>
      <w:lvlText w:val="%1."/>
      <w:numFmt w:val="decimal"/>
      <w:start w:val="4"/>
    </w:lvl>
  </w:abstractNum>
  <w:abstractNum w:abstractNumId="4">
    <w:nsid w:val="62BBD95A"/>
    <w:multiLevelType w:val="hybridMultilevel"/>
    <w:lvl w:ilvl="0">
      <w:lvlJc w:val="left"/>
      <w:lvlText w:val="%1."/>
      <w:numFmt w:val="decimal"/>
      <w:start w:val="5"/>
    </w:lvl>
  </w:abstractNum>
  <w:abstractNum w:abstractNumId="5">
    <w:nsid w:val="436C6125"/>
    <w:multiLevelType w:val="hybridMultilevel"/>
    <w:lvl w:ilvl="0">
      <w:lvlJc w:val="left"/>
      <w:lvlText w:val="%1."/>
      <w:numFmt w:val="decimal"/>
      <w:start w:val="6"/>
    </w:lvl>
  </w:abstractNum>
  <w:abstractNum w:abstractNumId="6">
    <w:nsid w:val="628C895D"/>
    <w:multiLevelType w:val="hybridMultilevel"/>
    <w:lvl w:ilvl="0">
      <w:lvlJc w:val="left"/>
      <w:lvlText w:val="%1."/>
      <w:numFmt w:val="decimal"/>
      <w:start w:val="8"/>
    </w:lvl>
  </w:abstractNum>
  <w:abstractNum w:abstractNumId="7">
    <w:nsid w:val="333AB105"/>
    <w:multiLevelType w:val="hybridMultilevel"/>
    <w:lvl w:ilvl="0">
      <w:lvlJc w:val="left"/>
      <w:lvlText w:val="%1."/>
      <w:numFmt w:val="decimal"/>
      <w:start w:val="9"/>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bullet"/>
      <w:start w:val="1"/>
    </w:lvl>
  </w:abstractNum>
  <w:abstractNum w:abstractNumId="14">
    <w:nsid w:val="79838CB2"/>
    <w:multiLevelType w:val="hybridMultilevel"/>
    <w:lvl w:ilvl="0">
      <w:lvlJc w:val="left"/>
      <w:lvlText w:val="2"/>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bullet"/>
      <w:start w:val="1"/>
    </w:lvl>
  </w:abstractNum>
  <w:abstractNum w:abstractNumId="20">
    <w:nsid w:val="2CA88611"/>
    <w:multiLevelType w:val="hybridMultilevel"/>
    <w:lvl w:ilvl="0">
      <w:lvlJc w:val="left"/>
      <w:lvlText w:val="2"/>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bullet"/>
      <w:start w:val="1"/>
    </w:lvl>
  </w:abstractNum>
  <w:abstractNum w:abstractNumId="27">
    <w:nsid w:val="737B8DDC"/>
    <w:multiLevelType w:val="hybridMultilevel"/>
    <w:lvl w:ilvl="0">
      <w:lvlJc w:val="left"/>
      <w:lvlText w:val="2"/>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lvl w:ilvl="1">
      <w:lvlJc w:val="left"/>
      <w:lvlText w:val="%2"/>
      <w:numFmt w:val="upperLetter"/>
      <w:start w:val="1"/>
    </w:lvl>
    <w:lvl w:ilvl="2">
      <w:lvlJc w:val="left"/>
      <w:lvlText w:val="o"/>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bullet"/>
      <w:start w:val="1"/>
    </w:lvl>
  </w:abstractNum>
  <w:abstractNum w:abstractNumId="34">
    <w:nsid w:val="5577F8E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2022-04-28T06:50:24Z</dcterms:created>
  <dcterms:modified xsi:type="dcterms:W3CDTF">2022-04-28T06:50:24Z</dcterms:modified>
</cp:coreProperties>
</file>