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___)*</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Issuer)</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(Title of Class of Securities)</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H00263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4"/>
          <w:szCs w:val="14"/>
          <w:color w:val="auto"/>
        </w:rPr>
        <w:t>(CUSIP Number)</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4"/>
          <w:szCs w:val="24"/>
          <w:color w:val="auto"/>
        </w:rPr>
      </w:pPr>
    </w:p>
    <w:p>
      <w:pPr>
        <w:ind w:firstLine="332"/>
        <w:spacing w:after="0" w:line="261"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92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gridSpan w:val="5"/>
          </w:tcPr>
          <w:p>
            <w:pPr>
              <w:jc w:val="right"/>
              <w:ind w:right="472"/>
              <w:spacing w:after="0"/>
              <w:rPr>
                <w:sz w:val="20"/>
                <w:szCs w:val="20"/>
                <w:color w:val="auto"/>
              </w:rPr>
            </w:pPr>
            <w:r>
              <w:rPr>
                <w:rFonts w:ascii="Arial" w:cs="Arial" w:eastAsia="Arial" w:hAnsi="Arial"/>
                <w:sz w:val="22"/>
                <w:szCs w:val="22"/>
                <w:b w:val="1"/>
                <w:bCs w:val="1"/>
                <w:color w:val="auto"/>
                <w:w w:val="91"/>
              </w:rPr>
              <w:t>CUSIP No. H00263 105</w:t>
            </w:r>
          </w:p>
        </w:tc>
        <w:tc>
          <w:tcPr>
            <w:tcW w:w="2620" w:type="dxa"/>
            <w:vAlign w:val="bottom"/>
          </w:tcPr>
          <w:p>
            <w:pPr>
              <w:spacing w:after="0"/>
              <w:rPr>
                <w:sz w:val="24"/>
                <w:szCs w:val="24"/>
                <w:color w:val="auto"/>
              </w:rPr>
            </w:pPr>
          </w:p>
        </w:tc>
        <w:tc>
          <w:tcPr>
            <w:tcW w:w="2800" w:type="dxa"/>
            <w:vAlign w:val="bottom"/>
          </w:tcPr>
          <w:p>
            <w:pPr>
              <w:ind w:left="300"/>
              <w:spacing w:after="0"/>
              <w:rPr>
                <w:sz w:val="20"/>
                <w:szCs w:val="20"/>
                <w:color w:val="auto"/>
              </w:rPr>
            </w:pPr>
            <w:r>
              <w:rPr>
                <w:rFonts w:ascii="Arial" w:cs="Arial" w:eastAsia="Arial" w:hAnsi="Arial"/>
                <w:sz w:val="25"/>
                <w:szCs w:val="25"/>
                <w:b w:val="1"/>
                <w:bCs w:val="1"/>
                <w:color w:val="auto"/>
              </w:rPr>
              <w:t>13G</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3"/>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1.</w:t>
            </w:r>
          </w:p>
        </w:tc>
        <w:tc>
          <w:tcPr>
            <w:tcW w:w="140" w:type="dxa"/>
            <w:vAlign w:val="bottom"/>
            <w:tcBorders>
              <w:right w:val="single" w:sz="8" w:color="auto"/>
            </w:tcBorders>
          </w:tcPr>
          <w:p>
            <w:pPr>
              <w:spacing w:after="0"/>
              <w:rPr>
                <w:sz w:val="22"/>
                <w:szCs w:val="22"/>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2800" w:type="dxa"/>
            <w:vAlign w:val="bottom"/>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Varuma AG</w:t>
            </w:r>
          </w:p>
        </w:tc>
        <w:tc>
          <w:tcPr>
            <w:tcW w:w="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460" w:type="dxa"/>
            <w:vAlign w:val="bottom"/>
            <w:tcBorders>
              <w:bottom w:val="single" w:sz="8" w:color="auto"/>
            </w:tcBorders>
            <w:gridSpan w:val="4"/>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2.</w:t>
            </w:r>
          </w:p>
        </w:tc>
        <w:tc>
          <w:tcPr>
            <w:tcW w:w="140" w:type="dxa"/>
            <w:vAlign w:val="bottom"/>
            <w:tcBorders>
              <w:right w:val="single" w:sz="8" w:color="auto"/>
            </w:tcBorders>
          </w:tcPr>
          <w:p>
            <w:pPr>
              <w:spacing w:after="0"/>
              <w:rPr>
                <w:sz w:val="24"/>
                <w:szCs w:val="24"/>
                <w:color w:val="auto"/>
              </w:rPr>
            </w:pPr>
          </w:p>
        </w:tc>
        <w:tc>
          <w:tcPr>
            <w:tcW w:w="758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Borders>
              <w:right w:val="single" w:sz="8" w:color="auto"/>
            </w:tcBorders>
          </w:tcPr>
          <w:p>
            <w:pPr>
              <w:ind w:left="20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ind w:left="20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3.</w:t>
            </w:r>
          </w:p>
        </w:tc>
        <w:tc>
          <w:tcPr>
            <w:tcW w:w="140" w:type="dxa"/>
            <w:vAlign w:val="bottom"/>
            <w:tcBorders>
              <w:right w:val="single" w:sz="8" w:color="auto"/>
            </w:tcBorders>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gridSpan w:val="3"/>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4.</w:t>
            </w:r>
          </w:p>
        </w:tc>
        <w:tc>
          <w:tcPr>
            <w:tcW w:w="140" w:type="dxa"/>
            <w:vAlign w:val="bottom"/>
            <w:tcBorders>
              <w:right w:val="single" w:sz="8" w:color="auto"/>
            </w:tcBorders>
          </w:tcPr>
          <w:p>
            <w:pPr>
              <w:spacing w:after="0"/>
              <w:rPr>
                <w:sz w:val="24"/>
                <w:szCs w:val="24"/>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Basel, Switzerland</w:t>
            </w: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vMerge w:val="restart"/>
          </w:tcPr>
          <w:p>
            <w:pPr>
              <w:jc w:val="right"/>
              <w:ind w:right="332"/>
              <w:spacing w:after="0"/>
              <w:rPr>
                <w:sz w:val="20"/>
                <w:szCs w:val="20"/>
                <w:color w:val="auto"/>
              </w:rPr>
            </w:pPr>
            <w:r>
              <w:rPr>
                <w:rFonts w:ascii="Arial" w:cs="Arial" w:eastAsia="Arial" w:hAnsi="Arial"/>
                <w:sz w:val="22"/>
                <w:szCs w:val="22"/>
                <w:b w:val="1"/>
                <w:bCs w:val="1"/>
                <w:color w:val="auto"/>
              </w:rPr>
              <w:t>5.</w:t>
            </w:r>
          </w:p>
        </w:tc>
        <w:tc>
          <w:tcPr>
            <w:tcW w:w="26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11,400,000</w:t>
            </w: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8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640" w:type="dxa"/>
            <w:vAlign w:val="bottom"/>
            <w:gridSpan w:val="3"/>
            <w:vMerge w:val="restart"/>
          </w:tcPr>
          <w:p>
            <w:pPr>
              <w:jc w:val="center"/>
              <w:ind w:right="820"/>
              <w:spacing w:after="0"/>
              <w:rPr>
                <w:sz w:val="20"/>
                <w:szCs w:val="20"/>
                <w:color w:val="auto"/>
              </w:rPr>
            </w:pPr>
            <w:r>
              <w:rPr>
                <w:rFonts w:ascii="Arial" w:cs="Arial" w:eastAsia="Arial" w:hAnsi="Arial"/>
                <w:sz w:val="18"/>
                <w:szCs w:val="18"/>
                <w:color w:val="auto"/>
                <w:w w:val="94"/>
              </w:rPr>
              <w:t>SHARES</w:t>
            </w:r>
          </w:p>
        </w:tc>
        <w:tc>
          <w:tcPr>
            <w:tcW w:w="660" w:type="dxa"/>
            <w:vAlign w:val="bottom"/>
            <w:vMerge w:val="restart"/>
          </w:tcPr>
          <w:p>
            <w:pPr>
              <w:jc w:val="right"/>
              <w:ind w:right="332"/>
              <w:spacing w:after="0" w:line="217" w:lineRule="exact"/>
              <w:rPr>
                <w:sz w:val="20"/>
                <w:szCs w:val="20"/>
                <w:color w:val="auto"/>
              </w:rPr>
            </w:pPr>
            <w:r>
              <w:rPr>
                <w:rFonts w:ascii="Arial" w:cs="Arial" w:eastAsia="Arial" w:hAnsi="Arial"/>
                <w:sz w:val="22"/>
                <w:szCs w:val="22"/>
                <w:b w:val="1"/>
                <w:bCs w:val="1"/>
                <w:color w:val="auto"/>
              </w:rPr>
              <w:t>6.</w:t>
            </w:r>
          </w:p>
        </w:tc>
        <w:tc>
          <w:tcPr>
            <w:tcW w:w="26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100" w:type="dxa"/>
            <w:vAlign w:val="bottom"/>
            <w:gridSpan w:val="4"/>
            <w:vMerge w:val="restart"/>
          </w:tcPr>
          <w:p>
            <w:pPr>
              <w:jc w:val="center"/>
              <w:ind w:right="360"/>
              <w:spacing w:after="0"/>
              <w:rPr>
                <w:sz w:val="20"/>
                <w:szCs w:val="20"/>
                <w:color w:val="auto"/>
              </w:rPr>
            </w:pPr>
            <w:r>
              <w:rPr>
                <w:rFonts w:ascii="Arial" w:cs="Arial" w:eastAsia="Arial" w:hAnsi="Arial"/>
                <w:sz w:val="18"/>
                <w:szCs w:val="18"/>
                <w:color w:val="auto"/>
                <w:w w:val="99"/>
              </w:rPr>
              <w:t>BENEFICIALLY</w:t>
            </w:r>
          </w:p>
        </w:tc>
        <w:tc>
          <w:tcPr>
            <w:tcW w:w="66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00" w:type="dxa"/>
            <w:vAlign w:val="bottom"/>
            <w:gridSpan w:val="4"/>
            <w:vMerge w:val="continue"/>
          </w:tcPr>
          <w:p>
            <w:pPr>
              <w:spacing w:after="0"/>
              <w:rPr>
                <w:sz w:val="5"/>
                <w:szCs w:val="5"/>
                <w:color w:val="auto"/>
              </w:rPr>
            </w:pPr>
          </w:p>
        </w:tc>
        <w:tc>
          <w:tcPr>
            <w:tcW w:w="6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rPr>
              <w:t>7.</w:t>
            </w:r>
          </w:p>
        </w:tc>
        <w:tc>
          <w:tcPr>
            <w:tcW w:w="262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100" w:type="dxa"/>
            <w:vAlign w:val="bottom"/>
            <w:gridSpan w:val="4"/>
            <w:vMerge w:val="restart"/>
          </w:tcPr>
          <w:p>
            <w:pPr>
              <w:jc w:val="center"/>
              <w:ind w:right="340"/>
              <w:spacing w:after="0"/>
              <w:rPr>
                <w:sz w:val="20"/>
                <w:szCs w:val="20"/>
                <w:color w:val="auto"/>
              </w:rPr>
            </w:pPr>
            <w:r>
              <w:rPr>
                <w:rFonts w:ascii="Arial" w:cs="Arial" w:eastAsia="Arial" w:hAnsi="Arial"/>
                <w:sz w:val="18"/>
                <w:szCs w:val="18"/>
                <w:color w:val="auto"/>
                <w:w w:val="93"/>
              </w:rPr>
              <w:t>REPORTING</w:t>
            </w:r>
          </w:p>
        </w:tc>
        <w:tc>
          <w:tcPr>
            <w:tcW w:w="66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gridSpan w:val="4"/>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11,400,000</w:t>
            </w:r>
          </w:p>
        </w:tc>
        <w:tc>
          <w:tcPr>
            <w:tcW w:w="2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gridSpan w:val="3"/>
            <w:vMerge w:val="restart"/>
          </w:tcPr>
          <w:p>
            <w:pPr>
              <w:jc w:val="center"/>
              <w:spacing w:after="0" w:line="157" w:lineRule="exact"/>
              <w:rPr>
                <w:sz w:val="20"/>
                <w:szCs w:val="20"/>
                <w:color w:val="auto"/>
              </w:rPr>
            </w:pPr>
            <w:r>
              <w:rPr>
                <w:rFonts w:ascii="Arial" w:cs="Arial" w:eastAsia="Arial" w:hAnsi="Arial"/>
                <w:sz w:val="18"/>
                <w:szCs w:val="18"/>
                <w:color w:val="auto"/>
                <w:w w:val="94"/>
              </w:rPr>
              <w:t>PERSON WITH</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20" w:type="dxa"/>
            <w:vAlign w:val="bottom"/>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-2846705</wp:posOffset>
            </wp:positionV>
            <wp:extent cx="7254875" cy="5651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51500"/>
                    </a:xfrm>
                    <a:prstGeom prst="rect">
                      <a:avLst/>
                    </a:prstGeom>
                    <a:noFill/>
                  </pic:spPr>
                </pic:pic>
              </a:graphicData>
            </a:graphic>
          </wp:anchor>
        </w:drawing>
      </w:r>
    </w:p>
    <w:p>
      <w:pPr>
        <w:spacing w:after="0" w:line="33" w:lineRule="exact"/>
        <w:rPr>
          <w:sz w:val="20"/>
          <w:szCs w:val="20"/>
          <w:color w:val="auto"/>
        </w:rPr>
      </w:pPr>
    </w:p>
    <w:p>
      <w:pPr>
        <w:ind w:left="2840" w:right="6080" w:hanging="678"/>
        <w:spacing w:after="0"/>
        <w:tabs>
          <w:tab w:leader="none" w:pos="2840" w:val="left"/>
        </w:tabs>
        <w:numPr>
          <w:ilvl w:val="1"/>
          <w:numId w:val="4"/>
        </w:numPr>
        <w:rPr>
          <w:rFonts w:ascii="Arial" w:cs="Arial" w:eastAsia="Arial" w:hAnsi="Arial"/>
          <w:sz w:val="36"/>
          <w:szCs w:val="36"/>
          <w:b w:val="1"/>
          <w:bCs w:val="1"/>
          <w:color w:val="auto"/>
          <w:vertAlign w:val="subscript"/>
        </w:rPr>
      </w:pPr>
      <w:r>
        <w:rPr>
          <w:rFonts w:ascii="Arial" w:cs="Arial" w:eastAsia="Arial" w:hAnsi="Arial"/>
          <w:sz w:val="16"/>
          <w:szCs w:val="16"/>
          <w:color w:val="auto"/>
        </w:rPr>
        <w:t>SHARED DISPOSITIVE POWER 0</w:t>
      </w:r>
    </w:p>
    <w:p>
      <w:pPr>
        <w:spacing w:after="0" w:line="166" w:lineRule="exact"/>
        <w:rPr>
          <w:rFonts w:ascii="Arial" w:cs="Arial" w:eastAsia="Arial" w:hAnsi="Arial"/>
          <w:sz w:val="36"/>
          <w:szCs w:val="36"/>
          <w:b w:val="1"/>
          <w:bCs w:val="1"/>
          <w:color w:val="auto"/>
          <w:vertAlign w:val="subscript"/>
        </w:rPr>
      </w:pPr>
    </w:p>
    <w:p>
      <w:pPr>
        <w:ind w:left="660" w:right="4220" w:hanging="436"/>
        <w:spacing w:after="0" w:line="474" w:lineRule="auto"/>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 11,400,000</w:t>
      </w:r>
    </w:p>
    <w:p>
      <w:pPr>
        <w:spacing w:after="0" w:line="104" w:lineRule="exact"/>
        <w:rPr>
          <w:sz w:val="20"/>
          <w:szCs w:val="20"/>
          <w:color w:val="auto"/>
        </w:rPr>
      </w:pPr>
    </w:p>
    <w:p>
      <w:pPr>
        <w:ind w:left="660" w:right="5240" w:hanging="490"/>
        <w:spacing w:after="0" w:line="230" w:lineRule="auto"/>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CHECK BOX IF THE AGGREGATE AMOUNT IN ROW (9) EXCLUDES CERTAIN SHARES</w:t>
      </w:r>
    </w:p>
    <w:p>
      <w:pPr>
        <w:ind w:left="660"/>
        <w:spacing w:after="0" w:line="181" w:lineRule="exact"/>
        <w:rPr>
          <w:rFonts w:ascii="Arial" w:cs="Arial" w:eastAsia="Arial" w:hAnsi="Arial"/>
          <w:sz w:val="22"/>
          <w:szCs w:val="22"/>
          <w:b w:val="1"/>
          <w:bCs w:val="1"/>
          <w:color w:val="auto"/>
        </w:rPr>
      </w:pPr>
      <w:r>
        <w:rPr>
          <w:rFonts w:ascii="MS PGothic" w:cs="MS PGothic" w:eastAsia="MS PGothic" w:hAnsi="MS PGothic"/>
          <w:sz w:val="18"/>
          <w:szCs w:val="18"/>
          <w:color w:val="auto"/>
        </w:rPr>
        <w:t>☐</w:t>
      </w:r>
    </w:p>
    <w:p>
      <w:pPr>
        <w:spacing w:after="0" w:line="152" w:lineRule="exact"/>
        <w:rPr>
          <w:rFonts w:ascii="Arial" w:cs="Arial" w:eastAsia="Arial" w:hAnsi="Arial"/>
          <w:sz w:val="22"/>
          <w:szCs w:val="22"/>
          <w:b w:val="1"/>
          <w:bCs w:val="1"/>
          <w:color w:val="auto"/>
        </w:rPr>
      </w:pPr>
    </w:p>
    <w:p>
      <w:pPr>
        <w:ind w:left="660" w:hanging="484"/>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PERCENT OF CLASS REPRESENTED BY AMOUNT IN ROW (9)</w:t>
      </w:r>
    </w:p>
    <w:p>
      <w:pPr>
        <w:spacing w:after="0" w:line="20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8"/>
          <w:szCs w:val="18"/>
          <w:color w:val="auto"/>
        </w:rPr>
        <w:t>20.25% (1)</w:t>
      </w:r>
    </w:p>
    <w:p>
      <w:pPr>
        <w:spacing w:after="0" w:line="373" w:lineRule="exact"/>
        <w:rPr>
          <w:rFonts w:ascii="Arial" w:cs="Arial" w:eastAsia="Arial" w:hAnsi="Arial"/>
          <w:sz w:val="22"/>
          <w:szCs w:val="22"/>
          <w:b w:val="1"/>
          <w:bCs w:val="1"/>
          <w:color w:val="auto"/>
        </w:rPr>
      </w:pPr>
    </w:p>
    <w:p>
      <w:pPr>
        <w:ind w:left="660" w:right="8260" w:hanging="490"/>
        <w:spacing w:after="0" w:line="474" w:lineRule="auto"/>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TYPE OF REPORTING PERSON CO</w:t>
      </w:r>
    </w:p>
    <w:p>
      <w:pPr>
        <w:spacing w:after="0" w:line="253" w:lineRule="exact"/>
        <w:rPr>
          <w:rFonts w:ascii="Arial" w:cs="Arial" w:eastAsia="Arial" w:hAnsi="Arial"/>
          <w:sz w:val="22"/>
          <w:szCs w:val="22"/>
          <w:b w:val="1"/>
          <w:bCs w:val="1"/>
          <w:color w:val="auto"/>
        </w:rPr>
      </w:pPr>
    </w:p>
    <w:p>
      <w:pPr>
        <w:jc w:val="right"/>
        <w:ind w:left="5300" w:right="5280" w:hanging="4968"/>
        <w:spacing w:after="0" w:line="765" w:lineRule="auto"/>
        <w:tabs>
          <w:tab w:leader="none" w:pos="65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56,296,042 common shares outstanding as of September 30, 2016. 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Varuma AG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Aeschenvorstadt 55, 4051 Basel,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H00263 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issuer identified in Item 1.</w:t>
      </w:r>
    </w:p>
    <w:p>
      <w:pPr>
        <w:spacing w:after="0" w:line="248"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11,400,000</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20.25%, based on 56,296,042 common shares outstanding as of September 30, 2016</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11,400,000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11,400,000</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580" w:right="899" w:bottom="1440" w:gutter="0" w:footer="0" w:header="0"/>
        </w:sectPr>
      </w:pPr>
    </w:p>
    <w:bookmarkStart w:id="4" w:name="page5"/>
    <w:bookmarkEnd w:id="4"/>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(Date)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 Rudolf Maag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(Signature)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Rudolf Maag</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Member of the Board of 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48895</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1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527050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0"/>
    </w:lvl>
    <w:lvl w:ilvl="1">
      <w:lvlJc w:val="left"/>
      <w:lvlText w:val="(%2)"/>
      <w:numFmt w:val="decimal"/>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2019-12-08T04:54:22Z</dcterms:created>
  <dcterms:modified xsi:type="dcterms:W3CDTF">2019-12-08T04:54:22Z</dcterms:modified>
</cp:coreProperties>
</file>