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333-224694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142875</wp:posOffset>
            </wp:positionV>
            <wp:extent cx="21259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$80,000,000</w:t>
      </w:r>
    </w:p>
    <w:p>
      <w:pPr>
        <w:spacing w:after="0" w:line="321" w:lineRule="exact"/>
        <w:rPr>
          <w:sz w:val="24"/>
          <w:szCs w:val="24"/>
          <w:color w:val="auto"/>
        </w:rPr>
      </w:pPr>
    </w:p>
    <w:p>
      <w:pPr>
        <w:ind w:right="200" w:firstLine="416"/>
        <w:spacing w:after="0" w:line="225" w:lineRule="auto"/>
        <w:rPr>
          <w:sz w:val="20"/>
          <w:szCs w:val="20"/>
          <w:color w:val="auto"/>
        </w:rPr>
      </w:pPr>
      <w:r>
        <w:rPr>
          <w:rFonts w:ascii="Times New Roman" w:cs="Times New Roman" w:eastAsia="Times New Roman" w:hAnsi="Times New Roman"/>
          <w:sz w:val="18"/>
          <w:szCs w:val="18"/>
          <w:color w:val="auto"/>
        </w:rPr>
        <w:t>We have entered into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or the Sales Agreement, with Jefferies LLC, or Jefferies, relating to our common shares offered by this prospectus supplement and the accompanying prospectus. In accordance with the terms of the Sales Agreement, we may offer and sell our common shares having an aggregate offering price of up to $80,000,000 from time to time through Jefferies, acting as our sales agent.</w:t>
      </w:r>
    </w:p>
    <w:p>
      <w:pPr>
        <w:spacing w:after="0" w:line="200" w:lineRule="exact"/>
        <w:rPr>
          <w:sz w:val="24"/>
          <w:szCs w:val="24"/>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may be made in sales deemed to be an “at the market offering” as defined in Rule 415(a)(4) promulgated under the Securities Act of 1933, as amended, or the Securities Act. Jefferies is not required to sell any specific amount of our common shares, but will act as our sales agent and use commercially reasonable efforts to sell on our behalf all of the common shares requested to be sold by us, consistent with its normal sales and trading practices, on mutually agreed terms between Jefferies and us. There is no arrangement for funds to be received in any escrow, trust or similar arrangement.</w:t>
      </w:r>
    </w:p>
    <w:p>
      <w:pPr>
        <w:spacing w:after="0" w:line="183" w:lineRule="exact"/>
        <w:rPr>
          <w:sz w:val="24"/>
          <w:szCs w:val="24"/>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Jefferies will receive from us a commission of 3.0% of the gross proceeds of any common shares sold through it under the Sales Agreement. In connection with the sale of our common shares on our behalf, Jefferies may be deemed to be an “underwriter” within the meaning of the Securities Act and the compensation of Jefferies may be deemed to be underwriting commissions or discounts. We have also agreed to provide indemnification and contribution to Jefferies with respect to certain liabilities, including liabilities under the Securities Act. For additional information, see “Plan of Distribution.”</w:t>
      </w:r>
    </w:p>
    <w:p>
      <w:pPr>
        <w:spacing w:after="0" w:line="183" w:lineRule="exact"/>
        <w:rPr>
          <w:sz w:val="24"/>
          <w:szCs w:val="24"/>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Our common shares trade on The Nasdaq Global Market under the trading symbol “ACIU”. On September 4, 2020, the last sale price of our common shares as reported on The Nasdaq Global Market was $7.29 per share.</w:t>
      </w:r>
    </w:p>
    <w:p>
      <w:pPr>
        <w:spacing w:after="0" w:line="158" w:lineRule="exact"/>
        <w:rPr>
          <w:sz w:val="24"/>
          <w:szCs w:val="24"/>
          <w:color w:val="auto"/>
        </w:rPr>
      </w:pPr>
    </w:p>
    <w:p>
      <w:pPr>
        <w:ind w:right="160" w:firstLine="416"/>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are subject to reduced public company reporting requirements. See “Prospectus Supplement Summary—Implications of Being an Emerging Growth Company” and “—Implications of Being a Foreign Private Issuer.”</w:t>
      </w:r>
    </w:p>
    <w:p>
      <w:pPr>
        <w:spacing w:after="0" w:line="161" w:lineRule="exact"/>
        <w:rPr>
          <w:sz w:val="24"/>
          <w:szCs w:val="24"/>
          <w:color w:val="auto"/>
        </w:rPr>
      </w:pPr>
    </w:p>
    <w:p>
      <w:pPr>
        <w:ind w:right="1040" w:firstLine="405"/>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u w:val="single" w:color="auto"/>
          <w:color w:val="auto"/>
        </w:rPr>
        <w:t>Risk Factors</w:t>
      </w:r>
      <w:r>
        <w:rPr>
          <w:rFonts w:ascii="Times New Roman" w:cs="Times New Roman" w:eastAsia="Times New Roman" w:hAnsi="Times New Roman"/>
          <w:sz w:val="22"/>
          <w:szCs w:val="22"/>
          <w:b w:val="1"/>
          <w:bCs w:val="1"/>
          <w:color w:val="auto"/>
        </w:rPr>
        <w:t>” beginning on page S-10 of this prospectus supplement.</w:t>
      </w:r>
    </w:p>
    <w:p>
      <w:pPr>
        <w:spacing w:after="0" w:line="186" w:lineRule="exact"/>
        <w:rPr>
          <w:sz w:val="24"/>
          <w:szCs w:val="24"/>
          <w:color w:val="auto"/>
        </w:rPr>
      </w:pPr>
    </w:p>
    <w:p>
      <w:pPr>
        <w:ind w:right="380" w:firstLine="41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7000" w:type="dxa"/>
            <w:vAlign w:val="bottom"/>
            <w:gridSpan w:val="2"/>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4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Page</w:t>
            </w:r>
          </w:p>
        </w:tc>
      </w:tr>
      <w:tr>
        <w:trPr>
          <w:trHeight w:val="426"/>
        </w:trPr>
        <w:tc>
          <w:tcPr>
            <w:tcW w:w="4240" w:type="dxa"/>
            <w:vAlign w:val="bottom"/>
          </w:tcPr>
          <w:p>
            <w:pPr>
              <w:spacing w:after="0"/>
              <w:rPr>
                <w:sz w:val="24"/>
                <w:szCs w:val="24"/>
                <w:color w:val="auto"/>
              </w:rPr>
            </w:pPr>
          </w:p>
        </w:tc>
        <w:tc>
          <w:tcPr>
            <w:tcW w:w="7000" w:type="dxa"/>
            <w:vAlign w:val="bottom"/>
            <w:gridSpan w:val="2"/>
          </w:tcPr>
          <w:p>
            <w:pPr>
              <w:jc w:val="center"/>
              <w:ind w:right="41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6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Presentation of Financial Information</w:t>
            </w:r>
          </w:p>
        </w:tc>
        <w:tc>
          <w:tcPr>
            <w:tcW w:w="6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S-iv</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Tax Considerations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S-24</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6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S-24</w:t>
            </w:r>
          </w:p>
        </w:tc>
      </w:tr>
      <w:tr>
        <w:trPr>
          <w:trHeight w:val="432"/>
        </w:trPr>
        <w:tc>
          <w:tcPr>
            <w:tcW w:w="4240" w:type="dxa"/>
            <w:vAlign w:val="bottom"/>
          </w:tcPr>
          <w:p>
            <w:pPr>
              <w:spacing w:after="0"/>
              <w:rPr>
                <w:sz w:val="24"/>
                <w:szCs w:val="24"/>
                <w:color w:val="auto"/>
              </w:rPr>
            </w:pPr>
          </w:p>
        </w:tc>
        <w:tc>
          <w:tcPr>
            <w:tcW w:w="7000" w:type="dxa"/>
            <w:vAlign w:val="bottom"/>
            <w:gridSpan w:val="2"/>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Enforcement of Judgments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right="80" w:firstLine="415"/>
        <w:spacing w:after="0" w:line="255" w:lineRule="auto"/>
        <w:rPr>
          <w:sz w:val="20"/>
          <w:szCs w:val="20"/>
          <w:color w:val="auto"/>
        </w:rPr>
      </w:pPr>
      <w:r>
        <w:rPr>
          <w:rFonts w:ascii="Times New Roman" w:cs="Times New Roman" w:eastAsia="Times New Roman" w:hAnsi="Times New Roman"/>
          <w:sz w:val="18"/>
          <w:szCs w:val="18"/>
          <w:color w:val="auto"/>
        </w:rPr>
        <w:t>Our financial statements incorporated by reference herein are presented in Swiss Francs and in accordance with International Financial Reporting Standards, or IFRS,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and “USD” refer to US dollars and the terms “Swiss Franc” and “CHF” refer to the legal currency of Switzerland, unless otherwise indicated. We have made rounding adjustments to some of the figures included in this prospectus supplement. Accordingly, any numerical discrepancies in any table between totals and sums of the amounts listed are due to rounding. Unless explicitly mentioned otherwise herein, all references to our financial statements in this prospectus supplement are references to our IFRS financial statements exclusively.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owns various unregistered trademarks for some of which formal protection is being sought, including Morphomer™, SupraAntigen™ and its corporate name, logo and Nasdaq Global Market symbol. All other trademarks, trade names and service marks of other companies appearing in this prospectus supplement are the property of their respective owners. Solely for convenience, the trademarks and trade names in this prospectus supplement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have not, and Jefferies has not, authorized anyone to provide you with information different from that contained in or incorporated by reference in this prospectus or any related free writing prospectus filed by us with the SEC.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 w:name="page4"/>
    <w:bookmarkEnd w:id="3"/>
    <w:p>
      <w:pPr>
        <w:ind w:right="260" w:firstLine="416"/>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6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20" w:firstLine="415"/>
        <w:spacing w:after="0" w:line="256" w:lineRule="auto"/>
        <w:rPr>
          <w:sz w:val="20"/>
          <w:szCs w:val="20"/>
          <w:color w:val="auto"/>
        </w:rPr>
      </w:pPr>
      <w:r>
        <w:rPr>
          <w:rFonts w:ascii="Times New Roman" w:cs="Times New Roman" w:eastAsia="Times New Roman" w:hAnsi="Times New Roman"/>
          <w:sz w:val="18"/>
          <w:szCs w:val="18"/>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supplement. These risks and uncertainties include factors relating to:</w:t>
      </w:r>
    </w:p>
    <w:p>
      <w:pPr>
        <w:spacing w:after="0" w:line="183" w:lineRule="exact"/>
        <w:rPr>
          <w:sz w:val="20"/>
          <w:szCs w:val="20"/>
          <w:color w:val="auto"/>
        </w:rPr>
      </w:pPr>
    </w:p>
    <w:p>
      <w:pPr>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semorinemab, ACI-35, Morphomer Tau, ACI-24 for Alzheimer’s disease (AD) and for Down Syndrome (DS), crenezumab and PI-2620 (our Tau-PET Imaging Tracer);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safety, efficacy and utility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and Drug Administration’s and applicable foreign regulatory authorities’ acceptance of data from studies we and our collaboration partners conduct within and outside the United States now and in the future;</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Securities Exchange Act of 1934, or the Exchange Act, domestic reporting regime and cause us to incur significant legal, accounting and other expenses;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United States;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5" w:name="page6"/>
    <w:bookmarkEnd w:id="5"/>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suppliers, patients and employees and any other impact of Covid-19;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“Risk Factors.”</w:t>
      </w:r>
    </w:p>
    <w:p>
      <w:pPr>
        <w:spacing w:after="0" w:line="25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are subject to a number of risks, uncertainties and assumptions described under the sections in this prospectus supplement entitled “Risk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7513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t>PROSPECTUS SUPPLEMENT SUMMARY</w:t>
      </w:r>
    </w:p>
    <w:p>
      <w:pPr>
        <w:spacing w:after="0" w:line="227" w:lineRule="exact"/>
        <w:rPr>
          <w:sz w:val="20"/>
          <w:szCs w:val="20"/>
          <w:color w:val="auto"/>
        </w:rPr>
      </w:pPr>
    </w:p>
    <w:p>
      <w:pPr>
        <w:ind w:left="120" w:right="28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S-10 of this prospectus supplement, along with our consolidated financial statements and notes to those consolidated financial statements and the other information incorporated by reference in this prospectus supplement.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and the urgent need for more tailored therapeutic regimens.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nine therapeutic and three diagnostic product candidates, with six currently in clinical trials, targeting five different types of misfolded pathological proteins related to Alzheimer’s disease (AD) and other neurodegenerative disorders. We expect to report clinical results from several of these programs before the end of 2020, offering the potential for near-term value inflection.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firstLine="648"/>
        <w:spacing w:after="0" w:line="216"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Morphomer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to become a global leader in the development of precision medicine products for the diagnosis and treatment of</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79" w:right="4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7385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t>neurodegenerative diseases. Towards that goal, we are executing a clear business strategy built on three pillars of discovery and development for: (i) AD therapeutics, (ii) therapeutics for other neurodegenerative diseases, including NeuroOrphan indications, and (iii) complementary diagnostics to improve and accelerate clinical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Need for Precision Medicine in AD and Other Neurodegenerative Diseases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need for precision medicine is highlighted by the high level of co-pathologies present in AD and other neurodegenerative diseases. Much like cancer, neurodegenerative diseases are heterogeneous and may require multiple therapeutic interventions, tailored to patients’ specific, co-pathologies, to be used in concert in order to slow or stop the disease course. Ultimately, it is our belief that precision medicine will increase the chances of treatment success by allowing clinical trial participants to be better defined by their various proteinopathies, affording treatment with the right therapies at the right time.</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AC Immune has established itself as a leader in developing precision medicines for neurodegenerative diseases by utilizing our diagnostic capabilities to enable improved diagnosis, patient selection and assessment of clinical trial outcomes. Our dual technology platforms allow for a multi-modal approach encompassing vaccines,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 Immune’s </w:t>
      </w:r>
      <w:r>
        <w:rPr>
          <w:rFonts w:ascii="Times New Roman" w:cs="Times New Roman" w:eastAsia="Times New Roman" w:hAnsi="Times New Roman"/>
          <w:sz w:val="18"/>
          <w:szCs w:val="18"/>
          <w:b w:val="1"/>
          <w:bCs w:val="1"/>
          <w:i w:val="1"/>
          <w:iCs w:val="1"/>
          <w:color w:val="auto"/>
        </w:rPr>
        <w:t>Roadmap to Successful Therapies for Neurodegenerative Diseases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Precision medicine is a key element of our five-point framework for developing successful therapies in neurodegenerative diseases, building on one of the broadest pipelines in the field.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 earlier</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It is now believed that treatments targeting beta-amyloid (Abeta) may be most effective before symptoms become apparent. The Alzheimer’s Prevention Initiative (API) trial of crenezumab aims to answer this fundamental question.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Tau</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Tau plays a very important role in neurodegeneration – understanding whether the spreading of pathological Tau throughout the brain can be stopped by therapies targeting Tau is a critical question that we are examining. This is being addressed through AC Immune’s multiple Tau research programs in early and late stage diseases.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More homogeneous populations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Multiple pathologies are thought to contribute to the development of AD, including genetic, lifestyle and environmental factors. To understand if a candidate drug has therapeutic potential, it is important to first engage more homogeneous genetic patient populations with similar pathophysiologies. We are pioneering these efforts with our prevention studies in genetically defined populations such as familial AD and Down Syndrome (DS).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Precision medicine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Building on the understanding that multiple pathologies contribute to the clinical presentation of AD, there is a need to accurately diagnose and target the underlying pathology. As such, we have integrated our diagnostic and therapeutic strategies to deliver, for the first time, precision medicine for patients with neurodegenerative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neuroinflammation</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It is well established that microglia maintain a healthy brain environment by clearing debris, including misfolded Abeta, Tau and alpha-synuclein. Hyper-stimulation of microglial cells is now emerging as a hallmark of</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783" w:right="499" w:bottom="1440" w:gutter="0" w:footer="0" w:header="0"/>
        </w:sectPr>
      </w:pPr>
    </w:p>
    <w:bookmarkStart w:id="8" w:name="page9"/>
    <w:bookmarkEnd w:id="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7436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AD – and potentially all neurodegenerative diseases. We focus on the inflammasome NLRP3 pathway, with emerging evidence showing the particular importance for neurodegenerative diseases.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 Immune’s clinical stage pipeline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Elements of our Approach Include:</w:t>
      </w:r>
    </w:p>
    <w:p>
      <w:pPr>
        <w:spacing w:after="0" w:line="225" w:lineRule="exact"/>
        <w:rPr>
          <w:sz w:val="20"/>
          <w:szCs w:val="20"/>
          <w:color w:val="auto"/>
        </w:rPr>
      </w:pPr>
    </w:p>
    <w:p>
      <w:pPr>
        <w:ind w:left="640" w:right="240" w:hanging="318"/>
        <w:spacing w:after="0" w:line="286" w:lineRule="auto"/>
        <w:tabs>
          <w:tab w:leader="none" w:pos="6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Execution on advancing our product candidates, in partnership or alone, from clinical development to regulatory approval and potential commercialization.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2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Semorinemab (</w:t>
      </w:r>
      <w:r>
        <w:rPr>
          <w:rFonts w:ascii="Times New Roman" w:cs="Times New Roman" w:eastAsia="Times New Roman" w:hAnsi="Times New Roman"/>
          <w:sz w:val="18"/>
          <w:szCs w:val="18"/>
          <w:b w:val="1"/>
          <w:bCs w:val="1"/>
          <w:i w:val="1"/>
          <w:iCs w:val="1"/>
          <w:color w:val="auto"/>
        </w:rPr>
        <w:t>anti-Tau antibody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Semorinemab is a high affinity monoclonal antibody that binds all forms of Tau. Semorinemab is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intercept extracellular Tau and slow or stop the cell-to-cell spread and propagation of pathological Tau in the brain. Efficacy studies run in mouse models of AD and other Tauopathies exhibited dose-response alleviation of Tau pathology with behavioral improvements. A Phase 1 clinical trial involving 75 subjects evaluated safety, tolerability, pharmacokinetics and preliminary activity of semorinemab in people with AD and in healthy volunteers. This trial was completed in the second quarter of 2017. Semorinemab was administered at single doses up to 16,800 mg to healthy volunteers, and at multiple doses of 8,400 mg to healthy volunteers and patients with mild-to-moderate AD. No dose-limiting toxicities and no serious adverse events were observed. Additionally, no participant withdrawals, modifications or interruptions due to an adverse event were reported.</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Phase 1, semorinemab exhibited a dose-proportional pharmacokinetic profile and CNS exposure, with a median half-life of 32.3 days. Clear target engagement was demonstrated by measuring plasma total Tau concentration, which increased with increasing drug doses and was two times greater in participants with AD compared to healthy volunteers.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partner Genentech is evaluating semorinemab in a Phase 2 clinical trial (TAURIEL), which commenced in Q4 2017. This multicenter trial, which has enrolled 457 participants, assesses safety, tolerability and efficacy of semorinemab in people with prodromal-to-mild AD. Participants receive one of three active doses or a placebo for 72 weeks, followed by a 96-week optional open-label extension (OLE). Primary endpoints include safety assessment and the change from baseline in the composite functional and cognitive endpoint CDR (Clinical Dementia Rating scale) sum-of-boxes score (CDR-SB). Change from baseline in Tau pathological burden is an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783" w:right="499" w:bottom="1440" w:gutter="0" w:footer="0" w:header="0"/>
        </w:sectPr>
      </w:pPr>
    </w:p>
    <w:bookmarkStart w:id="9" w:name="page10"/>
    <w:bookmarkEnd w:id="9"/>
    <w:p>
      <w:pPr>
        <w:ind w:left="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6424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t>exploratory endpoint. The study was completed in Q2 2020 and top line data is expected to be announced by Genentech in H2 2020.</w:t>
      </w:r>
    </w:p>
    <w:p>
      <w:pPr>
        <w:spacing w:after="0" w:line="225" w:lineRule="exact"/>
        <w:rPr>
          <w:sz w:val="20"/>
          <w:szCs w:val="20"/>
          <w:color w:val="auto"/>
        </w:rPr>
      </w:pPr>
    </w:p>
    <w:p>
      <w:pPr>
        <w:ind w:left="2" w:firstLine="648"/>
        <w:spacing w:after="0" w:line="256" w:lineRule="auto"/>
        <w:rPr>
          <w:sz w:val="20"/>
          <w:szCs w:val="20"/>
          <w:color w:val="auto"/>
        </w:rPr>
      </w:pPr>
      <w:r>
        <w:rPr>
          <w:rFonts w:ascii="Times New Roman" w:cs="Times New Roman" w:eastAsia="Times New Roman" w:hAnsi="Times New Roman"/>
          <w:sz w:val="18"/>
          <w:szCs w:val="18"/>
          <w:color w:val="auto"/>
        </w:rPr>
        <w:t>Semorinemab is also being evaluated by Genentech in a second Phase 2 trial (LAURIET) that initiated in Q1 2019. This is a multicenter study enrolling 260 participants designed to evaluate the clinical efficacy, safety, pharmacokinetics and pharmacodynamics of semorinemab in patients with moderate AD (mini-mental state exam [MMSE] 16-21, CDR-GS=1 or 2). The study consists of a screening period, a double-blind treatment period of 49 weeks, an optional OLE period, and a follow-up period, with ADAS-Cog11 and Alzheimer’s Disease Cooperative Study - Activities of Daily Living (ADCS-ADL) as the primary endpoints, and CDR-SB, MMSE, and safety as secondary endpoints. Primary completion (i.e., the administration of the last dose to the last patient) is estimated in Q2 2021.</w:t>
      </w:r>
    </w:p>
    <w:p>
      <w:pPr>
        <w:spacing w:after="0" w:line="183" w:lineRule="exact"/>
        <w:rPr>
          <w:sz w:val="20"/>
          <w:szCs w:val="20"/>
          <w:color w:val="auto"/>
        </w:rPr>
      </w:pPr>
    </w:p>
    <w:p>
      <w:pPr>
        <w:ind w:left="2"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ACI-35.030 </w:t>
      </w:r>
      <w:r>
        <w:rPr>
          <w:rFonts w:ascii="Times New Roman" w:cs="Times New Roman" w:eastAsia="Times New Roman" w:hAnsi="Times New Roman"/>
          <w:sz w:val="18"/>
          <w:szCs w:val="18"/>
          <w:b w:val="1"/>
          <w:bCs w:val="1"/>
          <w:i w:val="1"/>
          <w:iCs w:val="1"/>
          <w:color w:val="auto"/>
        </w:rPr>
        <w:t>(anti p-Tau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ACI-35.030 is a vaccine candidate being developed in collaboration with Janssen Pharmaceuticals, Inc.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clinical candidate designed to generate a specific antibody response against pathological phospho-Tau (pTau) proteins in the brain. It is currently being evaluated in a randomized, multicenter, double-blind, placebo-controlled Phase 1b/2a clinical study with a primary objective to assess the safety, tolerability and immunogenicity of different doses of ACI-35.030 in patients with early AD. Secondary objectives will assess additional immunogenicity parameters, while exploratory endpoints will include notable biomarkers of progression of AD as well as clinical assessments. AC Immune recently announced the initiation of the second highest dosing group in the trial based on encouraging interim safety, tolerability and immunogenicity results from the initial dosing group.</w:t>
      </w:r>
    </w:p>
    <w:p>
      <w:pPr>
        <w:spacing w:after="0" w:line="183" w:lineRule="exact"/>
        <w:rPr>
          <w:sz w:val="20"/>
          <w:szCs w:val="20"/>
          <w:color w:val="auto"/>
        </w:rPr>
      </w:pPr>
    </w:p>
    <w:p>
      <w:pPr>
        <w:ind w:left="2" w:right="1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ACI-3024 </w:t>
      </w:r>
      <w:r>
        <w:rPr>
          <w:rFonts w:ascii="Times New Roman" w:cs="Times New Roman" w:eastAsia="Times New Roman" w:hAnsi="Times New Roman"/>
          <w:sz w:val="18"/>
          <w:szCs w:val="18"/>
          <w:b w:val="1"/>
          <w:bCs w:val="1"/>
          <w:i w:val="1"/>
          <w:iCs w:val="1"/>
          <w:color w:val="auto"/>
        </w:rPr>
        <w:t>(Tau aggregation inhibitor)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ACI-3024 is a first-in-class small molecule that passes through cell membranes and allows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inhibition of intracellular Tau aggregates, a key point of differentiation against other anti-Tau approaches. It has been shown to be a potent inhibitor of Tau aggregation, not only on the Tau native form, but also on synthetic fibers derived from the six human Tau isoforms or from the four mutants containing common point mutations associated with human Tauopathies, such as FTLD-Tau (e.g. progressive supranuclear palsy (PSP), Pick’s disease, Corticobasal degeneration). ACI-3024 selectively binds to aggregated Tau but does not bind to the monomeric forms of Tau; moreover the binding to Tau aggregates is selective, with no cross-reactivity to aggregates of Abeta or alpha-synuclein.</w:t>
      </w:r>
    </w:p>
    <w:p>
      <w:pPr>
        <w:spacing w:after="0" w:line="186" w:lineRule="exact"/>
        <w:rPr>
          <w:sz w:val="20"/>
          <w:szCs w:val="20"/>
          <w:color w:val="auto"/>
        </w:rPr>
      </w:pPr>
    </w:p>
    <w:p>
      <w:pPr>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In collaboration with our partner, Eli Lilly and Company (“Lilly”), we are developing ACI-3024 for the treatment of AD. We initiated a Phase 1 trial evaluating ACI-3024 in healthy volunteers in Q3 2019. This Phase 1 study is a first-in-human, randomized, placebo-controlled, double-blind, sequential single and multiple ascending dose study with open-label food effect and pharmacodynamic assessment arms. The study assesses the safety, tolerability, pharmacokinetics and pharmacodynamics of ACI-3024. We expect an announcement from Lilly regarding data from the study in H2 2020.</w:t>
      </w:r>
    </w:p>
    <w:p>
      <w:pPr>
        <w:spacing w:after="0" w:line="176" w:lineRule="exact"/>
        <w:rPr>
          <w:sz w:val="20"/>
          <w:szCs w:val="20"/>
          <w:color w:val="auto"/>
        </w:rPr>
      </w:pPr>
    </w:p>
    <w:p>
      <w:pPr>
        <w:ind w:left="2" w:right="4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ACI-24 </w:t>
      </w:r>
      <w:r>
        <w:rPr>
          <w:rFonts w:ascii="Times New Roman" w:cs="Times New Roman" w:eastAsia="Times New Roman" w:hAnsi="Times New Roman"/>
          <w:sz w:val="18"/>
          <w:szCs w:val="18"/>
          <w:b w:val="1"/>
          <w:bCs w:val="1"/>
          <w:i w:val="1"/>
          <w:iCs w:val="1"/>
          <w:color w:val="auto"/>
        </w:rPr>
        <w:t>(anti-Abeta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own the global rights to ACI-24, an anti-Abeta vaccine candidate developed utilizing our SupraAntigen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and designed to stimulate a patient’s immune system to produce antibodies that specifically target misfolded Abeta to prevent plaque accumulation and to enhance plaque clearance.</w:t>
      </w:r>
    </w:p>
    <w:p>
      <w:pPr>
        <w:spacing w:after="0" w:line="175" w:lineRule="exact"/>
        <w:rPr>
          <w:sz w:val="20"/>
          <w:szCs w:val="20"/>
          <w:color w:val="auto"/>
        </w:rPr>
      </w:pPr>
    </w:p>
    <w:p>
      <w:pPr>
        <w:ind w:left="2" w:right="160" w:firstLine="648"/>
        <w:spacing w:after="0" w:line="261" w:lineRule="auto"/>
        <w:rPr>
          <w:sz w:val="20"/>
          <w:szCs w:val="20"/>
          <w:color w:val="auto"/>
        </w:rPr>
      </w:pPr>
      <w:r>
        <w:rPr>
          <w:rFonts w:ascii="Times New Roman" w:cs="Times New Roman" w:eastAsia="Times New Roman" w:hAnsi="Times New Roman"/>
          <w:sz w:val="18"/>
          <w:szCs w:val="18"/>
          <w:color w:val="auto"/>
        </w:rPr>
        <w:t>We are currently evaluating ACI-24 in a Phase 2 study that commenced in October 2018 in order to assess the safety, tolerability, immunogenicity and target engagement of ACI-24 formulations using intramuscular injections and analyze ACI-24’s effects on brain amyloid assessed by PET imaging when given by the intramuscular route in a larger cohort size. The previous Phase 1/2 study has been completed and the clinical study report was finalized in 2019. The Phase 2, 12-month interim analysis is expected in H2 2020.</w:t>
      </w:r>
    </w:p>
    <w:p>
      <w:pPr>
        <w:spacing w:after="0" w:line="180" w:lineRule="exact"/>
        <w:rPr>
          <w:sz w:val="20"/>
          <w:szCs w:val="20"/>
          <w:color w:val="auto"/>
        </w:rPr>
      </w:pPr>
    </w:p>
    <w:p>
      <w:pPr>
        <w:ind w:left="2" w:firstLine="648"/>
        <w:spacing w:after="0" w:line="269" w:lineRule="auto"/>
        <w:rPr>
          <w:sz w:val="20"/>
          <w:szCs w:val="20"/>
          <w:color w:val="auto"/>
        </w:rPr>
      </w:pPr>
      <w:r>
        <w:rPr>
          <w:rFonts w:ascii="Times New Roman" w:cs="Times New Roman" w:eastAsia="Times New Roman" w:hAnsi="Times New Roman"/>
          <w:sz w:val="17"/>
          <w:szCs w:val="17"/>
          <w:color w:val="auto"/>
        </w:rPr>
        <w:t>ACI-24 is also being evaluated in individuals with DS. Individuals with DS have an extra copy of chromosome 21 where the gene for amyloid precursor protein (APP) resides. These individuals have a rate of AD that is three to five times that of the general population and develop the disease at a much younger age. Our Phase 1b clinical study of ACI-24 for individuals with DS, intended to assess safety, tolerability and immunogenicity at two doses, is ongoing for participants in the high dose cohort. Participants from the low dose cohort have fully completed the study. To date, no serious adverse events and no early withdrawals have been observed in any study participants, thus supporting a favorable safety and tolerability profile for ACI-</w:t>
      </w:r>
    </w:p>
    <w:p>
      <w:pPr>
        <w:spacing w:after="0" w:line="3" w:lineRule="exact"/>
        <w:rPr>
          <w:sz w:val="20"/>
          <w:szCs w:val="20"/>
          <w:color w:val="auto"/>
        </w:rPr>
      </w:pPr>
    </w:p>
    <w:p>
      <w:pPr>
        <w:jc w:val="center"/>
        <w:ind w:left="5382" w:right="660" w:hanging="5382"/>
        <w:spacing w:after="0" w:line="605" w:lineRule="auto"/>
        <w:tabs>
          <w:tab w:leader="none" w:pos="2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preliminary assessment of immunogenicity over the first 12 months demonstrates a specific anti-Abeta IgG response induced in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-190500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2"/>
          </w:cols>
          <w:pgMar w:left="418" w:top="783"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7581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t>actively treated DS subjects. Phase 1b full study reporting and initiation of the Phase 2 clinical trial is expected in H2 2020.</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Crenezumab </w:t>
      </w:r>
      <w:r>
        <w:rPr>
          <w:rFonts w:ascii="Times New Roman" w:cs="Times New Roman" w:eastAsia="Times New Roman" w:hAnsi="Times New Roman"/>
          <w:sz w:val="18"/>
          <w:szCs w:val="18"/>
          <w:b w:val="1"/>
          <w:bCs w:val="1"/>
          <w:i w:val="1"/>
          <w:iCs w:val="1"/>
          <w:color w:val="auto"/>
        </w:rPr>
        <w:t>(anti-Abeta 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Crenezumab is a humanized, conformation-specific monoclonal antibody that targets misfolded Abeta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 broad binding profile. Roche, the parent of our collaboration partner, discontinued, as of January 2019, the Phase 3 clinical trials of crenezumab in AD but is continuing the Colombian prevention trial, a Phase 2 trial evaluating crenezumab in genetically predisposed people at risk of developing familial AD. Completion of this landmark prevention study is expected in Q1 2022. The overall beneficial safety profile was confirmed in the Phase 3 CREAD studies, supporting crenezumab’s application in healthy individuals with risk of developing AD.</w:t>
      </w:r>
    </w:p>
    <w:p>
      <w:pPr>
        <w:spacing w:after="0" w:line="179" w:lineRule="exact"/>
        <w:rPr>
          <w:sz w:val="20"/>
          <w:szCs w:val="20"/>
          <w:color w:val="auto"/>
        </w:rPr>
      </w:pPr>
    </w:p>
    <w:p>
      <w:pPr>
        <w:ind w:left="560" w:hanging="238"/>
        <w:spacing w:after="0"/>
        <w:tabs>
          <w:tab w:leader="none" w:pos="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Expand product development into additional neurodegenerative and NeuroOrphan diseases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will pursue selected NeuroOrphan indications, such as PSP and other Tau-related frontotemporal lobar degeneration (FTLD-Tau), such as the behavior variant of frontotemporal dementia and corticobasal degeneration. Pursuing NeuroOrphan indications may enable us to obtain a streamlined regulatory approval pathway and favorable reimbursement for any approved products. A summary of our early stage pipeline focusing on NeuroOrphan and other neurodegenerative diseases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3. Accelerating the advancement of our diagnostic portfolio</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are also developing a complementary diagnostics portfolio. We currently have three families of diagnostic candidates in our pipeline, developed using our Morphomer platform; each addresses a key therapeutic target: Tau, alpha-synuclein and TDP-43.</w:t>
      </w:r>
    </w:p>
    <w:p>
      <w:pPr>
        <w:spacing w:after="0" w:line="162" w:lineRule="exact"/>
        <w:rPr>
          <w:sz w:val="20"/>
          <w:szCs w:val="20"/>
          <w:color w:val="auto"/>
        </w:rPr>
      </w:pPr>
    </w:p>
    <w:p>
      <w:pPr>
        <w:ind w:right="4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most advanced, PI-2620, our Tau-PET imaging agent, commenced Phase 2 studies in AD in Q3 2019, including proof-of-concept in AD and healthy volunteers, dosimetry, and test/re-test in AD and healthy volunteers. We are working with our partner, Life Molecular Imaging, to expand the use of PI-2620 to non-AD Tauopathies such as PSP. A recent study published in </w:t>
      </w:r>
      <w:r>
        <w:rPr>
          <w:rFonts w:ascii="Times New Roman" w:cs="Times New Roman" w:eastAsia="Times New Roman" w:hAnsi="Times New Roman"/>
          <w:sz w:val="18"/>
          <w:szCs w:val="18"/>
          <w:i w:val="1"/>
          <w:iCs w:val="1"/>
          <w:color w:val="auto"/>
        </w:rPr>
        <w:t>JAMA Neurology</w:t>
      </w:r>
      <w:r>
        <w:rPr>
          <w:rFonts w:ascii="Times New Roman" w:cs="Times New Roman" w:eastAsia="Times New Roman" w:hAnsi="Times New Roman"/>
          <w:sz w:val="18"/>
          <w:szCs w:val="18"/>
          <w:color w:val="auto"/>
        </w:rPr>
        <w:t xml:space="preserve"> showed that PI-2620 could facilitate earlier and more reliable diagnosis of PSP, where previous Tau tracers and other biomarkers failed. Further, results demonstrated PI-2620’s excellent characteristics as a diagnostic tool for studying Tau-related diseases following recent publications about its capabilities in early and more advanced AD.</w:t>
      </w:r>
    </w:p>
    <w:p>
      <w:pPr>
        <w:spacing w:after="0" w:line="187"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We are also developing proprietary PET imaging diagnostics for diseases resulting from the misfolding of alpha-synuclein and TDP-43 proteins. The alpha-synuclein PET-tracer was recently named as a winner of the Ken Griffin Alpha-synuclein Imaging Competition from The Michael J. Fox Foundation for</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783" w:right="459" w:bottom="1440" w:gutter="0" w:footer="0" w:header="0"/>
        </w:sectPr>
      </w:pPr>
    </w:p>
    <w:bookmarkStart w:id="11" w:name="page12"/>
    <w:bookmarkEnd w:id="11"/>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7684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684770"/>
                    </a:xfrm>
                    <a:prstGeom prst="rect">
                      <a:avLst/>
                    </a:prstGeom>
                    <a:noFill/>
                  </pic:spPr>
                </pic:pic>
              </a:graphicData>
            </a:graphic>
          </wp:anchor>
        </w:drawing>
        <w:t>Parkinson’s Research, making AC Immune eligible to receive together with its partner $3.2 million (CHF 3.1 million). Our PET tracers for alpha-synuclein and TDP-43, if validated clinically, will be the first in the world to effectively diagnose these proteinopathies, which are highly relevant for multiple neurodegenerative diseases.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 Strategically collaborating or selectively partnering for the development and commercialization of product candidates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strong track record of establishing value-driving collaboration agreements with leading pharmaceutical companies. This strategy allows us to leverage our partners’ scientific, development, manufacturing and commercialization expertise and other resources as well as partially monetize our investments, de-risk and accelerate the development of our product candidates. To date, we have entered into five collaboration agreements with leading global pharmaceutical companies, summarized in the table below.</w:t>
      </w:r>
    </w:p>
    <w:p>
      <w:pPr>
        <w:spacing w:after="0" w:line="180" w:lineRule="exact"/>
        <w:rPr>
          <w:sz w:val="20"/>
          <w:szCs w:val="20"/>
          <w:color w:val="auto"/>
        </w:rPr>
      </w:pPr>
    </w:p>
    <w:p>
      <w:pPr>
        <w:ind w:right="480" w:firstLine="648"/>
        <w:spacing w:after="0" w:line="281" w:lineRule="auto"/>
        <w:rPr>
          <w:sz w:val="20"/>
          <w:szCs w:val="20"/>
          <w:color w:val="auto"/>
        </w:rPr>
      </w:pPr>
      <w:r>
        <w:rPr>
          <w:rFonts w:ascii="Times New Roman" w:cs="Times New Roman" w:eastAsia="Times New Roman" w:hAnsi="Times New Roman"/>
          <w:sz w:val="17"/>
          <w:szCs w:val="17"/>
          <w:color w:val="auto"/>
        </w:rPr>
        <w:t>In the future, for any additional products targeting large markets, we may selectively partner with leading companies that we believe can contribute development, manufacturing and marketing expertise, geographic reach and/or other resources that can enhance the value of our wholly owned products. As we have done in our existing agreements, we will seek to retain certain indications (e.g. NeuroOrphan) and/or geographies, such that we can begin to grow our own marketing capabilities as we develop AC Immune into a fully integrated pharmaceutical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right="520" w:firstLine="648"/>
        <w:spacing w:after="0" w:line="289" w:lineRule="auto"/>
        <w:rPr>
          <w:sz w:val="20"/>
          <w:szCs w:val="20"/>
          <w:color w:val="auto"/>
        </w:rPr>
      </w:pPr>
      <w:r>
        <w:rPr>
          <w:rFonts w:ascii="Times New Roman" w:cs="Times New Roman" w:eastAsia="Times New Roman" w:hAnsi="Times New Roman"/>
          <w:sz w:val="17"/>
          <w:szCs w:val="17"/>
          <w:color w:val="auto"/>
        </w:rPr>
        <w:t>We have assembled an excellent management team with outstanding scientific, clinical and regulatory expertise. They are led by Chief Executive Officer and Co-Founder, Dr. Andrea Pfeifer, a Pharmacologist with a Ph.D. in cancer research and a former National Institute of Health researcher with a highly successful track record of over 30 years in product innovation and product implementation and business development:</w:t>
      </w:r>
    </w:p>
    <w:p>
      <w:pPr>
        <w:spacing w:after="0" w:line="154" w:lineRule="exact"/>
        <w:rPr>
          <w:sz w:val="20"/>
          <w:szCs w:val="20"/>
          <w:color w:val="auto"/>
        </w:rPr>
      </w:pPr>
    </w:p>
    <w:p>
      <w:pPr>
        <w:ind w:left="640" w:right="480" w:hanging="318"/>
        <w:spacing w:after="0" w:line="259"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Andrea Pfeifer, Ph.D., Co-Founder, Chief Executive Officer and Director: </w:t>
      </w:r>
      <w:r>
        <w:rPr>
          <w:rFonts w:ascii="Times New Roman" w:cs="Times New Roman" w:eastAsia="Times New Roman" w:hAnsi="Times New Roman"/>
          <w:sz w:val="18"/>
          <w:szCs w:val="18"/>
          <w:color w:val="auto"/>
        </w:rPr>
        <w:t>Dr. Pfeifer co-founded AC Immune in April 2003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Director on our Board since our IPO in 2016. Prior to this she was head of Nestlé’s Global Research and also co-founded the Nestlé Venture Capital Fund. Dr. Pfeifer currently serves s as Chairwoman of Investment Fund BioMedInvest, Basel and AB2 Bio SA, Lausanne and is a member of the Supervisory Board of Symrise AG, Holzminden. She is a member of the CEOi Initiative on AD and has qualified as Privat Dozent at UNIL and has been conferred with the title of Honorary Professor at EPFL.</w:t>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783" w:right="459" w:bottom="1440" w:gutter="0" w:footer="0" w:header="0"/>
        </w:sectPr>
      </w:pPr>
    </w:p>
    <w:bookmarkStart w:id="12" w:name="page13"/>
    <w:bookmarkEnd w:id="12"/>
    <w:p>
      <w:pPr>
        <w:ind w:left="640" w:right="280" w:hanging="318"/>
        <w:spacing w:after="0" w:line="26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656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t xml:space="preserve">Joerg Hornstein, Chief Financial Officer: </w:t>
      </w:r>
      <w:r>
        <w:rPr>
          <w:rFonts w:ascii="Times New Roman" w:cs="Times New Roman" w:eastAsia="Times New Roman" w:hAnsi="Times New Roman"/>
          <w:sz w:val="18"/>
          <w:szCs w:val="18"/>
          <w:color w:val="auto"/>
        </w:rPr>
        <w:t>Mr. Hornstein has served as our CFO since April 2017. Prior to this he served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Group Controlling for Unternehmensgruppe Theo Müller and also has experience with Merck KGaA. He has also held CFO roles with Merck’s operations in Indonesia, and Merck Serono’s operations in China and Merck Millipore in the US.</w:t>
      </w:r>
    </w:p>
    <w:p>
      <w:pPr>
        <w:spacing w:after="0" w:line="170" w:lineRule="exact"/>
        <w:rPr>
          <w:rFonts w:ascii="Times New Roman" w:cs="Times New Roman" w:eastAsia="Times New Roman" w:hAnsi="Times New Roman"/>
          <w:sz w:val="18"/>
          <w:szCs w:val="18"/>
          <w:color w:val="auto"/>
        </w:rPr>
      </w:pPr>
    </w:p>
    <w:p>
      <w:pPr>
        <w:ind w:left="640" w:right="260" w:hanging="318"/>
        <w:spacing w:after="0" w:line="26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Marie Kosco-Vilbois, Ph.D., Chief Scientific Officer: </w:t>
      </w:r>
      <w:r>
        <w:rPr>
          <w:rFonts w:ascii="Times New Roman" w:cs="Times New Roman" w:eastAsia="Times New Roman" w:hAnsi="Times New Roman"/>
          <w:sz w:val="18"/>
          <w:szCs w:val="18"/>
          <w:color w:val="auto"/>
        </w:rPr>
        <w:t>Dr. Kosco-Vilbois has extensive experience in the biopharmaceutical industry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CSO with Novimmune from 2005 prior to joining AC Immune. She worked in senior positions for the Serono Pharmaceutical Research Institute and the Glaxo Wellcome Research Institute in Geneva. Dr. Kosco-Vilbois has taken numerous biologicals from discovery into clinical development, most notably filing market applications of a biological for an Orphan indication.</w:t>
      </w:r>
    </w:p>
    <w:p>
      <w:pPr>
        <w:spacing w:after="0" w:line="176" w:lineRule="exact"/>
        <w:rPr>
          <w:rFonts w:ascii="Times New Roman" w:cs="Times New Roman" w:eastAsia="Times New Roman" w:hAnsi="Times New Roman"/>
          <w:sz w:val="18"/>
          <w:szCs w:val="18"/>
          <w:color w:val="auto"/>
        </w:rPr>
      </w:pPr>
    </w:p>
    <w:p>
      <w:pPr>
        <w:ind w:left="640" w:right="340" w:hanging="318"/>
        <w:spacing w:after="0" w:line="26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Piergiorgio Donati, Chief Technical Operations Officer: </w:t>
      </w:r>
      <w:r>
        <w:rPr>
          <w:rFonts w:ascii="Times New Roman" w:cs="Times New Roman" w:eastAsia="Times New Roman" w:hAnsi="Times New Roman"/>
          <w:sz w:val="18"/>
          <w:szCs w:val="18"/>
          <w:color w:val="auto"/>
        </w:rPr>
        <w:t>Mr. Donati rejoined AC Immune in June 2018 having previously been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from 2011–2015 as Head of Manufacturing and Project Management. Previously, he has held positions with Glenmark Pharmaceuticals as Head of CMC program development, Merck KGaA, Abiogen, Merck Group and Serono, providing him with relevant experience across a range of biotech companies.</w:t>
      </w:r>
    </w:p>
    <w:p>
      <w:pPr>
        <w:spacing w:after="0" w:line="176" w:lineRule="exact"/>
        <w:rPr>
          <w:rFonts w:ascii="Times New Roman" w:cs="Times New Roman" w:eastAsia="Times New Roman" w:hAnsi="Times New Roman"/>
          <w:sz w:val="18"/>
          <w:szCs w:val="18"/>
          <w:color w:val="auto"/>
        </w:rPr>
      </w:pPr>
    </w:p>
    <w:p>
      <w:pPr>
        <w:ind w:left="640" w:right="40" w:hanging="318"/>
        <w:spacing w:after="0" w:line="26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Jean-Fabien Monin, Chief Administrative Officer: </w:t>
      </w:r>
      <w:r>
        <w:rPr>
          <w:rFonts w:ascii="Times New Roman" w:cs="Times New Roman" w:eastAsia="Times New Roman" w:hAnsi="Times New Roman"/>
          <w:sz w:val="18"/>
          <w:szCs w:val="18"/>
          <w:color w:val="auto"/>
        </w:rPr>
        <w:t>Mr. Monin was appointed CAO in July 2015 following a period as CFO for AC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 from 2009. Prior to joining AC Immune SA, he held the position of CFO at bioMérieux, a leading international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group, based in Vienna. Mr. Monin has been a major contributor in the administration evolution of our Company.</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Management Team is supported by world renowned experts that sit on the Clinical Advisory Board. Together, these acclaimed leaders help ensure the Company maintains its leadership position in the field of Neurodegenerative Diseases. Members of this Advisory Board include:</w:t>
      </w:r>
    </w:p>
    <w:p>
      <w:pPr>
        <w:spacing w:after="0" w:line="162" w:lineRule="exact"/>
        <w:rPr>
          <w:sz w:val="20"/>
          <w:szCs w:val="20"/>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Andreas U. Monsch, Ph.D. (Chairman), Head, Memory Clinic, University Department of Geriatric Medicine FELIX PLATTER;</w:t>
      </w:r>
    </w:p>
    <w:p>
      <w:pPr>
        <w:spacing w:after="0" w:line="225"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Pierre N. Tariot, MD, Director of Banner Alzheimer’s Institute and Research Professor;</w:t>
      </w:r>
    </w:p>
    <w:p>
      <w:pPr>
        <w:spacing w:after="0" w:line="225"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Murat Emre, MD, Professor of Practice and Expert in Neurodegenerative Diseases;</w:t>
      </w:r>
    </w:p>
    <w:p>
      <w:pPr>
        <w:spacing w:after="0" w:line="225"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Fortea, MD, Ph.D., Director of the Alzheimer Down Unit and Leader of the Down Alzheimer Barcelona Imaging Initiative;</w:t>
      </w:r>
    </w:p>
    <w:p>
      <w:pPr>
        <w:spacing w:after="0" w:line="225"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Reisa Sperling, MD, Director of the Center for Alzheimer Research and Treatment and Professor in Neurology; and</w:t>
      </w:r>
    </w:p>
    <w:p>
      <w:pPr>
        <w:spacing w:after="0" w:line="225"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 S. Schneider, MD, MS Director of the USC State of California Alzheimer’s Disease Center</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domicile and registered office is in Ecublens, at EPFL Innovation Park Building B, 1015 Lausanne, Vaud, Switzerland, our general telephone number is +41 21 345 91 21 and our internet address is www.acimmune.com. The information contained on our website is not a part of this prospectus supplement.</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Section 404 of the Sarbanes-Oxley Act of 2002.</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779" w:right="499" w:bottom="1440" w:gutter="0" w:footer="0" w:header="0"/>
        </w:sectPr>
      </w:pPr>
    </w:p>
    <w:bookmarkStart w:id="13" w:name="page14"/>
    <w:bookmarkEnd w:id="13"/>
    <w:p>
      <w:pPr>
        <w:ind w:firstLine="648"/>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6407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our initial public offering (2016). We may choose to take advantage of some but not all of these reduced burdens. For example, Section 107 of the JOBS Act provides that an emerging growth company can use the extended transition period provided in Section 7(a)</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(2)(B) of the Securities Act for complying with new or revised accounting standards. However, given that we currently report and expect to continue to report under IFRS, we have irrevocably elected not to avail ourselves of this extended transition period and, as a result, we will adopt new or revised accounting standards on the relevant dates on which adoption of such standards is required by the IASB.</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Furthermore, in March 2020, the SEC approved amendments to exempt companies with less than $100 million of revenue and less than $700 million of public float from the requirements of Section 404(b). These amendments provide that such companies are no longer required to obtain an attestation of their internal controls over financial reporting from an independent outside auditor, even if such companies are no longer “emerging growth companies.”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as long as we remain an “emerging growth company” and are exempt per the above-described SEC amendments, we may not be able to detect problems that an independent assessment of the effectiveness of our internal controls could. Undetected material weaknesses in our internal controls could lead to financial statement restatements and require us to incur the expense of remediation.</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We are also considered a “foreign private issuer.” Accordingly, we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12" w:lineRule="exact"/>
        <w:rPr>
          <w:sz w:val="20"/>
          <w:szCs w:val="20"/>
          <w:color w:val="auto"/>
        </w:rPr>
      </w:pPr>
    </w:p>
    <w:p>
      <w:pPr>
        <w:ind w:left="860" w:right="180" w:hanging="403"/>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296" w:lineRule="exact"/>
        <w:rPr>
          <w:rFonts w:ascii="Times New Roman" w:cs="Times New Roman" w:eastAsia="Times New Roman" w:hAnsi="Times New Roman"/>
          <w:sz w:val="18"/>
          <w:szCs w:val="18"/>
          <w:color w:val="auto"/>
        </w:rPr>
      </w:pPr>
    </w:p>
    <w:p>
      <w:pPr>
        <w:ind w:left="860" w:right="340" w:hanging="403"/>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96" w:lineRule="exact"/>
        <w:rPr>
          <w:rFonts w:ascii="Times New Roman" w:cs="Times New Roman" w:eastAsia="Times New Roman" w:hAnsi="Times New Roman"/>
          <w:sz w:val="18"/>
          <w:szCs w:val="18"/>
          <w:color w:val="auto"/>
        </w:rPr>
      </w:pPr>
    </w:p>
    <w:p>
      <w:pPr>
        <w:ind w:left="860" w:right="80" w:hanging="403"/>
        <w:spacing w:after="0" w:line="266"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257"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420" w:top="783" w:right="57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36130" cy="4573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4573270"/>
                    </a:xfrm>
                    <a:prstGeom prst="rect">
                      <a:avLst/>
                    </a:prstGeom>
                    <a:noFill/>
                  </pic:spPr>
                </pic:pic>
              </a:graphicData>
            </a:graphic>
          </wp:anchor>
        </w:drawing>
        <w:t>THE OFFERING</w:t>
      </w:r>
    </w:p>
    <w:p>
      <w:pPr>
        <w:spacing w:after="0" w:line="227" w:lineRule="exact"/>
        <w:rPr>
          <w:sz w:val="20"/>
          <w:szCs w:val="20"/>
          <w:color w:val="auto"/>
        </w:rPr>
      </w:pPr>
    </w:p>
    <w:p>
      <w:pPr>
        <w:ind w:left="80" w:right="360" w:firstLine="39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ectPr>
          <w:pgSz w:w="11900" w:h="16838" w:orient="portrait"/>
          <w:cols w:equalWidth="0" w:num="1">
            <w:col w:w="10940"/>
          </w:cols>
          <w:pgMar w:left="440" w:top="779" w:right="51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shares having an aggregate offering price of up to $80,000,000.</w:t>
      </w:r>
    </w:p>
    <w:p>
      <w:pPr>
        <w:spacing w:after="0" w:line="71" w:lineRule="exact"/>
        <w:rPr>
          <w:sz w:val="20"/>
          <w:szCs w:val="20"/>
          <w:color w:val="auto"/>
        </w:rPr>
      </w:pPr>
    </w:p>
    <w:p>
      <w:pPr>
        <w:sectPr>
          <w:pgSz w:w="11900" w:h="16838" w:orient="portrait"/>
          <w:cols w:equalWidth="0" w:num="2">
            <w:col w:w="3920" w:space="720"/>
            <w:col w:w="6300"/>
          </w:cols>
          <w:pgMar w:left="440" w:top="779"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Common shares to be outstanding following the offering</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Up to 82,715,221 shares, assuming sales of 10,973,936 shares of our common shares in this offering at an assumed price of $7.29 per share, which was the last reported sale price of our common shares on The Nasdaq Global Market on September 4, 2020. The actual number of shares issued will vary depending on the sales price under this offering.</w:t>
      </w:r>
    </w:p>
    <w:p>
      <w:pPr>
        <w:spacing w:after="0" w:line="17" w:lineRule="exact"/>
        <w:rPr>
          <w:sz w:val="20"/>
          <w:szCs w:val="20"/>
          <w:color w:val="auto"/>
        </w:rPr>
      </w:pPr>
    </w:p>
    <w:p>
      <w:pPr>
        <w:sectPr>
          <w:pgSz w:w="11900" w:h="16838" w:orient="portrait"/>
          <w:cols w:equalWidth="0" w:num="2">
            <w:col w:w="4320" w:space="320"/>
            <w:col w:w="6300"/>
          </w:cols>
          <w:pgMar w:left="440" w:top="779"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strategically invest in research and clinical development of current and/or additional pipeline candidates, our technology platforms, working capital, capital expenditures and general corporate purposes. See “Use of Proceeds.”</w:t>
      </w:r>
    </w:p>
    <w:p>
      <w:pPr>
        <w:spacing w:after="0" w:line="14" w:lineRule="exact"/>
        <w:rPr>
          <w:sz w:val="20"/>
          <w:szCs w:val="20"/>
          <w:color w:val="auto"/>
        </w:rPr>
      </w:pPr>
    </w:p>
    <w:p>
      <w:pPr>
        <w:sectPr>
          <w:pgSz w:w="11900" w:h="16838" w:orient="portrait"/>
          <w:cols w:equalWidth="0" w:num="2">
            <w:col w:w="3920" w:space="720"/>
            <w:col w:w="6300"/>
          </w:cols>
          <w:pgMar w:left="440" w:top="779"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Jefferies. See “Plan of Distribution.”</w:t>
      </w:r>
    </w:p>
    <w:p>
      <w:pPr>
        <w:spacing w:after="0" w:line="1" w:lineRule="exact"/>
        <w:rPr>
          <w:sz w:val="20"/>
          <w:szCs w:val="20"/>
          <w:color w:val="auto"/>
        </w:rPr>
      </w:pPr>
    </w:p>
    <w:p>
      <w:pPr>
        <w:sectPr>
          <w:pgSz w:w="11900" w:h="16838" w:orient="portrait"/>
          <w:cols w:equalWidth="0" w:num="2">
            <w:col w:w="3920" w:space="720"/>
            <w:col w:w="6300"/>
          </w:cols>
          <w:pgMar w:left="440" w:top="779"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200"/>
        <w:spacing w:after="0" w:line="279"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for a discussion of factors to consider carefully before deciding to purchase our securities.</w:t>
      </w:r>
    </w:p>
    <w:p>
      <w:pPr>
        <w:spacing w:after="0" w:line="1" w:lineRule="exact"/>
        <w:rPr>
          <w:sz w:val="20"/>
          <w:szCs w:val="20"/>
          <w:color w:val="auto"/>
        </w:rPr>
      </w:pPr>
    </w:p>
    <w:p>
      <w:pPr>
        <w:sectPr>
          <w:pgSz w:w="11900" w:h="16838" w:orient="portrait"/>
          <w:cols w:equalWidth="0" w:num="2">
            <w:col w:w="3920" w:space="720"/>
            <w:col w:w="6300"/>
          </w:cols>
          <w:pgMar w:left="440" w:top="779"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“ACIU”</w:t>
      </w:r>
    </w:p>
    <w:p>
      <w:pPr>
        <w:spacing w:after="0" w:line="200" w:lineRule="exact"/>
        <w:rPr>
          <w:sz w:val="20"/>
          <w:szCs w:val="20"/>
          <w:color w:val="auto"/>
        </w:rPr>
      </w:pPr>
    </w:p>
    <w:p>
      <w:pPr>
        <w:sectPr>
          <w:pgSz w:w="11900" w:h="16838" w:orient="portrait"/>
          <w:cols w:equalWidth="0" w:num="2">
            <w:col w:w="3920" w:space="720"/>
            <w:col w:w="6300"/>
          </w:cols>
          <w:pgMar w:left="440" w:top="779" w:right="519" w:bottom="1440" w:gutter="0" w:footer="0" w:header="0"/>
          <w:type w:val="continuous"/>
        </w:sectPr>
      </w:pPr>
    </w:p>
    <w:p>
      <w:pPr>
        <w:spacing w:after="0" w:line="52" w:lineRule="exact"/>
        <w:rPr>
          <w:sz w:val="20"/>
          <w:szCs w:val="20"/>
          <w:color w:val="auto"/>
        </w:rPr>
      </w:pPr>
    </w:p>
    <w:p>
      <w:pPr>
        <w:ind w:left="60" w:right="20" w:firstLine="416"/>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supplement, our issued share capital registered in the commercial register of the Canton of Vaud is CHF 1,434,825.70, consisting of 71,741,285 common shares with a nominal value of CHF 0.02 each. The number of our common shares to be outstanding immediately after this offering is based on 71,741,285 common shares outstanding as of June 30, 2020, but excludes 2,947,823 of our common shares issuable upon the exercise of options, non-vested restricted shares and non-vested restricted share units outstanding under our existing equity incentive plans at a weighted-average exercise price of $6.67 per common share. The common shares subject to this offering will be issued out of our existing authorized capital, and the subscription rights of our existing shareholders will be excluded.</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40" w:top="779" w:right="519" w:bottom="1440" w:gutter="0" w:footer="0" w:header="0"/>
          <w:type w:val="continuous"/>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83"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2019, and our other filings with the Securities and Exchange Commission that are also incorporated by reference into this prospectus supplement.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net proceeds from this offering to strategically invest in research and clinical development of current and/or additional pipeline candidates, our technology platforms, working capital, capital expenditures and general corporate purposes. However, we have not determined the specific allocation of the net proceeds among these potential uses. Our management will have broad discretion over the use and investment of the net proceeds from this offering, and, accordingly, investors in this offering will need to rely upon the judgment of our management with respect to the use of proceeds, with only limited information concerning our specific intentions. These proceeds could be applied in ways that do not improve our operating results or increase the value of your investment.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shares you purchase in the offering.</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 addition, we may issue additional equity or convertible debt securities in the future, which may result in additional dilution to you.</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pro forma net tangible book value per share of our common shares outstanding as of June 30, 2020. Assuming that an aggregate of 10,973,936 common shares are sold at an assumed price of $7.29 per share, which was the last reported sale price of our common shares on The Nasdaq Global Market on September 4, 2020, for aggregate gross proceeds of approximately $80,000,000, and after deducting commissions and estimated aggregate offering expenses payable by us, you would experience immediate dilution of $3.16 per share, representing the difference between our pro forma as adjusted net tangible book value per share as of June 30, 2020 after giving effect to this offering and the assumed offering price. The exercise of outstanding stock options could result in further dilution of your investment. See the section titled “Dilution” below for a more detailed illustration of the dilution you may incur if you participate in this offering. In addition, to the extent we need to raise additional capital in the future and we issue additional common shares or securities convertible or exchangeable for our common shares, our then existing stockholders may experience dilution and the new securities may have rights senior to those of our common shares offered in this offering.</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Sales of our common shares in this offering, or the perception that such sales may occur, could cause the market price of our common shares to fall.</w:t>
      </w:r>
    </w:p>
    <w:p>
      <w:pPr>
        <w:spacing w:after="0" w:line="22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We may issue and sell our common shares for aggregate gross proceeds of up to $80,000,000 from time to time in connection with this offering. The actual number of common shares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shares and other factors) and our determinations as to the appropriate timing, sources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amounts of funding we need. The issuance and sale from time to time of these new common shares, or the mere fact that we are able to issue and sell these shares in this offering, could cause the market price of our common shares to decline.</w:t>
      </w:r>
    </w:p>
    <w:p>
      <w:pPr>
        <w:spacing w:after="0" w:line="158"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common shares we will sell under the Sales Agreement, or the gross proceeds resulting from those sales.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Jefferies at any time throughout the term of the Sales Agreement. The number of shares that are sold through Jefferies after delivering a placement notice will fluctuate based on a number of factors, including the market price of our shares during the sales period, the limits we set with Jefferies in any applicable placement notice, and the demand for our shares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17" w:name="page18"/>
    <w:bookmarkEnd w:id="1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issue and sell our common shares having aggregate sales proceeds of up to $80,000,000 from time to time. Because there is no minimum offering amount required as a condition to close this offering, the actual total public offering amount, commissions and proceeds to us, if any, are not determinable at this time.</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currently intend to use net proceeds from this offering to strategically invest in research and clinical development of current and/or additional pipeline candidates, our technology platforms, working capital, capital expenditures and general corporate purposes.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468" w:right="51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6"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Times New Roman" w:cs="Times New Roman" w:eastAsia="Times New Roman" w:hAnsi="Times New Roman"/>
          <w:sz w:val="18"/>
          <w:szCs w:val="18"/>
          <w:i w:val="1"/>
          <w:iCs w:val="1"/>
          <w:color w:val="auto"/>
        </w:rPr>
        <w:t>report des bénéfices</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 nominal share capital, which is the aggregate nominal value of a corporation’s issued shares, may be made only by way of a share capital reduction.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60" w:firstLine="415"/>
        <w:spacing w:after="0" w:line="282" w:lineRule="auto"/>
        <w:rPr>
          <w:sz w:val="20"/>
          <w:szCs w:val="20"/>
          <w:color w:val="auto"/>
        </w:rPr>
      </w:pPr>
      <w:r>
        <w:rPr>
          <w:rFonts w:ascii="Times New Roman" w:cs="Times New Roman" w:eastAsia="Times New Roman" w:hAnsi="Times New Roman"/>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62" w:lineRule="exact"/>
        <w:rPr>
          <w:sz w:val="20"/>
          <w:szCs w:val="20"/>
          <w:color w:val="auto"/>
        </w:rPr>
      </w:pPr>
    </w:p>
    <w:p>
      <w:pPr>
        <w:jc w:val="both"/>
        <w:ind w:right="160" w:firstLine="416"/>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June 30, 2020 was $265 million (CHF 250.9 million), or $3.69 per common share (CHF 3.50 per common share), based on 71,741,285 common shares then outstanding. Net tangible book value per share represents the amount of our total assets less our total liabilities, excluding intangible assets, divided by 71,741,285 the total number of our common shares issued and outstanding at June 30, 2020.</w:t>
      </w:r>
    </w:p>
    <w:p>
      <w:pPr>
        <w:spacing w:after="0" w:line="17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After giving effect to the assumed sale by us of our common shares in the aggregate amount of $80 million at an assumed public offering price of $7.29 per share (the last sale price of our common shares on September 4, 2020 as reported on Nasdaq), less the estimated commissions and estimated offering expenses payable by us, our net tangible book value at June 30, 2020 would have been $341.5 million, or $4.13 per common share. This represents an immediate increase in net tangible book value of $0.44 per share to existing shareholders and an immediate dilution of $3.16 per share to investors in this offering. The following table illustrates this per share dilution: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r>
      <w:tr>
        <w:trPr>
          <w:trHeight w:val="21"/>
        </w:trPr>
        <w:tc>
          <w:tcPr>
            <w:tcW w:w="9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D5EAEA"/>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3.69</w:t>
            </w: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Increase per share attributable to new investors purchasing shares in this offering</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shd w:val="clear" w:color="auto" w:fill="D5EAEA"/>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r>
      <w:tr>
        <w:trPr>
          <w:trHeight w:val="216"/>
        </w:trPr>
        <w:tc>
          <w:tcPr>
            <w:tcW w:w="92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shd w:val="clear" w:color="auto" w:fill="D5EAEA"/>
          </w:tcPr>
          <w:p>
            <w:pPr>
              <w:spacing w:after="0"/>
              <w:rPr>
                <w:sz w:val="18"/>
                <w:szCs w:val="18"/>
                <w:color w:val="auto"/>
              </w:rPr>
            </w:pPr>
          </w:p>
        </w:tc>
      </w:t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dilution in net tangible book value per common share for new investors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4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r>
    </w:tbl>
    <w:p>
      <w:pPr>
        <w:spacing w:after="0" w:line="206"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Swiss Franc amounts have been translated into US dollars at a rate of CHF 0.9467 to USD 1.00, the official exchange rate quoted as of June 30, 2020 by the US Federal Reserve Bank. Such US dollar amounts are not necessarily indicative of the amounts of US dollars that could actually have been purchased upon exchange of Swiss Francs on June 30, 2020 and have been provided solely for the convenience of the reader.</w:t>
      </w:r>
    </w:p>
    <w:p>
      <w:pPr>
        <w:spacing w:after="0" w:line="176"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The calculations above are based on 71,741,285 common shares outstanding as of June 30, 2020, but exclude 2,947,823 of our common shares issuable upon the exercise of options and non-vested restricted share units outstanding under our existing equity incentive plans at a weighted-average exercise price of $6.67 per common share.</w:t>
      </w:r>
    </w:p>
    <w:p>
      <w:pPr>
        <w:spacing w:after="0" w:line="176" w:lineRule="exact"/>
        <w:rPr>
          <w:sz w:val="20"/>
          <w:szCs w:val="20"/>
          <w:color w:val="auto"/>
        </w:rPr>
      </w:pPr>
    </w:p>
    <w:p>
      <w:pPr>
        <w:jc w:val="both"/>
        <w:ind w:right="40" w:firstLine="416"/>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the principal Swiss tax consequences of the acquisition, ownership and disposition of Offered Shares, but it does not purport to be a comprehensive description of all of the Swiss tax considerations that may be relevant to a decision to purchase, own or dispose of Offered Shares. In particular, the summary does not take into account the specific circumstances of any particular investor.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i w:val="1"/>
          <w:iCs w:val="1"/>
          <w:color w:val="auto"/>
        </w:rPr>
        <w:t>Investors are urged to consult their own tax advisors regarding the Swiss tax consequences of acquiring, owning and disposing of Offered Shares or the receipt of dividends or distributions, if any, on Offered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respect of Offered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Swiss federal withholding tax on dividends and similar distributions on the Offered Shares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dividends and similar cash or in-kind distributions on Offered Shares other than a distribution out of capital contribution reserves (</w:t>
      </w:r>
      <w:r>
        <w:rPr>
          <w:rFonts w:ascii="Times New Roman" w:cs="Times New Roman" w:eastAsia="Times New Roman" w:hAnsi="Times New Roman"/>
          <w:sz w:val="18"/>
          <w:szCs w:val="18"/>
          <w:i w:val="1"/>
          <w:iCs w:val="1"/>
          <w:color w:val="auto"/>
        </w:rPr>
        <w:t>apports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or made or paid by the Company based upon a reduction of nominal share capital, including the distributions of any liquidation proceeds in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nominal share capital and capital contribution reserves, will be subject to Swiss federal withholding tax (</w:t>
      </w:r>
      <w:r>
        <w:rPr>
          <w:rFonts w:ascii="Times New Roman" w:cs="Times New Roman" w:eastAsia="Times New Roman" w:hAnsi="Times New Roman"/>
          <w:sz w:val="18"/>
          <w:szCs w:val="18"/>
          <w:i w:val="1"/>
          <w:iCs w:val="1"/>
          <w:color w:val="auto"/>
        </w:rPr>
        <w:t>impôt anticipé</w:t>
      </w:r>
      <w:r>
        <w:rPr>
          <w:rFonts w:ascii="Times New Roman" w:cs="Times New Roman" w:eastAsia="Times New Roman" w:hAnsi="Times New Roman"/>
          <w:sz w:val="18"/>
          <w:szCs w:val="18"/>
          <w:color w:val="auto"/>
        </w:rPr>
        <w:t>) imposed on the gross amount of the taxable distribution at the then prevailing rate (currently 35% of the gross amount of the taxable distribution). The Swiss federal withholding tax must be withheld by the Company on the gross amount of the dividend or distribution and be remitted to the Swiss Federal Tax Administration.</w:t>
      </w:r>
    </w:p>
    <w:p>
      <w:pPr>
        <w:spacing w:after="0" w:line="18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It is generally at the discretion of the Company to decide whether to distribute a dividend or similar distribution or repurchase the Offered Shares out of capital contribution reserves and/or out of profit/retained earnings/reserves other than capital contribution reserves subject to Swiss federal withholding tax.</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Refund to Swiss-resident recipients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 and if there is no tax avoidance.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 In General</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Swiss federal 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Swiss federal withholding tax.</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1" w:name="page22"/>
    <w:bookmarkEnd w:id="21"/>
    <w:p>
      <w:pPr>
        <w:ind w:left="900"/>
        <w:spacing w:after="0"/>
        <w:rPr>
          <w:sz w:val="20"/>
          <w:szCs w:val="20"/>
          <w:color w:val="auto"/>
        </w:rPr>
      </w:pPr>
      <w:r>
        <w:rPr>
          <w:rFonts w:ascii="Times New Roman" w:cs="Times New Roman" w:eastAsia="Times New Roman" w:hAnsi="Times New Roman"/>
          <w:sz w:val="18"/>
          <w:szCs w:val="18"/>
          <w:i w:val="1"/>
          <w:iCs w:val="1"/>
          <w:color w:val="auto"/>
        </w:rPr>
        <w:t>(b) Residents of the US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if the holder is a qualified US pension fund, apply for a full refund of the Swiss federal withholding tax, if the holder is a corporation owning at least 10% of the voting rights of the Company, apply for a refund of the Swiss federal withholding tax withheld in excess of the 5% reduced treaty rate and in all other cases apply for a refund of the Swiss federal withholding tax withheld in excess of the 15% treaty rate.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 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income taxes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by holders resident outside of Switzerland and with no trade or business in Switzerland</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Holders of Offered Shares who are not resident in Switzerland for tax purposes, and who, during the respective taxation year, have not engaged in a trade or business carried on through a permanent establishment or a fixed place of business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above for a summary on the Swiss withholding tax treatment of dividends and distributions on Offered Shares. Refer to “</w:t>
      </w:r>
      <w:r>
        <w:rPr>
          <w:rFonts w:ascii="Times New Roman" w:cs="Times New Roman" w:eastAsia="Times New Roman" w:hAnsi="Times New Roman"/>
          <w:sz w:val="18"/>
          <w:szCs w:val="18"/>
          <w:i w:val="1"/>
          <w:iCs w:val="1"/>
          <w:color w:val="auto"/>
        </w:rPr>
        <w:t>―International Automatic Exchange of Information</w:t>
      </w:r>
      <w:r>
        <w:rPr>
          <w:rFonts w:ascii="Times New Roman" w:cs="Times New Roman" w:eastAsia="Times New Roman" w:hAnsi="Times New Roman"/>
          <w:sz w:val="18"/>
          <w:szCs w:val="18"/>
          <w:color w:val="auto"/>
        </w:rPr>
        <w:t>” below for a summary on the international exchange of information in tax matters by Switzerland in respect of Offered Shares held in accounts or deposits with a paying agent in Switzerland. Refer to “</w:t>
      </w:r>
      <w:r>
        <w:rPr>
          <w:rFonts w:ascii="Times New Roman" w:cs="Times New Roman" w:eastAsia="Times New Roman" w:hAnsi="Times New Roman"/>
          <w:sz w:val="18"/>
          <w:szCs w:val="18"/>
          <w:i w:val="1"/>
          <w:iCs w:val="1"/>
          <w:color w:val="auto"/>
        </w:rPr>
        <w:t>―Swiss Facilitation of the Implementation of the US Foreign Account Tax Compliance Act</w:t>
      </w:r>
      <w:r>
        <w:rPr>
          <w:rFonts w:ascii="Times New Roman" w:cs="Times New Roman" w:eastAsia="Times New Roman" w:hAnsi="Times New Roman"/>
          <w:sz w:val="18"/>
          <w:szCs w:val="18"/>
          <w:color w:val="auto"/>
        </w:rPr>
        <w:t>” below for a summary on the implementation of FATCA by Switzerland.</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by Swiss resident individuals as private investments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Dividends and other distributions (including stock dividends and liquidation proceeds), if any, on Offered Shares, made or paid by the Company out of capital contribution reserves (apports de capital) and distributions made or paid by the Company on Offered Shares based upon a capital reduction (reduction de la valeur nominale), if any, are exempt from Swiss federal, cantonal and communal income taxes for holders of Offered Shares who are individuals resident in Switzerland for tax purposes and who hold the Offered Shares as private capital investments. Other dividends and distributions, if any, on Offered Shares will be subject to Swiss federal, cantonal or communal income taxes for such holders.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capital gain realized by an individual resident in Switzerland on the sale of Offered Shares held by her or him as private capital investments classifies typically as tax-exempt private capital gain and, conversely, a capital loss as non-tax deductible private capital loss for purposes of Swiss federal, cantonal and communal income taxes.</w:t>
      </w:r>
    </w:p>
    <w:p>
      <w:pPr>
        <w:spacing w:after="0" w:line="1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with respect to the Company's discretion to make distributions out of capital contribution reserves.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0" w:right="39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—Offered Shares held as assets of a Swiss business</w:t>
      </w:r>
      <w:r>
        <w:rPr>
          <w:rFonts w:ascii="Times New Roman" w:cs="Times New Roman" w:eastAsia="Times New Roman" w:hAnsi="Times New Roman"/>
          <w:sz w:val="18"/>
          <w:szCs w:val="18"/>
          <w:color w:val="auto"/>
        </w:rPr>
        <w:t>” for information on the taxation of individuals classified as “professional securities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Offered Shares held as assets of a Swiss business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(réductions pour participations) in respect of dividends and distributions, if any, on Offered Shares held as part of a Swiss business if the market value of the Offered Shares held by them equals or exceeds CHF 1 million.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issuance stamp tax</w:t>
      </w:r>
    </w:p>
    <w:p>
      <w:pPr>
        <w:spacing w:after="0" w:line="227" w:lineRule="exact"/>
        <w:rPr>
          <w:sz w:val="20"/>
          <w:szCs w:val="20"/>
          <w:color w:val="auto"/>
        </w:rPr>
      </w:pPr>
    </w:p>
    <w:p>
      <w:pPr>
        <w:ind w:right="760" w:firstLine="321"/>
        <w:spacing w:after="0" w:line="284" w:lineRule="auto"/>
        <w:rPr>
          <w:sz w:val="20"/>
          <w:szCs w:val="20"/>
          <w:color w:val="auto"/>
        </w:rPr>
      </w:pPr>
      <w:r>
        <w:rPr>
          <w:rFonts w:ascii="Times New Roman" w:cs="Times New Roman" w:eastAsia="Times New Roman" w:hAnsi="Times New Roman"/>
          <w:sz w:val="18"/>
          <w:szCs w:val="18"/>
          <w:color w:val="auto"/>
        </w:rPr>
        <w:t>The Company will be subject to the Swiss issuance stamp tax (</w:t>
      </w:r>
      <w:r>
        <w:rPr>
          <w:rFonts w:ascii="Times New Roman" w:cs="Times New Roman" w:eastAsia="Times New Roman" w:hAnsi="Times New Roman"/>
          <w:sz w:val="18"/>
          <w:szCs w:val="18"/>
          <w:i w:val="1"/>
          <w:iCs w:val="1"/>
          <w:color w:val="auto"/>
        </w:rPr>
        <w:t>droit de timbre d'émission</w:t>
      </w:r>
      <w:r>
        <w:rPr>
          <w:rFonts w:ascii="Times New Roman" w:cs="Times New Roman" w:eastAsia="Times New Roman" w:hAnsi="Times New Roman"/>
          <w:sz w:val="18"/>
          <w:szCs w:val="18"/>
          <w:color w:val="auto"/>
        </w:rPr>
        <w:t>) on the issuance of the Offered Shares of 1% on the consideration received for the issuance of the Offered Shares, net of certain deductions.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securities turnover tax</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In respect of purchases of Offered Shares in the Offering</w:t>
      </w:r>
    </w:p>
    <w:p>
      <w:pPr>
        <w:spacing w:after="0" w:line="227" w:lineRule="exact"/>
        <w:rPr>
          <w:sz w:val="20"/>
          <w:szCs w:val="20"/>
          <w:color w:val="auto"/>
        </w:rPr>
      </w:pPr>
    </w:p>
    <w:p>
      <w:pPr>
        <w:ind w:right="220" w:firstLine="321"/>
        <w:spacing w:after="0" w:line="282" w:lineRule="auto"/>
        <w:rPr>
          <w:sz w:val="20"/>
          <w:szCs w:val="20"/>
          <w:color w:val="auto"/>
        </w:rPr>
      </w:pPr>
      <w:r>
        <w:rPr>
          <w:rFonts w:ascii="Times New Roman" w:cs="Times New Roman" w:eastAsia="Times New Roman" w:hAnsi="Times New Roman"/>
          <w:sz w:val="18"/>
          <w:szCs w:val="18"/>
          <w:color w:val="auto"/>
        </w:rPr>
        <w:t>The issuance and delivery of the Offered Shares to the initial shareholders at the settlement date is exempt from Swiss federal securities turnover tax (</w:t>
      </w:r>
      <w:r>
        <w:rPr>
          <w:rFonts w:ascii="Times New Roman" w:cs="Times New Roman" w:eastAsia="Times New Roman" w:hAnsi="Times New Roman"/>
          <w:sz w:val="18"/>
          <w:szCs w:val="18"/>
          <w:i w:val="1"/>
          <w:iCs w:val="1"/>
          <w:color w:val="auto"/>
        </w:rPr>
        <w:t>droit de timbre de négotiation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In respect of other transactions in Offered Shares</w:t>
      </w:r>
    </w:p>
    <w:p>
      <w:pPr>
        <w:spacing w:after="0" w:line="227" w:lineRule="exact"/>
        <w:rPr>
          <w:sz w:val="20"/>
          <w:szCs w:val="20"/>
          <w:color w:val="auto"/>
        </w:rPr>
      </w:pPr>
    </w:p>
    <w:p>
      <w:pPr>
        <w:ind w:right="20" w:firstLine="321"/>
        <w:spacing w:after="0" w:line="266" w:lineRule="auto"/>
        <w:rPr>
          <w:sz w:val="20"/>
          <w:szCs w:val="20"/>
          <w:color w:val="auto"/>
        </w:rPr>
      </w:pPr>
      <w:r>
        <w:rPr>
          <w:rFonts w:ascii="Times New Roman" w:cs="Times New Roman" w:eastAsia="Times New Roman" w:hAnsi="Times New Roman"/>
          <w:sz w:val="18"/>
          <w:szCs w:val="18"/>
          <w:color w:val="auto"/>
        </w:rPr>
        <w:t>Any transactions in the Offered Shares after the offering, where a bank or another securities dealer in Switzerland or Liechtenstein, as defined in the Swiss Federal Stamp Tax Act, acts as an intermediary, or is a party, to the transaction, is subject to Swiss federal securities turnover tax at a tax rate of up to 0.15% of the consideration paid for such Offered Shares.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Automatic Exchange of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Switzerland has concluded a multilateral agreement with the EU on the international automatic exchange of information (AEOI) in tax matters. The agreement applies to all 28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US Foreign Account Tax Compliance Act (FATCA) is a unilateral US tax law directed at financial institutions around the world in order to fight tax evasion of US citizens. FATCA requires these financial institutions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to periodically provide the US Internal Revenue Service (IRS) with information regarding the bank accounts of US citizens whether living inside or outside of the US Along with many other countries, Switzerland has concluded a bilateral agreement (IGA) with the US in order to facilitate the implementation of FATCA, which reduces the implementation costs for Swiss financial institutions. Under the US-Switzerland IGA, financial institution acting out of Switzerland generally are directed to become participating foreign financial institutions (FFIs).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(DTA). On 20 September 2019, Switzerland and the US ratified the 2009 protocol (Protocol) amending the DTA. With the subsequent exchange of the ratification instruments, the amended DTA entered into force, and provides for a mechanism for the exchange of information upon request in tax matters between Switzerland and the US, which is in line with international standards, and allows the US to make group requests under FATCA concerning non-consenting US accounts and non-consenting non-participating foreign financial institutions for periods from 30 June 2014.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In the opinion of Davis Polk &amp; Wardwell LLP, the following are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76"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0" w:lineRule="exact"/>
        <w:rPr>
          <w:sz w:val="20"/>
          <w:szCs w:val="20"/>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52"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52" w:lineRule="exact"/>
        <w:rPr>
          <w:rFonts w:ascii="Times New Roman" w:cs="Times New Roman" w:eastAsia="Times New Roman" w:hAnsi="Times New Roman"/>
          <w:sz w:val="18"/>
          <w:szCs w:val="18"/>
          <w:color w:val="auto"/>
        </w:rPr>
      </w:pPr>
    </w:p>
    <w:p>
      <w:pPr>
        <w:ind w:left="1100" w:right="140" w:hanging="323"/>
        <w:spacing w:after="0" w:line="282"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88"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252"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52"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w:t>
      </w:r>
    </w:p>
    <w:p>
      <w:pPr>
        <w:spacing w:after="0" w:line="252"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 or</w:t>
      </w:r>
    </w:p>
    <w:p>
      <w:pPr>
        <w:spacing w:after="0" w:line="252"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in connection with a trade or business conducted outside of the United States.</w:t>
      </w:r>
    </w:p>
    <w:p>
      <w:pPr>
        <w:spacing w:after="0" w:line="252" w:lineRule="exact"/>
        <w:rPr>
          <w:sz w:val="20"/>
          <w:szCs w:val="20"/>
          <w:color w:val="auto"/>
        </w:rPr>
      </w:pPr>
    </w:p>
    <w:p>
      <w:pPr>
        <w:jc w:val="both"/>
        <w:ind w:right="320" w:firstLine="441"/>
        <w:spacing w:after="0" w:line="266"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Switzerland and the United States (the “Treaty”)</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all as of the date hereof, any of which is subject to change or differing interpretations, possibly with retroactive effect.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common shares, who is eligible for the benefits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Treaty and who is:</w:t>
      </w:r>
    </w:p>
    <w:p>
      <w:pPr>
        <w:spacing w:after="0" w:line="207" w:lineRule="exact"/>
        <w:rPr>
          <w:sz w:val="20"/>
          <w:szCs w:val="20"/>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52" w:lineRule="exact"/>
        <w:rPr>
          <w:rFonts w:ascii="Times New Roman" w:cs="Times New Roman" w:eastAsia="Times New Roman" w:hAnsi="Times New Roman"/>
          <w:sz w:val="18"/>
          <w:szCs w:val="18"/>
          <w:color w:val="auto"/>
        </w:rPr>
      </w:pPr>
    </w:p>
    <w:p>
      <w:pPr>
        <w:ind w:left="1100" w:right="40" w:hanging="323"/>
        <w:spacing w:after="0" w:line="282" w:lineRule="auto"/>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88"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52" w:lineRule="exact"/>
        <w:rPr>
          <w:sz w:val="20"/>
          <w:szCs w:val="20"/>
          <w:color w:val="auto"/>
        </w:rPr>
      </w:pPr>
    </w:p>
    <w:p>
      <w:pPr>
        <w:jc w:val="both"/>
        <w:ind w:right="540" w:firstLine="441"/>
        <w:spacing w:after="0" w:line="266"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 including the consequences to them under the passive foreign investment company (“PFIC”) rules discussed below.</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generally be reported to US Holders as dividends. Subject to the discussion below with respect to our PFIC status and the consequences of being a PFIC,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Subject to the passive foreign investment company rules described below, gain or loss realized on the sale or other disposition of common shares will be capital gain or loss, and will be long-term capital gain or loss if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5" w:name="page26"/>
    <w:bookmarkEnd w:id="25"/>
    <w:p>
      <w:pPr>
        <w:spacing w:after="0" w:line="266" w:lineRule="auto"/>
        <w:rPr>
          <w:sz w:val="20"/>
          <w:szCs w:val="20"/>
          <w:color w:val="auto"/>
        </w:rPr>
      </w:pPr>
      <w:r>
        <w:rPr>
          <w:rFonts w:ascii="Times New Roman" w:cs="Times New Roman" w:eastAsia="Times New Roman" w:hAnsi="Times New Roman"/>
          <w:sz w:val="18"/>
          <w:szCs w:val="18"/>
          <w:color w:val="auto"/>
        </w:rPr>
        <w:t>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Although we have not obtained independent valuations of our assets during 2019 and thus are not in a position to make a definitive determination whether we were a PFIC in 2019, based on our income and assets during 2019 and certain estimates and assumptions, including as to both the total value and the relative value of our assets as implied by our market capitalization during 2019, we believe that it is likely that we were a PFIC in 2019. In addition, it is possible that we may also be a PFIC in 2020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Accordingly, there can be no assurance that we will not be a PFIC in 2020 or any future taxable year.</w:t>
      </w:r>
    </w:p>
    <w:p>
      <w:pPr>
        <w:spacing w:after="0" w:line="18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76"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color w:val="auto"/>
        </w:rPr>
        <w:t>If we were a PFIC in any taxable year during which a US Holder held common shares (assuming such US Holder has not made a timely mark-to-market election, as further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92"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87" w:lineRule="exact"/>
        <w:rPr>
          <w:sz w:val="20"/>
          <w:szCs w:val="20"/>
          <w:color w:val="auto"/>
        </w:rPr>
      </w:pPr>
    </w:p>
    <w:p>
      <w:pPr>
        <w:ind w:right="20" w:firstLine="441"/>
        <w:spacing w:after="0" w:line="312" w:lineRule="auto"/>
        <w:rPr>
          <w:sz w:val="20"/>
          <w:szCs w:val="20"/>
          <w:color w:val="auto"/>
        </w:rPr>
      </w:pPr>
      <w:r>
        <w:rPr>
          <w:rFonts w:ascii="Times New Roman" w:cs="Times New Roman" w:eastAsia="Times New Roman" w:hAnsi="Times New Roman"/>
          <w:sz w:val="17"/>
          <w:szCs w:val="17"/>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40"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Holders should consult their tax advisers concerning our potential PFIC status and the potential application of the PFIC rules.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generally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Jefferies, under which we may offer and sell up to $80,000,000 of our common shares from time to time through Jefferies acting as agent. Sales of our common shares, if any, under this prospectus supplement and the accompanying prospectus will be made by any method that is deemed to be an “at the market offering” as defined in Rule 415(a)(4) under the Securities Act.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Each time we wish to issue and sell our common shares under the sales agreement, we will notify Jefferies of the number of shares to be sold,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common shares are subject to a number of conditions that we must meet.</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common shares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equal to 3.0% of the aggregate gross proceeds we receive from each sale of our common shares.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$1,068,000. The remaining sale proceeds, after deducting any other transaction fees, will equal our net proceeds from the sale of such shares.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Global Market on the day following each day on which our common shares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shares on our behalf, Jefferies may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offering of our common shares pursuant to the sales agreement will terminate upon the earlier of (i) the sale of all common shares subject to the sales agreement and (ii) the termination of the sales agreement as permitted therein. We and Jefferies may each terminate the sales agreement at any time upon ten days’ prior notice.</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a current report on Form 8-K filed under the Securities Exchange Act of 1934, as amended, or the Exchange Act, and incorporated by reference in this prospectus supplement.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Jefferies is Jefferies LLC, 520 Madison Avenue, 2nd Floor, New York, NY 10022.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15"/>
        <w:spacing w:after="0" w:line="266" w:lineRule="auto"/>
        <w:rPr>
          <w:sz w:val="20"/>
          <w:szCs w:val="20"/>
          <w:color w:val="auto"/>
        </w:rPr>
      </w:pPr>
      <w:r>
        <w:rPr>
          <w:rFonts w:ascii="Times New Roman" w:cs="Times New Roman" w:eastAsia="Times New Roman" w:hAnsi="Times New Roman"/>
          <w:sz w:val="18"/>
          <w:szCs w:val="18"/>
          <w:color w:val="auto"/>
        </w:rPr>
        <w:t>The validity of the securities and certain other matters of Swiss law will be passed upon for us by Bär &amp; Karrer Ltd. Certain matters of US federal and New York State law will be passed upon for us by Davis Polk &amp; Wardwell LLP, New York, New York, and for Jefferies by Goodwin Procter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as of December 31, 2019 and 2018 and for each of the two years in the period ended December 31, 2019 incorporated in this prospectus supplement by reference to the Annual Report on Form 20-F for the year ended December 31, 2019 have been so incorporated in reliance on the report of PricewaterhouseCoopers SA, an independent registered public accounting firm, given the authority of said firm as experts in auditing and accounting. PricewaterhouseCoopers SA is a member of EXPERTsuisse — Swiss Expert Association for Audit, Tax and Fiduciary.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40" w:firstLine="415"/>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279" w:lineRule="exact"/>
        <w:rPr>
          <w:sz w:val="20"/>
          <w:szCs w:val="20"/>
          <w:color w:val="auto"/>
        </w:rPr>
      </w:pPr>
    </w:p>
    <w:p>
      <w:pPr>
        <w:ind w:left="1300" w:hanging="415"/>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2019 Annual Report on Form 20-F for the fiscal year ended December 31, 2019;</w:t>
      </w:r>
    </w:p>
    <w:p>
      <w:pPr>
        <w:spacing w:after="0" w:line="90" w:lineRule="exact"/>
        <w:rPr>
          <w:rFonts w:ascii="Times New Roman" w:cs="Times New Roman" w:eastAsia="Times New Roman" w:hAnsi="Times New Roman"/>
          <w:sz w:val="18"/>
          <w:szCs w:val="18"/>
          <w:color w:val="auto"/>
        </w:rPr>
      </w:pPr>
    </w:p>
    <w:p>
      <w:pPr>
        <w:ind w:left="1300" w:right="160" w:hanging="415"/>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Forms 6-K filed on March 30, 2020 (only with respect to “Item 1.C—2019 and 2018 Board Compensation” and “Item 2.C—2019 and 2018 Executive Compensation” of Exhibit 99.3), April 2, 2020, May 4, 2020 (only with respect to Exhibits 99.1 and 99.2), May 22, 2020, June 26, 2020, July 16, 2020 and August 5, 2020 (only with respect to Exhibits 99.1 and 99.2); and</w:t>
      </w:r>
    </w:p>
    <w:p>
      <w:pPr>
        <w:spacing w:after="0" w:line="40" w:lineRule="exact"/>
        <w:rPr>
          <w:rFonts w:ascii="Times New Roman" w:cs="Times New Roman" w:eastAsia="Times New Roman" w:hAnsi="Times New Roman"/>
          <w:sz w:val="18"/>
          <w:szCs w:val="18"/>
          <w:color w:val="auto"/>
        </w:rPr>
      </w:pPr>
    </w:p>
    <w:p>
      <w:pPr>
        <w:ind w:left="1300" w:right="240" w:hanging="415"/>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216"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0"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EPFL Innovation Park Building B, 1015 Lausanne, Switzerland or via telephone at +41 21 345 91 21.</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191135</wp:posOffset>
            </wp:positionV>
            <wp:extent cx="1800225" cy="351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2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0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May 22, 2018, the last sale price of our common shares as reported by the NASDAQ Global Market was $10.23 per common share. As of May 22, 2018, the aggregate market value of our outstanding common shares held by non-affiliates was approximately $238,164,456 based on approximately 57,400,565 shares of outstanding common shares, of which approximately 23,280,983 shares were held by non-affiliates. We have not offered any securities pursuant to General Instruction I.B.5 of Form F-3 during the prior 12 calendar month period that ends on, and includes, the date of this prospectus.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w:t>
      </w:r>
    </w:p>
    <w:p>
      <w:pPr>
        <w:spacing w:after="0" w:line="22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1" w:name="page32"/>
    <w:bookmarkEnd w:id="31"/>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80" w:type="dxa"/>
            <w:vAlign w:val="bottom"/>
            <w:gridSpan w:val="3"/>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6540" w:type="dxa"/>
            <w:vAlign w:val="bottom"/>
            <w:gridSpan w:val="2"/>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Enforcement of Judgments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Experts</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3" w:lineRule="exact"/>
        <w:rPr>
          <w:sz w:val="20"/>
          <w:szCs w:val="20"/>
          <w:color w:val="auto"/>
        </w:rPr>
      </w:pPr>
    </w:p>
    <w:p>
      <w:pPr>
        <w:ind w:left="660" w:right="3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Morphomer proprietary technology platform and its success in building additional product candidates for our pipeline;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and applicable foreign regulatory authorities’ acceptance of data from studies we conduct outside the United States in the future;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71"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8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6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28"/>
        </w:trPr>
        <w:tc>
          <w:tcPr>
            <w:tcW w:w="5300" w:type="dxa"/>
            <w:vAlign w:val="bottom"/>
            <w:vMerge w:val="continue"/>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606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40" w:lineRule="exact"/>
        <w:rPr>
          <w:sz w:val="20"/>
          <w:szCs w:val="20"/>
          <w:color w:val="auto"/>
        </w:rPr>
      </w:pPr>
    </w:p>
    <w:p>
      <w:pPr>
        <w:ind w:right="100" w:firstLine="332"/>
        <w:spacing w:after="0" w:line="282" w:lineRule="auto"/>
        <w:tabs>
          <w:tab w:leader="none" w:pos="4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were insufficient to cover fixed charges of CHF 174 thousand and CHF 27 thousand for the years ended December 31, 2017 and 2016, respectively.</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our sale of the securities will be used for general corporate purposes and other business opportunities.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issued share capital is CHF 1,147,253.80, consisting of 57,362,690 common shares.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5" w:lineRule="exact"/>
        <w:rPr>
          <w:sz w:val="20"/>
          <w:szCs w:val="20"/>
          <w:color w:val="auto"/>
        </w:rPr>
      </w:pPr>
    </w:p>
    <w:p>
      <w:pPr>
        <w:ind w:left="18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 Ordinary Capital Increase, Authorized and Conditional Share Capital</w:t>
      </w:r>
    </w:p>
    <w:p>
      <w:pPr>
        <w:spacing w:after="0" w:line="18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74" w:lineRule="exact"/>
        <w:rPr>
          <w:sz w:val="20"/>
          <w:szCs w:val="20"/>
          <w:color w:val="auto"/>
        </w:rPr>
      </w:pPr>
    </w:p>
    <w:p>
      <w:pPr>
        <w:ind w:left="660" w:right="2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79"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Pursuant to the CO, shareholders have pre-emptive subscription rights (</w:t>
      </w:r>
      <w:r>
        <w:rPr>
          <w:rFonts w:ascii="Times New Roman" w:cs="Times New Roman" w:eastAsia="Times New Roman" w:hAnsi="Times New Roman"/>
          <w:sz w:val="18"/>
          <w:szCs w:val="18"/>
          <w:i w:val="1"/>
          <w:iCs w:val="1"/>
          <w:color w:val="auto"/>
        </w:rPr>
        <w:t>droits de souscription</w:t>
      </w:r>
      <w:r>
        <w:rPr>
          <w:rFonts w:ascii="Times New Roman" w:cs="Times New Roman" w:eastAsia="Times New Roman" w:hAnsi="Times New Roman"/>
          <w:sz w:val="18"/>
          <w:szCs w:val="18"/>
          <w:color w:val="auto"/>
        </w:rPr>
        <w:t>) to subscribe for new issuances of shares. With respect to conditional capital in connection with the issuance of conversion rights,</w:t>
      </w: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6" w:name="page37"/>
    <w:bookmarkEnd w:id="36"/>
    <w:p>
      <w:pPr>
        <w:ind w:right="400"/>
        <w:spacing w:after="0" w:line="284" w:lineRule="auto"/>
        <w:rPr>
          <w:sz w:val="20"/>
          <w:szCs w:val="20"/>
          <w:color w:val="auto"/>
        </w:rPr>
      </w:pPr>
      <w:r>
        <w:rPr>
          <w:rFonts w:ascii="Times New Roman" w:cs="Times New Roman" w:eastAsia="Times New Roman" w:hAnsi="Times New Roman"/>
          <w:sz w:val="18"/>
          <w:szCs w:val="18"/>
          <w:color w:val="auto"/>
        </w:rPr>
        <w:t>convertible bonds or similar debt instruments, shareholders have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 for the subscription of conversion rights, convertible bonds or similar debt instruments.</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pre-emptive subscription rights as it elects.</w:t>
      </w:r>
    </w:p>
    <w:p>
      <w:pPr>
        <w:spacing w:after="0" w:line="22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61"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39"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of the CO.</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Article 3a of our articles of association, the authorization granted to our board of directors to increase our nominal share capital has expired.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issuing convertible bonds, the board of directors is authorized to withdraw or to limit the advance subscription right of shareholders to subscribe to the convertible bond issuance:</w:t>
      </w:r>
    </w:p>
    <w:p>
      <w:pPr>
        <w:spacing w:after="0" w:line="162" w:lineRule="exact"/>
        <w:rPr>
          <w:sz w:val="20"/>
          <w:szCs w:val="20"/>
          <w:color w:val="auto"/>
        </w:rPr>
      </w:pPr>
    </w:p>
    <w:p>
      <w:pPr>
        <w:ind w:left="660" w:right="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financing or refinancing the acquisition of enterprises, divisions thereof, or of participations or of newly planned investments of the Company;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occurs in domestic or international capital markets, including private placements.</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advance subscription rights are withdrawn, (i) the convertible bonds are to be issued at market conditions; (ii) the term to exercise the option or conversion rights may not exceed ten years as of the date of</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7" w:name="page38"/>
    <w:bookmarkEnd w:id="37"/>
    <w:p>
      <w:pPr>
        <w:ind w:right="400"/>
        <w:spacing w:after="0" w:line="282" w:lineRule="auto"/>
        <w:rPr>
          <w:sz w:val="20"/>
          <w:szCs w:val="20"/>
          <w:color w:val="auto"/>
        </w:rPr>
      </w:pPr>
      <w:r>
        <w:rPr>
          <w:rFonts w:ascii="Times New Roman" w:cs="Times New Roman" w:eastAsia="Times New Roman" w:hAnsi="Times New Roman"/>
          <w:sz w:val="18"/>
          <w:szCs w:val="18"/>
          <w:color w:val="auto"/>
        </w:rPr>
        <w:t>the convertible bond issue and twenty years for conversion rights; and (iii) the exercise price for the new shares must at least correspond to the market conditions at the time of the convertible bond issuance.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within the meaning of the FISA). In accordance with Article 973c of the CO, we will maintain a non-public register of uncertificated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members of the board of directors, the chairman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(basis, bonus and equity) of members of the board of directors and executive management, which under Swiss law is not necessarily limited to the executive officers;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matters reserved to the general meeting of shareholders by law or the articles of association or presented to it by the board of directors.</w:t>
      </w:r>
    </w:p>
    <w:p>
      <w:pPr>
        <w:spacing w:after="0" w:line="225"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cancelling shares with preference rights or amending rights attached to such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amending the transfer restrictions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authorized or conditional share capital;</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specific assets and granting specific benefits;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suppressing shareholder’s pre-emptive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1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alleviating or withdrawing of restrictions upon the transfer of registered shares and the removal of the voting cap of 33</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registered shares into bearer shares and vice versa;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w:t>
      </w:r>
    </w:p>
    <w:p>
      <w:pPr>
        <w:spacing w:after="0" w:line="225"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 Compulsory Acquisitions; Appraisal Rights.”</w:t>
      </w:r>
    </w:p>
    <w:p>
      <w:pPr>
        <w:spacing w:after="0" w:line="176"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2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9" w:name="page40"/>
    <w:bookmarkEnd w:id="39"/>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0" w:lineRule="exact"/>
        <w:rPr>
          <w:sz w:val="20"/>
          <w:szCs w:val="20"/>
          <w:color w:val="auto"/>
        </w:rPr>
      </w:pPr>
    </w:p>
    <w:p>
      <w:pPr>
        <w:ind w:left="660" w:right="1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the share register, of the shareholder proposing such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required under the applicable laws and stock exchange rules.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95" w:lineRule="exact"/>
        <w:rPr>
          <w:sz w:val="20"/>
          <w:szCs w:val="20"/>
          <w:color w:val="auto"/>
        </w:rPr>
      </w:pPr>
    </w:p>
    <w:p>
      <w:pPr>
        <w:jc w:val="both"/>
        <w:ind w:right="300" w:firstLine="324"/>
        <w:spacing w:after="0" w:line="228" w:lineRule="auto"/>
        <w:rPr>
          <w:sz w:val="20"/>
          <w:szCs w:val="20"/>
          <w:color w:val="auto"/>
        </w:rPr>
      </w:pPr>
      <w:r>
        <w:rPr>
          <w:rFonts w:ascii="Times New Roman" w:cs="Times New Roman" w:eastAsia="Times New Roman" w:hAnsi="Times New Roman"/>
          <w:sz w:val="17"/>
          <w:szCs w:val="17"/>
          <w:color w:val="auto"/>
        </w:rPr>
        <w:t>Our articles of association contain provisions that prevent investors from acquiring voting rights exceeding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outstanding share capital. Specifically, no individual or legal entity may, directly or indirectly, control voting rights with respect to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or more of the registered share capital recorded in the Commercial Register. In the event that a shareholder should exceed the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ownership threshold, the registered shares exceeding the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8"/>
          <w:szCs w:val="18"/>
          <w:color w:val="auto"/>
        </w:rPr>
        <w:t>limit of 33</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78"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brought forward from the previous business years (</w:t>
      </w:r>
      <w:r>
        <w:rPr>
          <w:rFonts w:ascii="Times New Roman" w:cs="Times New Roman" w:eastAsia="Times New Roman" w:hAnsi="Times New Roman"/>
          <w:sz w:val="18"/>
          <w:szCs w:val="18"/>
          <w:i w:val="1"/>
          <w:iCs w:val="1"/>
          <w:color w:val="auto"/>
        </w:rPr>
        <w:t>report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bénéfices</w:t>
      </w:r>
      <w:r>
        <w:rPr>
          <w:rFonts w:ascii="Times New Roman" w:cs="Times New Roman" w:eastAsia="Times New Roman" w:hAnsi="Times New Roman"/>
          <w:sz w:val="18"/>
          <w:szCs w:val="18"/>
          <w:color w:val="auto"/>
        </w:rPr>
        <w:t>), or if we have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our audited stand-alone statutory balance sheet prepared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Swiss law, and after allocations</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right="400"/>
        <w:spacing w:after="0" w:line="282" w:lineRule="auto"/>
        <w:rPr>
          <w:sz w:val="20"/>
          <w:szCs w:val="20"/>
          <w:color w:val="auto"/>
        </w:rPr>
      </w:pPr>
      <w:r>
        <w:rPr>
          <w:rFonts w:ascii="Times New Roman" w:cs="Times New Roman" w:eastAsia="Times New Roman" w:hAnsi="Times New Roman"/>
          <w:sz w:val="18"/>
          <w:szCs w:val="18"/>
          <w:color w:val="auto"/>
        </w:rPr>
        <w:t>to reserves required by Swiss law and the articles of association have been deducted. We are not permitted to pay interim dividends out of profit of the current business year.</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8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82"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Voting rights may be exercised only after a shareholder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and address (in the case of legal entities, the registered office) as a shareholder with voting rights. Our articles of association contain provisions that prevent investors</w:t>
      </w:r>
    </w:p>
    <w:p>
      <w:pPr>
        <w:jc w:val="both"/>
        <w:ind w:right="40"/>
        <w:spacing w:after="0" w:line="201" w:lineRule="auto"/>
        <w:rPr>
          <w:sz w:val="20"/>
          <w:szCs w:val="20"/>
          <w:color w:val="auto"/>
        </w:rPr>
      </w:pPr>
      <w:r>
        <w:rPr>
          <w:rFonts w:ascii="Times New Roman" w:cs="Times New Roman" w:eastAsia="Times New Roman" w:hAnsi="Times New Roman"/>
          <w:sz w:val="17"/>
          <w:szCs w:val="17"/>
          <w:color w:val="auto"/>
        </w:rPr>
        <w:t>from acquiring voting rights exceeding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outstanding share capital. Specifically, no individual or legal entity may, directly or indirectly, control voting rights with respect to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or more of the registered share capital recorded in the Commercial Register except if such individual or legal entity has submitted a tender offer to all shareholders. In the event that a shareholder should exceed the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ownership threshold, the registered shares exceeding</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the limit of 33</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shall be entered in our share registered as shares without voting rights. Additional voting caps apply to shareholders acquiring shares for other persons (nominees).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t>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there are no appraisal rights and all shareholders are compelled to participate in such transaction.</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direction of the business of the Company and issuing of the relevant directives;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laying down the organization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accounting procedures, financial controls and financial planning;</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removing persons entrusted with the management and representation of the Company and regulating the power to sign for the Company;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annual report and the compensation report, and preparing for the general meeting of shareholders and carrying out its resolutions;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court in case of over-indebtedness.</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into indemnification agreements with each of the members of our board of directors and executive management.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43" w:name="page44"/>
    <w:bookmarkEnd w:id="4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8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subsequent term of office;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submit for approval at the general meeting of shareholders deviating or additional proposals relating to the same or different periods.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4" w:name="page45"/>
    <w:bookmarkEnd w:id="4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83" w:lineRule="exact"/>
        <w:rPr>
          <w:sz w:val="20"/>
          <w:szCs w:val="20"/>
          <w:color w:val="auto"/>
        </w:rPr>
      </w:pPr>
    </w:p>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200"/>
          </w:cols>
          <w:pgMar w:left="320" w:top="576" w:right="379" w:bottom="1440" w:gutter="0" w:footer="0" w:header="0"/>
        </w:sect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8"/>
          <w:szCs w:val="18"/>
          <w:i w:val="1"/>
          <w:iCs w:val="1"/>
          <w:color w:val="auto"/>
        </w:rPr>
        <w:t>Loi sur la fusion</w:t>
      </w:r>
      <w:r>
        <w:rPr>
          <w:rFonts w:ascii="Times New Roman" w:cs="Times New Roman" w:eastAsia="Times New Roman" w:hAnsi="Times New Roman"/>
          <w:sz w:val="18"/>
          <w:szCs w:val="18"/>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411" w:lineRule="exact"/>
        <w:rPr>
          <w:sz w:val="20"/>
          <w:szCs w:val="20"/>
          <w:color w:val="auto"/>
        </w:rPr>
      </w:pPr>
    </w:p>
    <w:p>
      <w:pPr>
        <w:sectPr>
          <w:pgSz w:w="11900" w:h="16838" w:orient="portrait"/>
          <w:cols w:equalWidth="0" w:num="2">
            <w:col w:w="5460" w:space="280"/>
            <w:col w:w="5460"/>
          </w:cols>
          <w:pgMar w:left="320" w:top="576"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200"/>
          </w:cols>
          <w:pgMar w:left="320" w:top="576" w:right="379" w:bottom="1440" w:gutter="0" w:footer="0" w:header="0"/>
          <w:type w:val="continuous"/>
        </w:sect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480" w:space="260"/>
            <w:col w:w="5460"/>
          </w:cols>
          <w:pgMar w:left="320" w:top="576" w:right="379" w:bottom="1440" w:gutter="0" w:footer="0" w:header="0"/>
          <w:type w:val="continuous"/>
        </w:sect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46" w:name="page47"/>
    <w:bookmarkEnd w:id="46"/>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Shareholder vote on board and management compensation</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Swiss Ordinance against excessive compensation in listed stock corporations (</w:t>
      </w:r>
      <w:r>
        <w:rPr>
          <w:rFonts w:ascii="Times New Roman" w:cs="Times New Roman" w:eastAsia="Times New Roman" w:hAnsi="Times New Roman"/>
          <w:sz w:val="18"/>
          <w:szCs w:val="18"/>
          <w:i w:val="1"/>
          <w:iCs w:val="1"/>
          <w:color w:val="auto"/>
        </w:rPr>
        <w:t>Ordonnance contre les rémunérations abusives dans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sociétés anonymes cotées en bourse</w:t>
      </w:r>
      <w:r>
        <w:rPr>
          <w:rFonts w:ascii="Times New Roman" w:cs="Times New Roman" w:eastAsia="Times New Roman" w:hAnsi="Times New Roman"/>
          <w:sz w:val="18"/>
          <w:szCs w:val="18"/>
          <w:color w:val="auto"/>
        </w:rPr>
        <w:t>), the general meeting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non-transferable right, amongst others, to vote on the fixed and on the variable compensation of the members of the board of directors, of the executive management and of the advisory boards.</w:t>
      </w:r>
    </w:p>
    <w:p>
      <w:pPr>
        <w:spacing w:after="0" w:line="185" w:lineRule="exact"/>
        <w:rPr>
          <w:sz w:val="20"/>
          <w:szCs w:val="20"/>
          <w:color w:val="auto"/>
        </w:rPr>
      </w:pPr>
    </w:p>
    <w:p>
      <w:pPr>
        <w:sectPr>
          <w:pgSz w:w="11900" w:h="16838" w:orient="portrait"/>
          <w:cols w:equalWidth="0" w:num="2">
            <w:col w:w="5260" w:space="480"/>
            <w:col w:w="5480"/>
          </w:cols>
          <w:pgMar w:left="320" w:top="576"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71" w:lineRule="exact"/>
        <w:rPr>
          <w:sz w:val="20"/>
          <w:szCs w:val="20"/>
          <w:color w:val="auto"/>
        </w:rPr>
      </w:pPr>
    </w:p>
    <w:p>
      <w:pPr>
        <w:sectPr>
          <w:pgSz w:w="11900" w:h="16838" w:orient="portrait"/>
          <w:cols w:equalWidth="0" w:num="2">
            <w:col w:w="5460" w:space="280"/>
            <w:col w:w="5480"/>
          </w:cols>
          <w:pgMar w:left="320" w:top="576" w:right="359" w:bottom="1440" w:gutter="0" w:footer="0" w:header="0"/>
          <w:type w:val="continuous"/>
        </w:sectPr>
      </w:pP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87" w:lineRule="exact"/>
        <w:rPr>
          <w:sz w:val="20"/>
          <w:szCs w:val="20"/>
          <w:color w:val="auto"/>
        </w:rPr>
      </w:pPr>
    </w:p>
    <w:p>
      <w:pPr>
        <w:ind w:left="340" w:right="540" w:hanging="202"/>
        <w:spacing w:after="0" w:line="282"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duty of loyalty to the corporation or its shareholders;</w:t>
      </w:r>
    </w:p>
    <w:p>
      <w:pPr>
        <w:spacing w:after="0" w:line="161" w:lineRule="exact"/>
        <w:rPr>
          <w:rFonts w:ascii="Times New Roman" w:cs="Times New Roman" w:eastAsia="Times New Roman" w:hAnsi="Times New Roman"/>
          <w:sz w:val="18"/>
          <w:szCs w:val="18"/>
          <w:color w:val="auto"/>
        </w:rPr>
      </w:pPr>
    </w:p>
    <w:p>
      <w:pPr>
        <w:ind w:left="340" w:right="640" w:hanging="202"/>
        <w:spacing w:after="0" w:line="282"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340" w:right="120" w:hanging="202"/>
        <w:spacing w:after="0" w:line="282"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stock purchase or redemption; or</w:t>
      </w:r>
    </w:p>
    <w:p>
      <w:pPr>
        <w:spacing w:after="0" w:line="161" w:lineRule="exact"/>
        <w:rPr>
          <w:rFonts w:ascii="Times New Roman" w:cs="Times New Roman" w:eastAsia="Times New Roman" w:hAnsi="Times New Roman"/>
          <w:sz w:val="18"/>
          <w:szCs w:val="18"/>
          <w:color w:val="auto"/>
        </w:rPr>
      </w:pPr>
    </w:p>
    <w:p>
      <w:pPr>
        <w:ind w:left="340" w:right="200" w:hanging="202"/>
        <w:spacing w:after="0" w:line="282"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pacing w:after="0" w:line="818" w:lineRule="exact"/>
        <w:rPr>
          <w:sz w:val="20"/>
          <w:szCs w:val="20"/>
          <w:color w:val="auto"/>
        </w:rPr>
      </w:pPr>
    </w:p>
    <w:p>
      <w:pPr>
        <w:sectPr>
          <w:pgSz w:w="11900" w:h="16838" w:orient="portrait"/>
          <w:cols w:equalWidth="0" w:num="2">
            <w:col w:w="5480" w:space="260"/>
            <w:col w:w="5480"/>
          </w:cols>
          <w:pgMar w:left="320" w:top="576"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47" w:name="page48"/>
    <w:bookmarkEnd w:id="47"/>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Directors’ fiduciary duties</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280" w:hanging="14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25" w:lineRule="exact"/>
        <w:rPr>
          <w:rFonts w:ascii="Times New Roman" w:cs="Times New Roman" w:eastAsia="Times New Roman" w:hAnsi="Times New Roman"/>
          <w:sz w:val="18"/>
          <w:szCs w:val="18"/>
          <w:color w:val="auto"/>
        </w:rPr>
      </w:pPr>
    </w:p>
    <w:p>
      <w:pPr>
        <w:ind w:left="280" w:hanging="14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3" w:lineRule="exact"/>
        <w:rPr>
          <w:sz w:val="20"/>
          <w:szCs w:val="20"/>
          <w:color w:val="auto"/>
        </w:rPr>
      </w:pPr>
    </w:p>
    <w:p>
      <w:pPr>
        <w:ind w:left="320" w:right="600" w:hanging="185"/>
        <w:spacing w:after="0" w:line="282"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161" w:lineRule="exact"/>
        <w:rPr>
          <w:rFonts w:ascii="Times New Roman" w:cs="Times New Roman" w:eastAsia="Times New Roman" w:hAnsi="Times New Roman"/>
          <w:sz w:val="18"/>
          <w:szCs w:val="18"/>
          <w:color w:val="auto"/>
        </w:rPr>
      </w:pPr>
    </w:p>
    <w:p>
      <w:pPr>
        <w:ind w:left="280" w:hanging="145"/>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225" w:lineRule="exact"/>
        <w:rPr>
          <w:rFonts w:ascii="Times New Roman" w:cs="Times New Roman" w:eastAsia="Times New Roman" w:hAnsi="Times New Roman"/>
          <w:sz w:val="18"/>
          <w:szCs w:val="18"/>
          <w:color w:val="auto"/>
        </w:rPr>
      </w:pPr>
    </w:p>
    <w:p>
      <w:pPr>
        <w:jc w:val="both"/>
        <w:ind w:left="320" w:right="460" w:hanging="185"/>
        <w:spacing w:after="0" w:line="282"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spacing w:after="0" w:line="161" w:lineRule="exact"/>
        <w:rPr>
          <w:rFonts w:ascii="Times New Roman" w:cs="Times New Roman" w:eastAsia="Times New Roman" w:hAnsi="Times New Roman"/>
          <w:sz w:val="18"/>
          <w:szCs w:val="18"/>
          <w:color w:val="auto"/>
        </w:rPr>
      </w:pPr>
    </w:p>
    <w:p>
      <w:pPr>
        <w:ind w:left="320" w:right="100" w:hanging="185"/>
        <w:spacing w:after="0" w:line="282"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161" w:lineRule="exact"/>
        <w:rPr>
          <w:rFonts w:ascii="Times New Roman" w:cs="Times New Roman" w:eastAsia="Times New Roman" w:hAnsi="Times New Roman"/>
          <w:sz w:val="18"/>
          <w:szCs w:val="18"/>
          <w:color w:val="auto"/>
        </w:rPr>
      </w:pPr>
    </w:p>
    <w:p>
      <w:pPr>
        <w:ind w:left="320" w:right="460" w:hanging="185"/>
        <w:spacing w:after="0" w:line="289" w:lineRule="auto"/>
        <w:tabs>
          <w:tab w:leader="none" w:pos="26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157" w:lineRule="exact"/>
        <w:rPr>
          <w:rFonts w:ascii="Times New Roman" w:cs="Times New Roman" w:eastAsia="Times New Roman" w:hAnsi="Times New Roman"/>
          <w:sz w:val="17"/>
          <w:szCs w:val="17"/>
          <w:color w:val="auto"/>
        </w:rPr>
      </w:pPr>
    </w:p>
    <w:p>
      <w:pPr>
        <w:ind w:left="320" w:right="220" w:hanging="185"/>
        <w:spacing w:after="0" w:line="282"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 and</w:t>
      </w:r>
    </w:p>
    <w:p>
      <w:pPr>
        <w:spacing w:after="0" w:line="161" w:lineRule="exact"/>
        <w:rPr>
          <w:rFonts w:ascii="Times New Roman" w:cs="Times New Roman" w:eastAsia="Times New Roman" w:hAnsi="Times New Roman"/>
          <w:sz w:val="18"/>
          <w:szCs w:val="18"/>
          <w:color w:val="auto"/>
        </w:rPr>
      </w:pPr>
    </w:p>
    <w:p>
      <w:pPr>
        <w:ind w:left="280" w:hanging="145"/>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board of directors must perform their duties with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and safeguard the interests of the corporation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must afford the shareholders equal treatment in equal circumstances.</w:t>
      </w:r>
    </w:p>
    <w:p>
      <w:pPr>
        <w:spacing w:after="0" w:line="207"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138" w:lineRule="exact"/>
        <w:rPr>
          <w:sz w:val="20"/>
          <w:szCs w:val="20"/>
          <w:color w:val="auto"/>
        </w:rPr>
      </w:pPr>
    </w:p>
    <w:p>
      <w:pPr>
        <w:sectPr>
          <w:pgSz w:w="11900" w:h="16838" w:orient="portrait"/>
          <w:cols w:equalWidth="0" w:num="2">
            <w:col w:w="5480" w:space="260"/>
            <w:col w:w="5480"/>
          </w:cols>
          <w:pgMar w:left="320" w:top="576"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260" w:space="480"/>
            <w:col w:w="5480"/>
          </w:cols>
          <w:pgMar w:left="320" w:top="576" w:right="359" w:bottom="1440" w:gutter="0" w:footer="0" w:header="0"/>
          <w:type w:val="continuous"/>
        </w:sect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48" w:name="page49"/>
    <w:bookmarkEnd w:id="48"/>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240"/>
          </w:cols>
          <w:pgMar w:left="320" w:top="576" w:right="339" w:bottom="1440" w:gutter="0" w:footer="0" w:header="0"/>
        </w:sectPr>
      </w:pP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3" w:lineRule="exact"/>
        <w:rPr>
          <w:sz w:val="20"/>
          <w:szCs w:val="20"/>
          <w:color w:val="auto"/>
        </w:rPr>
      </w:pPr>
    </w:p>
    <w:p>
      <w:pPr>
        <w:ind w:left="320" w:right="60" w:hanging="185"/>
        <w:spacing w:after="0" w:line="266" w:lineRule="auto"/>
        <w:tabs>
          <w:tab w:leader="none" w:pos="2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175" w:lineRule="exact"/>
        <w:rPr>
          <w:rFonts w:ascii="Times New Roman" w:cs="Times New Roman" w:eastAsia="Times New Roman" w:hAnsi="Times New Roman"/>
          <w:sz w:val="18"/>
          <w:szCs w:val="18"/>
          <w:color w:val="auto"/>
        </w:rPr>
      </w:pPr>
    </w:p>
    <w:p>
      <w:pPr>
        <w:ind w:left="320" w:hanging="185"/>
        <w:spacing w:after="0" w:line="258" w:lineRule="auto"/>
        <w:tabs>
          <w:tab w:leader="none" w:pos="2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3"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and the names of the candidates have been included as an agenda item.</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87" w:lineRule="exact"/>
        <w:rPr>
          <w:sz w:val="20"/>
          <w:szCs w:val="20"/>
          <w:color w:val="auto"/>
        </w:rPr>
      </w:pPr>
    </w:p>
    <w:p>
      <w:pPr>
        <w:sectPr>
          <w:pgSz w:w="11900" w:h="16838" w:orient="portrait"/>
          <w:cols w:equalWidth="0" w:num="2">
            <w:col w:w="5360" w:space="380"/>
            <w:col w:w="5500"/>
          </w:cols>
          <w:pgMar w:left="320" w:top="57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240"/>
          </w:cols>
          <w:pgMar w:left="320" w:top="576" w:right="339" w:bottom="1440" w:gutter="0" w:footer="0" w:header="0"/>
          <w:type w:val="continuous"/>
        </w:sect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92" w:lineRule="exact"/>
        <w:rPr>
          <w:sz w:val="20"/>
          <w:szCs w:val="20"/>
          <w:color w:val="auto"/>
        </w:rPr>
      </w:pPr>
    </w:p>
    <w:p>
      <w:pPr>
        <w:sectPr>
          <w:pgSz w:w="11900" w:h="16838" w:orient="portrait"/>
          <w:cols w:equalWidth="0" w:num="2">
            <w:col w:w="5400" w:space="340"/>
            <w:col w:w="5500"/>
          </w:cols>
          <w:pgMar w:left="320" w:top="57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Removal of directors</w:t>
      </w:r>
    </w:p>
    <w:p>
      <w:pPr>
        <w:sectPr>
          <w:pgSz w:w="11900" w:h="16838" w:orient="portrait"/>
          <w:cols w:equalWidth="0" w:num="1">
            <w:col w:w="11240"/>
          </w:cols>
          <w:pgMar w:left="320" w:top="576" w:right="33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simple majority of the shares represented at a general meeting of shareholders concerned. The articles of association may require the approval by a qualified majority of the shares represented at a meeting for the removal of a director.</w:t>
      </w:r>
    </w:p>
    <w:p>
      <w:pPr>
        <w:spacing w:after="0" w:line="200" w:lineRule="exact"/>
        <w:rPr>
          <w:sz w:val="20"/>
          <w:szCs w:val="20"/>
          <w:color w:val="auto"/>
        </w:rPr>
      </w:pPr>
    </w:p>
    <w:p>
      <w:pPr>
        <w:sectPr>
          <w:pgSz w:w="11900" w:h="16838" w:orient="portrait"/>
          <w:cols w:equalWidth="0" w:num="2">
            <w:col w:w="5300" w:space="440"/>
            <w:col w:w="5500"/>
          </w:cols>
          <w:pgMar w:left="320" w:top="576" w:right="339" w:bottom="1440" w:gutter="0" w:footer="0" w:header="0"/>
          <w:type w:val="continuous"/>
        </w:sect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49" w:name="page50"/>
    <w:bookmarkEnd w:id="49"/>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The Delaware General Corporation Law generally prohibits a Delaware</w:t>
      </w:r>
      <w:r>
        <w:rPr>
          <w:sz w:val="20"/>
          <w:szCs w:val="20"/>
          <w:color w:val="auto"/>
        </w:rPr>
        <w:tab/>
      </w:r>
      <w:r>
        <w:rPr>
          <w:rFonts w:ascii="Times New Roman" w:cs="Times New Roman" w:eastAsia="Times New Roman" w:hAnsi="Times New Roman"/>
          <w:sz w:val="18"/>
          <w:szCs w:val="18"/>
          <w:color w:val="auto"/>
        </w:rPr>
        <w:t>No such rule applies to a Swiss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from engaging in certain business combinations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shareholder” for three years following the date that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an interested shareholder. An interested shareholder generally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group who or which owns or owned 15.0% or more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outstanding voting stock within the past three years.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ectPr>
          <w:pgSz w:w="11900" w:h="16838" w:orient="portrait"/>
          <w:cols w:equalWidth="0" w:num="1">
            <w:col w:w="11220"/>
          </w:cols>
          <w:pgMar w:left="320" w:top="576" w:right="359" w:bottom="1440" w:gutter="0" w:footer="0" w:header="0"/>
          <w:type w:val="continuous"/>
        </w:sectPr>
      </w:pP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829" w:lineRule="exact"/>
        <w:rPr>
          <w:sz w:val="20"/>
          <w:szCs w:val="20"/>
          <w:color w:val="auto"/>
        </w:rPr>
      </w:pPr>
    </w:p>
    <w:p>
      <w:pPr>
        <w:sectPr>
          <w:pgSz w:w="11900" w:h="16838" w:orient="portrait"/>
          <w:cols w:equalWidth="0" w:num="2">
            <w:col w:w="5420" w:space="320"/>
            <w:col w:w="5480"/>
          </w:cols>
          <w:pgMar w:left="320" w:top="576"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160" w:lineRule="exact"/>
        <w:rPr>
          <w:sz w:val="20"/>
          <w:szCs w:val="20"/>
          <w:color w:val="auto"/>
        </w:rPr>
      </w:pPr>
    </w:p>
    <w:p>
      <w:pPr>
        <w:sectPr>
          <w:pgSz w:w="11900" w:h="16838" w:orient="portrait"/>
          <w:cols w:equalWidth="0" w:num="2">
            <w:col w:w="5220" w:space="520"/>
            <w:col w:w="5480"/>
          </w:cols>
          <w:pgMar w:left="320" w:top="576"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Amendment of governing documents</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00" w:lineRule="exact"/>
        <w:rPr>
          <w:sz w:val="20"/>
          <w:szCs w:val="20"/>
          <w:color w:val="auto"/>
        </w:rPr>
      </w:pPr>
    </w:p>
    <w:p>
      <w:pPr>
        <w:sectPr>
          <w:pgSz w:w="11900" w:h="16838" w:orient="portrait"/>
          <w:cols w:equalWidth="0" w:num="2">
            <w:col w:w="5380" w:space="360"/>
            <w:col w:w="5480"/>
          </w:cols>
          <w:pgMar w:left="320" w:top="576" w:right="359" w:bottom="1440" w:gutter="0" w:footer="0" w:header="0"/>
          <w:type w:val="continuous"/>
        </w:sect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50" w:name="page51"/>
    <w:bookmarkEnd w:id="50"/>
    <w:p>
      <w:pPr>
        <w:ind w:left="1420"/>
        <w:spacing w:after="0"/>
        <w:tabs>
          <w:tab w:leader="none" w:pos="73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90" w:lineRule="exact"/>
        <w:rPr>
          <w:sz w:val="20"/>
          <w:szCs w:val="20"/>
          <w:color w:val="auto"/>
        </w:rPr>
      </w:pPr>
    </w:p>
    <w:p>
      <w:pPr>
        <w:sectPr>
          <w:pgSz w:w="11900" w:h="16838" w:orient="portrait"/>
          <w:cols w:equalWidth="0" w:num="2">
            <w:col w:w="5420" w:space="320"/>
            <w:col w:w="5480"/>
          </w:cols>
          <w:pgMar w:left="320" w:top="576"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ectPr>
          <w:pgSz w:w="11900" w:h="16838" w:orient="portrait"/>
          <w:cols w:equalWidth="0" w:num="1">
            <w:col w:w="11220"/>
          </w:cols>
          <w:pgMar w:left="320" w:top="576" w:right="359" w:bottom="1440" w:gutter="0" w:footer="0" w:header="0"/>
          <w:type w:val="continuous"/>
        </w:sectPr>
      </w:pP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280" w:hanging="14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25" w:lineRule="exact"/>
        <w:rPr>
          <w:rFonts w:ascii="Times New Roman" w:cs="Times New Roman" w:eastAsia="Times New Roman" w:hAnsi="Times New Roman"/>
          <w:sz w:val="18"/>
          <w:szCs w:val="18"/>
          <w:color w:val="auto"/>
        </w:rPr>
      </w:pPr>
    </w:p>
    <w:p>
      <w:pPr>
        <w:ind w:left="340" w:hanging="202"/>
        <w:spacing w:after="0" w:line="282" w:lineRule="auto"/>
        <w:tabs>
          <w:tab w:leader="none" w:pos="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6" w:lineRule="exact"/>
        <w:rPr>
          <w:sz w:val="20"/>
          <w:szCs w:val="20"/>
          <w:color w:val="auto"/>
        </w:rPr>
      </w:pPr>
    </w:p>
    <w:p>
      <w:pPr>
        <w:sectPr>
          <w:pgSz w:w="11900" w:h="16838" w:orient="portrait"/>
          <w:cols w:equalWidth="0" w:num="2">
            <w:col w:w="5500" w:space="240"/>
            <w:col w:w="5480"/>
          </w:cols>
          <w:pgMar w:left="320" w:top="576"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Creation and issuance of new shares</w:t>
      </w:r>
    </w:p>
    <w:p>
      <w:pPr>
        <w:sectPr>
          <w:pgSz w:w="11900" w:h="16838" w:orient="portrait"/>
          <w:cols w:equalWidth="0" w:num="1">
            <w:col w:w="11220"/>
          </w:cols>
          <w:pgMar w:left="320" w:top="576" w:right="35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00" w:space="340"/>
            <w:col w:w="5480"/>
          </w:cols>
          <w:pgMar w:left="320" w:top="576" w:right="359" w:bottom="1440" w:gutter="0" w:footer="0" w:header="0"/>
          <w:type w:val="continuous"/>
        </w:sect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52" w:name="page53"/>
    <w:bookmarkEnd w:id="5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576" w:right="539" w:bottom="1440" w:gutter="0" w:footer="0" w:header="0"/>
        </w:sectPr>
      </w:pPr>
    </w:p>
    <w:bookmarkStart w:id="53" w:name="page54"/>
    <w:bookmarkEnd w:id="53"/>
    <w:p>
      <w:pPr>
        <w:ind w:left="37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54" w:name="page55"/>
    <w:bookmarkEnd w:id="5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or any combination of such securities.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76" w:right="5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or warrants for those securities will be offered under the shareholder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Standby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340" w:right="2340" w:firstLine="316"/>
        <w:spacing w:after="0" w:line="500" w:lineRule="auto"/>
        <w:tabs>
          <w:tab w:leader="none" w:pos="9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2017 Annual Report on Form 20-F for the fiscal year ended December 31, 2017;</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 and</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 on Form 8-A filed with the SEC on September 23, 2016, including any amendments or reports filed for the purpose of updating such description.</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right="40"/>
        <w:spacing w:after="0" w:line="254" w:lineRule="auto"/>
        <w:rPr>
          <w:sz w:val="20"/>
          <w:szCs w:val="20"/>
          <w:color w:val="auto"/>
        </w:rPr>
      </w:pPr>
      <w:r>
        <w:rPr>
          <w:rFonts w:ascii="Times New Roman" w:cs="Times New Roman" w:eastAsia="Times New Roman" w:hAnsi="Times New Roman"/>
          <w:sz w:val="18"/>
          <w:szCs w:val="18"/>
          <w:color w:val="auto"/>
        </w:rPr>
        <w:t>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9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9900" w:type="dxa"/>
            <w:vAlign w:val="bottom"/>
            <w:tcBorders>
              <w:bottom w:val="single" w:sz="8" w:color="D5EAEA"/>
            </w:tcBorders>
          </w:tcPr>
          <w:p>
            <w:pPr>
              <w:spacing w:after="0"/>
              <w:rPr>
                <w:sz w:val="20"/>
                <w:szCs w:val="20"/>
                <w:color w:val="auto"/>
              </w:rPr>
            </w:pPr>
          </w:p>
        </w:tc>
        <w:tc>
          <w:tcPr>
            <w:tcW w:w="2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 Be Paid</w:t>
            </w:r>
          </w:p>
        </w:tc>
      </w:tr>
      <w:tr>
        <w:trPr>
          <w:trHeight w:val="210"/>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43,575.00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53,000.00</w:t>
            </w:r>
          </w:p>
        </w:tc>
      </w:tr>
      <w:tr>
        <w:trPr>
          <w:trHeight w:val="216"/>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9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06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w:t>
      </w:r>
    </w:p>
    <w:p>
      <w:pPr>
        <w:spacing w:after="0" w:line="221"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line="282" w:lineRule="auto"/>
        <w:rPr>
          <w:sz w:val="20"/>
          <w:szCs w:val="20"/>
          <w:color w:val="auto"/>
        </w:rPr>
      </w:pPr>
      <w:r>
        <w:rPr>
          <w:rFonts w:ascii="Times New Roman" w:cs="Times New Roman" w:eastAsia="Times New Roman" w:hAnsi="Times New Roman"/>
          <w:sz w:val="18"/>
          <w:szCs w:val="18"/>
          <w:color w:val="auto"/>
        </w:rPr>
        <w:t>Such financial statements are incorporated herein by reference in reliance upon such report given the authority of such firm as experts in accounting and auditing.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address of Ernst &amp; Young AG is Route de Chancy 59, 1213 Petit-Lancy, Switzerland.</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580" w:right="61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2711450</wp:posOffset>
            </wp:positionH>
            <wp:positionV relativeFrom="page">
              <wp:posOffset>1366520</wp:posOffset>
            </wp:positionV>
            <wp:extent cx="2125980" cy="668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$80,000,000</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1138555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192405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1280160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4"/>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2020-09-08T16:14:39Z</dcterms:created>
  <dcterms:modified xsi:type="dcterms:W3CDTF">2020-09-08T16:14:39Z</dcterms:modified>
</cp:coreProperties>
</file>